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E857" w14:textId="76D71628" w:rsidR="004E64F7" w:rsidRPr="004E64F7" w:rsidRDefault="004E64F7" w:rsidP="0090364C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E64F7">
        <w:rPr>
          <w:rFonts w:ascii="Times New Roman" w:hAnsi="Times New Roman" w:cs="Times New Roman"/>
          <w:i/>
          <w:iCs/>
          <w:sz w:val="24"/>
          <w:szCs w:val="24"/>
        </w:rPr>
        <w:t>Antibodies</w:t>
      </w:r>
    </w:p>
    <w:p w14:paraId="716380BE" w14:textId="46DFBF0A" w:rsidR="004E64F7" w:rsidRPr="004E64F7" w:rsidRDefault="004E64F7" w:rsidP="009036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41D5">
        <w:rPr>
          <w:rFonts w:ascii="Times New Roman" w:hAnsi="Times New Roman" w:cs="Times New Roman"/>
          <w:sz w:val="24"/>
          <w:szCs w:val="24"/>
        </w:rPr>
        <w:t xml:space="preserve">ZMIZ2 (IB/1:200, sc-163547, IP/1:50), 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GFP-Tag (sc-9996, IB/1:500, IP/1:50), TCF4 (sc-166699, IB/1:200), and GAPDH (sc-293335, IB/1:1000) were purchased from Santa Cruz Biotechnology (Inc. CA, USA). SIRT1 (# 8469, IB/1:1000, IP/1:50),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Tag (# 2276, IB/1:1000, IP/1:50), FLAG-Tag (# 14793, IB/1:1000), HA Tag (# 3724, IB/1:1000), C-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(# 9402, IB/1:1000), MMP7 (# 3801, IB/1:1000), CyclinD1 (# 2922, IB/1:1000), CTGF (# 86641, IB/1:1000), CYR61 (# 14479, IB/1:1000), MST (# 3682 IB/1:1000, p-MST (# 49332, IB/1:1000), p-LATS1 (# 8654, IB/1:1000) LATS1 (# 3477, IB/1:1000), YAP (# 14074, IB/1:1000, IP/1:50), action (# 3700, IB/11000), MOB1 (# 13730, IB/1:1000), SAV1 (# 13001, IB/1:1000) β-catenin (# 8480, IB/1:1000, IP/1:50), acetyl- β-catenin (Lys49, # 9534, IB/1:1000), acetyl lysine antibody (# 9441, IB/1:1000), LaminB1 (# 13435, IB/1:1000), and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Tublin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(# 2148, IB/1:1000) were all purchased from Cell Signalling Technology (Danvers, MA, USA)</w:t>
      </w:r>
      <w:r w:rsidR="00303F0B">
        <w:rPr>
          <w:rFonts w:ascii="Times New Roman" w:hAnsi="Times New Roman" w:cs="Times New Roman"/>
          <w:sz w:val="24"/>
          <w:szCs w:val="24"/>
        </w:rPr>
        <w:t>.</w:t>
      </w:r>
    </w:p>
    <w:p w14:paraId="1C2989ED" w14:textId="77777777" w:rsidR="004E64F7" w:rsidRDefault="004E64F7" w:rsidP="0090364C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1385F24" w14:textId="114EEEBD" w:rsidR="0090364C" w:rsidRPr="00DF41D5" w:rsidRDefault="0090364C" w:rsidP="0090364C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F41D5">
        <w:rPr>
          <w:rFonts w:ascii="Times New Roman" w:hAnsi="Times New Roman" w:cs="Times New Roman"/>
          <w:i/>
          <w:iCs/>
          <w:sz w:val="24"/>
          <w:szCs w:val="24"/>
        </w:rPr>
        <w:t>Colony formation, matrix adhesive invasion, and MTT assays</w:t>
      </w:r>
    </w:p>
    <w:p w14:paraId="2AA6B209" w14:textId="77777777" w:rsidR="0090364C" w:rsidRPr="00DF41D5" w:rsidRDefault="0090364C" w:rsidP="0090364C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DF41D5">
        <w:rPr>
          <w:rFonts w:ascii="Times New Roman" w:hAnsi="Times New Roman" w:cs="Times New Roman"/>
          <w:sz w:val="24"/>
          <w:szCs w:val="24"/>
        </w:rPr>
        <w:t>Colony formation assay: Following a 48-h period post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 overexpression or interference in the tumour cell transfection experiment, the cells were seeded into a 6-centimeter cell culture dish (1000 cells/dish) and incubated for 12 days. Subsequently, the dish was washed with PBS and stained with haematoxylin. </w:t>
      </w:r>
      <w:r w:rsidRPr="00DF41D5">
        <w:rPr>
          <w:rFonts w:ascii="Times New Roman" w:hAnsi="Times New Roman" w:cs="Times New Roman"/>
          <w:sz w:val="24"/>
          <w:szCs w:val="24"/>
        </w:rPr>
        <w:t>Colonies with &gt; 50 cells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 were then counted.</w:t>
      </w:r>
    </w:p>
    <w:p w14:paraId="5808C175" w14:textId="77777777" w:rsidR="0090364C" w:rsidRPr="00DF41D5" w:rsidRDefault="0090364C" w:rsidP="0090364C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DF41D5">
        <w:rPr>
          <w:rFonts w:ascii="Times New Roman" w:hAnsi="Times New Roman" w:cs="Times New Roman"/>
          <w:sz w:val="24"/>
          <w:szCs w:val="24"/>
        </w:rPr>
        <w:t xml:space="preserve">MTT assay: Approximately 3000 transfected U87 and U251 cells were cultured in a 96-well plate with 10% serum for 24 h. Subsequently, 20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of a 5 mg/ml </w:t>
      </w:r>
      <w:r w:rsidRPr="00DF41D5">
        <w:rPr>
          <w:rFonts w:ascii="Times New Roman" w:hAnsi="Times New Roman" w:cs="Times New Roman"/>
          <w:sz w:val="24"/>
          <w:szCs w:val="24"/>
        </w:rPr>
        <w:lastRenderedPageBreak/>
        <w:t>MTT (Thiazolyl Blue) solution was added to each well, followed by incubation at 37℃ for 4 h. After removing the solution,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 MTT crystals were dissolved in 150 </w:t>
      </w:r>
      <w:r w:rsidRPr="00DF41D5">
        <w:rPr>
          <w:rFonts w:ascii="Times New Roman" w:hAnsi="Times New Roman" w:cs="Times New Roman"/>
          <w:sz w:val="24"/>
          <w:szCs w:val="24"/>
        </w:rPr>
        <w:t xml:space="preserve">mL of DMSO, and the absorbance at 490 nm was measured using a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spectrophotometre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>.</w:t>
      </w:r>
    </w:p>
    <w:p w14:paraId="62F29C90" w14:textId="77777777" w:rsidR="0090364C" w:rsidRPr="00DF41D5" w:rsidRDefault="0090364C" w:rsidP="0090364C">
      <w:pPr>
        <w:spacing w:line="480" w:lineRule="auto"/>
        <w:ind w:firstLineChars="400" w:firstLine="960"/>
        <w:rPr>
          <w:rFonts w:ascii="Times New Roman" w:hAnsi="Times New Roman" w:cs="Times New Roman" w:hint="eastAsia"/>
          <w:sz w:val="24"/>
          <w:szCs w:val="24"/>
        </w:rPr>
      </w:pPr>
      <w:r w:rsidRPr="00DF41D5">
        <w:rPr>
          <w:rFonts w:ascii="Times New Roman" w:hAnsi="Times New Roman" w:cs="Times New Roman"/>
          <w:sz w:val="24"/>
          <w:szCs w:val="24"/>
        </w:rPr>
        <w:t>Cell matrix adhesive invasion assay: Dilute the matrix adhesive (BD Biosciences) in a 1:3 ratio with DMEM medium in a 24-well plate, excluding any additives, and seed an 8-micron pore size upper chamber (Costa). After 48 h of transfection, the tumo</w:t>
      </w:r>
      <w:r w:rsidRPr="00DF41D5">
        <w:rPr>
          <w:rFonts w:ascii="Times New Roman" w:eastAsia="等线" w:hAnsi="Times New Roman" w:cs="Times New Roman"/>
          <w:sz w:val="24"/>
          <w:szCs w:val="24"/>
        </w:rPr>
        <w:t>ur cells</w:t>
      </w:r>
      <w:r w:rsidRPr="00DF41D5">
        <w:rPr>
          <w:rFonts w:ascii="Times New Roman" w:hAnsi="Times New Roman" w:cs="Times New Roman"/>
          <w:sz w:val="24"/>
          <w:szCs w:val="24"/>
        </w:rPr>
        <w:t xml:space="preserve"> (5 ×10</w:t>
      </w:r>
      <w:r w:rsidRPr="00DF41D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41D5">
        <w:rPr>
          <w:rFonts w:ascii="Times New Roman" w:hAnsi="Times New Roman" w:cs="Times New Roman"/>
          <w:sz w:val="24"/>
          <w:szCs w:val="24"/>
        </w:rPr>
        <w:t xml:space="preserve"> cells) were placed in the upper chamber and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 incubated for 16 </w:t>
      </w:r>
      <w:r w:rsidRPr="00DF41D5">
        <w:rPr>
          <w:rFonts w:ascii="Times New Roman" w:hAnsi="Times New Roman" w:cs="Times New Roman"/>
          <w:sz w:val="24"/>
          <w:szCs w:val="24"/>
        </w:rPr>
        <w:t xml:space="preserve">h. A culture medium containing 10% calf serum 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was placed in the lower chamber. After 24 h of cultivation after </w:t>
      </w:r>
      <w:r w:rsidRPr="00DF41D5">
        <w:rPr>
          <w:rFonts w:ascii="Times New Roman" w:hAnsi="Times New Roman" w:cs="Times New Roman"/>
          <w:sz w:val="24"/>
          <w:szCs w:val="24"/>
        </w:rPr>
        <w:t>seeding, the cells were fixed in ice-cold methanol for 15 min and stain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ed with haematoxylin. </w:t>
      </w:r>
      <w:r w:rsidRPr="00DF41D5">
        <w:rPr>
          <w:rFonts w:ascii="Times New Roman" w:hAnsi="Times New Roman" w:cs="Times New Roman"/>
          <w:sz w:val="24"/>
          <w:szCs w:val="24"/>
        </w:rPr>
        <w:t>Ten randomly selected fields of view were used to count the number of cells invading the subventricular space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DF41D5">
        <w:rPr>
          <w:rFonts w:ascii="Times New Roman" w:hAnsi="Times New Roman" w:cs="Times New Roman"/>
          <w:sz w:val="24"/>
          <w:szCs w:val="24"/>
        </w:rPr>
        <w:t xml:space="preserve">The experiment 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was repeated three times, and </w:t>
      </w:r>
      <w:r w:rsidRPr="00DF41D5">
        <w:rPr>
          <w:rFonts w:ascii="Times New Roman" w:hAnsi="Times New Roman" w:cs="Times New Roman"/>
          <w:sz w:val="24"/>
          <w:szCs w:val="24"/>
        </w:rPr>
        <w:t>the average value</w:t>
      </w:r>
      <w:r w:rsidRPr="00DF41D5">
        <w:rPr>
          <w:rFonts w:ascii="Times New Roman" w:eastAsia="等线" w:hAnsi="Times New Roman" w:cs="Times New Roman"/>
          <w:sz w:val="24"/>
          <w:szCs w:val="24"/>
        </w:rPr>
        <w:t xml:space="preserve"> was calculated.</w:t>
      </w:r>
    </w:p>
    <w:p w14:paraId="629CF551" w14:textId="77777777" w:rsidR="00F97CEA" w:rsidRDefault="00F97CEA"/>
    <w:p w14:paraId="788882FB" w14:textId="2815E1E1" w:rsidR="00303F0B" w:rsidRDefault="00303F0B" w:rsidP="00303F0B">
      <w:pPr>
        <w:spacing w:line="480" w:lineRule="auto"/>
        <w:rPr>
          <w:rFonts w:hint="eastAsia"/>
        </w:rPr>
      </w:pPr>
      <w:r w:rsidRPr="00DF41D5">
        <w:rPr>
          <w:rFonts w:ascii="Times New Roman" w:hAnsi="Times New Roman" w:cs="Times New Roman"/>
          <w:i/>
          <w:iCs/>
          <w:sz w:val="24"/>
          <w:szCs w:val="24"/>
        </w:rPr>
        <w:t>RNA extraction and real-time quantitative polymerase chain reaction (PCR)</w:t>
      </w:r>
    </w:p>
    <w:p w14:paraId="67B6A173" w14:textId="645CB3BC" w:rsidR="00303F0B" w:rsidRDefault="00303F0B" w:rsidP="00303F0B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DF41D5">
        <w:rPr>
          <w:rFonts w:ascii="Times New Roman" w:hAnsi="Times New Roman" w:cs="Times New Roman"/>
          <w:sz w:val="24"/>
          <w:szCs w:val="24"/>
        </w:rPr>
        <w:t xml:space="preserve">Total RNA was extracted from cells using RNeasy Plus Mini Kit (Qiagen, Hilden, Germany), and real-time quantitative PCR was performed using SYBR Green PCR Master Mix (Applied Biosystems, Foster City, CA) with a total amount of 20 microlitres in the 7900 real-time quantitative PCR system (Applied Biosystems, Foster City, CA). The PCR conditions included an initial step at 50℃ for 2 min, followed by 95℃ for 10 min, and then a cycling step of 95℃ for 40 sec and 60℃ for 60 sec. GAPDH was used as an internal reference, with the relative expression level of the gene represented by Δ Ct (Ct </w:t>
      </w:r>
      <w:r w:rsidRPr="00DF41D5">
        <w:rPr>
          <w:rFonts w:ascii="Times New Roman" w:hAnsi="Times New Roman" w:cs="Times New Roman"/>
          <w:sz w:val="24"/>
          <w:szCs w:val="24"/>
          <w:vertAlign w:val="subscript"/>
        </w:rPr>
        <w:t>value of the gene</w:t>
      </w:r>
      <w:r w:rsidRPr="00DF41D5">
        <w:rPr>
          <w:rFonts w:ascii="Times New Roman" w:hAnsi="Times New Roman" w:cs="Times New Roman"/>
          <w:sz w:val="24"/>
          <w:szCs w:val="24"/>
        </w:rPr>
        <w:t xml:space="preserve"> - Ct </w:t>
      </w:r>
      <w:r w:rsidRPr="00DF41D5">
        <w:rPr>
          <w:rFonts w:ascii="Times New Roman" w:hAnsi="Times New Roman" w:cs="Times New Roman"/>
          <w:sz w:val="24"/>
          <w:szCs w:val="24"/>
          <w:vertAlign w:val="subscript"/>
        </w:rPr>
        <w:t>value of the internal reference).</w:t>
      </w:r>
      <w:r w:rsidRPr="00DF41D5">
        <w:rPr>
          <w:rFonts w:ascii="Times New Roman" w:hAnsi="Times New Roman" w:cs="Times New Roman"/>
          <w:sz w:val="24"/>
          <w:szCs w:val="24"/>
        </w:rPr>
        <w:t xml:space="preserve"> Multiple changes in gene expression were calculated as 2-</w:t>
      </w:r>
      <w:r w:rsidRPr="00DF41D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DF41D5">
        <w:rPr>
          <w:rFonts w:ascii="Times New Roman" w:hAnsi="Times New Roman" w:cs="Times New Roman"/>
          <w:sz w:val="24"/>
          <w:szCs w:val="24"/>
          <w:vertAlign w:val="superscript"/>
        </w:rPr>
        <w:t>ΔΔCt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using the Ct method, and all experiments were </w:t>
      </w:r>
      <w:r w:rsidRPr="00DF41D5">
        <w:rPr>
          <w:rFonts w:ascii="Times New Roman" w:hAnsi="Times New Roman" w:cs="Times New Roman"/>
          <w:sz w:val="24"/>
          <w:szCs w:val="24"/>
        </w:rPr>
        <w:lastRenderedPageBreak/>
        <w:t>conducted in triplicate.</w:t>
      </w:r>
    </w:p>
    <w:p w14:paraId="1DA68397" w14:textId="77777777" w:rsidR="00353D4C" w:rsidRDefault="00353D4C" w:rsidP="00353D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089477" w14:textId="6BC88441" w:rsidR="00353D4C" w:rsidRPr="00353D4C" w:rsidRDefault="00353D4C" w:rsidP="00353D4C">
      <w:pPr>
        <w:spacing w:line="480" w:lineRule="auto"/>
        <w:rPr>
          <w:rFonts w:ascii="Times New Roman" w:hAnsi="Times New Roman" w:cs="Times New Roman" w:hint="eastAsia"/>
          <w:i/>
          <w:iCs/>
          <w:sz w:val="24"/>
          <w:szCs w:val="24"/>
        </w:rPr>
      </w:pPr>
      <w:r w:rsidRPr="00DF41D5">
        <w:rPr>
          <w:rFonts w:ascii="Times New Roman" w:hAnsi="Times New Roman" w:cs="Times New Roman"/>
          <w:i/>
          <w:iCs/>
          <w:sz w:val="24"/>
          <w:szCs w:val="24"/>
        </w:rPr>
        <w:t>ZMIZ2 overexpression plasmid, CRISPR-CAS9-sgRNA lentivirus, and cell transfection</w:t>
      </w:r>
    </w:p>
    <w:p w14:paraId="094A039A" w14:textId="7778D7AD" w:rsidR="00353D4C" w:rsidRPr="0090364C" w:rsidRDefault="00353D4C" w:rsidP="00353D4C">
      <w:pPr>
        <w:spacing w:line="480" w:lineRule="auto"/>
        <w:ind w:firstLineChars="400" w:firstLine="960"/>
        <w:rPr>
          <w:rFonts w:hint="eastAsia"/>
        </w:rPr>
      </w:pPr>
      <w:proofErr w:type="spellStart"/>
      <w:r w:rsidRPr="00DF41D5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-tagged pCMV6 empty vector and pCMV6-ZMIZ2 plasmids were purchased from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OriGene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(#PS-100001 and #RC-216992, Rockville, MD, USA, respectively). The pcDNA3.1 empty vector (#52535), pcDNA3.1-FLAG-SIRT1 (#1791), pcDNA3.1-FLAG-SIRT1-H363Y (# 1792), GFP- β-catenin (#71367), pGL3b 8xGTIIC luciferase (# 34615), and Super 8x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Topflash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(#12456) plasmids were purchased from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(Cambridge, MA, USA). The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pRL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-TK vector (# E2241) was purchased from Promega (Madison, Wisconsin, USA). The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Baihao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Company constructed HA-TCF4, HA-TEAD, pEGFP-N1 empty vector, and pEGFP-N1-YAP. Control siRNA (sc-37007), siRNA-ZMIZ2 (sc-89373), and siRNA-SIRT1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D5">
        <w:rPr>
          <w:rFonts w:ascii="Times New Roman" w:hAnsi="Times New Roman" w:cs="Times New Roman"/>
          <w:sz w:val="24"/>
          <w:szCs w:val="24"/>
        </w:rPr>
        <w:t xml:space="preserve">(sc-40986) were purchased from Santa Cruz Technology. Lentivirus-ZMIZ2 and sgRNA-ZMIZ2 lentivirus plasmids were purchased from </w:t>
      </w:r>
      <w:proofErr w:type="spellStart"/>
      <w:r w:rsidRPr="00DF41D5">
        <w:rPr>
          <w:rFonts w:ascii="Times New Roman" w:hAnsi="Times New Roman" w:cs="Times New Roman"/>
          <w:sz w:val="24"/>
          <w:szCs w:val="24"/>
        </w:rPr>
        <w:t>GeneChem</w:t>
      </w:r>
      <w:proofErr w:type="spellEnd"/>
      <w:r w:rsidRPr="00DF41D5">
        <w:rPr>
          <w:rFonts w:ascii="Times New Roman" w:hAnsi="Times New Roman" w:cs="Times New Roman"/>
          <w:sz w:val="24"/>
          <w:szCs w:val="24"/>
        </w:rPr>
        <w:t xml:space="preserve"> (Shanghai, China).</w:t>
      </w:r>
    </w:p>
    <w:sectPr w:rsidR="00353D4C" w:rsidRPr="00903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07DB" w14:textId="77777777" w:rsidR="00297DF2" w:rsidRDefault="00297DF2" w:rsidP="0090364C">
      <w:r>
        <w:separator/>
      </w:r>
    </w:p>
  </w:endnote>
  <w:endnote w:type="continuationSeparator" w:id="0">
    <w:p w14:paraId="4BE5B362" w14:textId="77777777" w:rsidR="00297DF2" w:rsidRDefault="00297DF2" w:rsidP="0090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78E20" w14:textId="77777777" w:rsidR="00297DF2" w:rsidRDefault="00297DF2" w:rsidP="0090364C">
      <w:r>
        <w:separator/>
      </w:r>
    </w:p>
  </w:footnote>
  <w:footnote w:type="continuationSeparator" w:id="0">
    <w:p w14:paraId="7E11EC97" w14:textId="77777777" w:rsidR="00297DF2" w:rsidRDefault="00297DF2" w:rsidP="00903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5C"/>
    <w:rsid w:val="00297DF2"/>
    <w:rsid w:val="00303F0B"/>
    <w:rsid w:val="00353D4C"/>
    <w:rsid w:val="004E64F7"/>
    <w:rsid w:val="007B425C"/>
    <w:rsid w:val="0090364C"/>
    <w:rsid w:val="00F9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6B2FF"/>
  <w15:chartTrackingRefBased/>
  <w15:docId w15:val="{48A547CD-C431-4BFF-9E11-90C4C344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64C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6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9036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364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903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Han</dc:creator>
  <cp:keywords/>
  <dc:description/>
  <cp:lastModifiedBy>Qiang Han</cp:lastModifiedBy>
  <cp:revision>5</cp:revision>
  <dcterms:created xsi:type="dcterms:W3CDTF">2023-11-18T06:05:00Z</dcterms:created>
  <dcterms:modified xsi:type="dcterms:W3CDTF">2023-11-18T06:24:00Z</dcterms:modified>
</cp:coreProperties>
</file>