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0D7" w:rsidRPr="000410D7" w:rsidRDefault="000410D7" w:rsidP="000410D7">
      <w:pPr>
        <w:spacing w:line="480" w:lineRule="auto"/>
        <w:rPr>
          <w:rFonts w:eastAsia="等线"/>
          <w:b/>
          <w:color w:val="auto"/>
        </w:rPr>
      </w:pPr>
      <w:r w:rsidRPr="000410D7">
        <w:rPr>
          <w:rFonts w:eastAsia="等线"/>
          <w:b/>
          <w:bCs/>
          <w:color w:val="auto"/>
        </w:rPr>
        <w:t xml:space="preserve">Supplementary materials </w:t>
      </w:r>
      <w:r w:rsidRPr="000410D7">
        <w:rPr>
          <w:rFonts w:eastAsia="等线" w:hint="eastAsia"/>
          <w:b/>
          <w:bCs/>
          <w:color w:val="auto"/>
        </w:rPr>
        <w:t>c</w:t>
      </w:r>
      <w:r w:rsidRPr="000410D7">
        <w:rPr>
          <w:rFonts w:eastAsia="等线"/>
          <w:b/>
          <w:color w:val="auto"/>
        </w:rPr>
        <w:t>aptions:</w:t>
      </w:r>
    </w:p>
    <w:p w:rsidR="000410D7" w:rsidRDefault="000410D7" w:rsidP="000410D7">
      <w:pPr>
        <w:spacing w:line="480" w:lineRule="auto"/>
        <w:rPr>
          <w:sz w:val="20"/>
          <w:szCs w:val="20"/>
        </w:rPr>
      </w:pPr>
      <w:r w:rsidRPr="00334816">
        <w:rPr>
          <w:rFonts w:hint="eastAsia"/>
          <w:b/>
          <w:sz w:val="20"/>
          <w:szCs w:val="20"/>
        </w:rPr>
        <w:t>F</w:t>
      </w:r>
      <w:r w:rsidRPr="00334816">
        <w:rPr>
          <w:b/>
          <w:sz w:val="20"/>
          <w:szCs w:val="20"/>
        </w:rPr>
        <w:t>ig. S1</w:t>
      </w:r>
      <w:r w:rsidRPr="00334816">
        <w:rPr>
          <w:sz w:val="20"/>
          <w:szCs w:val="20"/>
        </w:rPr>
        <w:t xml:space="preserve"> The subsequent plant height and specific leaf area under the treatment of fungicide and biochar addition. Panels A-B compare the effects of fungicide and biochar addition (Y) and non-addition (N) on subsequent plant </w:t>
      </w:r>
      <w:r w:rsidRPr="00334816">
        <w:rPr>
          <w:rFonts w:hint="eastAsia"/>
          <w:sz w:val="20"/>
          <w:szCs w:val="20"/>
        </w:rPr>
        <w:t>height</w:t>
      </w:r>
      <w:r w:rsidRPr="00334816">
        <w:rPr>
          <w:sz w:val="20"/>
          <w:szCs w:val="20"/>
        </w:rPr>
        <w:t>. Panels C-D focus on specific leaf area.</w:t>
      </w:r>
    </w:p>
    <w:p w:rsidR="000410D7" w:rsidRDefault="000410D7" w:rsidP="000410D7">
      <w:pPr>
        <w:spacing w:line="480" w:lineRule="auto"/>
        <w:rPr>
          <w:sz w:val="20"/>
          <w:szCs w:val="20"/>
        </w:rPr>
      </w:pPr>
    </w:p>
    <w:p w:rsidR="000410D7" w:rsidRPr="00052663" w:rsidRDefault="000410D7" w:rsidP="000410D7">
      <w:pPr>
        <w:spacing w:line="480" w:lineRule="auto"/>
        <w:rPr>
          <w:sz w:val="20"/>
          <w:szCs w:val="20"/>
        </w:rPr>
      </w:pPr>
      <w:r w:rsidRPr="00052663">
        <w:rPr>
          <w:rFonts w:hint="eastAsia"/>
          <w:b/>
          <w:sz w:val="20"/>
          <w:szCs w:val="20"/>
        </w:rPr>
        <w:t>F</w:t>
      </w:r>
      <w:r w:rsidRPr="00052663">
        <w:rPr>
          <w:b/>
          <w:sz w:val="20"/>
          <w:szCs w:val="20"/>
        </w:rPr>
        <w:t xml:space="preserve">ig. </w:t>
      </w:r>
      <w:r w:rsidRPr="00052663">
        <w:rPr>
          <w:rFonts w:hint="eastAsia"/>
          <w:b/>
          <w:sz w:val="20"/>
          <w:szCs w:val="20"/>
        </w:rPr>
        <w:t>S2</w:t>
      </w:r>
      <w:r w:rsidRPr="00052663">
        <w:rPr>
          <w:sz w:val="20"/>
          <w:szCs w:val="20"/>
        </w:rPr>
        <w:t xml:space="preserve"> The response of functional fungi to the addition of biochar and fungicide. </w:t>
      </w:r>
      <w:r w:rsidRPr="008E3C6E">
        <w:rPr>
          <w:sz w:val="20"/>
          <w:szCs w:val="20"/>
        </w:rPr>
        <w:t xml:space="preserve">Panels A-B compare the effects of fungicide and biochar addition (Y) and non-addition (N) on </w:t>
      </w:r>
      <w:r>
        <w:rPr>
          <w:sz w:val="20"/>
          <w:szCs w:val="20"/>
        </w:rPr>
        <w:t>soil pathogens.</w:t>
      </w:r>
      <w:r w:rsidRPr="008E3C6E">
        <w:rPr>
          <w:sz w:val="20"/>
          <w:szCs w:val="20"/>
        </w:rPr>
        <w:t xml:space="preserve"> Panels C-D focus on </w:t>
      </w:r>
      <w:r>
        <w:rPr>
          <w:sz w:val="20"/>
          <w:szCs w:val="20"/>
        </w:rPr>
        <w:t>AMF</w:t>
      </w:r>
      <w:r w:rsidRPr="008E3C6E">
        <w:rPr>
          <w:sz w:val="20"/>
          <w:szCs w:val="20"/>
        </w:rPr>
        <w:t xml:space="preserve">, while panels E-F examine the </w:t>
      </w:r>
      <w:r>
        <w:rPr>
          <w:sz w:val="20"/>
          <w:szCs w:val="20"/>
        </w:rPr>
        <w:t>saprotroph</w:t>
      </w:r>
      <w:r w:rsidRPr="008E3C6E">
        <w:rPr>
          <w:sz w:val="20"/>
          <w:szCs w:val="20"/>
        </w:rPr>
        <w:t xml:space="preserve">. </w:t>
      </w:r>
      <w:r w:rsidRPr="00052663">
        <w:rPr>
          <w:sz w:val="20"/>
          <w:szCs w:val="20"/>
        </w:rPr>
        <w:t xml:space="preserve">* indicate statistical significance at </w:t>
      </w:r>
      <w:r w:rsidRPr="00052663">
        <w:rPr>
          <w:i/>
          <w:sz w:val="20"/>
          <w:szCs w:val="20"/>
        </w:rPr>
        <w:t>p</w:t>
      </w:r>
      <w:r w:rsidRPr="00052663">
        <w:rPr>
          <w:sz w:val="20"/>
          <w:szCs w:val="20"/>
        </w:rPr>
        <w:t>&lt;0.05.</w:t>
      </w:r>
    </w:p>
    <w:p w:rsidR="000410D7" w:rsidRPr="00334816" w:rsidRDefault="000410D7" w:rsidP="000410D7">
      <w:pPr>
        <w:spacing w:line="480" w:lineRule="auto"/>
        <w:rPr>
          <w:sz w:val="20"/>
          <w:szCs w:val="20"/>
        </w:rPr>
      </w:pPr>
    </w:p>
    <w:p w:rsidR="000410D7" w:rsidRPr="00AE47C7" w:rsidRDefault="000410D7" w:rsidP="000410D7">
      <w:pPr>
        <w:widowControl/>
        <w:spacing w:line="480" w:lineRule="auto"/>
        <w:jc w:val="left"/>
        <w:rPr>
          <w:sz w:val="20"/>
          <w:szCs w:val="20"/>
        </w:rPr>
      </w:pPr>
      <w:r w:rsidRPr="00AE47C7">
        <w:rPr>
          <w:rFonts w:hint="eastAsia"/>
          <w:b/>
          <w:sz w:val="20"/>
          <w:szCs w:val="20"/>
        </w:rPr>
        <w:t>F</w:t>
      </w:r>
      <w:r w:rsidRPr="00AE47C7">
        <w:rPr>
          <w:b/>
          <w:sz w:val="20"/>
          <w:szCs w:val="20"/>
        </w:rPr>
        <w:t xml:space="preserve">ig. S3 </w:t>
      </w:r>
      <w:r w:rsidRPr="00AE47C7">
        <w:rPr>
          <w:sz w:val="20"/>
          <w:szCs w:val="20"/>
        </w:rPr>
        <w:t xml:space="preserve">The </w:t>
      </w:r>
      <w:r w:rsidRPr="00AE47C7">
        <w:rPr>
          <w:rFonts w:hint="eastAsia"/>
          <w:sz w:val="20"/>
          <w:szCs w:val="20"/>
        </w:rPr>
        <w:t>pattern</w:t>
      </w:r>
      <w:r w:rsidRPr="00AE47C7">
        <w:rPr>
          <w:sz w:val="20"/>
          <w:szCs w:val="20"/>
        </w:rPr>
        <w:t xml:space="preserve"> of </w:t>
      </w:r>
      <w:r w:rsidRPr="00AE47C7">
        <w:rPr>
          <w:rFonts w:hint="eastAsia"/>
          <w:sz w:val="20"/>
          <w:szCs w:val="20"/>
        </w:rPr>
        <w:t>legacy</w:t>
      </w:r>
      <w:r w:rsidRPr="00AE47C7">
        <w:rPr>
          <w:sz w:val="20"/>
          <w:szCs w:val="20"/>
        </w:rPr>
        <w:t xml:space="preserve"> effects to the addition of biochar.</w:t>
      </w:r>
    </w:p>
    <w:p w:rsidR="000410D7" w:rsidRDefault="000410D7" w:rsidP="000410D7">
      <w:pPr>
        <w:spacing w:line="480" w:lineRule="auto"/>
      </w:pPr>
    </w:p>
    <w:p w:rsidR="000410D7" w:rsidRPr="00AE47C7" w:rsidRDefault="000410D7" w:rsidP="000410D7">
      <w:pPr>
        <w:spacing w:line="480" w:lineRule="auto"/>
        <w:rPr>
          <w:sz w:val="20"/>
          <w:szCs w:val="20"/>
        </w:rPr>
      </w:pPr>
      <w:r w:rsidRPr="00AE47C7">
        <w:rPr>
          <w:rFonts w:hint="eastAsia"/>
          <w:b/>
          <w:sz w:val="20"/>
          <w:szCs w:val="20"/>
        </w:rPr>
        <w:t>F</w:t>
      </w:r>
      <w:r w:rsidRPr="00AE47C7">
        <w:rPr>
          <w:b/>
          <w:sz w:val="20"/>
          <w:szCs w:val="20"/>
        </w:rPr>
        <w:t>ig. S4</w:t>
      </w:r>
      <w:r w:rsidRPr="00AE47C7">
        <w:rPr>
          <w:sz w:val="20"/>
          <w:szCs w:val="20"/>
        </w:rPr>
        <w:t xml:space="preserve"> The variation of competition between invasive plant and native plant after adding biochar and fungicide</w:t>
      </w:r>
      <w:r>
        <w:rPr>
          <w:sz w:val="20"/>
          <w:szCs w:val="20"/>
        </w:rPr>
        <w:t>.</w:t>
      </w:r>
    </w:p>
    <w:p w:rsidR="000410D7" w:rsidRPr="000410D7" w:rsidRDefault="000410D7" w:rsidP="00432C36"/>
    <w:p w:rsidR="000410D7" w:rsidRDefault="000410D7">
      <w:pPr>
        <w:widowControl/>
        <w:jc w:val="left"/>
      </w:pPr>
      <w:r>
        <w:br w:type="page"/>
      </w:r>
    </w:p>
    <w:p w:rsidR="00432C36" w:rsidRDefault="000410D7" w:rsidP="00432C36">
      <w:r w:rsidRPr="00334816">
        <w:rPr>
          <w:rFonts w:hint="eastAsia"/>
          <w:b/>
          <w:sz w:val="20"/>
          <w:szCs w:val="20"/>
        </w:rPr>
        <w:lastRenderedPageBreak/>
        <w:t>F</w:t>
      </w:r>
      <w:r w:rsidRPr="00334816">
        <w:rPr>
          <w:b/>
          <w:sz w:val="20"/>
          <w:szCs w:val="20"/>
        </w:rPr>
        <w:t>ig. S1</w:t>
      </w:r>
    </w:p>
    <w:p w:rsidR="000410D7" w:rsidRDefault="000410D7" w:rsidP="00432C36">
      <w:pPr>
        <w:rPr>
          <w:rFonts w:hint="eastAsia"/>
        </w:rPr>
      </w:pPr>
      <w:r w:rsidRPr="00A73938">
        <w:rPr>
          <w:noProof/>
        </w:rPr>
        <w:drawing>
          <wp:inline distT="0" distB="0" distL="0" distR="0" wp14:anchorId="295E4087" wp14:editId="1FDE503D">
            <wp:extent cx="5041265" cy="4114800"/>
            <wp:effectExtent l="0" t="0" r="6985" b="0"/>
            <wp:docPr id="1" name="图片 1" descr="E:\2023文章准备\生物碳配伍灭菌剂对入侵土壤的修复效果\data\jem_fig\株高_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2023文章准备\生物碳配伍灭菌剂对入侵土壤的修复效果\data\jem_fig\株高_S1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265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634A" w:rsidRDefault="0070634A">
      <w:pPr>
        <w:widowControl/>
        <w:jc w:val="left"/>
      </w:pPr>
      <w:r>
        <w:br w:type="page"/>
      </w:r>
    </w:p>
    <w:p w:rsidR="00432C36" w:rsidRDefault="000410D7" w:rsidP="00432C36">
      <w:r w:rsidRPr="00334816">
        <w:rPr>
          <w:rFonts w:hint="eastAsia"/>
          <w:b/>
          <w:sz w:val="20"/>
          <w:szCs w:val="20"/>
        </w:rPr>
        <w:lastRenderedPageBreak/>
        <w:t>F</w:t>
      </w:r>
      <w:r>
        <w:rPr>
          <w:b/>
          <w:sz w:val="20"/>
          <w:szCs w:val="20"/>
        </w:rPr>
        <w:t>ig. S2</w:t>
      </w:r>
    </w:p>
    <w:p w:rsidR="000410D7" w:rsidRDefault="000410D7" w:rsidP="00432C36">
      <w:pPr>
        <w:rPr>
          <w:rFonts w:hint="eastAsia"/>
        </w:rPr>
      </w:pPr>
      <w:r w:rsidRPr="0070634A">
        <w:rPr>
          <w:noProof/>
        </w:rPr>
        <w:drawing>
          <wp:inline distT="0" distB="0" distL="0" distR="0" wp14:anchorId="0DFB799C" wp14:editId="0375131E">
            <wp:extent cx="5041265" cy="5165725"/>
            <wp:effectExtent l="0" t="0" r="6985" b="0"/>
            <wp:docPr id="2" name="图片 2" descr="E:\2023文章准备\生物碳配伍灭菌剂对入侵土壤的修复效果\data\jem_fig\功能菌_Fig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23文章准备\生物碳配伍灭菌剂对入侵土壤的修复效果\data\jem_fig\功能菌_Fig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265" cy="516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E46" w:rsidRDefault="00AD0E46">
      <w:pPr>
        <w:widowControl/>
        <w:jc w:val="left"/>
      </w:pPr>
      <w:r>
        <w:br w:type="page"/>
      </w:r>
    </w:p>
    <w:p w:rsidR="00AD0E46" w:rsidRDefault="000410D7" w:rsidP="0070634A">
      <w:r w:rsidRPr="00334816">
        <w:rPr>
          <w:rFonts w:hint="eastAsia"/>
          <w:b/>
          <w:sz w:val="20"/>
          <w:szCs w:val="20"/>
        </w:rPr>
        <w:lastRenderedPageBreak/>
        <w:t>F</w:t>
      </w:r>
      <w:r>
        <w:rPr>
          <w:b/>
          <w:sz w:val="20"/>
          <w:szCs w:val="20"/>
        </w:rPr>
        <w:t>ig. S3</w:t>
      </w:r>
    </w:p>
    <w:p w:rsidR="000410D7" w:rsidRDefault="000410D7" w:rsidP="0070634A">
      <w:pPr>
        <w:rPr>
          <w:rFonts w:hint="eastAsia"/>
        </w:rPr>
      </w:pPr>
      <w:r w:rsidRPr="009027A3">
        <w:rPr>
          <w:noProof/>
        </w:rPr>
        <w:drawing>
          <wp:inline distT="0" distB="0" distL="0" distR="0" wp14:anchorId="1A1B5C32" wp14:editId="26AC99AC">
            <wp:extent cx="5274310" cy="3604260"/>
            <wp:effectExtent l="0" t="0" r="2540" b="0"/>
            <wp:docPr id="3" name="图片 3" descr="E:\2023文章准备\生物碳配伍灭菌剂对入侵土壤的修复效果\盆栽实验-宁辉\legacy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23文章准备\生物碳配伍灭菌剂对入侵土壤的修复效果\盆栽实验-宁辉\legacy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0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E46" w:rsidRDefault="00AD0E46">
      <w:pPr>
        <w:widowControl/>
        <w:jc w:val="left"/>
      </w:pPr>
      <w:r>
        <w:br w:type="page"/>
      </w:r>
    </w:p>
    <w:p w:rsidR="00AD0E46" w:rsidRDefault="000410D7" w:rsidP="00AD0E46">
      <w:pPr>
        <w:widowControl/>
        <w:jc w:val="left"/>
      </w:pPr>
      <w:r w:rsidRPr="00334816">
        <w:rPr>
          <w:rFonts w:hint="eastAsia"/>
          <w:b/>
          <w:sz w:val="20"/>
          <w:szCs w:val="20"/>
        </w:rPr>
        <w:lastRenderedPageBreak/>
        <w:t>F</w:t>
      </w:r>
      <w:r>
        <w:rPr>
          <w:b/>
          <w:sz w:val="20"/>
          <w:szCs w:val="20"/>
        </w:rPr>
        <w:t>ig. S4</w:t>
      </w:r>
      <w:bookmarkStart w:id="0" w:name="_GoBack"/>
      <w:bookmarkEnd w:id="0"/>
    </w:p>
    <w:p w:rsidR="000410D7" w:rsidRDefault="000410D7" w:rsidP="00AD0E46">
      <w:pPr>
        <w:widowControl/>
        <w:jc w:val="left"/>
        <w:rPr>
          <w:rFonts w:hint="eastAsia"/>
        </w:rPr>
      </w:pPr>
      <w:r w:rsidRPr="004F1C7D">
        <w:rPr>
          <w:noProof/>
        </w:rPr>
        <w:drawing>
          <wp:inline distT="0" distB="0" distL="0" distR="0" wp14:anchorId="44134338" wp14:editId="32068214">
            <wp:extent cx="5274310" cy="3018790"/>
            <wp:effectExtent l="0" t="0" r="2540" b="0"/>
            <wp:docPr id="4" name="图片 4" descr="E:\2023文章准备\生物碳配伍灭菌剂对入侵土壤的修复效果\竞争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2023文章准备\生物碳配伍灭菌剂对入侵土壤的修复效果\竞争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1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410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41B3" w:rsidRDefault="003D41B3" w:rsidP="00432C36">
      <w:r>
        <w:separator/>
      </w:r>
    </w:p>
  </w:endnote>
  <w:endnote w:type="continuationSeparator" w:id="0">
    <w:p w:rsidR="003D41B3" w:rsidRDefault="003D41B3" w:rsidP="00432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41B3" w:rsidRDefault="003D41B3" w:rsidP="00432C36">
      <w:r>
        <w:separator/>
      </w:r>
    </w:p>
  </w:footnote>
  <w:footnote w:type="continuationSeparator" w:id="0">
    <w:p w:rsidR="003D41B3" w:rsidRDefault="003D41B3" w:rsidP="00432C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098"/>
    <w:rsid w:val="000410D7"/>
    <w:rsid w:val="00052663"/>
    <w:rsid w:val="00334816"/>
    <w:rsid w:val="003D41B3"/>
    <w:rsid w:val="00432C36"/>
    <w:rsid w:val="00484029"/>
    <w:rsid w:val="0070634A"/>
    <w:rsid w:val="00773AAC"/>
    <w:rsid w:val="008E3C6E"/>
    <w:rsid w:val="00AC2700"/>
    <w:rsid w:val="00AD0E46"/>
    <w:rsid w:val="00AE47C7"/>
    <w:rsid w:val="00C51098"/>
    <w:rsid w:val="00FC0E0F"/>
    <w:rsid w:val="00FC7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7709FB"/>
  <w15:chartTrackingRefBased/>
  <w15:docId w15:val="{2D3AD389-D014-4C56-929F-96E1DEDA2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color w:val="000000" w:themeColor="text1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2C3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2C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32C3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32C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32C3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9B03AE-B9E1-4A56-91BD-3E4D81A76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李委涛</dc:creator>
  <cp:keywords/>
  <dc:description/>
  <cp:lastModifiedBy>李委涛</cp:lastModifiedBy>
  <cp:revision>9</cp:revision>
  <dcterms:created xsi:type="dcterms:W3CDTF">2023-10-11T02:05:00Z</dcterms:created>
  <dcterms:modified xsi:type="dcterms:W3CDTF">2023-11-05T02:47:00Z</dcterms:modified>
</cp:coreProperties>
</file>