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078192" w14:textId="7ED84C21" w:rsidR="00463996" w:rsidRDefault="00D028AC">
      <w:r w:rsidRPr="00D028AC">
        <w:drawing>
          <wp:inline distT="0" distB="0" distL="0" distR="0" wp14:anchorId="4AED7C6F" wp14:editId="3ACC59A8">
            <wp:extent cx="5943600" cy="3444875"/>
            <wp:effectExtent l="0" t="0" r="0" b="3175"/>
            <wp:docPr id="922612889" name="Picture 1" descr="A graph of a number of gray rectangular column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612889" name="Picture 1" descr="A graph of a number of gray rectangular columns&#10;&#10;Description automatically generated with medium confidence"/>
                    <pic:cNvPicPr/>
                  </pic:nvPicPr>
                  <pic:blipFill>
                    <a:blip r:embed="rId4"/>
                    <a:stretch>
                      <a:fillRect/>
                    </a:stretch>
                  </pic:blipFill>
                  <pic:spPr>
                    <a:xfrm>
                      <a:off x="0" y="0"/>
                      <a:ext cx="5943600" cy="3444875"/>
                    </a:xfrm>
                    <a:prstGeom prst="rect">
                      <a:avLst/>
                    </a:prstGeom>
                  </pic:spPr>
                </pic:pic>
              </a:graphicData>
            </a:graphic>
          </wp:inline>
        </w:drawing>
      </w:r>
    </w:p>
    <w:p w14:paraId="341854FA" w14:textId="77777777" w:rsidR="00D028AC" w:rsidRDefault="00D028AC"/>
    <w:p w14:paraId="617F515E" w14:textId="77777777" w:rsidR="00D028AC" w:rsidRPr="00F719DA" w:rsidRDefault="00D028AC" w:rsidP="00D028AC">
      <w:pPr>
        <w:spacing w:after="0" w:line="48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Supplementary Figure 1. Intra-experiment variance of T</w:t>
      </w:r>
      <w:r>
        <w:rPr>
          <w:rFonts w:ascii="Times New Roman" w:eastAsia="Times New Roman" w:hAnsi="Times New Roman" w:cs="Times New Roman"/>
          <w:b/>
          <w:sz w:val="20"/>
          <w:szCs w:val="20"/>
          <w:vertAlign w:val="subscript"/>
        </w:rPr>
        <w:t>0</w:t>
      </w:r>
      <w:r>
        <w:rPr>
          <w:rFonts w:ascii="Times New Roman" w:eastAsia="Times New Roman" w:hAnsi="Times New Roman" w:cs="Times New Roman"/>
          <w:b/>
          <w:sz w:val="20"/>
          <w:szCs w:val="20"/>
        </w:rPr>
        <w:t xml:space="preserve"> controls is consistent. </w:t>
      </w:r>
      <w:r>
        <w:rPr>
          <w:rFonts w:ascii="Times New Roman" w:eastAsia="Times New Roman" w:hAnsi="Times New Roman" w:cs="Times New Roman"/>
          <w:sz w:val="20"/>
          <w:szCs w:val="20"/>
        </w:rPr>
        <w:t>A summary of cell counts obtained in live targets gate of YT-rCTL/KFRET T</w:t>
      </w:r>
      <w:r>
        <w:rPr>
          <w:rFonts w:ascii="Times New Roman" w:eastAsia="Times New Roman" w:hAnsi="Times New Roman" w:cs="Times New Roman"/>
          <w:sz w:val="20"/>
          <w:szCs w:val="20"/>
          <w:vertAlign w:val="subscript"/>
        </w:rPr>
        <w:t>0</w:t>
      </w:r>
      <w:r>
        <w:rPr>
          <w:rFonts w:ascii="Times New Roman" w:eastAsia="Times New Roman" w:hAnsi="Times New Roman" w:cs="Times New Roman"/>
          <w:sz w:val="20"/>
          <w:szCs w:val="20"/>
        </w:rPr>
        <w:t xml:space="preserve"> controls illustrates variance between absolute counts in individual samples. While statistically significant differences were apparent between groups prepared for different experimental runs (</w:t>
      </w:r>
      <w:r w:rsidRPr="00A03A6E">
        <w:rPr>
          <w:rFonts w:ascii="Times New Roman" w:eastAsia="Times New Roman" w:hAnsi="Times New Roman" w:cs="Times New Roman"/>
          <w:i/>
          <w:iCs/>
          <w:sz w:val="20"/>
          <w:szCs w:val="20"/>
        </w:rPr>
        <w:t>e.g.</w:t>
      </w:r>
      <w:r>
        <w:rPr>
          <w:rFonts w:ascii="Times New Roman" w:eastAsia="Times New Roman" w:hAnsi="Times New Roman" w:cs="Times New Roman"/>
          <w:sz w:val="20"/>
          <w:szCs w:val="20"/>
        </w:rPr>
        <w:t>, on different days), samples prepared in the same experimental run (</w:t>
      </w:r>
      <w:proofErr w:type="gramStart"/>
      <w:r w:rsidRPr="00A03A6E">
        <w:rPr>
          <w:rFonts w:ascii="Times New Roman" w:eastAsia="Times New Roman" w:hAnsi="Times New Roman" w:cs="Times New Roman"/>
          <w:i/>
          <w:iCs/>
          <w:sz w:val="20"/>
          <w:szCs w:val="20"/>
        </w:rPr>
        <w:t>e.g.</w:t>
      </w:r>
      <w:proofErr w:type="gramEnd"/>
      <w:r>
        <w:rPr>
          <w:rFonts w:ascii="Times New Roman" w:eastAsia="Times New Roman" w:hAnsi="Times New Roman" w:cs="Times New Roman"/>
          <w:sz w:val="20"/>
          <w:szCs w:val="20"/>
        </w:rPr>
        <w:t xml:space="preserve"> on the same day) are found to be highly consistent, even when comparing T</w:t>
      </w:r>
      <w:r>
        <w:rPr>
          <w:rFonts w:ascii="Times New Roman" w:eastAsia="Times New Roman" w:hAnsi="Times New Roman" w:cs="Times New Roman"/>
          <w:sz w:val="20"/>
          <w:szCs w:val="20"/>
          <w:vertAlign w:val="subscript"/>
        </w:rPr>
        <w:t>0</w:t>
      </w:r>
      <w:r>
        <w:rPr>
          <w:rFonts w:ascii="Times New Roman" w:eastAsia="Times New Roman" w:hAnsi="Times New Roman" w:cs="Times New Roman"/>
          <w:sz w:val="20"/>
          <w:szCs w:val="20"/>
        </w:rPr>
        <w:t xml:space="preserve"> controls composed of differing cell lines. By Levene’s test, the variance between groups of samples prepared in different batches is found to be homogenous, indicating that the use of relative cell counting as a measure of cell dropout over co-culture duration is reliable when matched experimental and T</w:t>
      </w:r>
      <w:r>
        <w:rPr>
          <w:rFonts w:ascii="Times New Roman" w:eastAsia="Times New Roman" w:hAnsi="Times New Roman" w:cs="Times New Roman"/>
          <w:sz w:val="20"/>
          <w:szCs w:val="20"/>
          <w:vertAlign w:val="subscript"/>
        </w:rPr>
        <w:t>0</w:t>
      </w:r>
      <w:r>
        <w:rPr>
          <w:rFonts w:ascii="Times New Roman" w:eastAsia="Times New Roman" w:hAnsi="Times New Roman" w:cs="Times New Roman"/>
          <w:sz w:val="20"/>
          <w:szCs w:val="20"/>
        </w:rPr>
        <w:t xml:space="preserve"> samples are prepared in parallel.</w:t>
      </w:r>
    </w:p>
    <w:p w14:paraId="0EEE27F3" w14:textId="6C6176E9" w:rsidR="00D028AC" w:rsidRDefault="00D028AC">
      <w:r>
        <w:br w:type="page"/>
      </w:r>
    </w:p>
    <w:p w14:paraId="721BBAD5" w14:textId="7143F0A3" w:rsidR="00D028AC" w:rsidRDefault="00D028AC" w:rsidP="00D028AC">
      <w:pPr>
        <w:jc w:val="center"/>
      </w:pPr>
      <w:r w:rsidRPr="00D028AC">
        <w:lastRenderedPageBreak/>
        <w:drawing>
          <wp:inline distT="0" distB="0" distL="0" distR="0" wp14:anchorId="56739360" wp14:editId="1E15F53C">
            <wp:extent cx="4680875" cy="6153150"/>
            <wp:effectExtent l="0" t="0" r="5715" b="0"/>
            <wp:docPr id="441492009"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492009" name="Picture 1" descr="A screenshot of a graph&#10;&#10;Description automatically generated"/>
                    <pic:cNvPicPr/>
                  </pic:nvPicPr>
                  <pic:blipFill>
                    <a:blip r:embed="rId5"/>
                    <a:stretch>
                      <a:fillRect/>
                    </a:stretch>
                  </pic:blipFill>
                  <pic:spPr>
                    <a:xfrm>
                      <a:off x="0" y="0"/>
                      <a:ext cx="4685842" cy="6159680"/>
                    </a:xfrm>
                    <a:prstGeom prst="rect">
                      <a:avLst/>
                    </a:prstGeom>
                  </pic:spPr>
                </pic:pic>
              </a:graphicData>
            </a:graphic>
          </wp:inline>
        </w:drawing>
      </w:r>
    </w:p>
    <w:p w14:paraId="7A0FAFBB" w14:textId="77777777" w:rsidR="00D028AC" w:rsidRDefault="00D028AC" w:rsidP="00D028AC">
      <w:pPr>
        <w:jc w:val="center"/>
      </w:pPr>
    </w:p>
    <w:p w14:paraId="798847D5" w14:textId="77777777" w:rsidR="00D028AC" w:rsidRDefault="00D028AC" w:rsidP="00D028AC">
      <w:pPr>
        <w:spacing w:after="0" w:line="48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Supplementary Figure 2. CAR-mediated cytotoxicity is primarily triggered through the CD3ζ signaling domain. </w:t>
      </w:r>
      <w:r>
        <w:rPr>
          <w:rFonts w:ascii="Times New Roman" w:eastAsia="Times New Roman" w:hAnsi="Times New Roman" w:cs="Times New Roman"/>
          <w:sz w:val="20"/>
          <w:szCs w:val="20"/>
        </w:rPr>
        <w:t xml:space="preserve"> K562 cells modified to express FRET2 </w:t>
      </w:r>
      <w:proofErr w:type="gramStart"/>
      <w:r>
        <w:rPr>
          <w:rFonts w:ascii="Times New Roman" w:eastAsia="Times New Roman" w:hAnsi="Times New Roman" w:cs="Times New Roman"/>
          <w:sz w:val="20"/>
          <w:szCs w:val="20"/>
        </w:rPr>
        <w:t>reporter</w:t>
      </w:r>
      <w:proofErr w:type="gramEnd"/>
      <w:r>
        <w:rPr>
          <w:rFonts w:ascii="Times New Roman" w:eastAsia="Times New Roman" w:hAnsi="Times New Roman" w:cs="Times New Roman"/>
          <w:sz w:val="20"/>
          <w:szCs w:val="20"/>
        </w:rPr>
        <w:t xml:space="preserve"> and CD19 protein coding sequence were co-incubated with YT-Indy modified with either an FMC63-41BB-CD3ζ anti-CD19 CAR or a prematurely truncated FMC63-41BB anti-CD19 CAR (CD3ζ</w:t>
      </w:r>
      <w:r>
        <w:rPr>
          <w:rFonts w:ascii="Times New Roman" w:eastAsia="Times New Roman" w:hAnsi="Times New Roman" w:cs="Times New Roman"/>
          <w:sz w:val="20"/>
          <w:szCs w:val="20"/>
          <w:vertAlign w:val="superscript"/>
        </w:rPr>
        <w:t>neg</w:t>
      </w:r>
      <w:r>
        <w:rPr>
          <w:rFonts w:ascii="Times New Roman" w:eastAsia="Times New Roman" w:hAnsi="Times New Roman" w:cs="Times New Roman"/>
          <w:sz w:val="20"/>
          <w:szCs w:val="20"/>
        </w:rPr>
        <w:t xml:space="preserve">) at 1:1 </w:t>
      </w:r>
      <w:proofErr w:type="spellStart"/>
      <w:r>
        <w:rPr>
          <w:rFonts w:ascii="Times New Roman" w:eastAsia="Times New Roman" w:hAnsi="Times New Roman" w:cs="Times New Roman"/>
          <w:sz w:val="20"/>
          <w:szCs w:val="20"/>
        </w:rPr>
        <w:t>effector:target</w:t>
      </w:r>
      <w:proofErr w:type="spellEnd"/>
      <w:r>
        <w:rPr>
          <w:rFonts w:ascii="Times New Roman" w:eastAsia="Times New Roman" w:hAnsi="Times New Roman" w:cs="Times New Roman"/>
          <w:sz w:val="20"/>
          <w:szCs w:val="20"/>
        </w:rPr>
        <w:t xml:space="preserve"> ratios for 4 hours. </w:t>
      </w:r>
    </w:p>
    <w:p w14:paraId="5CB3D1E6" w14:textId="7C38AA11" w:rsidR="00D028AC" w:rsidRDefault="00D028AC">
      <w:r>
        <w:br w:type="page"/>
      </w:r>
    </w:p>
    <w:p w14:paraId="24E13966" w14:textId="6ED8C2C5" w:rsidR="00D028AC" w:rsidRDefault="00D028AC" w:rsidP="00D028AC">
      <w:pPr>
        <w:jc w:val="center"/>
      </w:pPr>
      <w:r w:rsidRPr="00D028AC">
        <w:lastRenderedPageBreak/>
        <w:drawing>
          <wp:inline distT="0" distB="0" distL="0" distR="0" wp14:anchorId="0CB4F309" wp14:editId="429EAD01">
            <wp:extent cx="6858000" cy="2971165"/>
            <wp:effectExtent l="0" t="0" r="0" b="635"/>
            <wp:docPr id="1572308899" name="Picture 1" descr="A close-up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308899" name="Picture 1" descr="A close-up of a graph&#10;&#10;Description automatically generated"/>
                    <pic:cNvPicPr/>
                  </pic:nvPicPr>
                  <pic:blipFill>
                    <a:blip r:embed="rId6"/>
                    <a:stretch>
                      <a:fillRect/>
                    </a:stretch>
                  </pic:blipFill>
                  <pic:spPr>
                    <a:xfrm>
                      <a:off x="0" y="0"/>
                      <a:ext cx="6858000" cy="2971165"/>
                    </a:xfrm>
                    <a:prstGeom prst="rect">
                      <a:avLst/>
                    </a:prstGeom>
                  </pic:spPr>
                </pic:pic>
              </a:graphicData>
            </a:graphic>
          </wp:inline>
        </w:drawing>
      </w:r>
    </w:p>
    <w:p w14:paraId="5B25F9C7" w14:textId="77777777" w:rsidR="00D028AC" w:rsidRDefault="00D028AC" w:rsidP="00D028AC">
      <w:pPr>
        <w:jc w:val="center"/>
      </w:pPr>
    </w:p>
    <w:p w14:paraId="1E3A4096" w14:textId="77777777" w:rsidR="00D028AC" w:rsidRDefault="00D028AC" w:rsidP="00D028AC">
      <w:pPr>
        <w:spacing w:after="0" w:line="48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Supplementary Figure 3. Lentiviral vector uptake is three orders of magnitude more efficient in YT-Indy cells than primary T cells. </w:t>
      </w:r>
      <w:r>
        <w:rPr>
          <w:rFonts w:ascii="Times New Roman" w:eastAsia="Times New Roman" w:hAnsi="Times New Roman" w:cs="Times New Roman"/>
          <w:sz w:val="20"/>
          <w:szCs w:val="20"/>
        </w:rPr>
        <w:t xml:space="preserve">TCR-2A-RFP encoding lentiviral vector was functionally </w:t>
      </w:r>
      <w:proofErr w:type="spellStart"/>
      <w:r>
        <w:rPr>
          <w:rFonts w:ascii="Times New Roman" w:eastAsia="Times New Roman" w:hAnsi="Times New Roman" w:cs="Times New Roman"/>
          <w:sz w:val="20"/>
          <w:szCs w:val="20"/>
        </w:rPr>
        <w:t>titered</w:t>
      </w:r>
      <w:proofErr w:type="spellEnd"/>
      <w:r>
        <w:rPr>
          <w:rFonts w:ascii="Times New Roman" w:eastAsia="Times New Roman" w:hAnsi="Times New Roman" w:cs="Times New Roman"/>
          <w:sz w:val="20"/>
          <w:szCs w:val="20"/>
        </w:rPr>
        <w:t xml:space="preserve"> over YT-Indy cells by adding increasing amounts of virus to a fixed number of cells in a fixed volume. The resulting fluorescence was measured by flow cytometry 72 hours later. The proportions of positive cells in each condition were fit to a Poisson probability mass function by nonlinear least squares regression to determine a functional titer of 4.55 x 10</w:t>
      </w:r>
      <w:r>
        <w:rPr>
          <w:rFonts w:ascii="Times New Roman" w:eastAsia="Times New Roman" w:hAnsi="Times New Roman" w:cs="Times New Roman"/>
          <w:sz w:val="20"/>
          <w:szCs w:val="20"/>
          <w:vertAlign w:val="superscript"/>
        </w:rPr>
        <w:t>5</w:t>
      </w:r>
      <w:r>
        <w:rPr>
          <w:rFonts w:ascii="Times New Roman" w:eastAsia="Times New Roman" w:hAnsi="Times New Roman" w:cs="Times New Roman"/>
          <w:sz w:val="20"/>
          <w:szCs w:val="20"/>
        </w:rPr>
        <w:t xml:space="preserve"> infectious units/</w:t>
      </w:r>
      <w:proofErr w:type="spellStart"/>
      <w:r>
        <w:rPr>
          <w:rFonts w:ascii="Times New Roman" w:eastAsia="Times New Roman" w:hAnsi="Times New Roman" w:cs="Times New Roman"/>
          <w:sz w:val="20"/>
          <w:szCs w:val="20"/>
        </w:rPr>
        <w:t>μL</w:t>
      </w:r>
      <w:proofErr w:type="spellEnd"/>
      <w:r>
        <w:rPr>
          <w:rFonts w:ascii="Times New Roman" w:eastAsia="Times New Roman" w:hAnsi="Times New Roman" w:cs="Times New Roman"/>
          <w:sz w:val="20"/>
          <w:szCs w:val="20"/>
        </w:rPr>
        <w:t xml:space="preserve"> against YT-Indy (a). The same virus was also applied to an activated and proliferating culture of human T cells. In this experiment 150 </w:t>
      </w:r>
      <w:proofErr w:type="spellStart"/>
      <w:r>
        <w:rPr>
          <w:rFonts w:ascii="Times New Roman" w:eastAsia="Times New Roman" w:hAnsi="Times New Roman" w:cs="Times New Roman"/>
          <w:sz w:val="20"/>
          <w:szCs w:val="20"/>
        </w:rPr>
        <w:t>μL</w:t>
      </w:r>
      <w:proofErr w:type="spellEnd"/>
      <w:r>
        <w:rPr>
          <w:rFonts w:ascii="Times New Roman" w:eastAsia="Times New Roman" w:hAnsi="Times New Roman" w:cs="Times New Roman"/>
          <w:sz w:val="20"/>
          <w:szCs w:val="20"/>
        </w:rPr>
        <w:t xml:space="preserve"> of viral vector was added to 5x10</w:t>
      </w:r>
      <w:r>
        <w:rPr>
          <w:rFonts w:ascii="Times New Roman" w:eastAsia="Times New Roman" w:hAnsi="Times New Roman" w:cs="Times New Roman"/>
          <w:sz w:val="20"/>
          <w:szCs w:val="20"/>
          <w:vertAlign w:val="superscript"/>
        </w:rPr>
        <w:t>5</w:t>
      </w:r>
      <w:r>
        <w:rPr>
          <w:rFonts w:ascii="Times New Roman" w:eastAsia="Times New Roman" w:hAnsi="Times New Roman" w:cs="Times New Roman"/>
          <w:sz w:val="20"/>
          <w:szCs w:val="20"/>
        </w:rPr>
        <w:t xml:space="preserve"> T cells to yield a transduction efficiency of 13.47% (b). Applying Poisson probability to this result and accounting for input cell and virus quantities, the same product had an effective functional titer of 483 infectious units/</w:t>
      </w:r>
      <w:proofErr w:type="spellStart"/>
      <w:r>
        <w:rPr>
          <w:rFonts w:ascii="Times New Roman" w:eastAsia="Times New Roman" w:hAnsi="Times New Roman" w:cs="Times New Roman"/>
          <w:sz w:val="20"/>
          <w:szCs w:val="20"/>
        </w:rPr>
        <w:t>μL</w:t>
      </w:r>
      <w:proofErr w:type="spellEnd"/>
      <w:r>
        <w:rPr>
          <w:rFonts w:ascii="Times New Roman" w:eastAsia="Times New Roman" w:hAnsi="Times New Roman" w:cs="Times New Roman"/>
          <w:sz w:val="20"/>
          <w:szCs w:val="20"/>
        </w:rPr>
        <w:t xml:space="preserve"> against T cells.</w:t>
      </w:r>
    </w:p>
    <w:p w14:paraId="2B5CB28B" w14:textId="3BCC75E9" w:rsidR="00D028AC" w:rsidRDefault="00D028AC">
      <w:r>
        <w:br w:type="page"/>
      </w:r>
    </w:p>
    <w:p w14:paraId="2DD4470F" w14:textId="601453F6" w:rsidR="00D028AC" w:rsidRDefault="00D028AC" w:rsidP="00D028AC">
      <w:pPr>
        <w:jc w:val="center"/>
      </w:pPr>
      <w:r w:rsidRPr="00D028AC">
        <w:lastRenderedPageBreak/>
        <w:drawing>
          <wp:inline distT="0" distB="0" distL="0" distR="0" wp14:anchorId="06E5F12B" wp14:editId="247AE353">
            <wp:extent cx="6858000" cy="3376930"/>
            <wp:effectExtent l="0" t="0" r="0" b="0"/>
            <wp:docPr id="25080283" name="Picture 1" descr="A graph of a person's bod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80283" name="Picture 1" descr="A graph of a person's body&#10;&#10;Description automatically generated with medium confidence"/>
                    <pic:cNvPicPr/>
                  </pic:nvPicPr>
                  <pic:blipFill>
                    <a:blip r:embed="rId7"/>
                    <a:stretch>
                      <a:fillRect/>
                    </a:stretch>
                  </pic:blipFill>
                  <pic:spPr>
                    <a:xfrm>
                      <a:off x="0" y="0"/>
                      <a:ext cx="6858000" cy="3376930"/>
                    </a:xfrm>
                    <a:prstGeom prst="rect">
                      <a:avLst/>
                    </a:prstGeom>
                  </pic:spPr>
                </pic:pic>
              </a:graphicData>
            </a:graphic>
          </wp:inline>
        </w:drawing>
      </w:r>
    </w:p>
    <w:p w14:paraId="571CED83" w14:textId="77777777" w:rsidR="00D028AC" w:rsidRDefault="00D028AC" w:rsidP="00D028AC">
      <w:pPr>
        <w:jc w:val="center"/>
      </w:pPr>
    </w:p>
    <w:p w14:paraId="2BF2DDAA" w14:textId="77777777" w:rsidR="00D028AC" w:rsidRDefault="00D028AC" w:rsidP="00D028AC">
      <w:pPr>
        <w:spacing w:after="0" w:line="48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Supplementary Figure 4. Robust recombinant expression of MHC molecules on K562 cells following transduction of HLA allele coding sequences. </w:t>
      </w:r>
      <w:r>
        <w:rPr>
          <w:rFonts w:ascii="Times New Roman" w:eastAsia="Times New Roman" w:hAnsi="Times New Roman" w:cs="Times New Roman"/>
          <w:sz w:val="20"/>
          <w:szCs w:val="20"/>
        </w:rPr>
        <w:t xml:space="preserve">K562 cells transduced with lentivirus at an MOI of 1 KIU/cell encoding either HLA-A*01:01 or HLA-C*14:03 allele coding sequences were purity-sorted by FACS to isolate RFP and surface MHC-expressing cells. Recovered cell lines were characterized with respect to surface expression level, as measured by MFI from staining and flow cytometry using pan-MHC antibody, relative to primary human PBMC positive control.  </w:t>
      </w:r>
    </w:p>
    <w:p w14:paraId="40E4FE0C" w14:textId="1F2E8B4A" w:rsidR="00D028AC" w:rsidRDefault="00D028AC">
      <w:r>
        <w:br w:type="page"/>
      </w:r>
    </w:p>
    <w:p w14:paraId="57A26921" w14:textId="5465F558" w:rsidR="00D028AC" w:rsidRDefault="00D028AC" w:rsidP="00D028AC">
      <w:pPr>
        <w:jc w:val="center"/>
      </w:pPr>
      <w:r w:rsidRPr="00D028AC">
        <w:lastRenderedPageBreak/>
        <w:drawing>
          <wp:inline distT="0" distB="0" distL="0" distR="0" wp14:anchorId="66821093" wp14:editId="4A99321B">
            <wp:extent cx="6858000" cy="1476375"/>
            <wp:effectExtent l="0" t="0" r="0" b="9525"/>
            <wp:docPr id="1519629563" name="Picture 1" descr="A diagram of a blue and yellow do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629563" name="Picture 1" descr="A diagram of a blue and yellow dot&#10;&#10;Description automatically generated with medium confidence"/>
                    <pic:cNvPicPr/>
                  </pic:nvPicPr>
                  <pic:blipFill>
                    <a:blip r:embed="rId8"/>
                    <a:stretch>
                      <a:fillRect/>
                    </a:stretch>
                  </pic:blipFill>
                  <pic:spPr>
                    <a:xfrm>
                      <a:off x="0" y="0"/>
                      <a:ext cx="6858000" cy="1476375"/>
                    </a:xfrm>
                    <a:prstGeom prst="rect">
                      <a:avLst/>
                    </a:prstGeom>
                  </pic:spPr>
                </pic:pic>
              </a:graphicData>
            </a:graphic>
          </wp:inline>
        </w:drawing>
      </w:r>
    </w:p>
    <w:p w14:paraId="7A76D699" w14:textId="77777777" w:rsidR="00D028AC" w:rsidRDefault="00D028AC" w:rsidP="00D028AC">
      <w:pPr>
        <w:jc w:val="center"/>
      </w:pPr>
    </w:p>
    <w:p w14:paraId="02B9A3B8" w14:textId="77777777" w:rsidR="00D028AC" w:rsidRDefault="00D028AC" w:rsidP="00D028AC">
      <w:pPr>
        <w:spacing w:after="0" w:line="48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Supplementary Figure 5. Representative gating strategy for FRET-shift flow cytometry in YT-rCTL/KFRET experiments. </w:t>
      </w:r>
      <w:r>
        <w:rPr>
          <w:rFonts w:ascii="Times New Roman" w:eastAsia="Times New Roman" w:hAnsi="Times New Roman" w:cs="Times New Roman"/>
          <w:sz w:val="20"/>
          <w:szCs w:val="20"/>
        </w:rPr>
        <w:t>A common flow cytometry template was employed to facilitate endpoint measurements of all YT-rCTL/KFRET format TCR/pMHC functional assays shown in Main Figures 3, 4, and 5, and Supplementary Figures 5, 6, 7, 8, and 9. Intact, single cells are first selected using sequential forward- and side-scatter gates. Viable cells are then selected by gating on cells negative for DRAQ7 vital staining dye and positive for RFP living color. Effector and target cells are separated by CD8-BV785</w:t>
      </w:r>
      <w:r>
        <w:rPr>
          <w:rFonts w:ascii="Times New Roman" w:eastAsia="Times New Roman" w:hAnsi="Times New Roman" w:cs="Times New Roman"/>
          <w:sz w:val="20"/>
          <w:szCs w:val="20"/>
          <w:vertAlign w:val="superscript"/>
        </w:rPr>
        <w:t xml:space="preserve"> </w:t>
      </w:r>
      <w:r>
        <w:rPr>
          <w:rFonts w:ascii="Times New Roman" w:eastAsia="Times New Roman" w:hAnsi="Times New Roman" w:cs="Times New Roman"/>
          <w:sz w:val="20"/>
          <w:szCs w:val="20"/>
        </w:rPr>
        <w:t>and EYFP expression. Unshifted and Shifted gates are drawn by adjusting gate boundaries to keep background FRET-shift in T</w:t>
      </w:r>
      <w:r>
        <w:rPr>
          <w:rFonts w:ascii="Times New Roman" w:eastAsia="Times New Roman" w:hAnsi="Times New Roman" w:cs="Times New Roman"/>
          <w:sz w:val="20"/>
          <w:szCs w:val="20"/>
          <w:vertAlign w:val="subscript"/>
        </w:rPr>
        <w:t xml:space="preserve">0 </w:t>
      </w:r>
      <w:r>
        <w:rPr>
          <w:rFonts w:ascii="Times New Roman" w:eastAsia="Times New Roman" w:hAnsi="Times New Roman" w:cs="Times New Roman"/>
          <w:sz w:val="20"/>
          <w:szCs w:val="20"/>
        </w:rPr>
        <w:t>or targets-only control samples to &lt;1%.</w:t>
      </w:r>
    </w:p>
    <w:p w14:paraId="3F6E3A26" w14:textId="26CA6A24" w:rsidR="00D028AC" w:rsidRDefault="00D028AC">
      <w:r>
        <w:br w:type="page"/>
      </w:r>
    </w:p>
    <w:p w14:paraId="3E56A592" w14:textId="236C1B68" w:rsidR="00D028AC" w:rsidRDefault="00D028AC" w:rsidP="00D028AC">
      <w:pPr>
        <w:jc w:val="center"/>
      </w:pPr>
      <w:r w:rsidRPr="00D028AC">
        <w:lastRenderedPageBreak/>
        <w:drawing>
          <wp:inline distT="0" distB="0" distL="0" distR="0" wp14:anchorId="056419D6" wp14:editId="31461512">
            <wp:extent cx="6858000" cy="4545965"/>
            <wp:effectExtent l="0" t="0" r="0" b="6985"/>
            <wp:docPr id="126728580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285805" name="Picture 1" descr="A screenshot of a computer&#10;&#10;Description automatically generated"/>
                    <pic:cNvPicPr/>
                  </pic:nvPicPr>
                  <pic:blipFill>
                    <a:blip r:embed="rId9"/>
                    <a:stretch>
                      <a:fillRect/>
                    </a:stretch>
                  </pic:blipFill>
                  <pic:spPr>
                    <a:xfrm>
                      <a:off x="0" y="0"/>
                      <a:ext cx="6858000" cy="4545965"/>
                    </a:xfrm>
                    <a:prstGeom prst="rect">
                      <a:avLst/>
                    </a:prstGeom>
                  </pic:spPr>
                </pic:pic>
              </a:graphicData>
            </a:graphic>
          </wp:inline>
        </w:drawing>
      </w:r>
    </w:p>
    <w:p w14:paraId="5A65DF46" w14:textId="77777777" w:rsidR="00D028AC" w:rsidRDefault="00D028AC" w:rsidP="00D028AC">
      <w:pPr>
        <w:jc w:val="center"/>
      </w:pPr>
    </w:p>
    <w:p w14:paraId="19BA4F95" w14:textId="77777777" w:rsidR="00D028AC" w:rsidRDefault="00D028AC" w:rsidP="00D028AC">
      <w:pPr>
        <w:spacing w:after="0" w:line="48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Supplementary Figure 6. Successful excision of endogenous MAGEA3 epitope of EB81.103 TCR from KFRET.A0101 cells. </w:t>
      </w:r>
      <w:r>
        <w:rPr>
          <w:rFonts w:ascii="Times New Roman" w:eastAsia="Times New Roman" w:hAnsi="Times New Roman" w:cs="Times New Roman"/>
          <w:sz w:val="20"/>
          <w:szCs w:val="20"/>
        </w:rPr>
        <w:t>Upon electroporation with epitope-flanking sgRNAs in complex with Cas9 protein, KFRET.A0101 cells were single-cell sorted to yield 384 founder clones for selection. Colonies with successful outgrowth were individually checked for sustained RFP and FRET expression by flow cytometry. Phenotypically selected cell lines were then genotyped by PCR amplification and Sanger sequencing of the genomic region around the edited locus. (a) The clone ultimately selected for further study (2B10) showed an unambiguous deletion of the desired site in Sanger trace. The presence of multiple traces downstream of the edited site indicates that multiple distinct successful edits were made. Since K562 has maintained X-chromosome ploidy of 2, ablation of the MAGEA3 epitope was assumed to be complete. (b) The selected 2B10 clone was transduced with MAGEA3</w:t>
      </w:r>
      <w:r>
        <w:rPr>
          <w:rFonts w:ascii="Times New Roman" w:eastAsia="Times New Roman" w:hAnsi="Times New Roman" w:cs="Times New Roman"/>
          <w:sz w:val="20"/>
          <w:szCs w:val="20"/>
          <w:vertAlign w:val="superscript"/>
        </w:rPr>
        <w:t>143-202</w:t>
      </w:r>
      <w:r>
        <w:rPr>
          <w:rFonts w:ascii="Times New Roman" w:eastAsia="Times New Roman" w:hAnsi="Times New Roman" w:cs="Times New Roman"/>
          <w:sz w:val="20"/>
          <w:szCs w:val="20"/>
        </w:rPr>
        <w:t xml:space="preserve"> minigene to restore the deleted epitope. A rescue experiment in which primary EB81.103 TCR-T cells were co-cultured with either KFRET.A0101(2B10) or KFRET.A0101(2B10</w:t>
      </w:r>
      <w:proofErr w:type="gramStart"/>
      <w:r>
        <w:rPr>
          <w:rFonts w:ascii="Times New Roman" w:eastAsia="Times New Roman" w:hAnsi="Times New Roman" w:cs="Times New Roman"/>
          <w:sz w:val="20"/>
          <w:szCs w:val="20"/>
        </w:rPr>
        <w:t>).MAGEA</w:t>
      </w:r>
      <w:proofErr w:type="gramEnd"/>
      <w:r>
        <w:rPr>
          <w:rFonts w:ascii="Times New Roman" w:eastAsia="Times New Roman" w:hAnsi="Times New Roman" w:cs="Times New Roman"/>
          <w:sz w:val="20"/>
          <w:szCs w:val="20"/>
        </w:rPr>
        <w:t>3</w:t>
      </w:r>
      <w:r>
        <w:rPr>
          <w:rFonts w:ascii="Times New Roman" w:eastAsia="Times New Roman" w:hAnsi="Times New Roman" w:cs="Times New Roman"/>
          <w:sz w:val="20"/>
          <w:szCs w:val="20"/>
          <w:vertAlign w:val="superscript"/>
        </w:rPr>
        <w:t>143-202</w:t>
      </w:r>
      <w:r>
        <w:rPr>
          <w:rFonts w:ascii="Times New Roman" w:eastAsia="Times New Roman" w:hAnsi="Times New Roman" w:cs="Times New Roman"/>
          <w:sz w:val="20"/>
          <w:szCs w:val="20"/>
        </w:rPr>
        <w:t xml:space="preserve"> at 1.5:1 </w:t>
      </w:r>
      <w:proofErr w:type="spellStart"/>
      <w:r>
        <w:rPr>
          <w:rFonts w:ascii="Times New Roman" w:eastAsia="Times New Roman" w:hAnsi="Times New Roman" w:cs="Times New Roman"/>
          <w:sz w:val="20"/>
          <w:szCs w:val="20"/>
        </w:rPr>
        <w:t>effector:target</w:t>
      </w:r>
      <w:proofErr w:type="spellEnd"/>
      <w:r>
        <w:rPr>
          <w:rFonts w:ascii="Times New Roman" w:eastAsia="Times New Roman" w:hAnsi="Times New Roman" w:cs="Times New Roman"/>
          <w:sz w:val="20"/>
          <w:szCs w:val="20"/>
        </w:rPr>
        <w:t xml:space="preserve"> ratio (to account for ~60% TCR transduction efficiency in T cells) for 12 hours demonstrates deletion of endogenous MAGEA3 epitope and maintained function of the HLA-A*01:01 and GZMB FRET-reporter transgenes in the 2B10 clone.</w:t>
      </w:r>
    </w:p>
    <w:p w14:paraId="55FB034C" w14:textId="46D59D42" w:rsidR="00D028AC" w:rsidRDefault="00D028AC">
      <w:r>
        <w:br w:type="page"/>
      </w:r>
    </w:p>
    <w:p w14:paraId="0BFEBE6D" w14:textId="7FD55429" w:rsidR="00D028AC" w:rsidRDefault="00D028AC" w:rsidP="00D028AC">
      <w:pPr>
        <w:jc w:val="center"/>
      </w:pPr>
      <w:r w:rsidRPr="00D028AC">
        <w:lastRenderedPageBreak/>
        <w:drawing>
          <wp:inline distT="0" distB="0" distL="0" distR="0" wp14:anchorId="360A9C83" wp14:editId="3A706565">
            <wp:extent cx="6858000" cy="5814695"/>
            <wp:effectExtent l="0" t="0" r="0" b="0"/>
            <wp:docPr id="81621788"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21788" name="Picture 1" descr="A screenshot of a graph&#10;&#10;Description automatically generated"/>
                    <pic:cNvPicPr/>
                  </pic:nvPicPr>
                  <pic:blipFill>
                    <a:blip r:embed="rId10"/>
                    <a:stretch>
                      <a:fillRect/>
                    </a:stretch>
                  </pic:blipFill>
                  <pic:spPr>
                    <a:xfrm>
                      <a:off x="0" y="0"/>
                      <a:ext cx="6858000" cy="5814695"/>
                    </a:xfrm>
                    <a:prstGeom prst="rect">
                      <a:avLst/>
                    </a:prstGeom>
                  </pic:spPr>
                </pic:pic>
              </a:graphicData>
            </a:graphic>
          </wp:inline>
        </w:drawing>
      </w:r>
    </w:p>
    <w:p w14:paraId="5B9CAB3A" w14:textId="77777777" w:rsidR="00896DF8" w:rsidRDefault="00896DF8" w:rsidP="00896DF8">
      <w:pPr>
        <w:spacing w:after="0" w:line="480" w:lineRule="auto"/>
        <w:rPr>
          <w:rFonts w:ascii="Times New Roman" w:eastAsia="Times New Roman" w:hAnsi="Times New Roman" w:cs="Times New Roman"/>
          <w:b/>
          <w:sz w:val="20"/>
          <w:szCs w:val="20"/>
        </w:rPr>
      </w:pPr>
    </w:p>
    <w:p w14:paraId="787D0D11" w14:textId="706B3351" w:rsidR="00896DF8" w:rsidRDefault="00896DF8" w:rsidP="00896DF8">
      <w:pPr>
        <w:spacing w:after="0" w:line="48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Supplementary Figure 7. The a3a variant of EB81.103 results in a larger percent FRET-shift signal than wild-type. </w:t>
      </w:r>
      <w:r>
        <w:rPr>
          <w:rFonts w:ascii="Times New Roman" w:eastAsia="Times New Roman" w:hAnsi="Times New Roman" w:cs="Times New Roman"/>
          <w:sz w:val="20"/>
          <w:szCs w:val="20"/>
        </w:rPr>
        <w:t>KFRET.A0101(2B10) and KFRET.A0101(2B10</w:t>
      </w:r>
      <w:proofErr w:type="gramStart"/>
      <w:r>
        <w:rPr>
          <w:rFonts w:ascii="Times New Roman" w:eastAsia="Times New Roman" w:hAnsi="Times New Roman" w:cs="Times New Roman"/>
          <w:sz w:val="20"/>
          <w:szCs w:val="20"/>
        </w:rPr>
        <w:t>).MAGEA</w:t>
      </w:r>
      <w:proofErr w:type="gramEnd"/>
      <w:r>
        <w:rPr>
          <w:rFonts w:ascii="Times New Roman" w:eastAsia="Times New Roman" w:hAnsi="Times New Roman" w:cs="Times New Roman"/>
          <w:sz w:val="20"/>
          <w:szCs w:val="20"/>
        </w:rPr>
        <w:t>3</w:t>
      </w:r>
      <w:r>
        <w:rPr>
          <w:rFonts w:ascii="Times New Roman" w:eastAsia="Times New Roman" w:hAnsi="Times New Roman" w:cs="Times New Roman"/>
          <w:sz w:val="20"/>
          <w:szCs w:val="20"/>
          <w:vertAlign w:val="superscript"/>
        </w:rPr>
        <w:t>143-202</w:t>
      </w:r>
      <w:r>
        <w:rPr>
          <w:rFonts w:ascii="Times New Roman" w:eastAsia="Times New Roman" w:hAnsi="Times New Roman" w:cs="Times New Roman"/>
          <w:sz w:val="20"/>
          <w:szCs w:val="20"/>
        </w:rPr>
        <w:t xml:space="preserve"> target cells were co-cultured with either YT-rCTL.a3a or primary cytotoxic T cells freshly isolated by FACS purification CD8</w:t>
      </w:r>
      <w:r>
        <w:rPr>
          <w:rFonts w:ascii="Times New Roman" w:eastAsia="Times New Roman" w:hAnsi="Times New Roman" w:cs="Times New Roman"/>
          <w:sz w:val="20"/>
          <w:szCs w:val="20"/>
          <w:vertAlign w:val="superscript"/>
        </w:rPr>
        <w:t>+</w:t>
      </w:r>
      <w:r>
        <w:rPr>
          <w:rFonts w:ascii="Times New Roman" w:eastAsia="Times New Roman" w:hAnsi="Times New Roman" w:cs="Times New Roman"/>
          <w:sz w:val="20"/>
          <w:szCs w:val="20"/>
        </w:rPr>
        <w:t xml:space="preserve"> CD4</w:t>
      </w:r>
      <w:r>
        <w:rPr>
          <w:rFonts w:ascii="Times New Roman" w:eastAsia="Times New Roman" w:hAnsi="Times New Roman" w:cs="Times New Roman"/>
          <w:sz w:val="20"/>
          <w:szCs w:val="20"/>
          <w:vertAlign w:val="superscript"/>
        </w:rPr>
        <w:t>-</w:t>
      </w:r>
      <w:r>
        <w:rPr>
          <w:rFonts w:ascii="Times New Roman" w:eastAsia="Times New Roman" w:hAnsi="Times New Roman" w:cs="Times New Roman"/>
          <w:sz w:val="20"/>
          <w:szCs w:val="20"/>
        </w:rPr>
        <w:t xml:space="preserve"> CD56</w:t>
      </w:r>
      <w:r>
        <w:rPr>
          <w:rFonts w:ascii="Times New Roman" w:eastAsia="Times New Roman" w:hAnsi="Times New Roman" w:cs="Times New Roman"/>
          <w:sz w:val="20"/>
          <w:szCs w:val="20"/>
          <w:vertAlign w:val="superscript"/>
        </w:rPr>
        <w:t>-</w:t>
      </w:r>
      <w:r>
        <w:rPr>
          <w:rFonts w:ascii="Times New Roman" w:eastAsia="Times New Roman" w:hAnsi="Times New Roman" w:cs="Times New Roman"/>
          <w:sz w:val="20"/>
          <w:szCs w:val="20"/>
        </w:rPr>
        <w:t xml:space="preserve"> T cells from healthy donor PBMC, activated by plate-bound anti-CD3/28 stimulation, and transduced with a3a TCR lentivirus. YT-rCTL.a3a were co-cultured with targets at a 1:1 </w:t>
      </w:r>
      <w:proofErr w:type="spellStart"/>
      <w:r>
        <w:rPr>
          <w:rFonts w:ascii="Times New Roman" w:eastAsia="Times New Roman" w:hAnsi="Times New Roman" w:cs="Times New Roman"/>
          <w:sz w:val="20"/>
          <w:szCs w:val="20"/>
        </w:rPr>
        <w:t>effector:target</w:t>
      </w:r>
      <w:proofErr w:type="spellEnd"/>
      <w:r>
        <w:rPr>
          <w:rFonts w:ascii="Times New Roman" w:eastAsia="Times New Roman" w:hAnsi="Times New Roman" w:cs="Times New Roman"/>
          <w:sz w:val="20"/>
          <w:szCs w:val="20"/>
        </w:rPr>
        <w:t xml:space="preserve"> ratio for 12 hours. Primary a3a TCR-T cells were co-cultured at a 1.5:1 ratio (to compensate for 68% TCR transduction efficiency) for 12 hours.</w:t>
      </w:r>
    </w:p>
    <w:p w14:paraId="4ED5BB3E" w14:textId="2461B334" w:rsidR="00896DF8" w:rsidRDefault="00896DF8">
      <w:r>
        <w:br w:type="page"/>
      </w:r>
    </w:p>
    <w:p w14:paraId="53249147" w14:textId="5D94C0C1" w:rsidR="00896DF8" w:rsidRDefault="00896DF8" w:rsidP="00D028AC">
      <w:pPr>
        <w:jc w:val="center"/>
      </w:pPr>
      <w:r w:rsidRPr="00896DF8">
        <w:lastRenderedPageBreak/>
        <w:drawing>
          <wp:inline distT="0" distB="0" distL="0" distR="0" wp14:anchorId="2EB39C6F" wp14:editId="58C63999">
            <wp:extent cx="6858000" cy="4723130"/>
            <wp:effectExtent l="0" t="0" r="0" b="1270"/>
            <wp:docPr id="82627602" name="Picture 1" descr="A diagram of a triangle and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27602" name="Picture 1" descr="A diagram of a triangle and a graph&#10;&#10;Description automatically generated"/>
                    <pic:cNvPicPr/>
                  </pic:nvPicPr>
                  <pic:blipFill>
                    <a:blip r:embed="rId11"/>
                    <a:stretch>
                      <a:fillRect/>
                    </a:stretch>
                  </pic:blipFill>
                  <pic:spPr>
                    <a:xfrm>
                      <a:off x="0" y="0"/>
                      <a:ext cx="6858000" cy="4723130"/>
                    </a:xfrm>
                    <a:prstGeom prst="rect">
                      <a:avLst/>
                    </a:prstGeom>
                  </pic:spPr>
                </pic:pic>
              </a:graphicData>
            </a:graphic>
          </wp:inline>
        </w:drawing>
      </w:r>
    </w:p>
    <w:p w14:paraId="1E822CCB" w14:textId="77777777" w:rsidR="00896DF8" w:rsidRDefault="00896DF8" w:rsidP="00D028AC">
      <w:pPr>
        <w:jc w:val="center"/>
      </w:pPr>
    </w:p>
    <w:p w14:paraId="05646099" w14:textId="77777777" w:rsidR="00896DF8" w:rsidRDefault="00896DF8" w:rsidP="00896DF8">
      <w:pPr>
        <w:spacing w:after="0" w:line="48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Supplementary Figure 8. Outgrowth of FRET-shifted cells after their recovery by FACS.</w:t>
      </w:r>
      <w:r>
        <w:rPr>
          <w:rFonts w:ascii="Times New Roman" w:eastAsia="Times New Roman" w:hAnsi="Times New Roman" w:cs="Times New Roman"/>
          <w:sz w:val="20"/>
          <w:szCs w:val="20"/>
        </w:rPr>
        <w:t xml:space="preserve"> YT-rCTL.a3a and KFRET.A0101.MAGEA3</w:t>
      </w:r>
      <w:r>
        <w:rPr>
          <w:rFonts w:ascii="Times New Roman" w:eastAsia="Times New Roman" w:hAnsi="Times New Roman" w:cs="Times New Roman"/>
          <w:sz w:val="20"/>
          <w:szCs w:val="20"/>
          <w:vertAlign w:val="superscript"/>
        </w:rPr>
        <w:t>164-179</w:t>
      </w:r>
      <w:r>
        <w:rPr>
          <w:rFonts w:ascii="Times New Roman" w:eastAsia="Times New Roman" w:hAnsi="Times New Roman" w:cs="Times New Roman"/>
          <w:sz w:val="20"/>
          <w:szCs w:val="20"/>
        </w:rPr>
        <w:t xml:space="preserve"> peptide were co-cultured at a 1:1 </w:t>
      </w:r>
      <w:proofErr w:type="spellStart"/>
      <w:r>
        <w:rPr>
          <w:rFonts w:ascii="Times New Roman" w:eastAsia="Times New Roman" w:hAnsi="Times New Roman" w:cs="Times New Roman"/>
          <w:sz w:val="20"/>
          <w:szCs w:val="20"/>
        </w:rPr>
        <w:t>effector:target</w:t>
      </w:r>
      <w:proofErr w:type="spellEnd"/>
      <w:r>
        <w:rPr>
          <w:rFonts w:ascii="Times New Roman" w:eastAsia="Times New Roman" w:hAnsi="Times New Roman" w:cs="Times New Roman"/>
          <w:sz w:val="20"/>
          <w:szCs w:val="20"/>
        </w:rPr>
        <w:t xml:space="preserve"> ratio for 12 hours. Target </w:t>
      </w:r>
      <w:proofErr w:type="spellStart"/>
      <w:r>
        <w:rPr>
          <w:rFonts w:ascii="Times New Roman" w:eastAsia="Times New Roman" w:hAnsi="Times New Roman" w:cs="Times New Roman"/>
          <w:sz w:val="20"/>
          <w:szCs w:val="20"/>
        </w:rPr>
        <w:t>sAPC</w:t>
      </w:r>
      <w:proofErr w:type="spellEnd"/>
      <w:r>
        <w:rPr>
          <w:rFonts w:ascii="Times New Roman" w:eastAsia="Times New Roman" w:hAnsi="Times New Roman" w:cs="Times New Roman"/>
          <w:sz w:val="20"/>
          <w:szCs w:val="20"/>
        </w:rPr>
        <w:t xml:space="preserve"> cells undergoing FRET-shift were isolated by FACS. Recovered cells were immediately assessed for purity by flow cytometry and were determined to be 100% free of any contaminating effector cells (a) or contaminating non-FRET-shifted target cells (b). Recovered FRET-shifted cells (3.25 x 10</w:t>
      </w:r>
      <w:r>
        <w:rPr>
          <w:rFonts w:ascii="Times New Roman" w:eastAsia="Times New Roman" w:hAnsi="Times New Roman" w:cs="Times New Roman"/>
          <w:sz w:val="20"/>
          <w:szCs w:val="20"/>
          <w:vertAlign w:val="superscript"/>
        </w:rPr>
        <w:t>5</w:t>
      </w:r>
      <w:r>
        <w:rPr>
          <w:rFonts w:ascii="Times New Roman" w:eastAsia="Times New Roman" w:hAnsi="Times New Roman" w:cs="Times New Roman"/>
          <w:sz w:val="20"/>
          <w:szCs w:val="20"/>
        </w:rPr>
        <w:t xml:space="preserve"> total) were placed into fresh culture media and counted at regular intervals using an automated </w:t>
      </w:r>
      <w:proofErr w:type="gramStart"/>
      <w:r>
        <w:rPr>
          <w:rFonts w:ascii="Times New Roman" w:eastAsia="Times New Roman" w:hAnsi="Times New Roman" w:cs="Times New Roman"/>
          <w:sz w:val="20"/>
          <w:szCs w:val="20"/>
        </w:rPr>
        <w:t>trypan based</w:t>
      </w:r>
      <w:proofErr w:type="gramEnd"/>
      <w:r>
        <w:rPr>
          <w:rFonts w:ascii="Times New Roman" w:eastAsia="Times New Roman" w:hAnsi="Times New Roman" w:cs="Times New Roman"/>
          <w:sz w:val="20"/>
          <w:szCs w:val="20"/>
        </w:rPr>
        <w:t xml:space="preserve"> cell counter. Cell counts initially declined and reached a minimum total cell count of 2.14 x 10</w:t>
      </w:r>
      <w:r>
        <w:rPr>
          <w:rFonts w:ascii="Times New Roman" w:eastAsia="Times New Roman" w:hAnsi="Times New Roman" w:cs="Times New Roman"/>
          <w:sz w:val="20"/>
          <w:szCs w:val="20"/>
          <w:vertAlign w:val="superscript"/>
        </w:rPr>
        <w:t>5</w:t>
      </w:r>
      <w:r>
        <w:rPr>
          <w:rFonts w:ascii="Times New Roman" w:eastAsia="Times New Roman" w:hAnsi="Times New Roman" w:cs="Times New Roman"/>
          <w:sz w:val="20"/>
          <w:szCs w:val="20"/>
        </w:rPr>
        <w:t xml:space="preserve"> by day 4, but subsequently reversed their decline and followed an exponential growth curve post-day 4 (c).</w:t>
      </w:r>
    </w:p>
    <w:p w14:paraId="46820771" w14:textId="76DA748B" w:rsidR="00896DF8" w:rsidRDefault="00896DF8">
      <w:r>
        <w:br w:type="page"/>
      </w:r>
    </w:p>
    <w:p w14:paraId="35B5E3B8" w14:textId="500C6EC6" w:rsidR="00896DF8" w:rsidRDefault="00896DF8" w:rsidP="00D028AC">
      <w:pPr>
        <w:jc w:val="center"/>
      </w:pPr>
      <w:r w:rsidRPr="00896DF8">
        <w:lastRenderedPageBreak/>
        <w:drawing>
          <wp:inline distT="0" distB="0" distL="0" distR="0" wp14:anchorId="08028A89" wp14:editId="170D593A">
            <wp:extent cx="6858000" cy="3968115"/>
            <wp:effectExtent l="0" t="0" r="0" b="0"/>
            <wp:docPr id="630175092" name="Picture 1" descr="A diagram of a number of objec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75092" name="Picture 1" descr="A diagram of a number of objects&#10;&#10;Description automatically generated with medium confidence"/>
                    <pic:cNvPicPr/>
                  </pic:nvPicPr>
                  <pic:blipFill>
                    <a:blip r:embed="rId12"/>
                    <a:stretch>
                      <a:fillRect/>
                    </a:stretch>
                  </pic:blipFill>
                  <pic:spPr>
                    <a:xfrm>
                      <a:off x="0" y="0"/>
                      <a:ext cx="6858000" cy="3968115"/>
                    </a:xfrm>
                    <a:prstGeom prst="rect">
                      <a:avLst/>
                    </a:prstGeom>
                  </pic:spPr>
                </pic:pic>
              </a:graphicData>
            </a:graphic>
          </wp:inline>
        </w:drawing>
      </w:r>
    </w:p>
    <w:p w14:paraId="2F38F2BD" w14:textId="77777777" w:rsidR="00896DF8" w:rsidRDefault="00896DF8" w:rsidP="00D028AC">
      <w:pPr>
        <w:jc w:val="center"/>
      </w:pPr>
    </w:p>
    <w:p w14:paraId="0BEA1EED" w14:textId="77777777" w:rsidR="00896DF8" w:rsidRDefault="00896DF8" w:rsidP="00896DF8">
      <w:pPr>
        <w:spacing w:after="0" w:line="48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Supplementary Figure 9. FACS purity-sorting schema for KFRET Survival cassette lines and YT-rCTL PRF miRNA lines. </w:t>
      </w:r>
      <w:r>
        <w:rPr>
          <w:rFonts w:ascii="Times New Roman" w:eastAsia="Times New Roman" w:hAnsi="Times New Roman" w:cs="Times New Roman"/>
          <w:sz w:val="20"/>
          <w:szCs w:val="20"/>
        </w:rPr>
        <w:t>(a) KFRET.A0101.MAGEA3</w:t>
      </w:r>
      <w:r>
        <w:rPr>
          <w:rFonts w:ascii="Times New Roman" w:eastAsia="Times New Roman" w:hAnsi="Times New Roman" w:cs="Times New Roman"/>
          <w:sz w:val="20"/>
          <w:szCs w:val="20"/>
          <w:vertAlign w:val="superscript"/>
        </w:rPr>
        <w:t>160-183</w:t>
      </w:r>
      <w:r>
        <w:rPr>
          <w:rFonts w:ascii="Times New Roman" w:eastAsia="Times New Roman" w:hAnsi="Times New Roman" w:cs="Times New Roman"/>
          <w:sz w:val="20"/>
          <w:szCs w:val="20"/>
        </w:rPr>
        <w:t xml:space="preserve"> cells were transduced at an MOI of 1 KIU/cell with each of three Survival cassette designs or an empty vector control. Purity-sorting was conducted 72 hours after transduction by staining cells with anti-CD34 antibody to detect inert truncated recombinant CD34 transduction marker, and gating on live target cells with AF647 MFI using a threshold of &gt;5 standard deviation above the mean of the negative control. (b) YT-rCTL.a3a cells transduced at an MOI of 0.05 KIU/cell with each of three PRF miRNA designs or a scrambled miRNA control. Purity-sorting was conducted 72 hours after transduction by staining cells with anti-CD34 antibody to detect inert truncated recombinant CD34 transduction marker. Gating on AF647 signal was done by arbitrarily selecting low, medium, and high expression gates for each. The minimum threshold of the low expresser population was set at 5 standard deviations above the mean of the scrambled control.</w:t>
      </w:r>
    </w:p>
    <w:p w14:paraId="42A6968B" w14:textId="2FB12811" w:rsidR="00896DF8" w:rsidRDefault="00896DF8">
      <w:r>
        <w:br w:type="page"/>
      </w:r>
    </w:p>
    <w:p w14:paraId="23DC3C87" w14:textId="0D1E5CDB" w:rsidR="00896DF8" w:rsidRDefault="00896DF8" w:rsidP="00896DF8">
      <w:pPr>
        <w:spacing w:after="0" w:line="480" w:lineRule="auto"/>
        <w:rPr>
          <w:rFonts w:ascii="Times New Roman" w:eastAsia="Times New Roman" w:hAnsi="Times New Roman" w:cs="Times New Roman"/>
          <w:b/>
          <w:sz w:val="20"/>
          <w:szCs w:val="20"/>
        </w:rPr>
      </w:pPr>
      <w:r w:rsidRPr="00896DF8">
        <w:rPr>
          <w:rFonts w:ascii="Times New Roman" w:eastAsia="Times New Roman" w:hAnsi="Times New Roman" w:cs="Times New Roman"/>
          <w:b/>
          <w:sz w:val="20"/>
          <w:szCs w:val="20"/>
        </w:rPr>
        <w:lastRenderedPageBreak/>
        <w:drawing>
          <wp:inline distT="0" distB="0" distL="0" distR="0" wp14:anchorId="60DCF095" wp14:editId="6F8AA9FB">
            <wp:extent cx="6858000" cy="3299460"/>
            <wp:effectExtent l="0" t="0" r="0" b="0"/>
            <wp:docPr id="1118791767" name="Picture 1" descr="A comparison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791767" name="Picture 1" descr="A comparison of a graph&#10;&#10;Description automatically generated"/>
                    <pic:cNvPicPr/>
                  </pic:nvPicPr>
                  <pic:blipFill>
                    <a:blip r:embed="rId13"/>
                    <a:stretch>
                      <a:fillRect/>
                    </a:stretch>
                  </pic:blipFill>
                  <pic:spPr>
                    <a:xfrm>
                      <a:off x="0" y="0"/>
                      <a:ext cx="6858000" cy="3299460"/>
                    </a:xfrm>
                    <a:prstGeom prst="rect">
                      <a:avLst/>
                    </a:prstGeom>
                  </pic:spPr>
                </pic:pic>
              </a:graphicData>
            </a:graphic>
          </wp:inline>
        </w:drawing>
      </w:r>
    </w:p>
    <w:p w14:paraId="6339D195" w14:textId="77777777" w:rsidR="00896DF8" w:rsidRDefault="00896DF8" w:rsidP="00896DF8">
      <w:pPr>
        <w:spacing w:after="0" w:line="480" w:lineRule="auto"/>
        <w:rPr>
          <w:rFonts w:ascii="Times New Roman" w:eastAsia="Times New Roman" w:hAnsi="Times New Roman" w:cs="Times New Roman"/>
          <w:b/>
          <w:sz w:val="20"/>
          <w:szCs w:val="20"/>
        </w:rPr>
      </w:pPr>
    </w:p>
    <w:p w14:paraId="0E5AE40F" w14:textId="34320CC1" w:rsidR="00896DF8" w:rsidRDefault="00896DF8" w:rsidP="00896DF8">
      <w:pPr>
        <w:spacing w:after="0" w:line="48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Supplementary Figure 10. Assessing CD137 upregulation in YT-rCTL cells. </w:t>
      </w:r>
      <w:r>
        <w:rPr>
          <w:rFonts w:ascii="Times New Roman" w:eastAsia="Times New Roman" w:hAnsi="Times New Roman" w:cs="Times New Roman"/>
          <w:sz w:val="20"/>
          <w:szCs w:val="20"/>
        </w:rPr>
        <w:t>(a) Primary CD8</w:t>
      </w:r>
      <w:r>
        <w:rPr>
          <w:rFonts w:ascii="Times New Roman" w:eastAsia="Times New Roman" w:hAnsi="Times New Roman" w:cs="Times New Roman"/>
          <w:sz w:val="20"/>
          <w:szCs w:val="20"/>
          <w:vertAlign w:val="superscript"/>
        </w:rPr>
        <w:t>+</w:t>
      </w:r>
      <w:r>
        <w:rPr>
          <w:rFonts w:ascii="Times New Roman" w:eastAsia="Times New Roman" w:hAnsi="Times New Roman" w:cs="Times New Roman"/>
          <w:sz w:val="20"/>
          <w:szCs w:val="20"/>
        </w:rPr>
        <w:t xml:space="preserve"> a3a TCR-T cells co-cultured with KFRET.A0101.MAGEA3</w:t>
      </w:r>
      <w:r>
        <w:rPr>
          <w:rFonts w:ascii="Times New Roman" w:eastAsia="Times New Roman" w:hAnsi="Times New Roman" w:cs="Times New Roman"/>
          <w:sz w:val="20"/>
          <w:szCs w:val="20"/>
          <w:vertAlign w:val="superscript"/>
        </w:rPr>
        <w:t>160-183</w:t>
      </w:r>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sAPC</w:t>
      </w:r>
      <w:proofErr w:type="spellEnd"/>
      <w:r>
        <w:rPr>
          <w:rFonts w:ascii="Times New Roman" w:eastAsia="Times New Roman" w:hAnsi="Times New Roman" w:cs="Times New Roman"/>
          <w:sz w:val="20"/>
          <w:szCs w:val="20"/>
        </w:rPr>
        <w:t xml:space="preserve"> were stained with anti-CD137 antibody (AF647-conjugated clone 4B4-1, </w:t>
      </w:r>
      <w:proofErr w:type="spellStart"/>
      <w:r>
        <w:rPr>
          <w:rFonts w:ascii="Times New Roman" w:eastAsia="Times New Roman" w:hAnsi="Times New Roman" w:cs="Times New Roman"/>
          <w:sz w:val="20"/>
          <w:szCs w:val="20"/>
        </w:rPr>
        <w:t>Biolegend</w:t>
      </w:r>
      <w:proofErr w:type="spellEnd"/>
      <w:r>
        <w:rPr>
          <w:rFonts w:ascii="Times New Roman" w:eastAsia="Times New Roman" w:hAnsi="Times New Roman" w:cs="Times New Roman"/>
          <w:sz w:val="20"/>
          <w:szCs w:val="20"/>
        </w:rPr>
        <w:t>) and analyzed by flow cytometry. Clear resolution between T</w:t>
      </w:r>
      <w:r>
        <w:rPr>
          <w:rFonts w:ascii="Times New Roman" w:eastAsia="Times New Roman" w:hAnsi="Times New Roman" w:cs="Times New Roman"/>
          <w:sz w:val="20"/>
          <w:szCs w:val="20"/>
          <w:vertAlign w:val="subscript"/>
        </w:rPr>
        <w:t xml:space="preserve">0 </w:t>
      </w:r>
      <w:r>
        <w:rPr>
          <w:rFonts w:ascii="Times New Roman" w:eastAsia="Times New Roman" w:hAnsi="Times New Roman" w:cs="Times New Roman"/>
          <w:sz w:val="20"/>
          <w:szCs w:val="20"/>
        </w:rPr>
        <w:t>control and 12-hour co-culture experiment was observed. (b) YT-rCTL.a3a effectors co-cultured with KFRET.A0101.MAGEA3</w:t>
      </w:r>
      <w:r>
        <w:rPr>
          <w:rFonts w:ascii="Times New Roman" w:eastAsia="Times New Roman" w:hAnsi="Times New Roman" w:cs="Times New Roman"/>
          <w:sz w:val="20"/>
          <w:szCs w:val="20"/>
          <w:vertAlign w:val="superscript"/>
        </w:rPr>
        <w:t>160-183</w:t>
      </w:r>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sAPC</w:t>
      </w:r>
      <w:proofErr w:type="spellEnd"/>
      <w:r>
        <w:rPr>
          <w:rFonts w:ascii="Times New Roman" w:eastAsia="Times New Roman" w:hAnsi="Times New Roman" w:cs="Times New Roman"/>
          <w:sz w:val="20"/>
          <w:szCs w:val="20"/>
        </w:rPr>
        <w:t xml:space="preserve"> for either 12 or 24 hours were stained with anti-CD137 antibody and analyzed by flow cytometry. No resolution between T</w:t>
      </w:r>
      <w:r>
        <w:rPr>
          <w:rFonts w:ascii="Times New Roman" w:eastAsia="Times New Roman" w:hAnsi="Times New Roman" w:cs="Times New Roman"/>
          <w:sz w:val="20"/>
          <w:szCs w:val="20"/>
          <w:vertAlign w:val="subscript"/>
        </w:rPr>
        <w:t xml:space="preserve">0 </w:t>
      </w:r>
      <w:r>
        <w:rPr>
          <w:rFonts w:ascii="Times New Roman" w:eastAsia="Times New Roman" w:hAnsi="Times New Roman" w:cs="Times New Roman"/>
          <w:sz w:val="20"/>
          <w:szCs w:val="20"/>
        </w:rPr>
        <w:t>control and either the 12-hour or 24-hour co-culture experiments w</w:t>
      </w:r>
      <w:r>
        <w:rPr>
          <w:rFonts w:ascii="Times New Roman" w:eastAsia="Times New Roman" w:hAnsi="Times New Roman" w:cs="Times New Roman"/>
          <w:sz w:val="20"/>
          <w:szCs w:val="20"/>
        </w:rPr>
        <w:t>as</w:t>
      </w:r>
      <w:r>
        <w:rPr>
          <w:rFonts w:ascii="Times New Roman" w:eastAsia="Times New Roman" w:hAnsi="Times New Roman" w:cs="Times New Roman"/>
          <w:sz w:val="20"/>
          <w:szCs w:val="20"/>
        </w:rPr>
        <w:t xml:space="preserve"> observable. </w:t>
      </w:r>
    </w:p>
    <w:p w14:paraId="3A5ACFF8" w14:textId="77777777" w:rsidR="00896DF8" w:rsidRDefault="00896DF8" w:rsidP="00D028AC">
      <w:pPr>
        <w:jc w:val="center"/>
      </w:pPr>
    </w:p>
    <w:sectPr w:rsidR="00896DF8" w:rsidSect="00D028AC">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8AC"/>
    <w:rsid w:val="00463996"/>
    <w:rsid w:val="004F22B9"/>
    <w:rsid w:val="0073585F"/>
    <w:rsid w:val="00896DF8"/>
    <w:rsid w:val="00D028A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D0D47"/>
  <w15:chartTrackingRefBased/>
  <w15:docId w15:val="{7F89C8AC-7D81-4FEB-BD58-60164B368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theme" Target="theme/theme1.xml"/><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10</Pages>
  <Words>1214</Words>
  <Characters>6926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Govinda Sharma</dc:creator>
  <cp:keywords/>
  <dc:description/>
  <cp:lastModifiedBy>Govinda Sharma</cp:lastModifiedBy>
  <cp:revision>1</cp:revision>
  <dcterms:created xsi:type="dcterms:W3CDTF">2023-11-24T21:49:00Z</dcterms:created>
  <dcterms:modified xsi:type="dcterms:W3CDTF">2023-11-24T22:03:00Z</dcterms:modified>
</cp:coreProperties>
</file>