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480" w:lineRule="auto"/>
        <w:jc w:val="both"/>
        <w:rPr>
          <w:rFonts w:ascii="Arial" w:hAnsi="Arial" w:cs="Arial"/>
          <w:b/>
          <w:bCs/>
          <w:color w:val="000000" w:themeColor="text1"/>
          <w:sz w:val="22"/>
          <w:szCs w:val="22"/>
          <w:lang w:val="en-US"/>
        </w:rPr>
      </w:pPr>
      <w:r>
        <w:rPr>
          <w:rFonts w:ascii="Arial" w:hAnsi="Arial" w:cs="Arial"/>
          <w:b/>
          <w:bCs/>
          <w:color w:val="000000" w:themeColor="text1"/>
          <w:sz w:val="22"/>
          <w:szCs w:val="22"/>
          <w:lang w:val="en-US"/>
        </w:rPr>
        <w:t xml:space="preserve">Supplementary Material &amp; Methods </w:t>
      </w:r>
    </w:p>
    <w:p>
      <w:pPr>
        <w:spacing w:line="480" w:lineRule="auto"/>
        <w:jc w:val="both"/>
        <w:rPr>
          <w:rFonts w:ascii="Arial" w:hAnsi="Arial" w:cs="Arial"/>
          <w:b/>
          <w:bCs/>
          <w:color w:val="000000" w:themeColor="text1"/>
          <w:sz w:val="22"/>
          <w:szCs w:val="22"/>
          <w:lang w:val="en-US"/>
        </w:rPr>
      </w:pPr>
    </w:p>
    <w:p>
      <w:pPr>
        <w:spacing w:line="480" w:lineRule="auto"/>
        <w:jc w:val="both"/>
        <w:rPr>
          <w:rFonts w:ascii="Arial" w:hAnsi="Arial" w:cs="Arial"/>
          <w:bCs/>
          <w:color w:val="000000" w:themeColor="text1"/>
          <w:sz w:val="22"/>
          <w:szCs w:val="22"/>
          <w:lang w:val="en-US"/>
        </w:rPr>
      </w:pPr>
    </w:p>
    <w:p>
      <w:pPr>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t>AdCAR construct and production of LV Vector</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The transfer plasmid encoding the AdCAR was generated by cloning the anti-LLE specific </w:t>
      </w:r>
      <w:proofErr w:type="spellStart"/>
      <w:r>
        <w:rPr>
          <w:rFonts w:ascii="Arial" w:hAnsi="Arial" w:cs="Arial"/>
          <w:color w:val="000000" w:themeColor="text1"/>
          <w:sz w:val="22"/>
          <w:szCs w:val="22"/>
          <w:lang w:val="en-US"/>
        </w:rPr>
        <w:t>scFv</w:t>
      </w:r>
      <w:proofErr w:type="spellEnd"/>
      <w:r>
        <w:rPr>
          <w:rFonts w:ascii="Arial" w:hAnsi="Arial" w:cs="Arial"/>
          <w:color w:val="000000" w:themeColor="text1"/>
          <w:sz w:val="22"/>
          <w:szCs w:val="22"/>
          <w:lang w:val="en-US"/>
        </w:rPr>
        <w:t xml:space="preserve"> Bio2 4G10 into the coding sequence of a third-generation CAR backbone comprising an hIgG4 hinge, hCD8 transmembrane domain, cytoplasmatic domain of CD28, 4-1BB and CD3ζ.</w:t>
      </w:r>
    </w:p>
    <w:p>
      <w:pPr>
        <w:spacing w:line="480" w:lineRule="auto"/>
        <w:jc w:val="both"/>
        <w:rPr>
          <w:rFonts w:ascii="Arial" w:hAnsi="Arial" w:cs="Arial"/>
          <w:bCs/>
          <w:color w:val="000000" w:themeColor="text1"/>
          <w:sz w:val="22"/>
          <w:szCs w:val="22"/>
          <w:lang w:val="en-US"/>
        </w:rPr>
      </w:pPr>
      <w:r>
        <w:rPr>
          <w:rFonts w:ascii="Arial" w:hAnsi="Arial" w:cs="Arial"/>
          <w:bCs/>
          <w:color w:val="000000" w:themeColor="text1"/>
          <w:sz w:val="22"/>
          <w:szCs w:val="22"/>
          <w:lang w:val="en-US"/>
        </w:rPr>
        <w:t xml:space="preserve">Lentivirus (LV) was produced in HEK293T cells after transfection with </w:t>
      </w:r>
      <w:proofErr w:type="spellStart"/>
      <w:r>
        <w:rPr>
          <w:rFonts w:ascii="Arial" w:hAnsi="Arial" w:cs="Arial"/>
          <w:bCs/>
          <w:color w:val="000000" w:themeColor="text1"/>
          <w:sz w:val="22"/>
          <w:szCs w:val="22"/>
          <w:lang w:val="en-US"/>
        </w:rPr>
        <w:t>polyethylenimine</w:t>
      </w:r>
      <w:proofErr w:type="spellEnd"/>
      <w:r>
        <w:rPr>
          <w:rFonts w:ascii="Arial" w:hAnsi="Arial" w:cs="Arial"/>
          <w:bCs/>
          <w:color w:val="000000" w:themeColor="text1"/>
          <w:sz w:val="22"/>
          <w:szCs w:val="22"/>
          <w:lang w:val="en-US"/>
        </w:rPr>
        <w:t xml:space="preserve"> utilizing a second-generation packaging plasmid, the VSV-G envelope plasmid, and the corresponding transfer plasmid. Virus was pelleted form the supernatant by centrifugation (4500g, 24 h) and resuspended with medium before storage at -80°C. </w:t>
      </w:r>
    </w:p>
    <w:p>
      <w:pPr>
        <w:spacing w:line="480" w:lineRule="auto"/>
        <w:jc w:val="both"/>
        <w:rPr>
          <w:rFonts w:ascii="Arial" w:hAnsi="Arial" w:cs="Arial"/>
          <w:bCs/>
          <w:color w:val="000000" w:themeColor="text1"/>
          <w:sz w:val="22"/>
          <w:szCs w:val="22"/>
          <w:lang w:val="en-US"/>
        </w:rPr>
      </w:pPr>
    </w:p>
    <w:p>
      <w:pPr>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t>Isolation of human primary T cells and transduction</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Peripheral blood mononuclear cells (PBMCs) were isolated from whole blood samples, acquired from healthy volunteer donors at the University Children’s Hospital Tübingen. CD4</w:t>
      </w:r>
      <w:r>
        <w:rPr>
          <w:rFonts w:ascii="Arial" w:hAnsi="Arial" w:cs="Arial"/>
          <w:color w:val="000000" w:themeColor="text1"/>
          <w:sz w:val="22"/>
          <w:szCs w:val="22"/>
          <w:vertAlign w:val="superscript"/>
          <w:lang w:val="en-US"/>
        </w:rPr>
        <w:t>+</w:t>
      </w:r>
      <w:r>
        <w:rPr>
          <w:rFonts w:ascii="Arial" w:hAnsi="Arial" w:cs="Arial"/>
          <w:color w:val="000000" w:themeColor="text1"/>
          <w:sz w:val="22"/>
          <w:szCs w:val="22"/>
          <w:lang w:val="en-US"/>
        </w:rPr>
        <w:t xml:space="preserve"> and CD8</w:t>
      </w:r>
      <w:r>
        <w:rPr>
          <w:rFonts w:ascii="Arial" w:hAnsi="Arial" w:cs="Arial"/>
          <w:color w:val="000000" w:themeColor="text1"/>
          <w:sz w:val="22"/>
          <w:szCs w:val="22"/>
          <w:vertAlign w:val="superscript"/>
          <w:lang w:val="en-US"/>
        </w:rPr>
        <w:t>+</w:t>
      </w:r>
      <w:r>
        <w:rPr>
          <w:rFonts w:ascii="Arial" w:hAnsi="Arial" w:cs="Arial"/>
          <w:color w:val="000000" w:themeColor="text1"/>
          <w:sz w:val="22"/>
          <w:szCs w:val="22"/>
          <w:lang w:val="en-US"/>
        </w:rPr>
        <w:t xml:space="preserve"> T cells were isolated simultaneously by magnetic separation using anti-CD4/8 microbeads according to Miltenyi </w:t>
      </w:r>
      <w:proofErr w:type="spellStart"/>
      <w:r>
        <w:rPr>
          <w:rFonts w:ascii="Arial" w:hAnsi="Arial" w:cs="Arial"/>
          <w:color w:val="000000" w:themeColor="text1"/>
          <w:sz w:val="22"/>
          <w:szCs w:val="22"/>
          <w:lang w:val="en-US"/>
        </w:rPr>
        <w:t>Biotec’s</w:t>
      </w:r>
      <w:proofErr w:type="spellEnd"/>
      <w:r>
        <w:rPr>
          <w:rFonts w:ascii="Arial" w:hAnsi="Arial" w:cs="Arial"/>
          <w:color w:val="000000" w:themeColor="text1"/>
          <w:sz w:val="22"/>
          <w:szCs w:val="22"/>
          <w:lang w:val="en-US"/>
        </w:rPr>
        <w:t xml:space="preserve"> CD8/CD4 Micro Bead protocols (Miltenyi Biotec). Isolated T cells were stimulated with human </w:t>
      </w:r>
      <w:proofErr w:type="spellStart"/>
      <w:r>
        <w:rPr>
          <w:rFonts w:ascii="Arial" w:hAnsi="Arial" w:cs="Arial"/>
          <w:color w:val="000000" w:themeColor="text1"/>
          <w:sz w:val="22"/>
          <w:szCs w:val="22"/>
          <w:lang w:val="en-US"/>
        </w:rPr>
        <w:t>TransAct</w:t>
      </w:r>
      <w:r>
        <w:rPr>
          <w:rFonts w:ascii="Arial" w:hAnsi="Arial" w:cs="Arial"/>
          <w:color w:val="000000" w:themeColor="text1"/>
          <w:sz w:val="22"/>
          <w:szCs w:val="22"/>
          <w:vertAlign w:val="superscript"/>
          <w:lang w:val="en-US"/>
        </w:rPr>
        <w:t>TM</w:t>
      </w:r>
      <w:proofErr w:type="spellEnd"/>
      <w:r>
        <w:rPr>
          <w:rFonts w:ascii="Arial" w:hAnsi="Arial" w:cs="Arial"/>
          <w:color w:val="000000" w:themeColor="text1"/>
          <w:sz w:val="22"/>
          <w:szCs w:val="22"/>
          <w:lang w:val="en-US"/>
        </w:rPr>
        <w:t xml:space="preserve"> (1:100) (anti-CD3/28 agonistic signal) (Miltenyi Biotec) and cultivated in </w:t>
      </w:r>
      <w:proofErr w:type="spellStart"/>
      <w:r>
        <w:rPr>
          <w:rFonts w:ascii="Arial" w:hAnsi="Arial" w:cs="Arial"/>
          <w:color w:val="000000" w:themeColor="text1"/>
          <w:sz w:val="22"/>
          <w:szCs w:val="22"/>
          <w:lang w:val="en-US"/>
        </w:rPr>
        <w:t>TexMACS</w:t>
      </w:r>
      <w:proofErr w:type="spellEnd"/>
      <w:r>
        <w:rPr>
          <w:rFonts w:ascii="Arial" w:hAnsi="Arial" w:cs="Arial"/>
          <w:color w:val="000000" w:themeColor="text1"/>
          <w:sz w:val="22"/>
          <w:szCs w:val="22"/>
          <w:lang w:val="en-US"/>
        </w:rPr>
        <w:t xml:space="preserve"> media supplemented with 10 ng/mL IL7 and 5 ng/mL IL15 (Miltenyi Biotec) for up to 15 days. After 36 h, activated T cells were transduced at a multiplicity of infection (MOI) of 3. Transduced T cells were maintained at 0.5–2 × 10 6 cells/mL in IL7/IL15 supplemented </w:t>
      </w:r>
      <w:proofErr w:type="spellStart"/>
      <w:r>
        <w:rPr>
          <w:rFonts w:ascii="Arial" w:hAnsi="Arial" w:cs="Arial"/>
          <w:color w:val="000000" w:themeColor="text1"/>
          <w:sz w:val="22"/>
          <w:szCs w:val="22"/>
          <w:lang w:val="en-US"/>
        </w:rPr>
        <w:t>TexMACS</w:t>
      </w:r>
      <w:proofErr w:type="spellEnd"/>
      <w:r>
        <w:rPr>
          <w:rFonts w:ascii="Arial" w:hAnsi="Arial" w:cs="Arial"/>
          <w:color w:val="000000" w:themeColor="text1"/>
          <w:sz w:val="22"/>
          <w:szCs w:val="22"/>
          <w:lang w:val="en-US"/>
        </w:rPr>
        <w:t xml:space="preserve">® media. On day +7, CAR transduction efficiency </w:t>
      </w:r>
      <w:proofErr w:type="gramStart"/>
      <w:r>
        <w:rPr>
          <w:rFonts w:ascii="Arial" w:hAnsi="Arial" w:cs="Arial"/>
          <w:color w:val="000000" w:themeColor="text1"/>
          <w:sz w:val="22"/>
          <w:szCs w:val="22"/>
          <w:lang w:val="en-US"/>
        </w:rPr>
        <w:t>were</w:t>
      </w:r>
      <w:proofErr w:type="gramEnd"/>
      <w:r>
        <w:rPr>
          <w:rFonts w:ascii="Arial" w:hAnsi="Arial" w:cs="Arial"/>
          <w:color w:val="000000" w:themeColor="text1"/>
          <w:sz w:val="22"/>
          <w:szCs w:val="22"/>
          <w:lang w:val="en-US"/>
        </w:rPr>
        <w:t xml:space="preserve"> determined by flow cytometry </w:t>
      </w:r>
      <w:bookmarkStart w:id="0" w:name="_Hlk140659044"/>
      <w:r>
        <w:rPr>
          <w:rFonts w:ascii="Arial" w:hAnsi="Arial" w:cs="Arial"/>
          <w:color w:val="000000" w:themeColor="text1"/>
          <w:sz w:val="22"/>
          <w:szCs w:val="22"/>
          <w:lang w:val="en-US"/>
        </w:rPr>
        <w:t>with a AdCAR detection reagent PE (Miltenyi Biotec).</w:t>
      </w:r>
      <w:bookmarkEnd w:id="0"/>
      <w:r>
        <w:rPr>
          <w:rFonts w:ascii="Arial" w:hAnsi="Arial" w:cs="Arial"/>
          <w:color w:val="000000" w:themeColor="text1"/>
          <w:sz w:val="22"/>
          <w:szCs w:val="22"/>
          <w:lang w:val="en-US"/>
        </w:rPr>
        <w:t xml:space="preserve"> </w:t>
      </w:r>
    </w:p>
    <w:p>
      <w:pPr>
        <w:spacing w:line="480" w:lineRule="auto"/>
        <w:jc w:val="both"/>
        <w:rPr>
          <w:rFonts w:ascii="Arial" w:hAnsi="Arial" w:cs="Arial"/>
          <w:b/>
          <w:color w:val="000000" w:themeColor="text1"/>
          <w:sz w:val="22"/>
          <w:szCs w:val="22"/>
          <w:lang w:val="en-US"/>
        </w:rPr>
      </w:pPr>
    </w:p>
    <w:p>
      <w:pPr>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t>Antibody production and Biotin conjugation</w:t>
      </w:r>
    </w:p>
    <w:p>
      <w:pPr>
        <w:spacing w:line="480" w:lineRule="auto"/>
        <w:jc w:val="both"/>
        <w:rPr>
          <w:rFonts w:ascii="Arial" w:hAnsi="Arial" w:cs="Arial"/>
          <w:bCs/>
          <w:color w:val="000000" w:themeColor="text1"/>
          <w:sz w:val="22"/>
          <w:szCs w:val="22"/>
          <w:lang w:val="en-US"/>
        </w:rPr>
      </w:pPr>
      <w:r>
        <w:rPr>
          <w:rFonts w:ascii="Arial" w:hAnsi="Arial" w:cs="Arial"/>
          <w:color w:val="000000" w:themeColor="text1"/>
          <w:sz w:val="22"/>
          <w:szCs w:val="22"/>
          <w:lang w:val="en-US"/>
        </w:rPr>
        <w:t xml:space="preserve">IgG1 against CD33, CD38, CD123, CD135, and CD371 were generated using the </w:t>
      </w:r>
      <w:proofErr w:type="spellStart"/>
      <w:r>
        <w:rPr>
          <w:rFonts w:ascii="Arial" w:hAnsi="Arial" w:cs="Arial"/>
          <w:color w:val="000000" w:themeColor="text1"/>
          <w:sz w:val="22"/>
          <w:szCs w:val="22"/>
          <w:lang w:val="en-US"/>
        </w:rPr>
        <w:t>ExpiCHO</w:t>
      </w:r>
      <w:proofErr w:type="spellEnd"/>
      <w:r>
        <w:rPr>
          <w:rFonts w:ascii="Arial" w:hAnsi="Arial" w:cs="Arial"/>
          <w:color w:val="000000" w:themeColor="text1"/>
          <w:sz w:val="22"/>
          <w:szCs w:val="22"/>
          <w:lang w:val="en-US"/>
        </w:rPr>
        <w:t>™ Expression System (</w:t>
      </w:r>
      <w:proofErr w:type="spellStart"/>
      <w:r>
        <w:rPr>
          <w:rFonts w:ascii="Arial" w:hAnsi="Arial" w:cs="Arial"/>
          <w:color w:val="000000" w:themeColor="text1"/>
          <w:sz w:val="22"/>
          <w:szCs w:val="22"/>
          <w:lang w:val="en-US"/>
        </w:rPr>
        <w:t>ThermoFisher</w:t>
      </w:r>
      <w:proofErr w:type="spellEnd"/>
      <w:r>
        <w:rPr>
          <w:rFonts w:ascii="Arial" w:hAnsi="Arial" w:cs="Arial"/>
          <w:color w:val="000000" w:themeColor="text1"/>
          <w:sz w:val="22"/>
          <w:szCs w:val="22"/>
          <w:lang w:val="en-US"/>
        </w:rPr>
        <w:t xml:space="preserve">). To this end, VH and LH sequences for the respective mAbs were cloned on a Fc-attenuated (L234A/L235A (LALA)) IgG1 backbone into a </w:t>
      </w:r>
      <w:r>
        <w:rPr>
          <w:rFonts w:ascii="Arial" w:hAnsi="Arial" w:cs="Arial"/>
          <w:bCs/>
          <w:color w:val="000000" w:themeColor="text1"/>
          <w:sz w:val="22"/>
          <w:szCs w:val="22"/>
          <w:lang w:val="en-US"/>
        </w:rPr>
        <w:lastRenderedPageBreak/>
        <w:t>pcDNA™3.1</w:t>
      </w:r>
      <w:r>
        <w:rPr>
          <w:rFonts w:ascii="Arial" w:hAnsi="Arial" w:cs="Arial"/>
          <w:bCs/>
          <w:color w:val="000000" w:themeColor="text1"/>
          <w:sz w:val="22"/>
          <w:szCs w:val="22"/>
          <w:vertAlign w:val="superscript"/>
          <w:lang w:val="en-US"/>
        </w:rPr>
        <w:t xml:space="preserve"> (+)</w:t>
      </w:r>
      <w:r>
        <w:rPr>
          <w:rFonts w:ascii="Arial" w:hAnsi="Arial" w:cs="Arial"/>
          <w:bCs/>
          <w:color w:val="000000" w:themeColor="text1"/>
          <w:sz w:val="22"/>
          <w:szCs w:val="22"/>
          <w:lang w:val="en-US"/>
        </w:rPr>
        <w:t xml:space="preserve"> Mammalian Expression Vector. For transient transfection of </w:t>
      </w:r>
      <w:proofErr w:type="spellStart"/>
      <w:r>
        <w:rPr>
          <w:rFonts w:ascii="Arial" w:hAnsi="Arial" w:cs="Arial"/>
          <w:bCs/>
          <w:color w:val="000000" w:themeColor="text1"/>
          <w:sz w:val="22"/>
          <w:szCs w:val="22"/>
          <w:lang w:val="en-US"/>
        </w:rPr>
        <w:t>ExpiCHO</w:t>
      </w:r>
      <w:proofErr w:type="spellEnd"/>
      <w:r>
        <w:rPr>
          <w:rFonts w:ascii="Arial" w:hAnsi="Arial" w:cs="Arial"/>
          <w:bCs/>
          <w:color w:val="000000" w:themeColor="text1"/>
          <w:sz w:val="22"/>
          <w:szCs w:val="22"/>
          <w:lang w:val="en-US"/>
        </w:rPr>
        <w:t xml:space="preserve">-S™ cells, 1µg plasmid DNA/mL was used according to the high titer protocol of manufacturer’s instructions. All transfections were performed at 50 mL scale in 250 mL non-baffled flasks (Corning, Cat. 431144). Harvest of antibody was done by centrifugation of supernatant at 5000xg for 30 minutes at 4 °C, followed by filtration through a 0.22 µm filter (Nalgene). Clarified and filtered antibodies were purified using a </w:t>
      </w:r>
      <w:proofErr w:type="spellStart"/>
      <w:r>
        <w:rPr>
          <w:rFonts w:ascii="Arial" w:hAnsi="Arial" w:cs="Arial"/>
          <w:bCs/>
          <w:color w:val="000000" w:themeColor="text1"/>
          <w:sz w:val="22"/>
          <w:szCs w:val="22"/>
          <w:lang w:val="en-US"/>
        </w:rPr>
        <w:t>rProtein</w:t>
      </w:r>
      <w:proofErr w:type="spellEnd"/>
      <w:r>
        <w:rPr>
          <w:rFonts w:ascii="Arial" w:hAnsi="Arial" w:cs="Arial"/>
          <w:bCs/>
          <w:color w:val="000000" w:themeColor="text1"/>
          <w:sz w:val="22"/>
          <w:szCs w:val="22"/>
          <w:lang w:val="en-US"/>
        </w:rPr>
        <w:t xml:space="preserve"> A</w:t>
      </w:r>
      <w:r>
        <w:rPr>
          <w:rFonts w:ascii="Arial" w:hAnsi="Arial" w:cs="Arial"/>
          <w:b/>
          <w:bCs/>
          <w:color w:val="000000" w:themeColor="text1"/>
          <w:sz w:val="22"/>
          <w:szCs w:val="22"/>
          <w:lang w:val="en-US"/>
        </w:rPr>
        <w:t xml:space="preserve"> </w:t>
      </w:r>
      <w:proofErr w:type="spellStart"/>
      <w:r>
        <w:rPr>
          <w:rFonts w:ascii="Arial" w:hAnsi="Arial" w:cs="Arial"/>
          <w:bCs/>
          <w:color w:val="000000" w:themeColor="text1"/>
          <w:sz w:val="22"/>
          <w:szCs w:val="22"/>
          <w:lang w:val="en-US"/>
        </w:rPr>
        <w:t>GraviTrap</w:t>
      </w:r>
      <w:proofErr w:type="spellEnd"/>
      <w:r>
        <w:rPr>
          <w:rFonts w:ascii="Arial" w:hAnsi="Arial" w:cs="Arial"/>
          <w:bCs/>
          <w:color w:val="000000" w:themeColor="text1"/>
          <w:sz w:val="22"/>
          <w:szCs w:val="22"/>
          <w:lang w:val="en-US"/>
        </w:rPr>
        <w:t xml:space="preserve"> column (</w:t>
      </w:r>
      <w:proofErr w:type="spellStart"/>
      <w:r>
        <w:rPr>
          <w:rFonts w:ascii="Arial" w:hAnsi="Arial" w:cs="Arial"/>
          <w:bCs/>
          <w:color w:val="000000" w:themeColor="text1"/>
          <w:sz w:val="22"/>
          <w:szCs w:val="22"/>
          <w:lang w:val="en-US"/>
        </w:rPr>
        <w:t>Cytiva</w:t>
      </w:r>
      <w:proofErr w:type="spellEnd"/>
      <w:r>
        <w:rPr>
          <w:rFonts w:ascii="Arial" w:hAnsi="Arial" w:cs="Arial"/>
          <w:bCs/>
          <w:color w:val="000000" w:themeColor="text1"/>
          <w:sz w:val="22"/>
          <w:szCs w:val="22"/>
          <w:lang w:val="en-US"/>
        </w:rPr>
        <w:t>) followed by desalting with PD10 Sephadex G25 column (</w:t>
      </w:r>
      <w:proofErr w:type="spellStart"/>
      <w:r>
        <w:rPr>
          <w:rFonts w:ascii="Arial" w:hAnsi="Arial" w:cs="Arial"/>
          <w:bCs/>
          <w:color w:val="000000" w:themeColor="text1"/>
          <w:sz w:val="22"/>
          <w:szCs w:val="22"/>
          <w:lang w:val="en-US"/>
        </w:rPr>
        <w:t>Cytiva</w:t>
      </w:r>
      <w:proofErr w:type="spellEnd"/>
      <w:r>
        <w:rPr>
          <w:rFonts w:ascii="Arial" w:hAnsi="Arial" w:cs="Arial"/>
          <w:bCs/>
          <w:color w:val="000000" w:themeColor="text1"/>
          <w:sz w:val="22"/>
          <w:szCs w:val="22"/>
          <w:lang w:val="en-US"/>
        </w:rPr>
        <w:t>). Purity was analyzed by SDS Gel analysis.</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Biotin conjugation of purified antibodies was performed at 21°C for 1 h in 0,1 M NaHCO3 buffer using 3-fold molar excess of biotin-LC-LC-NHS (Thermo Fisher Scientific, CAS-No. 89889-52-1), followed by separation of the antibody/label mix on a Sephadex G25 column (</w:t>
      </w:r>
      <w:proofErr w:type="spellStart"/>
      <w:r>
        <w:rPr>
          <w:rFonts w:ascii="Arial" w:hAnsi="Arial" w:cs="Arial"/>
          <w:color w:val="000000" w:themeColor="text1"/>
          <w:sz w:val="22"/>
          <w:szCs w:val="22"/>
          <w:lang w:val="en-US"/>
        </w:rPr>
        <w:t>Cytiva</w:t>
      </w:r>
      <w:proofErr w:type="spellEnd"/>
      <w:r>
        <w:rPr>
          <w:rFonts w:ascii="Arial" w:hAnsi="Arial" w:cs="Arial"/>
          <w:color w:val="000000" w:themeColor="text1"/>
          <w:sz w:val="22"/>
          <w:szCs w:val="22"/>
          <w:lang w:val="en-US"/>
        </w:rPr>
        <w:t>). Protein containing fractions were pooled and concentration was measured by absorption at 280 nm. Successful conjugation was confirmed by flow cytometry on cell lines expressing the target antigen and secondary staining with a fluorophore conjugated anti-biotin antibody and functional assays.</w:t>
      </w:r>
    </w:p>
    <w:p>
      <w:pPr>
        <w:spacing w:line="480" w:lineRule="auto"/>
        <w:jc w:val="both"/>
        <w:rPr>
          <w:rFonts w:ascii="Arial" w:hAnsi="Arial" w:cs="Arial"/>
          <w:color w:val="000000" w:themeColor="text1"/>
          <w:sz w:val="22"/>
          <w:szCs w:val="22"/>
          <w:lang w:val="en-US"/>
        </w:rPr>
      </w:pPr>
    </w:p>
    <w:p>
      <w:pPr>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t>Generation of luciferase expressing cell lines and cell culturing</w:t>
      </w:r>
    </w:p>
    <w:p>
      <w:pPr>
        <w:spacing w:line="480" w:lineRule="auto"/>
        <w:jc w:val="both"/>
        <w:rPr>
          <w:rFonts w:ascii="Arial" w:hAnsi="Arial" w:cs="Arial"/>
          <w:b/>
          <w:bCs/>
          <w:color w:val="000000" w:themeColor="text1"/>
          <w:sz w:val="22"/>
          <w:szCs w:val="22"/>
          <w:lang w:val="en-US"/>
        </w:rPr>
      </w:pPr>
      <w:r>
        <w:rPr>
          <w:rFonts w:ascii="Arial" w:hAnsi="Arial" w:cs="Arial"/>
          <w:color w:val="000000" w:themeColor="text1"/>
          <w:sz w:val="22"/>
          <w:szCs w:val="22"/>
          <w:lang w:val="en-US"/>
        </w:rPr>
        <w:t>Transfer plasmids, based on a 2nd generation lentiviral vector plasmid, containing luciferase and truncated CD19 (</w:t>
      </w:r>
      <w:proofErr w:type="spellStart"/>
      <w:r>
        <w:rPr>
          <w:rFonts w:ascii="Arial" w:hAnsi="Arial" w:cs="Arial"/>
          <w:color w:val="000000" w:themeColor="text1"/>
          <w:sz w:val="22"/>
          <w:szCs w:val="22"/>
          <w:lang w:val="en-US"/>
        </w:rPr>
        <w:t>luc</w:t>
      </w:r>
      <w:proofErr w:type="spellEnd"/>
      <w:r>
        <w:rPr>
          <w:rFonts w:ascii="Arial" w:hAnsi="Arial" w:cs="Arial"/>
          <w:color w:val="000000" w:themeColor="text1"/>
          <w:sz w:val="22"/>
          <w:szCs w:val="22"/>
          <w:lang w:val="en-US"/>
        </w:rPr>
        <w:t xml:space="preserve">/19t) were kindly provided by </w:t>
      </w:r>
      <w:proofErr w:type="spellStart"/>
      <w:r>
        <w:rPr>
          <w:rFonts w:ascii="Arial" w:hAnsi="Arial" w:cs="Arial"/>
          <w:color w:val="000000" w:themeColor="text1"/>
          <w:sz w:val="22"/>
          <w:szCs w:val="22"/>
          <w:lang w:val="en-US"/>
        </w:rPr>
        <w:t>Irmela</w:t>
      </w:r>
      <w:proofErr w:type="spellEnd"/>
      <w:r>
        <w:rPr>
          <w:rFonts w:ascii="Arial" w:hAnsi="Arial" w:cs="Arial"/>
          <w:color w:val="000000" w:themeColor="text1"/>
          <w:sz w:val="22"/>
          <w:szCs w:val="22"/>
          <w:lang w:val="en-US"/>
        </w:rPr>
        <w:t xml:space="preserve"> Jeremias, Helmholtz Center Munich, Germany. </w:t>
      </w:r>
      <w:r>
        <w:rPr>
          <w:rFonts w:ascii="Arial" w:hAnsi="Arial" w:cs="Arial"/>
          <w:bCs/>
          <w:color w:val="000000" w:themeColor="text1"/>
          <w:sz w:val="22"/>
          <w:szCs w:val="22"/>
          <w:lang w:val="en-US"/>
        </w:rPr>
        <w:t xml:space="preserve">Lentiviral particles (LV) were produced in </w:t>
      </w:r>
      <w:proofErr w:type="spellStart"/>
      <w:r>
        <w:rPr>
          <w:rFonts w:ascii="Arial" w:hAnsi="Arial" w:cs="Arial"/>
          <w:bCs/>
          <w:color w:val="000000" w:themeColor="text1"/>
          <w:sz w:val="22"/>
          <w:szCs w:val="22"/>
          <w:lang w:val="en-US"/>
        </w:rPr>
        <w:t>Lenti</w:t>
      </w:r>
      <w:proofErr w:type="spellEnd"/>
      <w:r>
        <w:rPr>
          <w:rFonts w:ascii="Arial" w:hAnsi="Arial" w:cs="Arial"/>
          <w:bCs/>
          <w:color w:val="000000" w:themeColor="text1"/>
          <w:sz w:val="22"/>
          <w:szCs w:val="22"/>
          <w:lang w:val="en-US"/>
        </w:rPr>
        <w:t>-X 293T cells (Takara) after lipofection (</w:t>
      </w:r>
      <w:proofErr w:type="spellStart"/>
      <w:r>
        <w:rPr>
          <w:rFonts w:ascii="Arial" w:hAnsi="Arial" w:cs="Arial"/>
          <w:bCs/>
          <w:color w:val="000000" w:themeColor="text1"/>
          <w:sz w:val="22"/>
          <w:szCs w:val="22"/>
          <w:lang w:val="en-US"/>
        </w:rPr>
        <w:t>Lipofectamin</w:t>
      </w:r>
      <w:proofErr w:type="spellEnd"/>
      <w:r>
        <w:rPr>
          <w:rFonts w:ascii="Arial" w:hAnsi="Arial" w:cs="Arial"/>
          <w:bCs/>
          <w:color w:val="000000" w:themeColor="text1"/>
          <w:sz w:val="22"/>
          <w:szCs w:val="22"/>
          <w:lang w:val="en-US"/>
        </w:rPr>
        <w:t xml:space="preserve"> 3000) according to the manufacturer’s instructions utilizing a second-generation packaging plasmid, the VSV-G envelope plasmid, and the corresponding transfer plasmid for expression of the gene of interest. Supernatants containing LV were harvested 24 h after lipofection, concentrated by the </w:t>
      </w:r>
      <w:proofErr w:type="spellStart"/>
      <w:r>
        <w:rPr>
          <w:rFonts w:ascii="Arial" w:hAnsi="Arial" w:cs="Arial"/>
          <w:bCs/>
          <w:color w:val="000000" w:themeColor="text1"/>
          <w:sz w:val="22"/>
          <w:szCs w:val="22"/>
          <w:lang w:val="en-US"/>
        </w:rPr>
        <w:t>Lenti</w:t>
      </w:r>
      <w:proofErr w:type="spellEnd"/>
      <w:r>
        <w:rPr>
          <w:rFonts w:ascii="Arial" w:hAnsi="Arial" w:cs="Arial"/>
          <w:bCs/>
          <w:color w:val="000000" w:themeColor="text1"/>
          <w:sz w:val="22"/>
          <w:szCs w:val="22"/>
          <w:lang w:val="en-US"/>
        </w:rPr>
        <w:t>-X concentrator (</w:t>
      </w:r>
      <w:proofErr w:type="spellStart"/>
      <w:r>
        <w:rPr>
          <w:rFonts w:ascii="Arial" w:hAnsi="Arial" w:cs="Arial"/>
          <w:bCs/>
          <w:color w:val="000000" w:themeColor="text1"/>
          <w:sz w:val="22"/>
          <w:szCs w:val="22"/>
          <w:lang w:val="en-US"/>
        </w:rPr>
        <w:t>TaKaRa</w:t>
      </w:r>
      <w:proofErr w:type="spellEnd"/>
      <w:r>
        <w:rPr>
          <w:rFonts w:ascii="Arial" w:hAnsi="Arial" w:cs="Arial"/>
          <w:bCs/>
          <w:color w:val="000000" w:themeColor="text1"/>
          <w:sz w:val="22"/>
          <w:szCs w:val="22"/>
          <w:lang w:val="en-US"/>
        </w:rPr>
        <w:t xml:space="preserve">), and cryopreserved according to the manufacturer’s instructions and stored at -80°C. </w:t>
      </w:r>
      <w:r>
        <w:rPr>
          <w:rFonts w:ascii="Arial" w:hAnsi="Arial" w:cs="Arial"/>
          <w:color w:val="000000" w:themeColor="text1"/>
          <w:sz w:val="22"/>
          <w:szCs w:val="22"/>
          <w:lang w:val="en-US"/>
        </w:rPr>
        <w:t xml:space="preserve">Cell lines were transduced at a MOI of 3. Transgene expression was confirmed by flow cytometry (Anti-CD19-APC, Miltenyi Biotec) Transduced cells were enriched by magnetic separation using anti-CD19 microbeads according to Miltenyi </w:t>
      </w:r>
      <w:proofErr w:type="spellStart"/>
      <w:r>
        <w:rPr>
          <w:rFonts w:ascii="Arial" w:hAnsi="Arial" w:cs="Arial"/>
          <w:color w:val="000000" w:themeColor="text1"/>
          <w:sz w:val="22"/>
          <w:szCs w:val="22"/>
          <w:lang w:val="en-US"/>
        </w:rPr>
        <w:t>Biotec’s</w:t>
      </w:r>
      <w:proofErr w:type="spellEnd"/>
      <w:r>
        <w:rPr>
          <w:rFonts w:ascii="Arial" w:hAnsi="Arial" w:cs="Arial"/>
          <w:color w:val="000000" w:themeColor="text1"/>
          <w:sz w:val="22"/>
          <w:szCs w:val="22"/>
          <w:lang w:val="en-US"/>
        </w:rPr>
        <w:t xml:space="preserve"> CD19 Micro Bead protocols (Miltenyi Biotec). </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lastRenderedPageBreak/>
        <w:t>All cell lines (U937, Molm13, HL60) were purchased from ATCC or DSMZ. All cell lines were maintained in RPMI 1640 media supplemented with 10 % heat inactivated fetal bovine serum (FBS) (Thermo Fisher Scientific), 2 mM L-glutamine (</w:t>
      </w:r>
      <w:proofErr w:type="spellStart"/>
      <w:r>
        <w:rPr>
          <w:rFonts w:ascii="Arial" w:hAnsi="Arial" w:cs="Arial"/>
          <w:color w:val="000000" w:themeColor="text1"/>
          <w:sz w:val="22"/>
          <w:szCs w:val="22"/>
          <w:lang w:val="en-US"/>
        </w:rPr>
        <w:t>Biochrom</w:t>
      </w:r>
      <w:proofErr w:type="spellEnd"/>
      <w:r>
        <w:rPr>
          <w:rFonts w:ascii="Arial" w:hAnsi="Arial" w:cs="Arial"/>
          <w:color w:val="000000" w:themeColor="text1"/>
          <w:sz w:val="22"/>
          <w:szCs w:val="22"/>
          <w:lang w:val="en-US"/>
        </w:rPr>
        <w:t>), 1 mM sodium pyruvate (</w:t>
      </w:r>
      <w:proofErr w:type="spellStart"/>
      <w:r>
        <w:rPr>
          <w:rFonts w:ascii="Arial" w:hAnsi="Arial" w:cs="Arial"/>
          <w:color w:val="000000" w:themeColor="text1"/>
          <w:sz w:val="22"/>
          <w:szCs w:val="22"/>
          <w:lang w:val="en-US"/>
        </w:rPr>
        <w:t>Biochrom</w:t>
      </w:r>
      <w:proofErr w:type="spellEnd"/>
      <w:r>
        <w:rPr>
          <w:rFonts w:ascii="Arial" w:hAnsi="Arial" w:cs="Arial"/>
          <w:color w:val="000000" w:themeColor="text1"/>
          <w:sz w:val="22"/>
          <w:szCs w:val="22"/>
          <w:lang w:val="en-US"/>
        </w:rPr>
        <w:t>) and 100 units/mL of penicillin and 100 µg/mL of streptomycin (</w:t>
      </w:r>
      <w:proofErr w:type="spellStart"/>
      <w:r>
        <w:rPr>
          <w:rFonts w:ascii="Arial" w:hAnsi="Arial" w:cs="Arial"/>
          <w:color w:val="000000" w:themeColor="text1"/>
          <w:sz w:val="22"/>
          <w:szCs w:val="22"/>
          <w:lang w:val="en-US"/>
        </w:rPr>
        <w:t>Biochrom</w:t>
      </w:r>
      <w:proofErr w:type="spellEnd"/>
      <w:r>
        <w:rPr>
          <w:rFonts w:ascii="Arial" w:hAnsi="Arial" w:cs="Arial"/>
          <w:color w:val="000000" w:themeColor="text1"/>
          <w:sz w:val="22"/>
          <w:szCs w:val="22"/>
          <w:lang w:val="en-US"/>
        </w:rPr>
        <w:t>), referred to as complete media. All cells were cultured at 37 °C, 5% CO</w:t>
      </w:r>
      <w:r>
        <w:rPr>
          <w:rFonts w:ascii="Arial" w:hAnsi="Arial" w:cs="Arial"/>
          <w:color w:val="000000" w:themeColor="text1"/>
          <w:sz w:val="22"/>
          <w:szCs w:val="22"/>
          <w:vertAlign w:val="subscript"/>
          <w:lang w:val="en-US"/>
        </w:rPr>
        <w:t>2</w:t>
      </w:r>
      <w:r>
        <w:rPr>
          <w:rFonts w:ascii="Arial" w:hAnsi="Arial" w:cs="Arial"/>
          <w:color w:val="000000" w:themeColor="text1"/>
          <w:sz w:val="22"/>
          <w:szCs w:val="22"/>
          <w:lang w:val="en-US"/>
        </w:rPr>
        <w:t>, and regularly tested for mycoplasma.</w:t>
      </w:r>
    </w:p>
    <w:p>
      <w:pPr>
        <w:spacing w:line="480" w:lineRule="auto"/>
        <w:jc w:val="both"/>
        <w:rPr>
          <w:rFonts w:ascii="Arial" w:hAnsi="Arial" w:cs="Arial"/>
          <w:color w:val="000000" w:themeColor="text1"/>
          <w:sz w:val="22"/>
          <w:szCs w:val="22"/>
          <w:lang w:val="en-US"/>
        </w:rPr>
      </w:pPr>
    </w:p>
    <w:p>
      <w:pPr>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t>Generation of luciferase expressing PDX cells</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The PDX was derived from patient No. 21 of our target screen cohort, see </w:t>
      </w:r>
      <w:r>
        <w:rPr>
          <w:rFonts w:ascii="Arial" w:hAnsi="Arial" w:cs="Arial"/>
          <w:b/>
          <w:color w:val="000000" w:themeColor="text1"/>
          <w:sz w:val="22"/>
          <w:szCs w:val="22"/>
          <w:lang w:val="en-US"/>
        </w:rPr>
        <w:t>Figure 1A</w:t>
      </w:r>
      <w:r>
        <w:rPr>
          <w:rFonts w:ascii="Arial" w:hAnsi="Arial" w:cs="Arial"/>
          <w:color w:val="000000" w:themeColor="text1"/>
          <w:sz w:val="22"/>
          <w:szCs w:val="22"/>
          <w:lang w:val="en-US"/>
        </w:rPr>
        <w:t xml:space="preserve"> and </w:t>
      </w:r>
      <w:r>
        <w:rPr>
          <w:rFonts w:ascii="Arial" w:hAnsi="Arial" w:cs="Arial"/>
          <w:b/>
          <w:color w:val="000000" w:themeColor="text1"/>
          <w:sz w:val="22"/>
          <w:szCs w:val="22"/>
          <w:lang w:val="en-US"/>
        </w:rPr>
        <w:t>Figure 4A</w:t>
      </w:r>
      <w:r>
        <w:rPr>
          <w:rFonts w:ascii="Arial" w:hAnsi="Arial" w:cs="Arial"/>
          <w:color w:val="000000" w:themeColor="text1"/>
          <w:sz w:val="22"/>
          <w:szCs w:val="22"/>
          <w:lang w:val="en-US"/>
        </w:rPr>
        <w:t xml:space="preserve">. And engrafted in 6-8-week old </w:t>
      </w:r>
      <w:proofErr w:type="spellStart"/>
      <w:r>
        <w:rPr>
          <w:rFonts w:ascii="Arial" w:hAnsi="Arial" w:cs="Arial"/>
          <w:color w:val="000000" w:themeColor="text1"/>
          <w:sz w:val="22"/>
          <w:szCs w:val="22"/>
          <w:lang w:val="en-US"/>
        </w:rPr>
        <w:t>NOD.Cg-PrkdcSCID</w:t>
      </w:r>
      <w:proofErr w:type="spellEnd"/>
      <w:r>
        <w:rPr>
          <w:rFonts w:ascii="Arial" w:hAnsi="Arial" w:cs="Arial"/>
          <w:color w:val="000000" w:themeColor="text1"/>
          <w:sz w:val="22"/>
          <w:szCs w:val="22"/>
          <w:lang w:val="en-US"/>
        </w:rPr>
        <w:t xml:space="preserve"> Il2rgtm1Wjl/</w:t>
      </w:r>
      <w:proofErr w:type="spellStart"/>
      <w:r>
        <w:rPr>
          <w:rFonts w:ascii="Arial" w:hAnsi="Arial" w:cs="Arial"/>
          <w:color w:val="000000" w:themeColor="text1"/>
          <w:sz w:val="22"/>
          <w:szCs w:val="22"/>
          <w:lang w:val="en-US"/>
        </w:rPr>
        <w:t>SzJ</w:t>
      </w:r>
      <w:proofErr w:type="spellEnd"/>
      <w:r>
        <w:rPr>
          <w:rFonts w:ascii="Arial" w:hAnsi="Arial" w:cs="Arial"/>
          <w:color w:val="000000" w:themeColor="text1"/>
          <w:sz w:val="22"/>
          <w:szCs w:val="22"/>
          <w:lang w:val="en-US"/>
        </w:rPr>
        <w:t xml:space="preserve"> (NSG) mice of female sex from Charles River Laboratories. Tumor burden was measured by analysis of blood collected from the tail vein. Cells were treated with Red Blood Cell (RBC) Lysis Buffer for 10 min and washed in CliniMACS® PBS/EDTA buffer for staining with fluorophore conjugated antibodies against anti-mouseCD45-PE-Cy7, anti-humanCD45-FITC, and 7-AAD. Samples were acquired on BD </w:t>
      </w:r>
      <w:proofErr w:type="spellStart"/>
      <w:r>
        <w:rPr>
          <w:rFonts w:ascii="Arial" w:hAnsi="Arial" w:cs="Arial"/>
          <w:color w:val="000000" w:themeColor="text1"/>
          <w:sz w:val="22"/>
          <w:szCs w:val="22"/>
          <w:lang w:val="en-US"/>
        </w:rPr>
        <w:t>FACSCanto</w:t>
      </w:r>
      <w:proofErr w:type="spellEnd"/>
      <w:r>
        <w:rPr>
          <w:rFonts w:ascii="Arial" w:hAnsi="Arial" w:cs="Arial"/>
          <w:color w:val="000000" w:themeColor="text1"/>
          <w:sz w:val="22"/>
          <w:szCs w:val="22"/>
          <w:lang w:val="en-US"/>
        </w:rPr>
        <w:t xml:space="preserve">™ II flow cytometer in BD </w:t>
      </w:r>
      <w:proofErr w:type="spellStart"/>
      <w:r>
        <w:rPr>
          <w:rFonts w:ascii="Arial" w:hAnsi="Arial" w:cs="Arial"/>
          <w:color w:val="000000" w:themeColor="text1"/>
          <w:sz w:val="22"/>
          <w:szCs w:val="22"/>
          <w:lang w:val="en-US"/>
        </w:rPr>
        <w:t>FACSDiva</w:t>
      </w:r>
      <w:proofErr w:type="spellEnd"/>
      <w:r>
        <w:rPr>
          <w:rFonts w:ascii="Arial" w:hAnsi="Arial" w:cs="Arial"/>
          <w:color w:val="000000" w:themeColor="text1"/>
          <w:sz w:val="22"/>
          <w:szCs w:val="22"/>
          <w:lang w:val="en-US"/>
        </w:rPr>
        <w:t xml:space="preserve">™ software and further analyzed using </w:t>
      </w:r>
      <w:proofErr w:type="spellStart"/>
      <w:r>
        <w:rPr>
          <w:rFonts w:ascii="Arial" w:hAnsi="Arial" w:cs="Arial"/>
          <w:color w:val="000000" w:themeColor="text1"/>
          <w:sz w:val="22"/>
          <w:szCs w:val="22"/>
          <w:lang w:val="en-US"/>
        </w:rPr>
        <w:t>FlowJo</w:t>
      </w:r>
      <w:proofErr w:type="spellEnd"/>
      <w:r>
        <w:rPr>
          <w:rFonts w:ascii="Arial" w:hAnsi="Arial" w:cs="Arial"/>
          <w:color w:val="000000" w:themeColor="text1"/>
          <w:sz w:val="22"/>
          <w:szCs w:val="22"/>
          <w:lang w:val="en-US"/>
        </w:rPr>
        <w:t xml:space="preserve"> 10.8 software. PDX AML cells were freshly isolated from mouse spleen or BM and re-suspended in RPMI-Medium (Life Technologies) supplemented with 20 % fetal calf serum (</w:t>
      </w:r>
      <w:proofErr w:type="spellStart"/>
      <w:r>
        <w:rPr>
          <w:rFonts w:ascii="Arial" w:hAnsi="Arial" w:cs="Arial"/>
          <w:color w:val="000000" w:themeColor="text1"/>
          <w:sz w:val="22"/>
          <w:szCs w:val="22"/>
          <w:lang w:val="en-US"/>
        </w:rPr>
        <w:t>Biochrom</w:t>
      </w:r>
      <w:proofErr w:type="spellEnd"/>
      <w:r>
        <w:rPr>
          <w:rFonts w:ascii="Arial" w:hAnsi="Arial" w:cs="Arial"/>
          <w:color w:val="000000" w:themeColor="text1"/>
          <w:sz w:val="22"/>
          <w:szCs w:val="22"/>
          <w:lang w:val="en-US"/>
        </w:rPr>
        <w:t>), 5 % L-</w:t>
      </w:r>
      <w:proofErr w:type="spellStart"/>
      <w:r>
        <w:rPr>
          <w:rFonts w:ascii="Arial" w:hAnsi="Arial" w:cs="Arial"/>
          <w:color w:val="000000" w:themeColor="text1"/>
          <w:sz w:val="22"/>
          <w:szCs w:val="22"/>
          <w:lang w:val="en-US"/>
        </w:rPr>
        <w:t>Glutamin</w:t>
      </w:r>
      <w:proofErr w:type="spellEnd"/>
      <w:r>
        <w:rPr>
          <w:rFonts w:ascii="Arial" w:hAnsi="Arial" w:cs="Arial"/>
          <w:color w:val="000000" w:themeColor="text1"/>
          <w:sz w:val="22"/>
          <w:szCs w:val="22"/>
          <w:lang w:val="en-US"/>
        </w:rPr>
        <w:t xml:space="preserve">, 1 % Penicillin/Streptomycin, 0.6 % mixture of rh insulin/human transferrin/sodium selenite (Life Technologies), 1 mM sodium pyruvate, and 50 </w:t>
      </w:r>
      <w:proofErr w:type="spellStart"/>
      <w:r>
        <w:rPr>
          <w:rFonts w:ascii="Arial" w:hAnsi="Arial" w:cs="Arial"/>
          <w:color w:val="000000" w:themeColor="text1"/>
          <w:sz w:val="22"/>
          <w:szCs w:val="22"/>
          <w:lang w:val="en-US"/>
        </w:rPr>
        <w:t>μM</w:t>
      </w:r>
      <w:proofErr w:type="spellEnd"/>
      <w:r>
        <w:rPr>
          <w:rFonts w:ascii="Arial" w:hAnsi="Arial" w:cs="Arial"/>
          <w:color w:val="000000" w:themeColor="text1"/>
          <w:sz w:val="22"/>
          <w:szCs w:val="22"/>
          <w:lang w:val="en-US"/>
        </w:rPr>
        <w:t xml:space="preserve"> 1-thioglycerole (Sigma-Aldrich). 1 x 10</w:t>
      </w:r>
      <w:r>
        <w:rPr>
          <w:rFonts w:ascii="Arial" w:hAnsi="Arial" w:cs="Arial"/>
          <w:color w:val="000000" w:themeColor="text1"/>
          <w:sz w:val="22"/>
          <w:szCs w:val="22"/>
          <w:vertAlign w:val="superscript"/>
          <w:lang w:val="en-US"/>
        </w:rPr>
        <w:t>6</w:t>
      </w:r>
      <w:r>
        <w:rPr>
          <w:rFonts w:ascii="Arial" w:hAnsi="Arial" w:cs="Arial"/>
          <w:color w:val="000000" w:themeColor="text1"/>
          <w:sz w:val="22"/>
          <w:szCs w:val="22"/>
          <w:lang w:val="en-US"/>
        </w:rPr>
        <w:t xml:space="preserve"> cells in 1 ml medium were transferred to a cell culture plate and were transduced overnight with lentiviral construct luc-19t in the presence of 8 </w:t>
      </w:r>
      <w:proofErr w:type="spellStart"/>
      <w:r>
        <w:rPr>
          <w:rFonts w:ascii="Arial" w:hAnsi="Arial" w:cs="Arial"/>
          <w:color w:val="000000" w:themeColor="text1"/>
          <w:sz w:val="22"/>
          <w:szCs w:val="22"/>
          <w:lang w:val="en-US"/>
        </w:rPr>
        <w:t>μg</w:t>
      </w:r>
      <w:proofErr w:type="spellEnd"/>
      <w:r>
        <w:rPr>
          <w:rFonts w:ascii="Arial" w:hAnsi="Arial" w:cs="Arial"/>
          <w:color w:val="000000" w:themeColor="text1"/>
          <w:sz w:val="22"/>
          <w:szCs w:val="22"/>
          <w:lang w:val="en-US"/>
        </w:rPr>
        <w:t xml:space="preserve">/ml polybrene (Sigma-Aldrich). After 24 h, cells were washed three times with sterile filtered PBS, re-suspended in PBS, and re-injected into next generation recipient mice. </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At advanced leukemic disease, mice were sacrificed, cells were re-isolated and percentage of PDX AML cells expressing luciferase-CD19t (</w:t>
      </w:r>
      <w:proofErr w:type="spellStart"/>
      <w:r>
        <w:rPr>
          <w:rFonts w:ascii="Arial" w:hAnsi="Arial" w:cs="Arial"/>
          <w:color w:val="000000" w:themeColor="text1"/>
          <w:sz w:val="22"/>
          <w:szCs w:val="22"/>
          <w:lang w:val="en-US"/>
        </w:rPr>
        <w:t>PDX</w:t>
      </w:r>
      <w:r>
        <w:rPr>
          <w:rFonts w:ascii="Arial" w:hAnsi="Arial" w:cs="Arial"/>
          <w:color w:val="000000" w:themeColor="text1"/>
          <w:sz w:val="22"/>
          <w:szCs w:val="22"/>
          <w:vertAlign w:val="superscript"/>
          <w:lang w:val="en-US"/>
        </w:rPr>
        <w:t>luc</w:t>
      </w:r>
      <w:proofErr w:type="spellEnd"/>
      <w:r>
        <w:rPr>
          <w:rFonts w:ascii="Arial" w:hAnsi="Arial" w:cs="Arial"/>
          <w:color w:val="000000" w:themeColor="text1"/>
          <w:sz w:val="22"/>
          <w:szCs w:val="22"/>
          <w:vertAlign w:val="superscript"/>
          <w:lang w:val="en-US"/>
        </w:rPr>
        <w:t>/19t</w:t>
      </w:r>
      <w:r>
        <w:rPr>
          <w:rFonts w:ascii="Arial" w:hAnsi="Arial" w:cs="Arial"/>
          <w:color w:val="000000" w:themeColor="text1"/>
          <w:sz w:val="22"/>
          <w:szCs w:val="22"/>
          <w:lang w:val="en-US"/>
        </w:rPr>
        <w:t xml:space="preserve">) was analyzed on an </w:t>
      </w:r>
      <w:proofErr w:type="spellStart"/>
      <w:r>
        <w:rPr>
          <w:rFonts w:ascii="Arial" w:hAnsi="Arial" w:cs="Arial"/>
          <w:color w:val="000000" w:themeColor="text1"/>
          <w:sz w:val="22"/>
          <w:szCs w:val="22"/>
          <w:lang w:val="en-US"/>
        </w:rPr>
        <w:t>LSRFortessa</w:t>
      </w:r>
      <w:proofErr w:type="spellEnd"/>
      <w:r>
        <w:rPr>
          <w:rFonts w:ascii="Arial" w:hAnsi="Arial" w:cs="Arial"/>
          <w:color w:val="000000" w:themeColor="text1"/>
          <w:sz w:val="22"/>
          <w:szCs w:val="22"/>
          <w:lang w:val="en-US"/>
        </w:rPr>
        <w:t xml:space="preserve"> Cell Analyzer. </w:t>
      </w:r>
      <w:proofErr w:type="spellStart"/>
      <w:r>
        <w:rPr>
          <w:rFonts w:ascii="Arial" w:hAnsi="Arial" w:cs="Arial"/>
          <w:color w:val="000000" w:themeColor="text1"/>
          <w:sz w:val="22"/>
          <w:szCs w:val="22"/>
          <w:lang w:val="en-US"/>
        </w:rPr>
        <w:t>PDX</w:t>
      </w:r>
      <w:r>
        <w:rPr>
          <w:rFonts w:ascii="Arial" w:hAnsi="Arial" w:cs="Arial"/>
          <w:color w:val="000000" w:themeColor="text1"/>
          <w:sz w:val="22"/>
          <w:szCs w:val="22"/>
          <w:vertAlign w:val="superscript"/>
          <w:lang w:val="en-US"/>
        </w:rPr>
        <w:t>luc</w:t>
      </w:r>
      <w:proofErr w:type="spellEnd"/>
      <w:r>
        <w:rPr>
          <w:rFonts w:ascii="Arial" w:hAnsi="Arial" w:cs="Arial"/>
          <w:color w:val="000000" w:themeColor="text1"/>
          <w:sz w:val="22"/>
          <w:szCs w:val="22"/>
          <w:vertAlign w:val="superscript"/>
          <w:lang w:val="en-US"/>
        </w:rPr>
        <w:t>/19t</w:t>
      </w:r>
      <w:r>
        <w:rPr>
          <w:rFonts w:ascii="Arial" w:hAnsi="Arial" w:cs="Arial"/>
          <w:color w:val="000000" w:themeColor="text1"/>
          <w:sz w:val="22"/>
          <w:szCs w:val="22"/>
          <w:lang w:val="en-US"/>
        </w:rPr>
        <w:t xml:space="preserve"> cells were enriched by magnetic cell separation using CD19 </w:t>
      </w:r>
      <w:proofErr w:type="spellStart"/>
      <w:r>
        <w:rPr>
          <w:rFonts w:ascii="Arial" w:hAnsi="Arial" w:cs="Arial"/>
          <w:color w:val="000000" w:themeColor="text1"/>
          <w:sz w:val="22"/>
          <w:szCs w:val="22"/>
          <w:lang w:val="en-US"/>
        </w:rPr>
        <w:t>MicroBeads</w:t>
      </w:r>
      <w:proofErr w:type="spellEnd"/>
      <w:r>
        <w:rPr>
          <w:rFonts w:ascii="Arial" w:hAnsi="Arial" w:cs="Arial"/>
          <w:color w:val="000000" w:themeColor="text1"/>
          <w:sz w:val="22"/>
          <w:szCs w:val="22"/>
          <w:lang w:val="en-US"/>
        </w:rPr>
        <w:t xml:space="preserve"> according to the manufacturer’s protocol (Miltenyi Biotech). Enriched cells were re-injected into </w:t>
      </w:r>
      <w:r>
        <w:rPr>
          <w:rFonts w:ascii="Arial" w:hAnsi="Arial" w:cs="Arial"/>
          <w:color w:val="000000" w:themeColor="text1"/>
          <w:sz w:val="22"/>
          <w:szCs w:val="22"/>
          <w:lang w:val="en-US"/>
        </w:rPr>
        <w:lastRenderedPageBreak/>
        <w:t>mice for amplification. Enrichment was repeated once, if necessary, to achieve &gt;90% transgenic cells.</w:t>
      </w:r>
    </w:p>
    <w:p>
      <w:pPr>
        <w:spacing w:line="480" w:lineRule="auto"/>
        <w:jc w:val="both"/>
        <w:rPr>
          <w:rFonts w:ascii="Arial" w:hAnsi="Arial" w:cs="Arial"/>
          <w:color w:val="000000" w:themeColor="text1"/>
          <w:sz w:val="22"/>
          <w:szCs w:val="22"/>
          <w:lang w:val="en-US"/>
        </w:rPr>
      </w:pPr>
    </w:p>
    <w:p>
      <w:pPr>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t>Generation of knockout cell lines using CRISPR/Cas9 technology</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All gRNAs were designed with the online tool “CHOPCHOP” (http://chopchop.cbu.uib.no/, April 16, 2020) and synthesized as sgRNAs by Thermo Fisher Scientific. All gRNAs were dissolved in an appropriate amount of TRIS buffer (10 mM Tris, pH 8.0) to get working solutions of 100 </w:t>
      </w:r>
      <w:proofErr w:type="spellStart"/>
      <w:r>
        <w:rPr>
          <w:rFonts w:ascii="Arial" w:hAnsi="Arial" w:cs="Arial"/>
          <w:color w:val="000000" w:themeColor="text1"/>
          <w:sz w:val="22"/>
          <w:szCs w:val="22"/>
          <w:lang w:val="en-US"/>
        </w:rPr>
        <w:t>pmol</w:t>
      </w:r>
      <w:proofErr w:type="spellEnd"/>
      <w:r>
        <w:rPr>
          <w:rFonts w:ascii="Arial" w:hAnsi="Arial" w:cs="Arial"/>
          <w:color w:val="000000" w:themeColor="text1"/>
          <w:sz w:val="22"/>
          <w:szCs w:val="22"/>
          <w:lang w:val="en-US"/>
        </w:rPr>
        <w:t>/µl and aliquoted to avoid freeze-thaw cycles and stored at -20°C until use. To transfect 2 x 10</w:t>
      </w:r>
      <w:r>
        <w:rPr>
          <w:rFonts w:ascii="Arial" w:hAnsi="Arial" w:cs="Arial"/>
          <w:color w:val="000000" w:themeColor="text1"/>
          <w:sz w:val="22"/>
          <w:szCs w:val="22"/>
          <w:vertAlign w:val="superscript"/>
          <w:lang w:val="en-US"/>
        </w:rPr>
        <w:t>6</w:t>
      </w:r>
      <w:r>
        <w:rPr>
          <w:rFonts w:ascii="Arial" w:hAnsi="Arial" w:cs="Arial"/>
          <w:color w:val="000000" w:themeColor="text1"/>
          <w:sz w:val="22"/>
          <w:szCs w:val="22"/>
          <w:lang w:val="en-US"/>
        </w:rPr>
        <w:t xml:space="preserve"> cells a total of 12,5 µg </w:t>
      </w:r>
      <w:proofErr w:type="spellStart"/>
      <w:r>
        <w:rPr>
          <w:rFonts w:ascii="Arial" w:hAnsi="Arial" w:cs="Arial"/>
          <w:color w:val="000000" w:themeColor="text1"/>
          <w:sz w:val="22"/>
          <w:szCs w:val="22"/>
          <w:lang w:val="en-US"/>
        </w:rPr>
        <w:t>TrueCut</w:t>
      </w:r>
      <w:proofErr w:type="spellEnd"/>
      <w:r>
        <w:rPr>
          <w:rFonts w:ascii="Arial" w:hAnsi="Arial" w:cs="Arial"/>
          <w:color w:val="000000" w:themeColor="text1"/>
          <w:sz w:val="22"/>
          <w:szCs w:val="22"/>
          <w:lang w:val="en-US"/>
        </w:rPr>
        <w:t xml:space="preserve"> Cas9 Protein v2 (Thermo Fisher Scientific) and 75pmoles gRNA were mixed and incubated for at least 10 min, maximum 30 min at RT to form the CRISPR/RNP complex. Transfection of the RNP was done with the Neon™ Transfection System 100 µl Kit according to the manufacturer’s instructions. Knockout cells were enriched by bulk fluorescence-activated cell sorting (FACS). </w:t>
      </w:r>
    </w:p>
    <w:p>
      <w:pPr>
        <w:spacing w:line="480" w:lineRule="auto"/>
        <w:jc w:val="both"/>
        <w:rPr>
          <w:rFonts w:ascii="Arial" w:hAnsi="Arial" w:cs="Arial"/>
          <w:color w:val="000000" w:themeColor="text1"/>
          <w:sz w:val="22"/>
          <w:szCs w:val="22"/>
          <w:lang w:val="en-US"/>
        </w:rPr>
      </w:pPr>
    </w:p>
    <w:p>
      <w:pPr>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t xml:space="preserve">Luciferase-Based Cytotoxicity Assay (LCA) </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Tumor cells were plated in complete RPMI media in white 96-well flat-bottomed plates (Greiner Bio One) with 2 x 10</w:t>
      </w:r>
      <w:r>
        <w:rPr>
          <w:rFonts w:ascii="Arial" w:hAnsi="Arial" w:cs="Arial"/>
          <w:color w:val="000000" w:themeColor="text1"/>
          <w:sz w:val="22"/>
          <w:szCs w:val="22"/>
          <w:vertAlign w:val="superscript"/>
          <w:lang w:val="en-US"/>
        </w:rPr>
        <w:t>4</w:t>
      </w:r>
      <w:r>
        <w:rPr>
          <w:rFonts w:ascii="Arial" w:hAnsi="Arial" w:cs="Arial"/>
          <w:color w:val="000000" w:themeColor="text1"/>
          <w:sz w:val="22"/>
          <w:szCs w:val="22"/>
          <w:lang w:val="en-US"/>
        </w:rPr>
        <w:t xml:space="preserve"> cells per well. Synthetic D-luciferin (Sigma Aldrich) was added to each well at 4 µg/</w:t>
      </w:r>
      <w:proofErr w:type="spellStart"/>
      <w:r>
        <w:rPr>
          <w:rFonts w:ascii="Arial" w:hAnsi="Arial" w:cs="Arial"/>
          <w:color w:val="000000" w:themeColor="text1"/>
          <w:sz w:val="22"/>
          <w:szCs w:val="22"/>
          <w:lang w:val="en-US"/>
        </w:rPr>
        <w:t>mL.</w:t>
      </w:r>
      <w:proofErr w:type="spellEnd"/>
      <w:r>
        <w:rPr>
          <w:rFonts w:ascii="Arial" w:hAnsi="Arial" w:cs="Arial"/>
          <w:color w:val="000000" w:themeColor="text1"/>
          <w:sz w:val="22"/>
          <w:szCs w:val="22"/>
          <w:lang w:val="en-US"/>
        </w:rPr>
        <w:t xml:space="preserve"> Effector cells were plated at the indicated effector to target ratio (</w:t>
      </w:r>
      <w:proofErr w:type="gramStart"/>
      <w:r>
        <w:rPr>
          <w:rFonts w:ascii="Arial" w:hAnsi="Arial" w:cs="Arial"/>
          <w:color w:val="000000" w:themeColor="text1"/>
          <w:sz w:val="22"/>
          <w:szCs w:val="22"/>
          <w:lang w:val="en-US"/>
        </w:rPr>
        <w:t>E:T</w:t>
      </w:r>
      <w:proofErr w:type="gramEnd"/>
      <w:r>
        <w:rPr>
          <w:rFonts w:ascii="Arial" w:hAnsi="Arial" w:cs="Arial"/>
          <w:color w:val="000000" w:themeColor="text1"/>
          <w:sz w:val="22"/>
          <w:szCs w:val="22"/>
          <w:lang w:val="en-US"/>
        </w:rPr>
        <w:t xml:space="preserve">). </w:t>
      </w:r>
      <w:proofErr w:type="gramStart"/>
      <w:r>
        <w:rPr>
          <w:rFonts w:ascii="Arial" w:hAnsi="Arial" w:cs="Arial"/>
          <w:color w:val="000000" w:themeColor="text1"/>
          <w:sz w:val="22"/>
          <w:szCs w:val="22"/>
          <w:lang w:val="en-US"/>
        </w:rPr>
        <w:t>E:T</w:t>
      </w:r>
      <w:proofErr w:type="gramEnd"/>
      <w:r>
        <w:rPr>
          <w:rFonts w:ascii="Arial" w:hAnsi="Arial" w:cs="Arial"/>
          <w:color w:val="000000" w:themeColor="text1"/>
          <w:sz w:val="22"/>
          <w:szCs w:val="22"/>
          <w:lang w:val="en-US"/>
        </w:rPr>
        <w:t xml:space="preserve"> titration ranged from 4:1 to 1:32 at therapeutic antibody concentrations of 10 ng/</w:t>
      </w:r>
      <w:proofErr w:type="spellStart"/>
      <w:r>
        <w:rPr>
          <w:rFonts w:ascii="Arial" w:hAnsi="Arial" w:cs="Arial"/>
          <w:color w:val="000000" w:themeColor="text1"/>
          <w:sz w:val="22"/>
          <w:szCs w:val="22"/>
          <w:lang w:val="en-US"/>
        </w:rPr>
        <w:t>mL.</w:t>
      </w:r>
      <w:proofErr w:type="spellEnd"/>
      <w:r>
        <w:rPr>
          <w:rFonts w:ascii="Arial" w:hAnsi="Arial" w:cs="Arial"/>
          <w:color w:val="000000" w:themeColor="text1"/>
          <w:sz w:val="22"/>
          <w:szCs w:val="22"/>
          <w:lang w:val="en-US"/>
        </w:rPr>
        <w:t xml:space="preserve"> Therapeutic antibody titrations were performed at concentrations from 100 ng/ml in logarithmic steps until 0.1 </w:t>
      </w:r>
      <w:proofErr w:type="spellStart"/>
      <w:r>
        <w:rPr>
          <w:rFonts w:ascii="Arial" w:hAnsi="Arial" w:cs="Arial"/>
          <w:color w:val="000000" w:themeColor="text1"/>
          <w:sz w:val="22"/>
          <w:szCs w:val="22"/>
          <w:lang w:val="en-US"/>
        </w:rPr>
        <w:t>pg</w:t>
      </w:r>
      <w:proofErr w:type="spellEnd"/>
      <w:r>
        <w:rPr>
          <w:rFonts w:ascii="Arial" w:hAnsi="Arial" w:cs="Arial"/>
          <w:color w:val="000000" w:themeColor="text1"/>
          <w:sz w:val="22"/>
          <w:szCs w:val="22"/>
          <w:lang w:val="en-US"/>
        </w:rPr>
        <w:t xml:space="preserve">/ml at </w:t>
      </w:r>
      <w:proofErr w:type="gramStart"/>
      <w:r>
        <w:rPr>
          <w:rFonts w:ascii="Arial" w:hAnsi="Arial" w:cs="Arial"/>
          <w:color w:val="000000" w:themeColor="text1"/>
          <w:sz w:val="22"/>
          <w:szCs w:val="22"/>
          <w:lang w:val="en-US"/>
        </w:rPr>
        <w:t>E:T</w:t>
      </w:r>
      <w:proofErr w:type="gramEnd"/>
      <w:r>
        <w:rPr>
          <w:rFonts w:ascii="Arial" w:hAnsi="Arial" w:cs="Arial"/>
          <w:color w:val="000000" w:themeColor="text1"/>
          <w:sz w:val="22"/>
          <w:szCs w:val="22"/>
          <w:lang w:val="en-US"/>
        </w:rPr>
        <w:t xml:space="preserve"> 1:1 (HL60 and Molm13) and 1:4 (U937). The total volume per well was 200 µL. Plates were incubated in a </w:t>
      </w:r>
      <w:proofErr w:type="spellStart"/>
      <w:r>
        <w:rPr>
          <w:rFonts w:ascii="Arial" w:hAnsi="Arial" w:cs="Arial"/>
          <w:color w:val="000000" w:themeColor="text1"/>
          <w:sz w:val="22"/>
          <w:szCs w:val="22"/>
          <w:lang w:val="en-US"/>
        </w:rPr>
        <w:t>HERAcell</w:t>
      </w:r>
      <w:proofErr w:type="spellEnd"/>
      <w:r>
        <w:rPr>
          <w:rFonts w:ascii="Arial" w:hAnsi="Arial" w:cs="Arial"/>
          <w:color w:val="000000" w:themeColor="text1"/>
          <w:sz w:val="22"/>
          <w:szCs w:val="22"/>
          <w:lang w:val="en-US"/>
        </w:rPr>
        <w:t xml:space="preserve"> incubator (Heraeus) at 37 °C, 95 % humidity, and 5 % CO2. Bioluminescence was measured using the Tecan SPARK microplate reader (Perkin Elmer) at 37 °C, at the indicated time intervals. Lysis was calculated by the relative luminescence of the testing conditions according to a lysis formula based on a standard dilution series. </w:t>
      </w:r>
    </w:p>
    <w:p>
      <w:pPr>
        <w:spacing w:line="480" w:lineRule="auto"/>
        <w:jc w:val="both"/>
        <w:rPr>
          <w:rFonts w:ascii="Arial" w:hAnsi="Arial" w:cs="Arial"/>
          <w:b/>
          <w:color w:val="000000" w:themeColor="text1"/>
          <w:sz w:val="22"/>
          <w:szCs w:val="22"/>
          <w:lang w:val="en-US"/>
        </w:rPr>
      </w:pPr>
    </w:p>
    <w:p>
      <w:pPr>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t>Patient samples for flow cytometry analysis</w:t>
      </w:r>
    </w:p>
    <w:p>
      <w:pPr>
        <w:spacing w:line="480" w:lineRule="auto"/>
        <w:jc w:val="both"/>
        <w:rPr>
          <w:rFonts w:ascii="Arial" w:hAnsi="Arial" w:cs="Arial"/>
          <w:bCs/>
          <w:color w:val="000000" w:themeColor="text1"/>
          <w:sz w:val="22"/>
          <w:szCs w:val="22"/>
          <w:lang w:val="en-US"/>
        </w:rPr>
      </w:pPr>
      <w:r>
        <w:rPr>
          <w:rFonts w:ascii="Arial" w:hAnsi="Arial" w:cs="Arial"/>
          <w:bCs/>
          <w:color w:val="000000" w:themeColor="text1"/>
          <w:sz w:val="22"/>
          <w:szCs w:val="22"/>
          <w:lang w:val="en-US"/>
        </w:rPr>
        <w:lastRenderedPageBreak/>
        <w:t>BM samples were collected from AML patients at initial-diagnosis or relapse after obtaining written informed consent. This study was approved by the Institutional Ethical Review Board (“</w:t>
      </w:r>
      <w:proofErr w:type="spellStart"/>
      <w:r>
        <w:rPr>
          <w:rFonts w:ascii="Arial" w:hAnsi="Arial" w:cs="Arial"/>
          <w:bCs/>
          <w:color w:val="000000" w:themeColor="text1"/>
          <w:sz w:val="22"/>
          <w:szCs w:val="22"/>
          <w:lang w:val="en-US"/>
        </w:rPr>
        <w:t>Ethikkommission</w:t>
      </w:r>
      <w:proofErr w:type="spellEnd"/>
      <w:r>
        <w:rPr>
          <w:rFonts w:ascii="Arial" w:hAnsi="Arial" w:cs="Arial"/>
          <w:bCs/>
          <w:color w:val="000000" w:themeColor="text1"/>
          <w:sz w:val="22"/>
          <w:szCs w:val="22"/>
          <w:lang w:val="en-US"/>
        </w:rPr>
        <w:t xml:space="preserve"> der </w:t>
      </w:r>
      <w:proofErr w:type="spellStart"/>
      <w:r>
        <w:rPr>
          <w:rFonts w:ascii="Arial" w:hAnsi="Arial" w:cs="Arial"/>
          <w:bCs/>
          <w:color w:val="000000" w:themeColor="text1"/>
          <w:sz w:val="22"/>
          <w:szCs w:val="22"/>
          <w:lang w:val="en-US"/>
        </w:rPr>
        <w:t>Medizinischen</w:t>
      </w:r>
      <w:proofErr w:type="spellEnd"/>
      <w:r>
        <w:rPr>
          <w:rFonts w:ascii="Arial" w:hAnsi="Arial" w:cs="Arial"/>
          <w:bCs/>
          <w:color w:val="000000" w:themeColor="text1"/>
          <w:sz w:val="22"/>
          <w:szCs w:val="22"/>
          <w:lang w:val="en-US"/>
        </w:rPr>
        <w:t xml:space="preserve"> </w:t>
      </w:r>
      <w:proofErr w:type="spellStart"/>
      <w:r>
        <w:rPr>
          <w:rFonts w:ascii="Arial" w:hAnsi="Arial" w:cs="Arial"/>
          <w:bCs/>
          <w:color w:val="000000" w:themeColor="text1"/>
          <w:sz w:val="22"/>
          <w:szCs w:val="22"/>
          <w:lang w:val="en-US"/>
        </w:rPr>
        <w:t>Fakultät</w:t>
      </w:r>
      <w:proofErr w:type="spellEnd"/>
      <w:r>
        <w:rPr>
          <w:rFonts w:ascii="Arial" w:hAnsi="Arial" w:cs="Arial"/>
          <w:bCs/>
          <w:color w:val="000000" w:themeColor="text1"/>
          <w:sz w:val="22"/>
          <w:szCs w:val="22"/>
          <w:lang w:val="en-US"/>
        </w:rPr>
        <w:t xml:space="preserve"> der Eberhard-Karl-Universität und am </w:t>
      </w:r>
      <w:proofErr w:type="spellStart"/>
      <w:r>
        <w:rPr>
          <w:rFonts w:ascii="Arial" w:hAnsi="Arial" w:cs="Arial"/>
          <w:bCs/>
          <w:color w:val="000000" w:themeColor="text1"/>
          <w:sz w:val="22"/>
          <w:szCs w:val="22"/>
          <w:lang w:val="en-US"/>
        </w:rPr>
        <w:t>Universitätsklinikum</w:t>
      </w:r>
      <w:proofErr w:type="spellEnd"/>
      <w:r>
        <w:rPr>
          <w:rFonts w:ascii="Arial" w:hAnsi="Arial" w:cs="Arial"/>
          <w:bCs/>
          <w:color w:val="000000" w:themeColor="text1"/>
          <w:sz w:val="22"/>
          <w:szCs w:val="22"/>
          <w:lang w:val="en-US"/>
        </w:rPr>
        <w:t xml:space="preserve"> Tübingen” approval number 819/2017BO1, 674/2017BO2) and performed in accordance with the Declaration of Helsinki.</w:t>
      </w:r>
    </w:p>
    <w:p>
      <w:pPr>
        <w:spacing w:line="480" w:lineRule="auto"/>
        <w:jc w:val="both"/>
        <w:rPr>
          <w:rFonts w:ascii="Arial" w:hAnsi="Arial" w:cs="Arial"/>
          <w:color w:val="000000" w:themeColor="text1"/>
          <w:sz w:val="22"/>
          <w:szCs w:val="22"/>
          <w:lang w:val="en-US"/>
        </w:rPr>
      </w:pPr>
    </w:p>
    <w:p>
      <w:pPr>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t>Immunophenotyping of tumor cell lines and pediatric AML samples</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Immunophenotyping was performed on a </w:t>
      </w:r>
      <w:bookmarkStart w:id="1" w:name="_Hlk128929897"/>
      <w:proofErr w:type="spellStart"/>
      <w:r>
        <w:rPr>
          <w:rFonts w:ascii="Arial" w:hAnsi="Arial" w:cs="Arial"/>
          <w:color w:val="000000" w:themeColor="text1"/>
          <w:sz w:val="22"/>
          <w:szCs w:val="22"/>
          <w:lang w:val="en-US"/>
        </w:rPr>
        <w:t>Cytek</w:t>
      </w:r>
      <w:proofErr w:type="spellEnd"/>
      <w:r>
        <w:rPr>
          <w:rFonts w:ascii="Arial" w:hAnsi="Arial" w:cs="Arial"/>
          <w:color w:val="000000" w:themeColor="text1"/>
          <w:sz w:val="22"/>
          <w:szCs w:val="22"/>
          <w:lang w:val="en-US"/>
        </w:rPr>
        <w:t xml:space="preserve"> Aurora (</w:t>
      </w:r>
      <w:proofErr w:type="spellStart"/>
      <w:r>
        <w:rPr>
          <w:rFonts w:ascii="Arial" w:hAnsi="Arial" w:cs="Arial"/>
          <w:color w:val="000000" w:themeColor="text1"/>
          <w:sz w:val="22"/>
          <w:szCs w:val="22"/>
          <w:lang w:val="en-US"/>
        </w:rPr>
        <w:t>CytekBiosciences</w:t>
      </w:r>
      <w:proofErr w:type="spellEnd"/>
      <w:r>
        <w:rPr>
          <w:rFonts w:ascii="Arial" w:hAnsi="Arial" w:cs="Arial"/>
          <w:color w:val="000000" w:themeColor="text1"/>
          <w:sz w:val="22"/>
          <w:szCs w:val="22"/>
          <w:lang w:val="en-US"/>
        </w:rPr>
        <w:t>) 5-laser spectral flow cytometer</w:t>
      </w:r>
      <w:bookmarkEnd w:id="1"/>
      <w:r>
        <w:rPr>
          <w:rFonts w:ascii="Arial" w:hAnsi="Arial" w:cs="Arial"/>
          <w:color w:val="000000" w:themeColor="text1"/>
          <w:sz w:val="22"/>
          <w:szCs w:val="22"/>
          <w:lang w:val="en-US"/>
        </w:rPr>
        <w:t>. Live/dead dye and antibodies were titrated on cell lines to determine optimal dilution. Cryopreserved patient samples (BM-MNCs) were thawed and treated with DNase 1 in DPBS (pH 7.0-7.2, 0.5 mM MgCl2, 1 mM CaCl2 (Gibco™, Thermo Fisher)) containing 0.5 % (v/v) HSA (supplier) and 20 U/ml DNase 1 (Invitrogen™, Thermo Fisher) prior to staining. Live/dead staining was performed using ZOMBIE UV™ viability dye (</w:t>
      </w:r>
      <w:proofErr w:type="spellStart"/>
      <w:r>
        <w:rPr>
          <w:rFonts w:ascii="Arial" w:hAnsi="Arial" w:cs="Arial"/>
          <w:color w:val="000000" w:themeColor="text1"/>
          <w:sz w:val="22"/>
          <w:szCs w:val="22"/>
          <w:lang w:val="en-US"/>
        </w:rPr>
        <w:t>BioLegend</w:t>
      </w:r>
      <w:proofErr w:type="spellEnd"/>
      <w:r>
        <w:rPr>
          <w:rFonts w:ascii="Arial" w:hAnsi="Arial" w:cs="Arial"/>
          <w:color w:val="000000" w:themeColor="text1"/>
          <w:sz w:val="22"/>
          <w:szCs w:val="22"/>
          <w:lang w:val="en-US"/>
        </w:rPr>
        <w:t xml:space="preserve">) at 1:1000 dilution at 4 °C in PBS. To prevent unspecific antibody binding to Fc-receptors, cells were blocked using </w:t>
      </w:r>
      <w:proofErr w:type="spellStart"/>
      <w:r>
        <w:rPr>
          <w:rFonts w:ascii="Arial" w:hAnsi="Arial" w:cs="Arial"/>
          <w:color w:val="000000" w:themeColor="text1"/>
          <w:sz w:val="22"/>
          <w:szCs w:val="22"/>
          <w:lang w:val="en-US"/>
        </w:rPr>
        <w:t>FcR</w:t>
      </w:r>
      <w:proofErr w:type="spellEnd"/>
      <w:r>
        <w:rPr>
          <w:rFonts w:ascii="Arial" w:hAnsi="Arial" w:cs="Arial"/>
          <w:color w:val="000000" w:themeColor="text1"/>
          <w:sz w:val="22"/>
          <w:szCs w:val="22"/>
          <w:lang w:val="en-US"/>
        </w:rPr>
        <w:t xml:space="preserve"> blocking reagent, human (Miltenyi Biotech). Antibody staining was carried out according to standard operating procedures at 4 ◦C in CliniMACS® PBS/EDTA Buffer supplemented with 0.5 % HSA. Commercial antibodies were purchased from Miltenyi Biotec, </w:t>
      </w:r>
      <w:proofErr w:type="spellStart"/>
      <w:r>
        <w:rPr>
          <w:rFonts w:ascii="Arial" w:hAnsi="Arial" w:cs="Arial"/>
          <w:color w:val="000000" w:themeColor="text1"/>
          <w:sz w:val="22"/>
          <w:szCs w:val="22"/>
          <w:lang w:val="en-US"/>
        </w:rPr>
        <w:t>BioLegend</w:t>
      </w:r>
      <w:proofErr w:type="spellEnd"/>
      <w:r>
        <w:rPr>
          <w:rFonts w:ascii="Arial" w:hAnsi="Arial" w:cs="Arial"/>
          <w:color w:val="000000" w:themeColor="text1"/>
          <w:sz w:val="22"/>
          <w:szCs w:val="22"/>
          <w:lang w:val="en-US"/>
        </w:rPr>
        <w:t>, and BD Biosciences. The antibody clone and determined optimal dilution regarding supplier recommendation is defined by the clone and dilution factor in brackets. The antigens were CD3 Spark Blue™550 (SK7, 1:5), CD45 BB515 (HI30, 1:25), CD38 BV605 (HB-7, 1:5), CD34 BV711 (8G12, 1:5), CD33 BUV563 (WM53, 1:25), CD135 PE-Cy™5 (BV10A4H2, 1:10), CD371 BUV737 (50C1, 1:25), CD123 APC/Fire™ 810 (6H6, 1:5), IL1RAcP PE-Vio®770 (REA558, 1:5), Mesothelin 1 PE (REA1057, 1:5), CD273 BB700 (MIH18, 1:10), CD274 PE/Fire™ 810 (29E.2A3, 1:10), CD276 APC-Vio®770 (REA1094, 1:25), CD112 PE-Vio®615 (REA1195, 1:5), CD155 AF™700 (SKII.4, 1:25), HLA-DR BV785 (L243, 1:25), and MIC A/B AF™647 (6D4, 1:5).</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Single stain reference controls were applied on </w:t>
      </w:r>
      <w:proofErr w:type="spellStart"/>
      <w:r>
        <w:rPr>
          <w:rFonts w:ascii="Arial" w:hAnsi="Arial" w:cs="Arial"/>
          <w:color w:val="000000" w:themeColor="text1"/>
          <w:sz w:val="22"/>
          <w:szCs w:val="22"/>
          <w:lang w:val="en-US"/>
        </w:rPr>
        <w:t>UltraComp</w:t>
      </w:r>
      <w:proofErr w:type="spellEnd"/>
      <w:r>
        <w:rPr>
          <w:rFonts w:ascii="Arial" w:hAnsi="Arial" w:cs="Arial"/>
          <w:color w:val="000000" w:themeColor="text1"/>
          <w:sz w:val="22"/>
          <w:szCs w:val="22"/>
          <w:lang w:val="en-US"/>
        </w:rPr>
        <w:t xml:space="preserve"> </w:t>
      </w:r>
      <w:proofErr w:type="spellStart"/>
      <w:r>
        <w:rPr>
          <w:rFonts w:ascii="Arial" w:hAnsi="Arial" w:cs="Arial"/>
          <w:color w:val="000000" w:themeColor="text1"/>
          <w:sz w:val="22"/>
          <w:szCs w:val="22"/>
          <w:lang w:val="en-US"/>
        </w:rPr>
        <w:t>eBeads</w:t>
      </w:r>
      <w:proofErr w:type="spellEnd"/>
      <w:r>
        <w:rPr>
          <w:rFonts w:ascii="Arial" w:hAnsi="Arial" w:cs="Arial"/>
          <w:color w:val="000000" w:themeColor="text1"/>
          <w:sz w:val="22"/>
          <w:szCs w:val="22"/>
          <w:lang w:val="en-US"/>
        </w:rPr>
        <w:t>™ Plus (</w:t>
      </w:r>
      <w:proofErr w:type="spellStart"/>
      <w:r>
        <w:rPr>
          <w:rFonts w:ascii="Arial" w:hAnsi="Arial" w:cs="Arial"/>
          <w:color w:val="000000" w:themeColor="text1"/>
          <w:sz w:val="22"/>
          <w:szCs w:val="22"/>
          <w:lang w:val="en-US"/>
        </w:rPr>
        <w:t>ThermoFisher</w:t>
      </w:r>
      <w:proofErr w:type="spellEnd"/>
      <w:r>
        <w:rPr>
          <w:rFonts w:ascii="Arial" w:hAnsi="Arial" w:cs="Arial"/>
          <w:color w:val="000000" w:themeColor="text1"/>
          <w:sz w:val="22"/>
          <w:szCs w:val="22"/>
          <w:lang w:val="en-US"/>
        </w:rPr>
        <w:t xml:space="preserve">) and on cells for antigens listed as follows in appropriate antigen dilution. Molm13 </w:t>
      </w:r>
      <w:proofErr w:type="spellStart"/>
      <w:r>
        <w:rPr>
          <w:rFonts w:ascii="Arial" w:hAnsi="Arial" w:cs="Arial"/>
          <w:color w:val="000000" w:themeColor="text1"/>
          <w:sz w:val="22"/>
          <w:szCs w:val="22"/>
          <w:lang w:val="en-US"/>
        </w:rPr>
        <w:t>widltype</w:t>
      </w:r>
      <w:proofErr w:type="spellEnd"/>
      <w:r>
        <w:rPr>
          <w:rFonts w:ascii="Arial" w:hAnsi="Arial" w:cs="Arial"/>
          <w:color w:val="000000" w:themeColor="text1"/>
          <w:sz w:val="22"/>
          <w:szCs w:val="22"/>
          <w:lang w:val="en-US"/>
        </w:rPr>
        <w:t xml:space="preserve"> for </w:t>
      </w:r>
      <w:r>
        <w:rPr>
          <w:rFonts w:ascii="Arial" w:hAnsi="Arial" w:cs="Arial"/>
          <w:color w:val="000000" w:themeColor="text1"/>
          <w:sz w:val="22"/>
          <w:szCs w:val="22"/>
          <w:lang w:val="en-US"/>
        </w:rPr>
        <w:lastRenderedPageBreak/>
        <w:t xml:space="preserve">Viability, CD33, CD123, CD135, IL1RAP, U937 for CD38, CD371, HeLa for MIC A/B, LS for CD276, stem cells for CD34, T cells for CD3, CD45. Samples were acquired and unmixed on </w:t>
      </w:r>
      <w:proofErr w:type="spellStart"/>
      <w:r>
        <w:rPr>
          <w:rFonts w:ascii="Arial" w:hAnsi="Arial" w:cs="Arial"/>
          <w:color w:val="000000" w:themeColor="text1"/>
          <w:sz w:val="22"/>
          <w:szCs w:val="22"/>
          <w:lang w:val="en-US"/>
        </w:rPr>
        <w:t>Cytek</w:t>
      </w:r>
      <w:proofErr w:type="spellEnd"/>
      <w:r>
        <w:rPr>
          <w:rFonts w:ascii="Arial" w:hAnsi="Arial" w:cs="Arial"/>
          <w:color w:val="000000" w:themeColor="text1"/>
          <w:sz w:val="22"/>
          <w:szCs w:val="22"/>
          <w:lang w:val="en-US"/>
        </w:rPr>
        <w:t xml:space="preserve"> Aurora (</w:t>
      </w:r>
      <w:proofErr w:type="spellStart"/>
      <w:r>
        <w:rPr>
          <w:rFonts w:ascii="Arial" w:hAnsi="Arial" w:cs="Arial"/>
          <w:color w:val="000000" w:themeColor="text1"/>
          <w:sz w:val="22"/>
          <w:szCs w:val="22"/>
          <w:lang w:val="en-US"/>
        </w:rPr>
        <w:t>CytekBiosciences</w:t>
      </w:r>
      <w:proofErr w:type="spellEnd"/>
      <w:r>
        <w:rPr>
          <w:rFonts w:ascii="Arial" w:hAnsi="Arial" w:cs="Arial"/>
          <w:color w:val="000000" w:themeColor="text1"/>
          <w:sz w:val="22"/>
          <w:szCs w:val="22"/>
          <w:lang w:val="en-US"/>
        </w:rPr>
        <w:t>) 5-laser spectral flow cytometer under “</w:t>
      </w:r>
      <w:proofErr w:type="spellStart"/>
      <w:r>
        <w:rPr>
          <w:rFonts w:ascii="Arial" w:hAnsi="Arial" w:cs="Arial"/>
          <w:color w:val="000000" w:themeColor="text1"/>
          <w:sz w:val="22"/>
          <w:szCs w:val="22"/>
          <w:lang w:val="en-US"/>
        </w:rPr>
        <w:t>Cytek</w:t>
      </w:r>
      <w:proofErr w:type="spellEnd"/>
      <w:r>
        <w:rPr>
          <w:rFonts w:ascii="Arial" w:hAnsi="Arial" w:cs="Arial"/>
          <w:color w:val="000000" w:themeColor="text1"/>
          <w:sz w:val="22"/>
          <w:szCs w:val="22"/>
          <w:lang w:val="en-US"/>
        </w:rPr>
        <w:t xml:space="preserve"> Assay Settings” in </w:t>
      </w:r>
      <w:proofErr w:type="spellStart"/>
      <w:r>
        <w:rPr>
          <w:rFonts w:ascii="Arial" w:hAnsi="Arial" w:cs="Arial"/>
          <w:color w:val="000000" w:themeColor="text1"/>
          <w:sz w:val="22"/>
          <w:szCs w:val="22"/>
          <w:lang w:val="en-US"/>
        </w:rPr>
        <w:t>SpectroFlo</w:t>
      </w:r>
      <w:proofErr w:type="spellEnd"/>
      <w:r>
        <w:rPr>
          <w:rFonts w:ascii="Arial" w:hAnsi="Arial" w:cs="Arial"/>
          <w:color w:val="000000" w:themeColor="text1"/>
          <w:sz w:val="22"/>
          <w:szCs w:val="22"/>
          <w:lang w:val="en-US"/>
        </w:rPr>
        <w:t xml:space="preserve">® V3.0.3 software and further analyzed using </w:t>
      </w:r>
      <w:proofErr w:type="spellStart"/>
      <w:r>
        <w:rPr>
          <w:rFonts w:ascii="Arial" w:hAnsi="Arial" w:cs="Arial"/>
          <w:color w:val="000000" w:themeColor="text1"/>
          <w:sz w:val="22"/>
          <w:szCs w:val="22"/>
          <w:lang w:val="en-US"/>
        </w:rPr>
        <w:t>FlowJo</w:t>
      </w:r>
      <w:proofErr w:type="spellEnd"/>
      <w:r>
        <w:rPr>
          <w:rFonts w:ascii="Arial" w:hAnsi="Arial" w:cs="Arial"/>
          <w:color w:val="000000" w:themeColor="text1"/>
          <w:sz w:val="22"/>
          <w:szCs w:val="22"/>
          <w:lang w:val="en-US"/>
        </w:rPr>
        <w:t xml:space="preserve"> 10.8 software. Antigen positivity was defined by fluorescence minus one (FMO) controls. </w:t>
      </w:r>
    </w:p>
    <w:p>
      <w:pPr>
        <w:spacing w:line="480" w:lineRule="auto"/>
        <w:jc w:val="both"/>
        <w:rPr>
          <w:rFonts w:ascii="Arial" w:hAnsi="Arial" w:cs="Arial"/>
          <w:b/>
          <w:color w:val="000000" w:themeColor="text1"/>
          <w:sz w:val="22"/>
          <w:szCs w:val="22"/>
          <w:lang w:val="en-US"/>
        </w:rPr>
      </w:pPr>
    </w:p>
    <w:p>
      <w:pPr>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t xml:space="preserve">Flow cytometry-based cytotoxicity assays (antigen evasion) </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To visualize antigen-specific killing, Molm13 wildtype, Molm13 CD33KO, Molm13 CD38KO, and Molm13 CD33/CD38 KO were mixed at a 1:1:1:1 ratio with 1,5 x 10</w:t>
      </w:r>
      <w:r>
        <w:rPr>
          <w:rFonts w:ascii="Arial" w:hAnsi="Arial" w:cs="Arial"/>
          <w:color w:val="000000" w:themeColor="text1"/>
          <w:sz w:val="22"/>
          <w:szCs w:val="22"/>
          <w:vertAlign w:val="superscript"/>
          <w:lang w:val="en-US"/>
        </w:rPr>
        <w:t>5</w:t>
      </w:r>
      <w:r>
        <w:rPr>
          <w:rFonts w:ascii="Arial" w:hAnsi="Arial" w:cs="Arial"/>
          <w:color w:val="000000" w:themeColor="text1"/>
          <w:sz w:val="22"/>
          <w:szCs w:val="22"/>
          <w:lang w:val="en-US"/>
        </w:rPr>
        <w:t xml:space="preserve"> cells per Molm13 variant (in total 6 x 10</w:t>
      </w:r>
      <w:r>
        <w:rPr>
          <w:rFonts w:ascii="Arial" w:hAnsi="Arial" w:cs="Arial"/>
          <w:color w:val="000000" w:themeColor="text1"/>
          <w:sz w:val="22"/>
          <w:szCs w:val="22"/>
          <w:vertAlign w:val="superscript"/>
          <w:lang w:val="en-US"/>
        </w:rPr>
        <w:t>5</w:t>
      </w:r>
      <w:r>
        <w:rPr>
          <w:rFonts w:ascii="Arial" w:hAnsi="Arial" w:cs="Arial"/>
          <w:color w:val="000000" w:themeColor="text1"/>
          <w:sz w:val="22"/>
          <w:szCs w:val="22"/>
          <w:lang w:val="en-US"/>
        </w:rPr>
        <w:t xml:space="preserve"> cells) in a FACS tube. </w:t>
      </w:r>
      <w:proofErr w:type="spellStart"/>
      <w:r>
        <w:rPr>
          <w:rFonts w:ascii="Arial" w:hAnsi="Arial" w:cs="Arial"/>
          <w:color w:val="000000" w:themeColor="text1"/>
          <w:sz w:val="22"/>
          <w:szCs w:val="22"/>
          <w:lang w:val="en-US"/>
        </w:rPr>
        <w:t>AdCARs</w:t>
      </w:r>
      <w:proofErr w:type="spellEnd"/>
      <w:r>
        <w:rPr>
          <w:rFonts w:ascii="Arial" w:hAnsi="Arial" w:cs="Arial"/>
          <w:color w:val="000000" w:themeColor="text1"/>
          <w:sz w:val="22"/>
          <w:szCs w:val="22"/>
          <w:lang w:val="en-US"/>
        </w:rPr>
        <w:t xml:space="preserve"> were added at an </w:t>
      </w:r>
      <w:proofErr w:type="gramStart"/>
      <w:r>
        <w:rPr>
          <w:rFonts w:ascii="Arial" w:hAnsi="Arial" w:cs="Arial"/>
          <w:color w:val="000000" w:themeColor="text1"/>
          <w:sz w:val="22"/>
          <w:szCs w:val="22"/>
          <w:lang w:val="en-US"/>
        </w:rPr>
        <w:t>E:T</w:t>
      </w:r>
      <w:proofErr w:type="gramEnd"/>
      <w:r>
        <w:rPr>
          <w:rFonts w:ascii="Arial" w:hAnsi="Arial" w:cs="Arial"/>
          <w:color w:val="000000" w:themeColor="text1"/>
          <w:sz w:val="22"/>
          <w:szCs w:val="22"/>
          <w:lang w:val="en-US"/>
        </w:rPr>
        <w:t xml:space="preserve"> ration 1:1. CD33 </w:t>
      </w:r>
      <w:proofErr w:type="spellStart"/>
      <w:r>
        <w:rPr>
          <w:rFonts w:ascii="Arial" w:hAnsi="Arial" w:cs="Arial"/>
          <w:color w:val="000000" w:themeColor="text1"/>
          <w:sz w:val="22"/>
          <w:szCs w:val="22"/>
          <w:lang w:val="en-US"/>
        </w:rPr>
        <w:t>mAb</w:t>
      </w:r>
      <w:proofErr w:type="spellEnd"/>
      <w:r>
        <w:rPr>
          <w:rFonts w:ascii="Arial" w:hAnsi="Arial" w:cs="Arial"/>
          <w:color w:val="000000" w:themeColor="text1"/>
          <w:sz w:val="22"/>
          <w:szCs w:val="22"/>
          <w:lang w:val="en-US"/>
        </w:rPr>
        <w:t xml:space="preserve">, CD38 </w:t>
      </w:r>
      <w:proofErr w:type="spellStart"/>
      <w:r>
        <w:rPr>
          <w:rFonts w:ascii="Arial" w:hAnsi="Arial" w:cs="Arial"/>
          <w:color w:val="000000" w:themeColor="text1"/>
          <w:sz w:val="22"/>
          <w:szCs w:val="22"/>
          <w:lang w:val="en-US"/>
        </w:rPr>
        <w:t>mAb</w:t>
      </w:r>
      <w:proofErr w:type="spellEnd"/>
      <w:r>
        <w:rPr>
          <w:rFonts w:ascii="Arial" w:hAnsi="Arial" w:cs="Arial"/>
          <w:color w:val="000000" w:themeColor="text1"/>
          <w:sz w:val="22"/>
          <w:szCs w:val="22"/>
          <w:lang w:val="en-US"/>
        </w:rPr>
        <w:t xml:space="preserve"> or CD123 </w:t>
      </w:r>
      <w:proofErr w:type="spellStart"/>
      <w:r>
        <w:rPr>
          <w:rFonts w:ascii="Arial" w:hAnsi="Arial" w:cs="Arial"/>
          <w:color w:val="000000" w:themeColor="text1"/>
          <w:sz w:val="22"/>
          <w:szCs w:val="22"/>
          <w:lang w:val="en-US"/>
        </w:rPr>
        <w:t>mAb</w:t>
      </w:r>
      <w:proofErr w:type="spellEnd"/>
      <w:r>
        <w:rPr>
          <w:rFonts w:ascii="Arial" w:hAnsi="Arial" w:cs="Arial"/>
          <w:color w:val="000000" w:themeColor="text1"/>
          <w:sz w:val="22"/>
          <w:szCs w:val="22"/>
          <w:lang w:val="en-US"/>
        </w:rPr>
        <w:t xml:space="preserve"> and combinations thereof were added at to final concentration of 10 ng/mL as indicated. Tubes were incubated for indicated timepoints in a </w:t>
      </w:r>
      <w:proofErr w:type="spellStart"/>
      <w:r>
        <w:rPr>
          <w:rFonts w:ascii="Arial" w:hAnsi="Arial" w:cs="Arial"/>
          <w:color w:val="000000" w:themeColor="text1"/>
          <w:sz w:val="22"/>
          <w:szCs w:val="22"/>
          <w:lang w:val="en-US"/>
        </w:rPr>
        <w:t>HERAcell</w:t>
      </w:r>
      <w:proofErr w:type="spellEnd"/>
      <w:r>
        <w:rPr>
          <w:rFonts w:ascii="Arial" w:hAnsi="Arial" w:cs="Arial"/>
          <w:color w:val="000000" w:themeColor="text1"/>
          <w:sz w:val="22"/>
          <w:szCs w:val="22"/>
          <w:lang w:val="en-US"/>
        </w:rPr>
        <w:t xml:space="preserve"> incubator (Heraeus) at 37 °C, 95 % humidity, and 5 % CO2. Analysis was performed on BD </w:t>
      </w:r>
      <w:proofErr w:type="spellStart"/>
      <w:r>
        <w:rPr>
          <w:rFonts w:ascii="Arial" w:hAnsi="Arial" w:cs="Arial"/>
          <w:color w:val="000000" w:themeColor="text1"/>
          <w:sz w:val="22"/>
          <w:szCs w:val="22"/>
          <w:lang w:val="en-US"/>
        </w:rPr>
        <w:t>FACSCanto</w:t>
      </w:r>
      <w:proofErr w:type="spellEnd"/>
      <w:r>
        <w:rPr>
          <w:rFonts w:ascii="Arial" w:hAnsi="Arial" w:cs="Arial"/>
          <w:color w:val="000000" w:themeColor="text1"/>
          <w:sz w:val="22"/>
          <w:szCs w:val="22"/>
          <w:lang w:val="en-US"/>
        </w:rPr>
        <w:t>™ II</w:t>
      </w:r>
      <w:r>
        <w:rPr>
          <w:rFonts w:ascii="Arial" w:hAnsi="Arial" w:cs="Arial"/>
          <w:color w:val="000000" w:themeColor="text1"/>
          <w:sz w:val="22"/>
          <w:szCs w:val="22"/>
          <w:lang w:val="en-US"/>
        </w:rPr>
        <w:tab/>
        <w:t xml:space="preserve">flow cytometer. Antibody staining was carried out according to standard operating procedures at 4 ◦C in a CliniMACS® PBS/EDTA Buffer. All commercial antibodies were purchased from (Miltenyi Biotec). The antibody clone is defined by the clone in brackets. The tumor-associated antigens were CD33 </w:t>
      </w:r>
      <w:proofErr w:type="spellStart"/>
      <w:r>
        <w:rPr>
          <w:rFonts w:ascii="Arial" w:hAnsi="Arial" w:cs="Arial"/>
          <w:color w:val="000000" w:themeColor="text1"/>
          <w:sz w:val="22"/>
          <w:szCs w:val="22"/>
          <w:lang w:val="en-US"/>
        </w:rPr>
        <w:t>VioGreen</w:t>
      </w:r>
      <w:proofErr w:type="spellEnd"/>
      <w:r>
        <w:rPr>
          <w:rFonts w:ascii="Arial" w:hAnsi="Arial" w:cs="Arial"/>
          <w:color w:val="000000" w:themeColor="text1"/>
          <w:sz w:val="22"/>
          <w:szCs w:val="22"/>
          <w:lang w:val="en-US"/>
        </w:rPr>
        <w:t xml:space="preserve">™ (REA775), CD38 PE-Vio®770 (REA671), CD123 APC-Vio®770 (REA918), CD135 PE (REA786), CD371 </w:t>
      </w:r>
      <w:proofErr w:type="spellStart"/>
      <w:r>
        <w:rPr>
          <w:rFonts w:ascii="Arial" w:hAnsi="Arial" w:cs="Arial"/>
          <w:color w:val="000000" w:themeColor="text1"/>
          <w:sz w:val="22"/>
          <w:szCs w:val="22"/>
          <w:lang w:val="en-US"/>
        </w:rPr>
        <w:t>VioBlue</w:t>
      </w:r>
      <w:proofErr w:type="spellEnd"/>
      <w:r>
        <w:rPr>
          <w:rFonts w:ascii="Arial" w:hAnsi="Arial" w:cs="Arial"/>
          <w:color w:val="000000" w:themeColor="text1"/>
          <w:sz w:val="22"/>
          <w:szCs w:val="22"/>
          <w:lang w:val="en-US"/>
        </w:rPr>
        <w:t xml:space="preserve">™ (REA431). CD45 FITC (REA747) and CD3 APC (REA613) were used to differentiate between tumor cells and AdCAR-Ts. 7-AAD was added to exclude dead cells. Samples were acquired on BD </w:t>
      </w:r>
      <w:proofErr w:type="spellStart"/>
      <w:r>
        <w:rPr>
          <w:rFonts w:ascii="Arial" w:hAnsi="Arial" w:cs="Arial"/>
          <w:color w:val="000000" w:themeColor="text1"/>
          <w:sz w:val="22"/>
          <w:szCs w:val="22"/>
          <w:lang w:val="en-US"/>
        </w:rPr>
        <w:t>FACSCanto</w:t>
      </w:r>
      <w:proofErr w:type="spellEnd"/>
      <w:r>
        <w:rPr>
          <w:rFonts w:ascii="Arial" w:hAnsi="Arial" w:cs="Arial"/>
          <w:color w:val="000000" w:themeColor="text1"/>
          <w:sz w:val="22"/>
          <w:szCs w:val="22"/>
          <w:lang w:val="en-US"/>
        </w:rPr>
        <w:t xml:space="preserve">™ II flow cytometer in BD </w:t>
      </w:r>
      <w:proofErr w:type="spellStart"/>
      <w:r>
        <w:rPr>
          <w:rFonts w:ascii="Arial" w:hAnsi="Arial" w:cs="Arial"/>
          <w:color w:val="000000" w:themeColor="text1"/>
          <w:sz w:val="22"/>
          <w:szCs w:val="22"/>
          <w:lang w:val="en-US"/>
        </w:rPr>
        <w:t>FACSDiva</w:t>
      </w:r>
      <w:proofErr w:type="spellEnd"/>
      <w:r>
        <w:rPr>
          <w:rFonts w:ascii="Arial" w:hAnsi="Arial" w:cs="Arial"/>
          <w:color w:val="000000" w:themeColor="text1"/>
          <w:sz w:val="22"/>
          <w:szCs w:val="22"/>
          <w:lang w:val="en-US"/>
        </w:rPr>
        <w:t xml:space="preserve">™ software and further analyzed using </w:t>
      </w:r>
      <w:proofErr w:type="spellStart"/>
      <w:r>
        <w:rPr>
          <w:rFonts w:ascii="Arial" w:hAnsi="Arial" w:cs="Arial"/>
          <w:color w:val="000000" w:themeColor="text1"/>
          <w:sz w:val="22"/>
          <w:szCs w:val="22"/>
          <w:lang w:val="en-US"/>
        </w:rPr>
        <w:t>FlowJo</w:t>
      </w:r>
      <w:proofErr w:type="spellEnd"/>
      <w:r>
        <w:rPr>
          <w:rFonts w:ascii="Arial" w:hAnsi="Arial" w:cs="Arial"/>
          <w:color w:val="000000" w:themeColor="text1"/>
          <w:sz w:val="22"/>
          <w:szCs w:val="22"/>
          <w:lang w:val="en-US"/>
        </w:rPr>
        <w:t xml:space="preserve"> 10.8 software. CD33, CD38 and CD123 parameter were included for UMAPs using </w:t>
      </w:r>
      <w:proofErr w:type="spellStart"/>
      <w:r>
        <w:rPr>
          <w:rFonts w:ascii="Arial" w:hAnsi="Arial" w:cs="Arial"/>
          <w:color w:val="000000" w:themeColor="text1"/>
          <w:sz w:val="22"/>
          <w:szCs w:val="22"/>
          <w:lang w:val="en-US"/>
        </w:rPr>
        <w:t>FlowJo</w:t>
      </w:r>
      <w:proofErr w:type="spellEnd"/>
      <w:r>
        <w:rPr>
          <w:rFonts w:ascii="Arial" w:hAnsi="Arial" w:cs="Arial"/>
          <w:color w:val="000000" w:themeColor="text1"/>
          <w:sz w:val="22"/>
          <w:szCs w:val="22"/>
          <w:lang w:val="en-US"/>
        </w:rPr>
        <w:t xml:space="preserve"> plugin. </w:t>
      </w:r>
    </w:p>
    <w:p>
      <w:pPr>
        <w:spacing w:line="480" w:lineRule="auto"/>
        <w:jc w:val="both"/>
        <w:rPr>
          <w:rFonts w:ascii="Arial" w:hAnsi="Arial" w:cs="Arial"/>
          <w:color w:val="000000" w:themeColor="text1"/>
          <w:sz w:val="22"/>
          <w:szCs w:val="22"/>
          <w:lang w:val="en-US"/>
        </w:rPr>
      </w:pPr>
    </w:p>
    <w:p>
      <w:pPr>
        <w:spacing w:line="480" w:lineRule="auto"/>
        <w:jc w:val="both"/>
        <w:rPr>
          <w:rFonts w:ascii="Arial" w:hAnsi="Arial" w:cs="Arial"/>
          <w:b/>
          <w:bCs/>
          <w:color w:val="000000" w:themeColor="text1"/>
          <w:sz w:val="22"/>
          <w:szCs w:val="22"/>
          <w:lang w:val="en-US"/>
        </w:rPr>
      </w:pPr>
      <w:r>
        <w:rPr>
          <w:rFonts w:ascii="Arial" w:hAnsi="Arial" w:cs="Arial"/>
          <w:b/>
          <w:bCs/>
          <w:color w:val="000000" w:themeColor="text1"/>
          <w:sz w:val="22"/>
          <w:szCs w:val="22"/>
          <w:lang w:val="en-US"/>
        </w:rPr>
        <w:t>Animals and in vivo model</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For all </w:t>
      </w:r>
      <w:r>
        <w:rPr>
          <w:rFonts w:ascii="Arial" w:hAnsi="Arial" w:cs="Arial"/>
          <w:i/>
          <w:color w:val="000000" w:themeColor="text1"/>
          <w:sz w:val="22"/>
          <w:szCs w:val="22"/>
          <w:lang w:val="en-US"/>
        </w:rPr>
        <w:t>in vivo</w:t>
      </w:r>
      <w:r>
        <w:rPr>
          <w:rFonts w:ascii="Arial" w:hAnsi="Arial" w:cs="Arial"/>
          <w:color w:val="000000" w:themeColor="text1"/>
          <w:sz w:val="22"/>
          <w:szCs w:val="22"/>
          <w:lang w:val="en-US"/>
        </w:rPr>
        <w:t xml:space="preserve"> experiments, 6- to 8-week-old </w:t>
      </w:r>
      <w:proofErr w:type="spellStart"/>
      <w:r>
        <w:rPr>
          <w:rFonts w:ascii="Arial" w:hAnsi="Arial" w:cs="Arial"/>
          <w:color w:val="000000" w:themeColor="text1"/>
          <w:sz w:val="22"/>
          <w:szCs w:val="22"/>
          <w:lang w:val="en-US"/>
        </w:rPr>
        <w:t>NOD.Cg-PrkdcSCID</w:t>
      </w:r>
      <w:proofErr w:type="spellEnd"/>
      <w:r>
        <w:rPr>
          <w:rFonts w:ascii="Arial" w:hAnsi="Arial" w:cs="Arial"/>
          <w:color w:val="000000" w:themeColor="text1"/>
          <w:sz w:val="22"/>
          <w:szCs w:val="22"/>
          <w:lang w:val="en-US"/>
        </w:rPr>
        <w:t xml:space="preserve"> Il2rgtm1Wjl/</w:t>
      </w:r>
      <w:proofErr w:type="spellStart"/>
      <w:r>
        <w:rPr>
          <w:rFonts w:ascii="Arial" w:hAnsi="Arial" w:cs="Arial"/>
          <w:color w:val="000000" w:themeColor="text1"/>
          <w:sz w:val="22"/>
          <w:szCs w:val="22"/>
          <w:lang w:val="en-US"/>
        </w:rPr>
        <w:t>SzJ</w:t>
      </w:r>
      <w:proofErr w:type="spellEnd"/>
      <w:r>
        <w:rPr>
          <w:rFonts w:ascii="Arial" w:hAnsi="Arial" w:cs="Arial"/>
          <w:color w:val="000000" w:themeColor="text1"/>
          <w:sz w:val="22"/>
          <w:szCs w:val="22"/>
          <w:lang w:val="en-US"/>
        </w:rPr>
        <w:t xml:space="preserve"> (NSG) mice of female sex from Charles River Laboratories were used and kept in individually ventilated cages (IVC) at a maximum of five animals per cage. General health status of all animals was </w:t>
      </w:r>
      <w:r>
        <w:rPr>
          <w:rFonts w:ascii="Arial" w:hAnsi="Arial" w:cs="Arial"/>
          <w:color w:val="000000" w:themeColor="text1"/>
          <w:sz w:val="22"/>
          <w:szCs w:val="22"/>
          <w:lang w:val="en-US"/>
        </w:rPr>
        <w:lastRenderedPageBreak/>
        <w:t xml:space="preserve">monitored daily. All experiments were performed according to the guidelines of the Federation of European Laboratory Animal Science Associations (FELASA) in the animal facility of the University clinic of Tübingen. For the U937 </w:t>
      </w:r>
      <w:r>
        <w:rPr>
          <w:rFonts w:ascii="Arial" w:hAnsi="Arial" w:cs="Arial"/>
          <w:i/>
          <w:color w:val="000000" w:themeColor="text1"/>
          <w:sz w:val="22"/>
          <w:szCs w:val="22"/>
          <w:lang w:val="en-US"/>
        </w:rPr>
        <w:t>in vivo</w:t>
      </w:r>
      <w:r>
        <w:rPr>
          <w:rFonts w:ascii="Arial" w:hAnsi="Arial" w:cs="Arial"/>
          <w:color w:val="000000" w:themeColor="text1"/>
          <w:sz w:val="22"/>
          <w:szCs w:val="22"/>
          <w:lang w:val="en-US"/>
        </w:rPr>
        <w:t xml:space="preserve"> studies 1 × 10</w:t>
      </w:r>
      <w:r>
        <w:rPr>
          <w:rFonts w:ascii="Arial" w:hAnsi="Arial" w:cs="Arial"/>
          <w:color w:val="000000" w:themeColor="text1"/>
          <w:sz w:val="22"/>
          <w:szCs w:val="22"/>
          <w:vertAlign w:val="superscript"/>
          <w:lang w:val="en-US"/>
        </w:rPr>
        <w:t>6</w:t>
      </w:r>
      <w:r>
        <w:rPr>
          <w:rFonts w:ascii="Arial" w:hAnsi="Arial" w:cs="Arial"/>
          <w:color w:val="000000" w:themeColor="text1"/>
          <w:sz w:val="22"/>
          <w:szCs w:val="22"/>
          <w:lang w:val="en-US"/>
        </w:rPr>
        <w:t xml:space="preserve"> U937 cells, stably expressing a firefly luciferase and CD19t gene (</w:t>
      </w:r>
      <w:proofErr w:type="spellStart"/>
      <w:r>
        <w:rPr>
          <w:rFonts w:ascii="Arial" w:hAnsi="Arial" w:cs="Arial"/>
          <w:color w:val="000000" w:themeColor="text1"/>
          <w:sz w:val="22"/>
          <w:szCs w:val="22"/>
          <w:lang w:val="en-US"/>
        </w:rPr>
        <w:t>luc</w:t>
      </w:r>
      <w:proofErr w:type="spellEnd"/>
      <w:r>
        <w:rPr>
          <w:rFonts w:ascii="Arial" w:hAnsi="Arial" w:cs="Arial"/>
          <w:color w:val="000000" w:themeColor="text1"/>
          <w:sz w:val="22"/>
          <w:szCs w:val="22"/>
          <w:lang w:val="en-US"/>
        </w:rPr>
        <w:t xml:space="preserve">/19t), were injected into the tail vein on day −4 of the experiment. For Patient derived xenograft (PDX) </w:t>
      </w:r>
      <w:r>
        <w:rPr>
          <w:rFonts w:ascii="Arial" w:hAnsi="Arial" w:cs="Arial"/>
          <w:i/>
          <w:color w:val="000000" w:themeColor="text1"/>
          <w:sz w:val="22"/>
          <w:szCs w:val="22"/>
          <w:lang w:val="en-US"/>
        </w:rPr>
        <w:t>in vivo</w:t>
      </w:r>
      <w:r>
        <w:rPr>
          <w:rFonts w:ascii="Arial" w:hAnsi="Arial" w:cs="Arial"/>
          <w:color w:val="000000" w:themeColor="text1"/>
          <w:sz w:val="22"/>
          <w:szCs w:val="22"/>
          <w:lang w:val="en-US"/>
        </w:rPr>
        <w:t xml:space="preserve"> studies, cells were thawed, washed once in phosphate-buffered saline (PBS), and 1 × 10</w:t>
      </w:r>
      <w:r>
        <w:rPr>
          <w:rFonts w:ascii="Arial" w:hAnsi="Arial" w:cs="Arial"/>
          <w:color w:val="000000" w:themeColor="text1"/>
          <w:sz w:val="22"/>
          <w:szCs w:val="22"/>
          <w:vertAlign w:val="superscript"/>
          <w:lang w:val="en-US"/>
        </w:rPr>
        <w:t>6</w:t>
      </w:r>
      <w:r>
        <w:rPr>
          <w:rFonts w:ascii="Arial" w:hAnsi="Arial" w:cs="Arial"/>
          <w:color w:val="000000" w:themeColor="text1"/>
          <w:sz w:val="22"/>
          <w:szCs w:val="22"/>
          <w:lang w:val="en-US"/>
        </w:rPr>
        <w:t xml:space="preserve"> cells were injected via the lateral tail vein. Engraftment of the tumor cells was monitored by </w:t>
      </w:r>
      <w:r>
        <w:rPr>
          <w:rFonts w:ascii="Arial" w:hAnsi="Arial" w:cs="Arial"/>
          <w:i/>
          <w:iCs/>
          <w:color w:val="000000" w:themeColor="text1"/>
          <w:sz w:val="22"/>
          <w:szCs w:val="22"/>
          <w:lang w:val="en-US"/>
        </w:rPr>
        <w:t>in vivo</w:t>
      </w:r>
      <w:r>
        <w:rPr>
          <w:rFonts w:ascii="Arial" w:hAnsi="Arial" w:cs="Arial"/>
          <w:color w:val="000000" w:themeColor="text1"/>
          <w:sz w:val="22"/>
          <w:szCs w:val="22"/>
          <w:lang w:val="en-US"/>
        </w:rPr>
        <w:t xml:space="preserve"> bioluminescence imaging (BLI) on day 0 and animals were randomized into groups according to tumor burden. All mice received 10 mg human IgG (</w:t>
      </w:r>
      <w:proofErr w:type="spellStart"/>
      <w:r>
        <w:rPr>
          <w:rFonts w:ascii="Arial" w:hAnsi="Arial" w:cs="Arial"/>
          <w:color w:val="000000" w:themeColor="text1"/>
          <w:sz w:val="22"/>
          <w:szCs w:val="22"/>
          <w:lang w:val="en-US"/>
        </w:rPr>
        <w:t>Gammaguard</w:t>
      </w:r>
      <w:proofErr w:type="spellEnd"/>
      <w:r>
        <w:rPr>
          <w:rFonts w:ascii="Arial" w:hAnsi="Arial" w:cs="Arial"/>
          <w:color w:val="000000" w:themeColor="text1"/>
          <w:sz w:val="22"/>
          <w:szCs w:val="22"/>
          <w:lang w:val="en-US"/>
        </w:rPr>
        <w:t>) by subcutaneous injection twice a week, starting on day 0. LLE-</w:t>
      </w:r>
      <w:proofErr w:type="spellStart"/>
      <w:r>
        <w:rPr>
          <w:rFonts w:ascii="Arial" w:hAnsi="Arial" w:cs="Arial"/>
          <w:color w:val="000000" w:themeColor="text1"/>
          <w:sz w:val="22"/>
          <w:szCs w:val="22"/>
          <w:lang w:val="en-US"/>
        </w:rPr>
        <w:t>mAB</w:t>
      </w:r>
      <w:proofErr w:type="spellEnd"/>
      <w:r>
        <w:rPr>
          <w:rFonts w:ascii="Arial" w:hAnsi="Arial" w:cs="Arial"/>
          <w:color w:val="000000" w:themeColor="text1"/>
          <w:sz w:val="22"/>
          <w:szCs w:val="22"/>
          <w:lang w:val="en-US"/>
        </w:rPr>
        <w:t xml:space="preserve"> (45 µg) was applied by subcutaneous injection twice per week starting on day 0. 5x10</w:t>
      </w:r>
      <w:r>
        <w:rPr>
          <w:rFonts w:ascii="Arial" w:hAnsi="Arial" w:cs="Arial"/>
          <w:color w:val="000000" w:themeColor="text1"/>
          <w:sz w:val="22"/>
          <w:szCs w:val="22"/>
          <w:vertAlign w:val="superscript"/>
          <w:lang w:val="en-US"/>
        </w:rPr>
        <w:t>6</w:t>
      </w:r>
      <w:r>
        <w:rPr>
          <w:rFonts w:ascii="Arial" w:hAnsi="Arial" w:cs="Arial"/>
          <w:color w:val="000000" w:themeColor="text1"/>
          <w:sz w:val="22"/>
          <w:szCs w:val="22"/>
          <w:lang w:val="en-US"/>
        </w:rPr>
        <w:t xml:space="preserve"> CAR-T cells were injected intravenously on day 0. Tumor growth was monitored twice per week by BLI. Mice were sacrificed when reaching end point criteria or latest after 50 days according to the approval by the local authorities. For analysis of bone marrow, samples were taken from femur and tibia after mice were sacrificed. Cells were treated with Red Blood Cell (RBC) Lysis Buffer for 10 min and washed in CliniMACS® PBS/EDTA buffer for staining with fluorophore conjugated antibodies against huCD45-FITC, CD3-APC, CD33-Viogreen, CD38-PE-Vio770, CD123-APC-Vio770, CD135-PE, CD371-Vioblue, 7-AAD. Samples were acquired on BD </w:t>
      </w:r>
      <w:proofErr w:type="spellStart"/>
      <w:r>
        <w:rPr>
          <w:rFonts w:ascii="Arial" w:hAnsi="Arial" w:cs="Arial"/>
          <w:color w:val="000000" w:themeColor="text1"/>
          <w:sz w:val="22"/>
          <w:szCs w:val="22"/>
          <w:lang w:val="en-US"/>
        </w:rPr>
        <w:t>FACSCanto</w:t>
      </w:r>
      <w:proofErr w:type="spellEnd"/>
      <w:r>
        <w:rPr>
          <w:rFonts w:ascii="Arial" w:hAnsi="Arial" w:cs="Arial"/>
          <w:color w:val="000000" w:themeColor="text1"/>
          <w:sz w:val="22"/>
          <w:szCs w:val="22"/>
          <w:lang w:val="en-US"/>
        </w:rPr>
        <w:t xml:space="preserve">™ II flow cytometer in BD </w:t>
      </w:r>
      <w:proofErr w:type="spellStart"/>
      <w:r>
        <w:rPr>
          <w:rFonts w:ascii="Arial" w:hAnsi="Arial" w:cs="Arial"/>
          <w:color w:val="000000" w:themeColor="text1"/>
          <w:sz w:val="22"/>
          <w:szCs w:val="22"/>
          <w:lang w:val="en-US"/>
        </w:rPr>
        <w:t>FACSDiva</w:t>
      </w:r>
      <w:proofErr w:type="spellEnd"/>
      <w:r>
        <w:rPr>
          <w:rFonts w:ascii="Arial" w:hAnsi="Arial" w:cs="Arial"/>
          <w:color w:val="000000" w:themeColor="text1"/>
          <w:sz w:val="22"/>
          <w:szCs w:val="22"/>
          <w:lang w:val="en-US"/>
        </w:rPr>
        <w:t xml:space="preserve">™ software and further analyzed using </w:t>
      </w:r>
      <w:proofErr w:type="spellStart"/>
      <w:r>
        <w:rPr>
          <w:rFonts w:ascii="Arial" w:hAnsi="Arial" w:cs="Arial"/>
          <w:color w:val="000000" w:themeColor="text1"/>
          <w:sz w:val="22"/>
          <w:szCs w:val="22"/>
          <w:lang w:val="en-US"/>
        </w:rPr>
        <w:t>FlowJo</w:t>
      </w:r>
      <w:proofErr w:type="spellEnd"/>
      <w:r>
        <w:rPr>
          <w:rFonts w:ascii="Arial" w:hAnsi="Arial" w:cs="Arial"/>
          <w:color w:val="000000" w:themeColor="text1"/>
          <w:sz w:val="22"/>
          <w:szCs w:val="22"/>
          <w:lang w:val="en-US"/>
        </w:rPr>
        <w:t xml:space="preserve"> 10.8 software</w:t>
      </w:r>
    </w:p>
    <w:p>
      <w:pPr>
        <w:spacing w:line="480" w:lineRule="auto"/>
        <w:jc w:val="both"/>
        <w:rPr>
          <w:rFonts w:ascii="Arial" w:hAnsi="Arial" w:cs="Arial"/>
          <w:color w:val="000000" w:themeColor="text1"/>
          <w:sz w:val="22"/>
          <w:szCs w:val="22"/>
          <w:lang w:val="en-US"/>
        </w:rPr>
      </w:pPr>
    </w:p>
    <w:p>
      <w:pPr>
        <w:spacing w:line="480" w:lineRule="auto"/>
        <w:jc w:val="both"/>
        <w:rPr>
          <w:rFonts w:ascii="Arial" w:hAnsi="Arial" w:cs="Arial"/>
          <w:b/>
          <w:bCs/>
          <w:color w:val="000000" w:themeColor="text1"/>
          <w:sz w:val="22"/>
          <w:szCs w:val="22"/>
          <w:lang w:val="en-US"/>
        </w:rPr>
      </w:pPr>
      <w:r>
        <w:rPr>
          <w:rFonts w:ascii="Arial" w:hAnsi="Arial" w:cs="Arial"/>
          <w:b/>
          <w:bCs/>
          <w:color w:val="000000" w:themeColor="text1"/>
          <w:sz w:val="22"/>
          <w:szCs w:val="22"/>
          <w:lang w:val="en-US"/>
        </w:rPr>
        <w:t>Optical Imaging</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For tumor burden monitoring, mice were injected 3 mg D-Luciferin (Perkin Elmer) </w:t>
      </w:r>
      <w:proofErr w:type="spellStart"/>
      <w:r>
        <w:rPr>
          <w:rFonts w:ascii="Arial" w:hAnsi="Arial" w:cs="Arial"/>
          <w:color w:val="000000" w:themeColor="text1"/>
          <w:sz w:val="22"/>
          <w:szCs w:val="22"/>
          <w:lang w:val="en-US"/>
        </w:rPr>
        <w:t>s.c.</w:t>
      </w:r>
      <w:proofErr w:type="spellEnd"/>
      <w:r>
        <w:rPr>
          <w:rFonts w:ascii="Arial" w:hAnsi="Arial" w:cs="Arial"/>
          <w:color w:val="000000" w:themeColor="text1"/>
          <w:sz w:val="22"/>
          <w:szCs w:val="22"/>
          <w:lang w:val="en-US"/>
        </w:rPr>
        <w:t xml:space="preserve"> for bioluminescence imaging (BLI) following a 5 min uptake period. An IVIS Spectrum Optical Imaging system (Perkin Elmer) was used to acquire BLI scans for 1s, 10s, or 20 s and signals were normalized for the luciferase activity [photons/second]. ROI scans were analyzed using Living Image Software 4 (Perkin Elmer), by drawing regions of interest (ROI) around the whole animal. </w:t>
      </w:r>
    </w:p>
    <w:p>
      <w:pPr>
        <w:spacing w:line="480" w:lineRule="auto"/>
        <w:jc w:val="both"/>
        <w:rPr>
          <w:rFonts w:ascii="Arial" w:hAnsi="Arial" w:cs="Arial"/>
          <w:color w:val="000000" w:themeColor="text1"/>
          <w:sz w:val="22"/>
          <w:szCs w:val="22"/>
          <w:lang w:val="en-US"/>
        </w:rPr>
      </w:pPr>
    </w:p>
    <w:p>
      <w:pPr>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lastRenderedPageBreak/>
        <w:t xml:space="preserve">Data visualization </w:t>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Data was visualized using Prism 9 version 9.2.0 (283) (GraphPad Software Inc.). Figures were generated using the vector graphics software Inkscape 1.2.2 (732a01da63, 2022-12-09). </w:t>
      </w:r>
    </w:p>
    <w:p>
      <w:pPr>
        <w:spacing w:line="480" w:lineRule="auto"/>
        <w:jc w:val="both"/>
        <w:rPr>
          <w:rFonts w:ascii="Arial" w:hAnsi="Arial" w:cs="Arial"/>
          <w:color w:val="000000" w:themeColor="text1"/>
          <w:sz w:val="22"/>
          <w:szCs w:val="22"/>
          <w:lang w:val="en-US"/>
        </w:rPr>
      </w:pPr>
    </w:p>
    <w:p>
      <w:pPr>
        <w:pStyle w:val="Beschriftung"/>
        <w:keepNext/>
        <w:jc w:val="both"/>
        <w:rPr>
          <w:rFonts w:ascii="Arial" w:hAnsi="Arial" w:cs="Arial"/>
          <w:i w:val="0"/>
          <w:color w:val="000000" w:themeColor="text1"/>
          <w:sz w:val="22"/>
          <w:szCs w:val="22"/>
        </w:rPr>
      </w:pPr>
      <w:r>
        <w:rPr>
          <w:rFonts w:ascii="Arial" w:hAnsi="Arial" w:cs="Arial"/>
          <w:i w:val="0"/>
          <w:color w:val="000000" w:themeColor="text1"/>
          <w:sz w:val="22"/>
          <w:szCs w:val="22"/>
        </w:rPr>
        <w:t xml:space="preserve">Supplementary Table </w:t>
      </w:r>
      <w:r>
        <w:rPr>
          <w:rFonts w:ascii="Arial" w:hAnsi="Arial" w:cs="Arial"/>
          <w:i w:val="0"/>
          <w:color w:val="000000" w:themeColor="text1"/>
          <w:sz w:val="22"/>
          <w:szCs w:val="22"/>
        </w:rPr>
        <w:fldChar w:fldCharType="begin"/>
      </w:r>
      <w:r>
        <w:rPr>
          <w:rFonts w:ascii="Arial" w:hAnsi="Arial" w:cs="Arial"/>
          <w:i w:val="0"/>
          <w:color w:val="000000" w:themeColor="text1"/>
          <w:sz w:val="22"/>
          <w:szCs w:val="22"/>
        </w:rPr>
        <w:instrText xml:space="preserve"> SEQ Table \* ARABIC </w:instrText>
      </w:r>
      <w:r>
        <w:rPr>
          <w:rFonts w:ascii="Arial" w:hAnsi="Arial" w:cs="Arial"/>
          <w:i w:val="0"/>
          <w:color w:val="000000" w:themeColor="text1"/>
          <w:sz w:val="22"/>
          <w:szCs w:val="22"/>
        </w:rPr>
        <w:fldChar w:fldCharType="separate"/>
      </w:r>
      <w:r>
        <w:rPr>
          <w:rFonts w:ascii="Arial" w:hAnsi="Arial" w:cs="Arial"/>
          <w:i w:val="0"/>
          <w:noProof/>
          <w:color w:val="000000" w:themeColor="text1"/>
          <w:sz w:val="22"/>
          <w:szCs w:val="22"/>
        </w:rPr>
        <w:t>1</w:t>
      </w:r>
      <w:r>
        <w:rPr>
          <w:rFonts w:ascii="Arial" w:hAnsi="Arial" w:cs="Arial"/>
          <w:i w:val="0"/>
          <w:color w:val="000000" w:themeColor="text1"/>
          <w:sz w:val="22"/>
          <w:szCs w:val="22"/>
        </w:rPr>
        <w:fldChar w:fldCharType="end"/>
      </w:r>
      <w:r>
        <w:rPr>
          <w:rFonts w:ascii="Arial" w:hAnsi="Arial" w:cs="Arial"/>
          <w:i w:val="0"/>
          <w:color w:val="000000" w:themeColor="text1"/>
          <w:sz w:val="22"/>
          <w:szCs w:val="22"/>
        </w:rPr>
        <w:t>: Media and buffers:</w:t>
      </w:r>
    </w:p>
    <w:tbl>
      <w:tblPr>
        <w:tblStyle w:val="TableGrid"/>
        <w:tblW w:w="0" w:type="auto"/>
        <w:tblInd w:w="5" w:type="dxa"/>
        <w:tblLook w:val="04A0" w:firstRow="1" w:lastRow="0" w:firstColumn="1" w:lastColumn="0" w:noHBand="0" w:noVBand="1"/>
      </w:tblPr>
      <w:tblGrid>
        <w:gridCol w:w="2405"/>
        <w:gridCol w:w="4111"/>
        <w:gridCol w:w="231"/>
        <w:gridCol w:w="2313"/>
      </w:tblGrid>
      <w:tr>
        <w:trPr>
          <w:trHeight w:val="448"/>
        </w:trPr>
        <w:tc>
          <w:tcPr>
            <w:tcW w:w="2405" w:type="dxa"/>
            <w:tcBorders>
              <w:top w:val="single" w:sz="4" w:space="0" w:color="auto"/>
              <w:bottom w:val="single" w:sz="4" w:space="0" w:color="auto"/>
            </w:tcBorders>
          </w:tcPr>
          <w:p>
            <w:pPr>
              <w:jc w:val="both"/>
              <w:rPr>
                <w:rFonts w:ascii="Arial" w:hAnsi="Arial" w:cs="Arial"/>
                <w:b/>
                <w:color w:val="000000" w:themeColor="text1"/>
                <w:lang w:val="en-US"/>
              </w:rPr>
            </w:pPr>
            <w:r>
              <w:rPr>
                <w:rFonts w:ascii="Arial" w:hAnsi="Arial" w:cs="Arial"/>
                <w:b/>
                <w:color w:val="000000" w:themeColor="text1"/>
                <w:lang w:val="en-US"/>
              </w:rPr>
              <w:t>Name</w:t>
            </w:r>
          </w:p>
        </w:tc>
        <w:tc>
          <w:tcPr>
            <w:tcW w:w="4111" w:type="dxa"/>
            <w:tcBorders>
              <w:top w:val="single" w:sz="4" w:space="0" w:color="auto"/>
              <w:bottom w:val="single" w:sz="4" w:space="0" w:color="auto"/>
            </w:tcBorders>
          </w:tcPr>
          <w:p>
            <w:pPr>
              <w:jc w:val="both"/>
              <w:rPr>
                <w:rFonts w:ascii="Arial" w:hAnsi="Arial" w:cs="Arial"/>
                <w:b/>
                <w:color w:val="000000" w:themeColor="text1"/>
                <w:lang w:val="en-US"/>
              </w:rPr>
            </w:pPr>
            <w:r>
              <w:rPr>
                <w:rFonts w:ascii="Arial" w:hAnsi="Arial" w:cs="Arial"/>
                <w:b/>
                <w:color w:val="000000" w:themeColor="text1"/>
                <w:lang w:val="en-US"/>
              </w:rPr>
              <w:t>Final composition</w:t>
            </w:r>
          </w:p>
        </w:tc>
        <w:tc>
          <w:tcPr>
            <w:tcW w:w="231" w:type="dxa"/>
            <w:tcBorders>
              <w:top w:val="single" w:sz="4" w:space="0" w:color="auto"/>
              <w:bottom w:val="single" w:sz="4" w:space="0" w:color="auto"/>
            </w:tcBorders>
          </w:tcPr>
          <w:p>
            <w:pPr>
              <w:jc w:val="both"/>
              <w:rPr>
                <w:rFonts w:ascii="Arial" w:hAnsi="Arial" w:cs="Arial"/>
                <w:b/>
                <w:color w:val="000000" w:themeColor="text1"/>
                <w:lang w:val="en-US"/>
              </w:rPr>
            </w:pPr>
          </w:p>
        </w:tc>
        <w:tc>
          <w:tcPr>
            <w:tcW w:w="2313" w:type="dxa"/>
            <w:tcBorders>
              <w:top w:val="single" w:sz="4" w:space="0" w:color="auto"/>
              <w:bottom w:val="single" w:sz="4" w:space="0" w:color="auto"/>
            </w:tcBorders>
          </w:tcPr>
          <w:p>
            <w:pPr>
              <w:jc w:val="both"/>
              <w:rPr>
                <w:rFonts w:ascii="Arial" w:hAnsi="Arial" w:cs="Arial"/>
                <w:b/>
                <w:color w:val="000000" w:themeColor="text1"/>
                <w:lang w:val="en-US"/>
              </w:rPr>
            </w:pPr>
            <w:r>
              <w:rPr>
                <w:rFonts w:ascii="Arial" w:hAnsi="Arial" w:cs="Arial"/>
                <w:b/>
                <w:color w:val="000000" w:themeColor="text1"/>
                <w:lang w:val="en-US"/>
              </w:rPr>
              <w:t>Usage</w:t>
            </w:r>
          </w:p>
        </w:tc>
      </w:tr>
      <w:tr>
        <w:trPr>
          <w:trHeight w:val="434"/>
        </w:trPr>
        <w:tc>
          <w:tcPr>
            <w:tcW w:w="2405" w:type="dxa"/>
            <w:tcBorders>
              <w:top w:val="single" w:sz="4" w:space="0" w:color="auto"/>
            </w:tcBorders>
          </w:tcPr>
          <w:p>
            <w:pPr>
              <w:jc w:val="both"/>
              <w:rPr>
                <w:rFonts w:ascii="Arial" w:hAnsi="Arial" w:cs="Arial"/>
                <w:color w:val="000000" w:themeColor="text1"/>
                <w:lang w:val="en-US"/>
              </w:rPr>
            </w:pPr>
            <w:r>
              <w:rPr>
                <w:rFonts w:ascii="Arial" w:hAnsi="Arial" w:cs="Arial"/>
                <w:color w:val="000000" w:themeColor="text1"/>
                <w:lang w:val="en-US"/>
              </w:rPr>
              <w:t>CliniMACS/HSA buffer</w:t>
            </w:r>
          </w:p>
        </w:tc>
        <w:tc>
          <w:tcPr>
            <w:tcW w:w="4111" w:type="dxa"/>
            <w:tcBorders>
              <w:top w:val="single" w:sz="4" w:space="0" w:color="auto"/>
            </w:tcBorders>
          </w:tcPr>
          <w:p>
            <w:pPr>
              <w:spacing w:line="276" w:lineRule="auto"/>
              <w:jc w:val="both"/>
              <w:rPr>
                <w:rFonts w:ascii="Arial" w:hAnsi="Arial" w:cs="Arial"/>
                <w:color w:val="000000" w:themeColor="text1"/>
                <w:lang w:val="en-US"/>
              </w:rPr>
            </w:pPr>
            <w:r>
              <w:rPr>
                <w:rFonts w:ascii="Arial" w:hAnsi="Arial" w:cs="Arial"/>
                <w:color w:val="000000" w:themeColor="text1"/>
                <w:lang w:val="en-US"/>
              </w:rPr>
              <w:t>500 ml CliniMACS® PBS/EDTA Buffer</w:t>
            </w:r>
          </w:p>
          <w:p>
            <w:pPr>
              <w:jc w:val="both"/>
              <w:rPr>
                <w:rFonts w:ascii="Arial" w:hAnsi="Arial" w:cs="Arial"/>
                <w:color w:val="000000" w:themeColor="text1"/>
                <w:lang w:val="en-US"/>
              </w:rPr>
            </w:pPr>
            <w:r>
              <w:rPr>
                <w:rFonts w:ascii="Arial" w:hAnsi="Arial" w:cs="Arial"/>
                <w:color w:val="000000" w:themeColor="text1"/>
                <w:lang w:val="en-US"/>
              </w:rPr>
              <w:t>+ 0.5% HSA</w:t>
            </w:r>
          </w:p>
        </w:tc>
        <w:tc>
          <w:tcPr>
            <w:tcW w:w="231" w:type="dxa"/>
            <w:tcBorders>
              <w:top w:val="single" w:sz="4" w:space="0" w:color="auto"/>
            </w:tcBorders>
          </w:tcPr>
          <w:p>
            <w:pPr>
              <w:jc w:val="both"/>
              <w:rPr>
                <w:rFonts w:ascii="Arial" w:hAnsi="Arial" w:cs="Arial"/>
                <w:color w:val="000000" w:themeColor="text1"/>
                <w:lang w:val="en-US"/>
              </w:rPr>
            </w:pPr>
          </w:p>
        </w:tc>
        <w:tc>
          <w:tcPr>
            <w:tcW w:w="2313" w:type="dxa"/>
            <w:tcBorders>
              <w:top w:val="single" w:sz="4" w:space="0" w:color="auto"/>
            </w:tcBorders>
          </w:tcPr>
          <w:p>
            <w:pPr>
              <w:spacing w:line="276" w:lineRule="auto"/>
              <w:jc w:val="both"/>
              <w:rPr>
                <w:rFonts w:ascii="Arial" w:hAnsi="Arial" w:cs="Arial"/>
                <w:color w:val="000000" w:themeColor="text1"/>
                <w:lang w:val="en-US"/>
              </w:rPr>
            </w:pPr>
            <w:r>
              <w:rPr>
                <w:rFonts w:ascii="Arial" w:hAnsi="Arial" w:cs="Arial"/>
                <w:color w:val="000000" w:themeColor="text1"/>
                <w:lang w:val="en-US"/>
              </w:rPr>
              <w:t xml:space="preserve">Staining for flow </w:t>
            </w:r>
          </w:p>
          <w:p>
            <w:pPr>
              <w:jc w:val="both"/>
              <w:rPr>
                <w:rFonts w:ascii="Arial" w:hAnsi="Arial" w:cs="Arial"/>
                <w:color w:val="000000" w:themeColor="text1"/>
                <w:lang w:val="en-US"/>
              </w:rPr>
            </w:pPr>
            <w:r>
              <w:rPr>
                <w:rFonts w:ascii="Arial" w:hAnsi="Arial" w:cs="Arial"/>
                <w:color w:val="000000" w:themeColor="text1"/>
                <w:lang w:val="en-US"/>
              </w:rPr>
              <w:t>cytometry</w:t>
            </w:r>
          </w:p>
        </w:tc>
      </w:tr>
      <w:tr>
        <w:trPr>
          <w:trHeight w:val="434"/>
        </w:trPr>
        <w:tc>
          <w:tcPr>
            <w:tcW w:w="2405"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DNase treatment buffer</w:t>
            </w:r>
          </w:p>
        </w:tc>
        <w:tc>
          <w:tcPr>
            <w:tcW w:w="4111"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DPBS (pH 7.0-7.2, 0.5 mM MgCl</w:t>
            </w:r>
            <w:r>
              <w:rPr>
                <w:rFonts w:ascii="Arial" w:hAnsi="Arial" w:cs="Arial"/>
                <w:color w:val="000000" w:themeColor="text1"/>
                <w:vertAlign w:val="subscript"/>
                <w:lang w:val="en-US"/>
              </w:rPr>
              <w:t>2</w:t>
            </w:r>
            <w:r>
              <w:rPr>
                <w:rFonts w:ascii="Arial" w:hAnsi="Arial" w:cs="Arial"/>
                <w:color w:val="000000" w:themeColor="text1"/>
                <w:lang w:val="en-US"/>
              </w:rPr>
              <w:t>, 1 mM CaCl</w:t>
            </w:r>
            <w:r>
              <w:rPr>
                <w:rFonts w:ascii="Arial" w:hAnsi="Arial" w:cs="Arial"/>
                <w:color w:val="000000" w:themeColor="text1"/>
                <w:vertAlign w:val="subscript"/>
                <w:lang w:val="en-US"/>
              </w:rPr>
              <w:t>2</w:t>
            </w:r>
            <w:r>
              <w:rPr>
                <w:rFonts w:ascii="Arial" w:hAnsi="Arial" w:cs="Arial"/>
                <w:color w:val="000000" w:themeColor="text1"/>
                <w:lang w:val="en-US"/>
              </w:rPr>
              <w:t xml:space="preserve">) </w:t>
            </w:r>
          </w:p>
          <w:p>
            <w:pPr>
              <w:spacing w:line="276" w:lineRule="auto"/>
              <w:jc w:val="both"/>
              <w:rPr>
                <w:rFonts w:ascii="Arial" w:hAnsi="Arial" w:cs="Arial"/>
                <w:color w:val="000000" w:themeColor="text1"/>
                <w:lang w:val="en-US"/>
              </w:rPr>
            </w:pPr>
            <w:r>
              <w:rPr>
                <w:rFonts w:ascii="Arial" w:hAnsi="Arial" w:cs="Arial"/>
                <w:color w:val="000000" w:themeColor="text1"/>
                <w:lang w:val="en-US"/>
              </w:rPr>
              <w:t>+ 0.5% HSA</w:t>
            </w:r>
            <w:r>
              <w:rPr>
                <w:rFonts w:ascii="Arial" w:hAnsi="Arial" w:cs="Arial"/>
                <w:color w:val="000000" w:themeColor="text1"/>
                <w:lang w:val="en-US"/>
              </w:rPr>
              <w:tab/>
            </w:r>
          </w:p>
          <w:p>
            <w:pPr>
              <w:jc w:val="both"/>
              <w:rPr>
                <w:rFonts w:ascii="Arial" w:hAnsi="Arial" w:cs="Arial"/>
                <w:color w:val="000000" w:themeColor="text1"/>
                <w:lang w:val="en-US"/>
              </w:rPr>
            </w:pPr>
            <w:r>
              <w:rPr>
                <w:rFonts w:ascii="Arial" w:hAnsi="Arial" w:cs="Arial"/>
                <w:color w:val="000000" w:themeColor="text1"/>
                <w:lang w:val="en-US"/>
              </w:rPr>
              <w:t xml:space="preserve">+ 20 U/ml DNase 1 </w:t>
            </w:r>
          </w:p>
        </w:tc>
        <w:tc>
          <w:tcPr>
            <w:tcW w:w="231" w:type="dxa"/>
          </w:tcPr>
          <w:p>
            <w:pPr>
              <w:jc w:val="both"/>
              <w:rPr>
                <w:rFonts w:ascii="Arial" w:hAnsi="Arial" w:cs="Arial"/>
                <w:color w:val="000000" w:themeColor="text1"/>
                <w:lang w:val="en-US"/>
              </w:rPr>
            </w:pPr>
          </w:p>
        </w:tc>
        <w:tc>
          <w:tcPr>
            <w:tcW w:w="2313" w:type="dxa"/>
          </w:tcPr>
          <w:p>
            <w:pPr>
              <w:jc w:val="both"/>
              <w:rPr>
                <w:rFonts w:ascii="Arial" w:hAnsi="Arial" w:cs="Arial"/>
                <w:color w:val="000000" w:themeColor="text1"/>
                <w:lang w:val="en-US"/>
              </w:rPr>
            </w:pPr>
            <w:r>
              <w:rPr>
                <w:rFonts w:ascii="Arial" w:hAnsi="Arial" w:cs="Arial"/>
                <w:color w:val="000000" w:themeColor="text1"/>
                <w:lang w:val="en-US"/>
              </w:rPr>
              <w:t xml:space="preserve">Thawing primary cells </w:t>
            </w:r>
          </w:p>
        </w:tc>
      </w:tr>
      <w:tr>
        <w:trPr>
          <w:trHeight w:val="448"/>
        </w:trPr>
        <w:tc>
          <w:tcPr>
            <w:tcW w:w="2405" w:type="dxa"/>
          </w:tcPr>
          <w:p>
            <w:pPr>
              <w:jc w:val="both"/>
              <w:rPr>
                <w:rFonts w:ascii="Arial" w:hAnsi="Arial" w:cs="Arial"/>
                <w:color w:val="000000" w:themeColor="text1"/>
                <w:lang w:val="en-US"/>
              </w:rPr>
            </w:pPr>
            <w:r>
              <w:rPr>
                <w:rFonts w:ascii="Arial" w:hAnsi="Arial" w:cs="Arial"/>
                <w:color w:val="000000" w:themeColor="text1"/>
                <w:lang w:val="en-US"/>
              </w:rPr>
              <w:t>DMEM 10%</w:t>
            </w:r>
          </w:p>
        </w:tc>
        <w:tc>
          <w:tcPr>
            <w:tcW w:w="4111" w:type="dxa"/>
          </w:tcPr>
          <w:p>
            <w:pPr>
              <w:spacing w:line="276" w:lineRule="auto"/>
              <w:jc w:val="both"/>
              <w:rPr>
                <w:rFonts w:ascii="Arial" w:hAnsi="Arial" w:cs="Arial"/>
                <w:color w:val="000000" w:themeColor="text1"/>
              </w:rPr>
            </w:pPr>
            <w:r>
              <w:rPr>
                <w:rFonts w:ascii="Arial" w:hAnsi="Arial" w:cs="Arial"/>
                <w:color w:val="000000" w:themeColor="text1"/>
              </w:rPr>
              <w:t>500 ml DMEM medium + 50 ml FCS (10%)</w:t>
            </w:r>
          </w:p>
          <w:p>
            <w:pPr>
              <w:spacing w:line="276" w:lineRule="auto"/>
              <w:jc w:val="both"/>
              <w:rPr>
                <w:rFonts w:ascii="Arial" w:hAnsi="Arial" w:cs="Arial"/>
                <w:color w:val="000000" w:themeColor="text1"/>
                <w:lang w:val="en-US"/>
              </w:rPr>
            </w:pPr>
            <w:r>
              <w:rPr>
                <w:rFonts w:ascii="Arial" w:hAnsi="Arial" w:cs="Arial"/>
                <w:color w:val="000000" w:themeColor="text1"/>
                <w:lang w:val="en-US"/>
              </w:rPr>
              <w:t>+ 5 ml Penicillin-Streptomycin (1%)</w:t>
            </w:r>
          </w:p>
          <w:p>
            <w:pPr>
              <w:jc w:val="both"/>
              <w:rPr>
                <w:rFonts w:ascii="Arial" w:hAnsi="Arial" w:cs="Arial"/>
                <w:color w:val="000000" w:themeColor="text1"/>
                <w:lang w:val="en-US"/>
              </w:rPr>
            </w:pPr>
            <w:r>
              <w:rPr>
                <w:rFonts w:ascii="Arial" w:hAnsi="Arial" w:cs="Arial"/>
                <w:color w:val="000000" w:themeColor="text1"/>
                <w:lang w:val="en-US"/>
              </w:rPr>
              <w:t>+ 5 ml L-Glutamine (1%)</w:t>
            </w:r>
          </w:p>
        </w:tc>
        <w:tc>
          <w:tcPr>
            <w:tcW w:w="231" w:type="dxa"/>
          </w:tcPr>
          <w:p>
            <w:pPr>
              <w:jc w:val="both"/>
              <w:rPr>
                <w:rFonts w:ascii="Arial" w:hAnsi="Arial" w:cs="Arial"/>
                <w:color w:val="000000" w:themeColor="text1"/>
                <w:lang w:val="en-US"/>
              </w:rPr>
            </w:pPr>
          </w:p>
        </w:tc>
        <w:tc>
          <w:tcPr>
            <w:tcW w:w="2313" w:type="dxa"/>
          </w:tcPr>
          <w:p>
            <w:pPr>
              <w:jc w:val="both"/>
              <w:rPr>
                <w:rFonts w:ascii="Arial" w:hAnsi="Arial" w:cs="Arial"/>
                <w:color w:val="000000" w:themeColor="text1"/>
                <w:lang w:val="en-US"/>
              </w:rPr>
            </w:pPr>
            <w:r>
              <w:rPr>
                <w:rFonts w:ascii="Arial" w:hAnsi="Arial" w:cs="Arial"/>
                <w:color w:val="000000" w:themeColor="text1"/>
                <w:lang w:val="en-US"/>
              </w:rPr>
              <w:t>Cultivation of cell lines</w:t>
            </w:r>
          </w:p>
        </w:tc>
      </w:tr>
      <w:tr>
        <w:trPr>
          <w:trHeight w:val="448"/>
        </w:trPr>
        <w:tc>
          <w:tcPr>
            <w:tcW w:w="2405" w:type="dxa"/>
          </w:tcPr>
          <w:p>
            <w:pPr>
              <w:jc w:val="both"/>
              <w:rPr>
                <w:rFonts w:ascii="Arial" w:hAnsi="Arial" w:cs="Arial"/>
                <w:color w:val="000000" w:themeColor="text1"/>
                <w:lang w:val="en-US"/>
              </w:rPr>
            </w:pPr>
            <w:r>
              <w:rPr>
                <w:rFonts w:ascii="Arial" w:hAnsi="Arial" w:cs="Arial"/>
                <w:color w:val="000000" w:themeColor="text1"/>
                <w:lang w:val="en-US"/>
              </w:rPr>
              <w:t xml:space="preserve">Freezing medium </w:t>
            </w:r>
          </w:p>
          <w:p>
            <w:pPr>
              <w:jc w:val="both"/>
              <w:rPr>
                <w:rFonts w:ascii="Arial" w:hAnsi="Arial" w:cs="Arial"/>
                <w:color w:val="000000" w:themeColor="text1"/>
                <w:lang w:val="en-US"/>
              </w:rPr>
            </w:pPr>
          </w:p>
        </w:tc>
        <w:tc>
          <w:tcPr>
            <w:tcW w:w="4111"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90% FCS/HSA</w:t>
            </w:r>
          </w:p>
          <w:p>
            <w:pPr>
              <w:jc w:val="both"/>
              <w:rPr>
                <w:rFonts w:ascii="Arial" w:hAnsi="Arial" w:cs="Arial"/>
                <w:color w:val="000000" w:themeColor="text1"/>
                <w:lang w:val="en-US"/>
              </w:rPr>
            </w:pPr>
            <w:r>
              <w:rPr>
                <w:rFonts w:ascii="Arial" w:hAnsi="Arial" w:cs="Arial"/>
                <w:color w:val="000000" w:themeColor="text1"/>
                <w:lang w:val="en-US"/>
              </w:rPr>
              <w:t>+ 10% DMSO</w:t>
            </w:r>
          </w:p>
        </w:tc>
        <w:tc>
          <w:tcPr>
            <w:tcW w:w="231" w:type="dxa"/>
          </w:tcPr>
          <w:p>
            <w:pPr>
              <w:spacing w:line="276" w:lineRule="auto"/>
              <w:jc w:val="both"/>
              <w:rPr>
                <w:rFonts w:ascii="Arial" w:hAnsi="Arial" w:cs="Arial"/>
                <w:color w:val="000000" w:themeColor="text1"/>
                <w:lang w:val="en-US"/>
              </w:rPr>
            </w:pPr>
          </w:p>
        </w:tc>
        <w:tc>
          <w:tcPr>
            <w:tcW w:w="2313"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Freezing of cell lines, respectively primary cells</w:t>
            </w:r>
          </w:p>
        </w:tc>
      </w:tr>
      <w:tr>
        <w:trPr>
          <w:trHeight w:val="448"/>
        </w:trPr>
        <w:tc>
          <w:tcPr>
            <w:tcW w:w="2405" w:type="dxa"/>
          </w:tcPr>
          <w:p>
            <w:pPr>
              <w:jc w:val="both"/>
              <w:rPr>
                <w:rFonts w:ascii="Arial" w:hAnsi="Arial" w:cs="Arial"/>
                <w:color w:val="000000" w:themeColor="text1"/>
                <w:lang w:val="en-US"/>
              </w:rPr>
            </w:pPr>
            <w:r>
              <w:rPr>
                <w:rFonts w:ascii="Arial" w:hAnsi="Arial" w:cs="Arial"/>
                <w:color w:val="000000" w:themeColor="text1"/>
                <w:lang w:val="en-US"/>
              </w:rPr>
              <w:t xml:space="preserve">RPMI 10% </w:t>
            </w:r>
          </w:p>
          <w:p>
            <w:pPr>
              <w:jc w:val="both"/>
              <w:rPr>
                <w:rFonts w:ascii="Arial" w:hAnsi="Arial" w:cs="Arial"/>
                <w:color w:val="000000" w:themeColor="text1"/>
                <w:lang w:val="en-US"/>
              </w:rPr>
            </w:pPr>
          </w:p>
        </w:tc>
        <w:tc>
          <w:tcPr>
            <w:tcW w:w="4111"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 xml:space="preserve">500 ml RPMI 1640 medium </w:t>
            </w:r>
          </w:p>
          <w:p>
            <w:pPr>
              <w:spacing w:line="276" w:lineRule="auto"/>
              <w:jc w:val="both"/>
              <w:rPr>
                <w:rFonts w:ascii="Arial" w:hAnsi="Arial" w:cs="Arial"/>
                <w:color w:val="000000" w:themeColor="text1"/>
                <w:lang w:val="en-US"/>
              </w:rPr>
            </w:pPr>
            <w:r>
              <w:rPr>
                <w:rFonts w:ascii="Arial" w:hAnsi="Arial" w:cs="Arial"/>
                <w:color w:val="000000" w:themeColor="text1"/>
                <w:lang w:val="en-US"/>
              </w:rPr>
              <w:t xml:space="preserve">+ 50 ml FCS </w:t>
            </w:r>
          </w:p>
          <w:p>
            <w:pPr>
              <w:spacing w:line="276" w:lineRule="auto"/>
              <w:jc w:val="both"/>
              <w:rPr>
                <w:rFonts w:ascii="Arial" w:hAnsi="Arial" w:cs="Arial"/>
                <w:color w:val="000000" w:themeColor="text1"/>
                <w:lang w:val="en-US"/>
              </w:rPr>
            </w:pPr>
            <w:r>
              <w:rPr>
                <w:rFonts w:ascii="Arial" w:hAnsi="Arial" w:cs="Arial"/>
                <w:color w:val="000000" w:themeColor="text1"/>
                <w:lang w:val="en-US"/>
              </w:rPr>
              <w:t>+ 5 ml Penicillin-Streptomycin (1%)</w:t>
            </w:r>
          </w:p>
          <w:p>
            <w:pPr>
              <w:jc w:val="both"/>
              <w:rPr>
                <w:rFonts w:ascii="Arial" w:hAnsi="Arial" w:cs="Arial"/>
                <w:color w:val="000000" w:themeColor="text1"/>
                <w:lang w:val="en-US"/>
              </w:rPr>
            </w:pPr>
            <w:r>
              <w:rPr>
                <w:rFonts w:ascii="Arial" w:hAnsi="Arial" w:cs="Arial"/>
                <w:color w:val="000000" w:themeColor="text1"/>
                <w:lang w:val="en-US"/>
              </w:rPr>
              <w:t>+ 5 ml L-Glutamine (1%)</w:t>
            </w:r>
          </w:p>
        </w:tc>
        <w:tc>
          <w:tcPr>
            <w:tcW w:w="231" w:type="dxa"/>
          </w:tcPr>
          <w:p>
            <w:pPr>
              <w:jc w:val="both"/>
              <w:rPr>
                <w:rFonts w:ascii="Arial" w:hAnsi="Arial" w:cs="Arial"/>
                <w:color w:val="000000" w:themeColor="text1"/>
                <w:lang w:val="en-US"/>
              </w:rPr>
            </w:pPr>
          </w:p>
        </w:tc>
        <w:tc>
          <w:tcPr>
            <w:tcW w:w="2313" w:type="dxa"/>
          </w:tcPr>
          <w:p>
            <w:pPr>
              <w:jc w:val="both"/>
              <w:rPr>
                <w:rFonts w:ascii="Arial" w:hAnsi="Arial" w:cs="Arial"/>
                <w:color w:val="000000" w:themeColor="text1"/>
                <w:lang w:val="en-US"/>
              </w:rPr>
            </w:pPr>
            <w:r>
              <w:rPr>
                <w:rFonts w:ascii="Arial" w:hAnsi="Arial" w:cs="Arial"/>
                <w:color w:val="000000" w:themeColor="text1"/>
                <w:lang w:val="en-US"/>
              </w:rPr>
              <w:t xml:space="preserve">Cultivation of cell lines </w:t>
            </w:r>
          </w:p>
        </w:tc>
      </w:tr>
      <w:tr>
        <w:trPr>
          <w:trHeight w:val="434"/>
        </w:trPr>
        <w:tc>
          <w:tcPr>
            <w:tcW w:w="2405" w:type="dxa"/>
          </w:tcPr>
          <w:p>
            <w:pPr>
              <w:spacing w:line="276" w:lineRule="auto"/>
              <w:jc w:val="both"/>
              <w:rPr>
                <w:rFonts w:ascii="Arial" w:hAnsi="Arial" w:cs="Arial"/>
                <w:color w:val="000000" w:themeColor="text1"/>
                <w:lang w:val="en-US"/>
              </w:rPr>
            </w:pPr>
            <w:proofErr w:type="spellStart"/>
            <w:r>
              <w:rPr>
                <w:rFonts w:ascii="Arial" w:hAnsi="Arial" w:cs="Arial"/>
                <w:color w:val="000000" w:themeColor="text1"/>
                <w:lang w:val="en-US"/>
              </w:rPr>
              <w:t>TexMACS</w:t>
            </w:r>
            <w:proofErr w:type="spellEnd"/>
            <w:r>
              <w:rPr>
                <w:rFonts w:ascii="Arial" w:hAnsi="Arial" w:cs="Arial"/>
                <w:color w:val="000000" w:themeColor="text1"/>
                <w:lang w:val="en-US"/>
              </w:rPr>
              <w:t xml:space="preserve"> </w:t>
            </w:r>
          </w:p>
          <w:p>
            <w:pPr>
              <w:spacing w:line="276" w:lineRule="auto"/>
              <w:jc w:val="both"/>
              <w:rPr>
                <w:rFonts w:ascii="Arial" w:hAnsi="Arial" w:cs="Arial"/>
                <w:color w:val="000000" w:themeColor="text1"/>
                <w:lang w:val="en-US"/>
              </w:rPr>
            </w:pPr>
            <w:r>
              <w:rPr>
                <w:rFonts w:ascii="Arial" w:hAnsi="Arial" w:cs="Arial"/>
                <w:color w:val="000000" w:themeColor="text1"/>
                <w:lang w:val="en-US"/>
              </w:rPr>
              <w:t xml:space="preserve">culture medium </w:t>
            </w:r>
          </w:p>
        </w:tc>
        <w:tc>
          <w:tcPr>
            <w:tcW w:w="4111" w:type="dxa"/>
          </w:tcPr>
          <w:p>
            <w:pPr>
              <w:spacing w:line="276" w:lineRule="auto"/>
              <w:jc w:val="both"/>
              <w:rPr>
                <w:rFonts w:ascii="Arial" w:hAnsi="Arial" w:cs="Arial"/>
                <w:color w:val="000000" w:themeColor="text1"/>
                <w:lang w:val="en-US" w:eastAsia="en-US"/>
              </w:rPr>
            </w:pPr>
            <w:proofErr w:type="spellStart"/>
            <w:r>
              <w:rPr>
                <w:rFonts w:ascii="Arial" w:hAnsi="Arial" w:cs="Arial"/>
                <w:color w:val="000000" w:themeColor="text1"/>
                <w:lang w:val="en-US" w:eastAsia="en-US"/>
              </w:rPr>
              <w:t>TexMACS</w:t>
            </w:r>
            <w:proofErr w:type="spellEnd"/>
            <w:r>
              <w:rPr>
                <w:rFonts w:ascii="Arial" w:hAnsi="Arial" w:cs="Arial"/>
                <w:color w:val="000000" w:themeColor="text1"/>
                <w:lang w:val="en-US" w:eastAsia="en-US"/>
              </w:rPr>
              <w:t xml:space="preserve"> medium 500 ml</w:t>
            </w:r>
          </w:p>
          <w:p>
            <w:pPr>
              <w:spacing w:line="276" w:lineRule="auto"/>
              <w:jc w:val="both"/>
              <w:rPr>
                <w:rFonts w:ascii="Arial" w:hAnsi="Arial" w:cs="Arial"/>
                <w:color w:val="000000" w:themeColor="text1"/>
                <w:lang w:val="en-US" w:eastAsia="en-US"/>
              </w:rPr>
            </w:pPr>
            <w:r>
              <w:rPr>
                <w:rFonts w:ascii="Arial" w:hAnsi="Arial" w:cs="Arial"/>
                <w:color w:val="000000" w:themeColor="text1"/>
                <w:lang w:val="en-US" w:eastAsia="en-US"/>
              </w:rPr>
              <w:t>+ 5 ml Penicillin-Streptomycin</w:t>
            </w:r>
          </w:p>
          <w:p>
            <w:pPr>
              <w:spacing w:line="276" w:lineRule="auto"/>
              <w:jc w:val="both"/>
              <w:rPr>
                <w:rFonts w:ascii="Arial" w:hAnsi="Arial" w:cs="Arial"/>
                <w:color w:val="000000" w:themeColor="text1"/>
                <w:lang w:val="en-US" w:eastAsia="en-US"/>
              </w:rPr>
            </w:pPr>
            <w:r>
              <w:rPr>
                <w:rFonts w:ascii="Arial" w:hAnsi="Arial" w:cs="Arial"/>
                <w:color w:val="000000" w:themeColor="text1"/>
                <w:lang w:val="en-US" w:eastAsia="en-US"/>
              </w:rPr>
              <w:t>+ 100 µl IL-7 (10 ng/ml)</w:t>
            </w:r>
          </w:p>
          <w:p>
            <w:pPr>
              <w:jc w:val="both"/>
              <w:rPr>
                <w:rFonts w:ascii="Arial" w:hAnsi="Arial" w:cs="Arial"/>
                <w:color w:val="000000" w:themeColor="text1"/>
                <w:lang w:val="en-US"/>
              </w:rPr>
            </w:pPr>
            <w:r>
              <w:rPr>
                <w:rFonts w:ascii="Arial" w:hAnsi="Arial" w:cs="Arial"/>
                <w:color w:val="000000" w:themeColor="text1"/>
                <w:lang w:val="en-US" w:eastAsia="en-US"/>
              </w:rPr>
              <w:t>+ 100 µl IL-15 (5 ng/ml)</w:t>
            </w:r>
          </w:p>
        </w:tc>
        <w:tc>
          <w:tcPr>
            <w:tcW w:w="231" w:type="dxa"/>
          </w:tcPr>
          <w:p>
            <w:pPr>
              <w:jc w:val="both"/>
              <w:rPr>
                <w:rFonts w:ascii="Arial" w:hAnsi="Arial" w:cs="Arial"/>
                <w:color w:val="000000" w:themeColor="text1"/>
                <w:lang w:val="en-US"/>
              </w:rPr>
            </w:pPr>
          </w:p>
        </w:tc>
        <w:tc>
          <w:tcPr>
            <w:tcW w:w="2313"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Cultivation of primary T cells</w:t>
            </w:r>
          </w:p>
        </w:tc>
      </w:tr>
      <w:tr>
        <w:trPr>
          <w:trHeight w:val="434"/>
        </w:trPr>
        <w:tc>
          <w:tcPr>
            <w:tcW w:w="2405" w:type="dxa"/>
          </w:tcPr>
          <w:p>
            <w:pPr>
              <w:spacing w:line="276" w:lineRule="auto"/>
              <w:jc w:val="both"/>
              <w:rPr>
                <w:rFonts w:ascii="Arial" w:hAnsi="Arial" w:cs="Arial"/>
                <w:color w:val="000000" w:themeColor="text1"/>
                <w:lang w:val="en-US"/>
              </w:rPr>
            </w:pPr>
            <w:proofErr w:type="spellStart"/>
            <w:r>
              <w:rPr>
                <w:rFonts w:ascii="Arial" w:hAnsi="Arial" w:cs="Arial"/>
                <w:color w:val="000000" w:themeColor="text1"/>
                <w:lang w:val="en-US"/>
              </w:rPr>
              <w:t>TexMACS</w:t>
            </w:r>
            <w:proofErr w:type="spellEnd"/>
            <w:r>
              <w:rPr>
                <w:rFonts w:ascii="Arial" w:hAnsi="Arial" w:cs="Arial"/>
                <w:color w:val="000000" w:themeColor="text1"/>
                <w:lang w:val="en-US"/>
              </w:rPr>
              <w:t xml:space="preserve"> </w:t>
            </w:r>
          </w:p>
          <w:p>
            <w:pPr>
              <w:spacing w:line="276" w:lineRule="auto"/>
              <w:jc w:val="both"/>
              <w:rPr>
                <w:rFonts w:ascii="Arial" w:hAnsi="Arial" w:cs="Arial"/>
                <w:color w:val="000000" w:themeColor="text1"/>
                <w:lang w:val="en-US"/>
              </w:rPr>
            </w:pPr>
            <w:r>
              <w:rPr>
                <w:rFonts w:ascii="Arial" w:hAnsi="Arial" w:cs="Arial"/>
                <w:color w:val="000000" w:themeColor="text1"/>
                <w:lang w:val="en-US"/>
              </w:rPr>
              <w:t>thawing medium</w:t>
            </w:r>
          </w:p>
        </w:tc>
        <w:tc>
          <w:tcPr>
            <w:tcW w:w="4111" w:type="dxa"/>
          </w:tcPr>
          <w:p>
            <w:pPr>
              <w:spacing w:line="276" w:lineRule="auto"/>
              <w:jc w:val="both"/>
              <w:rPr>
                <w:rFonts w:ascii="Arial" w:hAnsi="Arial" w:cs="Arial"/>
                <w:color w:val="000000" w:themeColor="text1"/>
                <w:lang w:val="en-US" w:eastAsia="en-US"/>
              </w:rPr>
            </w:pPr>
            <w:proofErr w:type="spellStart"/>
            <w:r>
              <w:rPr>
                <w:rFonts w:ascii="Arial" w:hAnsi="Arial" w:cs="Arial"/>
                <w:color w:val="000000" w:themeColor="text1"/>
                <w:lang w:val="en-US" w:eastAsia="en-US"/>
              </w:rPr>
              <w:t>TexMACS</w:t>
            </w:r>
            <w:proofErr w:type="spellEnd"/>
            <w:r>
              <w:rPr>
                <w:rFonts w:ascii="Arial" w:hAnsi="Arial" w:cs="Arial"/>
                <w:color w:val="000000" w:themeColor="text1"/>
                <w:lang w:val="en-US" w:eastAsia="en-US"/>
              </w:rPr>
              <w:t xml:space="preserve"> medium 500 ml</w:t>
            </w:r>
          </w:p>
          <w:p>
            <w:pPr>
              <w:spacing w:line="276" w:lineRule="auto"/>
              <w:jc w:val="both"/>
              <w:rPr>
                <w:rFonts w:ascii="Arial" w:hAnsi="Arial" w:cs="Arial"/>
                <w:color w:val="000000" w:themeColor="text1"/>
                <w:lang w:val="en-US" w:eastAsia="en-US"/>
              </w:rPr>
            </w:pPr>
            <w:r>
              <w:rPr>
                <w:rFonts w:ascii="Arial" w:hAnsi="Arial" w:cs="Arial"/>
                <w:color w:val="000000" w:themeColor="text1"/>
                <w:lang w:val="en-US" w:eastAsia="en-US"/>
              </w:rPr>
              <w:t xml:space="preserve">+ 50 ml FCS </w:t>
            </w:r>
          </w:p>
          <w:p>
            <w:pPr>
              <w:spacing w:line="276" w:lineRule="auto"/>
              <w:jc w:val="both"/>
              <w:rPr>
                <w:rFonts w:ascii="Arial" w:hAnsi="Arial" w:cs="Arial"/>
                <w:color w:val="000000" w:themeColor="text1"/>
                <w:lang w:val="en-US" w:eastAsia="en-US"/>
              </w:rPr>
            </w:pPr>
            <w:r>
              <w:rPr>
                <w:rFonts w:ascii="Arial" w:hAnsi="Arial" w:cs="Arial"/>
                <w:color w:val="000000" w:themeColor="text1"/>
                <w:lang w:val="en-US" w:eastAsia="en-US"/>
              </w:rPr>
              <w:t>+ 5 ml Penicillin-Streptomycin</w:t>
            </w:r>
          </w:p>
        </w:tc>
        <w:tc>
          <w:tcPr>
            <w:tcW w:w="231" w:type="dxa"/>
          </w:tcPr>
          <w:p>
            <w:pPr>
              <w:jc w:val="both"/>
              <w:rPr>
                <w:rFonts w:ascii="Arial" w:hAnsi="Arial" w:cs="Arial"/>
                <w:color w:val="000000" w:themeColor="text1"/>
                <w:lang w:val="en-US"/>
              </w:rPr>
            </w:pPr>
          </w:p>
        </w:tc>
        <w:tc>
          <w:tcPr>
            <w:tcW w:w="2313"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Thawing primary T cells</w:t>
            </w:r>
          </w:p>
        </w:tc>
      </w:tr>
      <w:tr>
        <w:trPr>
          <w:trHeight w:val="434"/>
        </w:trPr>
        <w:tc>
          <w:tcPr>
            <w:tcW w:w="2405"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PDX Medium</w:t>
            </w:r>
          </w:p>
        </w:tc>
        <w:tc>
          <w:tcPr>
            <w:tcW w:w="4111"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 xml:space="preserve">500 ml RPMI 1640 medium </w:t>
            </w:r>
          </w:p>
          <w:p>
            <w:pPr>
              <w:spacing w:line="276" w:lineRule="auto"/>
              <w:jc w:val="both"/>
              <w:rPr>
                <w:rFonts w:ascii="Arial" w:hAnsi="Arial" w:cs="Arial"/>
                <w:color w:val="000000" w:themeColor="text1"/>
                <w:lang w:val="en-US"/>
              </w:rPr>
            </w:pPr>
            <w:r>
              <w:rPr>
                <w:rFonts w:ascii="Arial" w:hAnsi="Arial" w:cs="Arial"/>
                <w:color w:val="000000" w:themeColor="text1"/>
                <w:lang w:val="en-US"/>
              </w:rPr>
              <w:t xml:space="preserve">+ 100 ml FCS </w:t>
            </w:r>
          </w:p>
          <w:p>
            <w:pPr>
              <w:spacing w:line="276" w:lineRule="auto"/>
              <w:jc w:val="both"/>
              <w:rPr>
                <w:rFonts w:ascii="Arial" w:hAnsi="Arial" w:cs="Arial"/>
                <w:color w:val="000000" w:themeColor="text1"/>
                <w:lang w:val="en-US"/>
              </w:rPr>
            </w:pPr>
            <w:r>
              <w:rPr>
                <w:rFonts w:ascii="Arial" w:hAnsi="Arial" w:cs="Arial"/>
                <w:color w:val="000000" w:themeColor="text1"/>
                <w:lang w:val="en-US"/>
              </w:rPr>
              <w:t>+ 5 ml Penicillin-Streptomycin (1%)</w:t>
            </w:r>
          </w:p>
          <w:p>
            <w:pPr>
              <w:spacing w:line="276" w:lineRule="auto"/>
              <w:jc w:val="both"/>
              <w:rPr>
                <w:rFonts w:ascii="Arial" w:hAnsi="Arial" w:cs="Arial"/>
                <w:color w:val="000000" w:themeColor="text1"/>
                <w:lang w:val="en-US"/>
              </w:rPr>
            </w:pPr>
            <w:r>
              <w:rPr>
                <w:rFonts w:ascii="Arial" w:hAnsi="Arial" w:cs="Arial"/>
                <w:color w:val="000000" w:themeColor="text1"/>
                <w:lang w:val="en-US"/>
              </w:rPr>
              <w:t>+ 5 ml L-Glutamine (1%)</w:t>
            </w:r>
          </w:p>
          <w:p>
            <w:pPr>
              <w:spacing w:line="276" w:lineRule="auto"/>
              <w:jc w:val="both"/>
              <w:rPr>
                <w:rFonts w:ascii="Arial" w:hAnsi="Arial" w:cs="Arial"/>
                <w:color w:val="000000" w:themeColor="text1"/>
                <w:lang w:val="en-US"/>
              </w:rPr>
            </w:pPr>
            <w:r>
              <w:rPr>
                <w:rFonts w:ascii="Arial" w:hAnsi="Arial" w:cs="Arial"/>
                <w:color w:val="000000" w:themeColor="text1"/>
                <w:lang w:val="en-US"/>
              </w:rPr>
              <w:t>+ 0.6% mixture of rh insulin/human transferrin/sodium selenite</w:t>
            </w:r>
          </w:p>
        </w:tc>
        <w:tc>
          <w:tcPr>
            <w:tcW w:w="231" w:type="dxa"/>
          </w:tcPr>
          <w:p>
            <w:pPr>
              <w:jc w:val="both"/>
              <w:rPr>
                <w:rFonts w:ascii="Arial" w:hAnsi="Arial" w:cs="Arial"/>
                <w:color w:val="000000" w:themeColor="text1"/>
                <w:lang w:val="en-US"/>
              </w:rPr>
            </w:pPr>
          </w:p>
        </w:tc>
        <w:tc>
          <w:tcPr>
            <w:tcW w:w="2313"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 xml:space="preserve">Overnight transduction of primary AML </w:t>
            </w:r>
          </w:p>
        </w:tc>
      </w:tr>
      <w:tr>
        <w:trPr>
          <w:trHeight w:val="434"/>
        </w:trPr>
        <w:tc>
          <w:tcPr>
            <w:tcW w:w="2405" w:type="dxa"/>
          </w:tcPr>
          <w:p>
            <w:pPr>
              <w:spacing w:line="276" w:lineRule="auto"/>
              <w:jc w:val="both"/>
              <w:rPr>
                <w:rFonts w:ascii="Arial" w:hAnsi="Arial" w:cs="Arial"/>
                <w:color w:val="000000" w:themeColor="text1"/>
                <w:lang w:val="en-US"/>
              </w:rPr>
            </w:pPr>
          </w:p>
        </w:tc>
        <w:tc>
          <w:tcPr>
            <w:tcW w:w="4111"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 xml:space="preserve">+ 1 mM sodium pyruvate </w:t>
            </w:r>
          </w:p>
          <w:p>
            <w:pPr>
              <w:spacing w:line="276" w:lineRule="auto"/>
              <w:jc w:val="both"/>
              <w:rPr>
                <w:rFonts w:ascii="Arial" w:hAnsi="Arial" w:cs="Arial"/>
                <w:color w:val="000000" w:themeColor="text1"/>
                <w:lang w:val="en-US"/>
              </w:rPr>
            </w:pPr>
            <w:r>
              <w:rPr>
                <w:rFonts w:ascii="Arial" w:hAnsi="Arial" w:cs="Arial"/>
                <w:color w:val="000000" w:themeColor="text1"/>
                <w:lang w:val="en-US"/>
              </w:rPr>
              <w:t xml:space="preserve">+ 50 </w:t>
            </w:r>
            <w:proofErr w:type="spellStart"/>
            <w:r>
              <w:rPr>
                <w:rFonts w:ascii="Arial" w:hAnsi="Arial" w:cs="Arial"/>
                <w:color w:val="000000" w:themeColor="text1"/>
                <w:lang w:val="en-US"/>
              </w:rPr>
              <w:t>μM</w:t>
            </w:r>
            <w:proofErr w:type="spellEnd"/>
            <w:r>
              <w:rPr>
                <w:rFonts w:ascii="Arial" w:hAnsi="Arial" w:cs="Arial"/>
                <w:color w:val="000000" w:themeColor="text1"/>
                <w:lang w:val="en-US"/>
              </w:rPr>
              <w:t xml:space="preserve"> 1-thioglycerole</w:t>
            </w:r>
          </w:p>
        </w:tc>
        <w:tc>
          <w:tcPr>
            <w:tcW w:w="231" w:type="dxa"/>
          </w:tcPr>
          <w:p>
            <w:pPr>
              <w:jc w:val="both"/>
              <w:rPr>
                <w:rFonts w:ascii="Arial" w:hAnsi="Arial" w:cs="Arial"/>
                <w:color w:val="000000" w:themeColor="text1"/>
                <w:lang w:val="en-US"/>
              </w:rPr>
            </w:pPr>
          </w:p>
        </w:tc>
        <w:tc>
          <w:tcPr>
            <w:tcW w:w="2313" w:type="dxa"/>
          </w:tcPr>
          <w:p>
            <w:pPr>
              <w:spacing w:line="276" w:lineRule="auto"/>
              <w:jc w:val="both"/>
              <w:rPr>
                <w:rFonts w:ascii="Arial" w:hAnsi="Arial" w:cs="Arial"/>
                <w:color w:val="000000" w:themeColor="text1"/>
                <w:lang w:val="en-US"/>
              </w:rPr>
            </w:pPr>
          </w:p>
        </w:tc>
      </w:tr>
      <w:tr>
        <w:trPr>
          <w:trHeight w:val="434"/>
        </w:trPr>
        <w:tc>
          <w:tcPr>
            <w:tcW w:w="2405" w:type="dxa"/>
            <w:tcBorders>
              <w:bottom w:val="single" w:sz="4" w:space="0" w:color="auto"/>
            </w:tcBorders>
          </w:tcPr>
          <w:p>
            <w:pPr>
              <w:spacing w:line="276" w:lineRule="auto"/>
              <w:jc w:val="both"/>
              <w:rPr>
                <w:rFonts w:ascii="Arial" w:hAnsi="Arial" w:cs="Arial"/>
                <w:color w:val="000000" w:themeColor="text1"/>
                <w:lang w:val="en-US"/>
              </w:rPr>
            </w:pPr>
          </w:p>
        </w:tc>
        <w:tc>
          <w:tcPr>
            <w:tcW w:w="4111" w:type="dxa"/>
            <w:tcBorders>
              <w:bottom w:val="single" w:sz="4" w:space="0" w:color="auto"/>
            </w:tcBorders>
          </w:tcPr>
          <w:p>
            <w:pPr>
              <w:spacing w:line="276" w:lineRule="auto"/>
              <w:jc w:val="both"/>
              <w:rPr>
                <w:rFonts w:ascii="Arial" w:hAnsi="Arial" w:cs="Arial"/>
                <w:color w:val="000000" w:themeColor="text1"/>
                <w:lang w:val="en-US" w:eastAsia="en-US"/>
              </w:rPr>
            </w:pPr>
          </w:p>
        </w:tc>
        <w:tc>
          <w:tcPr>
            <w:tcW w:w="231" w:type="dxa"/>
            <w:tcBorders>
              <w:bottom w:val="single" w:sz="4" w:space="0" w:color="auto"/>
            </w:tcBorders>
          </w:tcPr>
          <w:p>
            <w:pPr>
              <w:jc w:val="both"/>
              <w:rPr>
                <w:rFonts w:ascii="Arial" w:hAnsi="Arial" w:cs="Arial"/>
                <w:color w:val="000000" w:themeColor="text1"/>
                <w:lang w:val="en-US"/>
              </w:rPr>
            </w:pPr>
          </w:p>
        </w:tc>
        <w:tc>
          <w:tcPr>
            <w:tcW w:w="2313" w:type="dxa"/>
            <w:tcBorders>
              <w:bottom w:val="single" w:sz="4" w:space="0" w:color="auto"/>
            </w:tcBorders>
          </w:tcPr>
          <w:p>
            <w:pPr>
              <w:spacing w:line="276" w:lineRule="auto"/>
              <w:jc w:val="both"/>
              <w:rPr>
                <w:rFonts w:ascii="Arial" w:hAnsi="Arial" w:cs="Arial"/>
                <w:color w:val="000000" w:themeColor="text1"/>
                <w:lang w:val="en-US"/>
              </w:rPr>
            </w:pPr>
          </w:p>
        </w:tc>
      </w:tr>
    </w:tbl>
    <w:p>
      <w:pPr>
        <w:jc w:val="both"/>
        <w:rPr>
          <w:rFonts w:ascii="Arial" w:hAnsi="Arial" w:cs="Arial"/>
          <w:color w:val="000000" w:themeColor="text1"/>
          <w:sz w:val="22"/>
          <w:szCs w:val="22"/>
          <w:lang w:val="en-US"/>
        </w:rPr>
      </w:pPr>
    </w:p>
    <w:p>
      <w:pPr>
        <w:pStyle w:val="Beschriftung"/>
        <w:keepNext/>
        <w:jc w:val="both"/>
        <w:rPr>
          <w:rFonts w:ascii="Arial" w:hAnsi="Arial" w:cs="Arial"/>
          <w:i w:val="0"/>
          <w:color w:val="000000" w:themeColor="text1"/>
          <w:sz w:val="22"/>
          <w:szCs w:val="22"/>
        </w:rPr>
      </w:pPr>
      <w:r>
        <w:rPr>
          <w:rFonts w:ascii="Arial" w:hAnsi="Arial" w:cs="Arial"/>
          <w:i w:val="0"/>
          <w:color w:val="000000" w:themeColor="text1"/>
          <w:sz w:val="22"/>
          <w:szCs w:val="22"/>
        </w:rPr>
        <w:t>Supplementary</w:t>
      </w:r>
      <w:r>
        <w:rPr>
          <w:rFonts w:ascii="Arial" w:hAnsi="Arial" w:cs="Arial"/>
          <w:i w:val="0"/>
          <w:color w:val="000000" w:themeColor="text1"/>
          <w:sz w:val="22"/>
          <w:szCs w:val="22"/>
        </w:rPr>
        <w:t xml:space="preserve"> Table </w:t>
      </w:r>
      <w:r>
        <w:rPr>
          <w:rFonts w:ascii="Arial" w:hAnsi="Arial" w:cs="Arial"/>
          <w:i w:val="0"/>
          <w:color w:val="000000" w:themeColor="text1"/>
          <w:sz w:val="22"/>
          <w:szCs w:val="22"/>
        </w:rPr>
        <w:fldChar w:fldCharType="begin"/>
      </w:r>
      <w:r>
        <w:rPr>
          <w:rFonts w:ascii="Arial" w:hAnsi="Arial" w:cs="Arial"/>
          <w:i w:val="0"/>
          <w:color w:val="000000" w:themeColor="text1"/>
          <w:sz w:val="22"/>
          <w:szCs w:val="22"/>
        </w:rPr>
        <w:instrText xml:space="preserve"> SEQ Table \* ARABIC </w:instrText>
      </w:r>
      <w:r>
        <w:rPr>
          <w:rFonts w:ascii="Arial" w:hAnsi="Arial" w:cs="Arial"/>
          <w:i w:val="0"/>
          <w:color w:val="000000" w:themeColor="text1"/>
          <w:sz w:val="22"/>
          <w:szCs w:val="22"/>
        </w:rPr>
        <w:fldChar w:fldCharType="separate"/>
      </w:r>
      <w:r>
        <w:rPr>
          <w:rFonts w:ascii="Arial" w:hAnsi="Arial" w:cs="Arial"/>
          <w:i w:val="0"/>
          <w:noProof/>
          <w:color w:val="000000" w:themeColor="text1"/>
          <w:sz w:val="22"/>
          <w:szCs w:val="22"/>
        </w:rPr>
        <w:t>2</w:t>
      </w:r>
      <w:r>
        <w:rPr>
          <w:rFonts w:ascii="Arial" w:hAnsi="Arial" w:cs="Arial"/>
          <w:i w:val="0"/>
          <w:color w:val="000000" w:themeColor="text1"/>
          <w:sz w:val="22"/>
          <w:szCs w:val="22"/>
        </w:rPr>
        <w:fldChar w:fldCharType="end"/>
      </w:r>
      <w:r>
        <w:rPr>
          <w:rFonts w:ascii="Arial" w:hAnsi="Arial" w:cs="Arial"/>
          <w:i w:val="0"/>
          <w:color w:val="000000" w:themeColor="text1"/>
          <w:sz w:val="22"/>
          <w:szCs w:val="22"/>
        </w:rPr>
        <w:t>: Cells</w:t>
      </w:r>
    </w:p>
    <w:tbl>
      <w:tblPr>
        <w:tblStyle w:val="TableGrid"/>
        <w:tblW w:w="9060" w:type="dxa"/>
        <w:tblInd w:w="5" w:type="dxa"/>
        <w:tblLook w:val="04A0" w:firstRow="1" w:lastRow="0" w:firstColumn="1" w:lastColumn="0" w:noHBand="0" w:noVBand="1"/>
      </w:tblPr>
      <w:tblGrid>
        <w:gridCol w:w="1498"/>
        <w:gridCol w:w="314"/>
        <w:gridCol w:w="5271"/>
        <w:gridCol w:w="412"/>
        <w:gridCol w:w="1565"/>
      </w:tblGrid>
      <w:tr>
        <w:tc>
          <w:tcPr>
            <w:tcW w:w="1498" w:type="dxa"/>
            <w:tcBorders>
              <w:top w:val="single" w:sz="4" w:space="0" w:color="auto"/>
              <w:bottom w:val="single" w:sz="4" w:space="0" w:color="auto"/>
            </w:tcBorders>
          </w:tcPr>
          <w:p>
            <w:pPr>
              <w:jc w:val="both"/>
              <w:rPr>
                <w:rFonts w:ascii="Arial" w:hAnsi="Arial" w:cs="Arial"/>
                <w:b/>
                <w:color w:val="000000" w:themeColor="text1"/>
                <w:lang w:val="en-US"/>
              </w:rPr>
            </w:pPr>
            <w:r>
              <w:rPr>
                <w:rFonts w:ascii="Arial" w:hAnsi="Arial" w:cs="Arial"/>
                <w:b/>
                <w:color w:val="000000" w:themeColor="text1"/>
                <w:lang w:val="en-US" w:eastAsia="en-GB"/>
              </w:rPr>
              <w:t>Cell line</w:t>
            </w:r>
          </w:p>
        </w:tc>
        <w:tc>
          <w:tcPr>
            <w:tcW w:w="314" w:type="dxa"/>
            <w:tcBorders>
              <w:top w:val="single" w:sz="4" w:space="0" w:color="auto"/>
              <w:bottom w:val="single" w:sz="4" w:space="0" w:color="auto"/>
            </w:tcBorders>
          </w:tcPr>
          <w:p>
            <w:pPr>
              <w:jc w:val="both"/>
              <w:rPr>
                <w:rFonts w:ascii="Arial" w:hAnsi="Arial" w:cs="Arial"/>
                <w:b/>
                <w:color w:val="000000" w:themeColor="text1"/>
                <w:lang w:val="en-US"/>
              </w:rPr>
            </w:pPr>
          </w:p>
        </w:tc>
        <w:tc>
          <w:tcPr>
            <w:tcW w:w="5271" w:type="dxa"/>
            <w:tcBorders>
              <w:top w:val="single" w:sz="4" w:space="0" w:color="auto"/>
              <w:bottom w:val="single" w:sz="4" w:space="0" w:color="auto"/>
            </w:tcBorders>
          </w:tcPr>
          <w:p>
            <w:pPr>
              <w:jc w:val="both"/>
              <w:rPr>
                <w:rFonts w:ascii="Arial" w:hAnsi="Arial" w:cs="Arial"/>
                <w:b/>
                <w:color w:val="000000" w:themeColor="text1"/>
                <w:lang w:val="en-US"/>
              </w:rPr>
            </w:pPr>
            <w:r>
              <w:rPr>
                <w:rFonts w:ascii="Arial" w:hAnsi="Arial" w:cs="Arial"/>
                <w:b/>
                <w:color w:val="000000" w:themeColor="text1"/>
                <w:lang w:val="en-US"/>
              </w:rPr>
              <w:t xml:space="preserve">Specification </w:t>
            </w:r>
          </w:p>
        </w:tc>
        <w:tc>
          <w:tcPr>
            <w:tcW w:w="412" w:type="dxa"/>
            <w:tcBorders>
              <w:top w:val="single" w:sz="4" w:space="0" w:color="auto"/>
              <w:bottom w:val="single" w:sz="4" w:space="0" w:color="auto"/>
            </w:tcBorders>
          </w:tcPr>
          <w:p>
            <w:pPr>
              <w:jc w:val="both"/>
              <w:rPr>
                <w:rFonts w:ascii="Arial" w:hAnsi="Arial" w:cs="Arial"/>
                <w:b/>
                <w:color w:val="000000" w:themeColor="text1"/>
                <w:lang w:val="en-US"/>
              </w:rPr>
            </w:pPr>
          </w:p>
        </w:tc>
        <w:tc>
          <w:tcPr>
            <w:tcW w:w="1565" w:type="dxa"/>
            <w:tcBorders>
              <w:top w:val="single" w:sz="4" w:space="0" w:color="auto"/>
              <w:bottom w:val="single" w:sz="4" w:space="0" w:color="auto"/>
            </w:tcBorders>
          </w:tcPr>
          <w:p>
            <w:pPr>
              <w:jc w:val="both"/>
              <w:rPr>
                <w:rFonts w:ascii="Arial" w:hAnsi="Arial" w:cs="Arial"/>
                <w:b/>
                <w:color w:val="000000" w:themeColor="text1"/>
                <w:lang w:val="en-US"/>
              </w:rPr>
            </w:pPr>
            <w:r>
              <w:rPr>
                <w:rFonts w:ascii="Arial" w:hAnsi="Arial" w:cs="Arial"/>
                <w:b/>
                <w:color w:val="000000" w:themeColor="text1"/>
                <w:lang w:val="en-US"/>
              </w:rPr>
              <w:t>Details</w:t>
            </w:r>
          </w:p>
        </w:tc>
      </w:tr>
      <w:tr>
        <w:tc>
          <w:tcPr>
            <w:tcW w:w="1498" w:type="dxa"/>
          </w:tcPr>
          <w:p>
            <w:pPr>
              <w:jc w:val="both"/>
              <w:rPr>
                <w:rFonts w:ascii="Arial" w:hAnsi="Arial" w:cs="Arial"/>
                <w:color w:val="000000" w:themeColor="text1"/>
                <w:lang w:val="en-US"/>
              </w:rPr>
            </w:pPr>
            <w:r>
              <w:rPr>
                <w:rFonts w:ascii="Arial" w:hAnsi="Arial" w:cs="Arial"/>
                <w:color w:val="000000" w:themeColor="text1"/>
                <w:lang w:val="en-US" w:eastAsia="en-GB"/>
              </w:rPr>
              <w:t>Molm13</w:t>
            </w:r>
          </w:p>
        </w:tc>
        <w:tc>
          <w:tcPr>
            <w:tcW w:w="314" w:type="dxa"/>
          </w:tcPr>
          <w:p>
            <w:pPr>
              <w:jc w:val="both"/>
              <w:rPr>
                <w:rFonts w:ascii="Arial" w:hAnsi="Arial" w:cs="Arial"/>
                <w:color w:val="000000" w:themeColor="text1"/>
                <w:lang w:val="en-US"/>
              </w:rPr>
            </w:pPr>
          </w:p>
        </w:tc>
        <w:tc>
          <w:tcPr>
            <w:tcW w:w="5271" w:type="dxa"/>
          </w:tcPr>
          <w:p>
            <w:pPr>
              <w:jc w:val="both"/>
              <w:rPr>
                <w:rFonts w:ascii="Arial" w:hAnsi="Arial" w:cs="Arial"/>
                <w:color w:val="000000" w:themeColor="text1"/>
                <w:lang w:val="en-US"/>
              </w:rPr>
            </w:pPr>
            <w:r>
              <w:rPr>
                <w:rFonts w:ascii="Arial" w:hAnsi="Arial" w:cs="Arial"/>
                <w:color w:val="000000" w:themeColor="text1"/>
                <w:lang w:val="en-US"/>
              </w:rPr>
              <w:t xml:space="preserve">Human AML-derived cell line </w:t>
            </w:r>
          </w:p>
        </w:tc>
        <w:tc>
          <w:tcPr>
            <w:tcW w:w="412" w:type="dxa"/>
          </w:tcPr>
          <w:p>
            <w:pPr>
              <w:jc w:val="both"/>
              <w:rPr>
                <w:rFonts w:ascii="Arial" w:hAnsi="Arial" w:cs="Arial"/>
                <w:color w:val="000000" w:themeColor="text1"/>
                <w:lang w:val="en-US"/>
              </w:rPr>
            </w:pPr>
          </w:p>
        </w:tc>
        <w:tc>
          <w:tcPr>
            <w:tcW w:w="1565" w:type="dxa"/>
          </w:tcPr>
          <w:p>
            <w:pPr>
              <w:jc w:val="both"/>
              <w:rPr>
                <w:rFonts w:ascii="Arial" w:hAnsi="Arial" w:cs="Arial"/>
                <w:color w:val="000000" w:themeColor="text1"/>
                <w:lang w:val="en-US"/>
              </w:rPr>
            </w:pPr>
            <w:r>
              <w:rPr>
                <w:rFonts w:ascii="Arial" w:hAnsi="Arial" w:cs="Arial"/>
                <w:color w:val="000000" w:themeColor="text1"/>
                <w:lang w:val="en-US"/>
              </w:rPr>
              <w:t xml:space="preserve">In suspension </w:t>
            </w:r>
          </w:p>
        </w:tc>
      </w:tr>
      <w:tr>
        <w:tc>
          <w:tcPr>
            <w:tcW w:w="1498" w:type="dxa"/>
          </w:tcPr>
          <w:p>
            <w:pPr>
              <w:jc w:val="both"/>
              <w:rPr>
                <w:rFonts w:ascii="Arial" w:hAnsi="Arial" w:cs="Arial"/>
                <w:color w:val="000000" w:themeColor="text1"/>
                <w:lang w:val="en-US" w:eastAsia="en-GB"/>
              </w:rPr>
            </w:pPr>
            <w:r>
              <w:rPr>
                <w:rFonts w:ascii="Arial" w:hAnsi="Arial" w:cs="Arial"/>
                <w:color w:val="000000" w:themeColor="text1"/>
                <w:lang w:val="en-US" w:eastAsia="en-GB"/>
              </w:rPr>
              <w:t xml:space="preserve">U937 </w:t>
            </w:r>
          </w:p>
        </w:tc>
        <w:tc>
          <w:tcPr>
            <w:tcW w:w="314" w:type="dxa"/>
          </w:tcPr>
          <w:p>
            <w:pPr>
              <w:jc w:val="both"/>
              <w:rPr>
                <w:rFonts w:ascii="Arial" w:hAnsi="Arial" w:cs="Arial"/>
                <w:color w:val="000000" w:themeColor="text1"/>
                <w:lang w:val="en-US"/>
              </w:rPr>
            </w:pPr>
          </w:p>
        </w:tc>
        <w:tc>
          <w:tcPr>
            <w:tcW w:w="5271" w:type="dxa"/>
          </w:tcPr>
          <w:p>
            <w:pPr>
              <w:spacing w:line="276" w:lineRule="auto"/>
              <w:jc w:val="both"/>
              <w:rPr>
                <w:rFonts w:ascii="Arial" w:hAnsi="Arial" w:cs="Arial"/>
                <w:color w:val="000000" w:themeColor="text1"/>
                <w:lang w:val="en-US"/>
              </w:rPr>
            </w:pPr>
            <w:r>
              <w:rPr>
                <w:rFonts w:ascii="Arial" w:hAnsi="Arial" w:cs="Arial"/>
                <w:color w:val="000000" w:themeColor="text1"/>
                <w:lang w:val="en-US"/>
              </w:rPr>
              <w:t xml:space="preserve">Human histiocytic lymphoma-derived monocyte-like cell line </w:t>
            </w:r>
          </w:p>
        </w:tc>
        <w:tc>
          <w:tcPr>
            <w:tcW w:w="412" w:type="dxa"/>
          </w:tcPr>
          <w:p>
            <w:pPr>
              <w:jc w:val="both"/>
              <w:rPr>
                <w:rFonts w:ascii="Arial" w:hAnsi="Arial" w:cs="Arial"/>
                <w:color w:val="000000" w:themeColor="text1"/>
                <w:lang w:val="en-US"/>
              </w:rPr>
            </w:pPr>
          </w:p>
        </w:tc>
        <w:tc>
          <w:tcPr>
            <w:tcW w:w="1565" w:type="dxa"/>
          </w:tcPr>
          <w:p>
            <w:pPr>
              <w:jc w:val="both"/>
              <w:rPr>
                <w:rFonts w:ascii="Arial" w:hAnsi="Arial" w:cs="Arial"/>
                <w:color w:val="000000" w:themeColor="text1"/>
                <w:lang w:val="en-US"/>
              </w:rPr>
            </w:pPr>
            <w:r>
              <w:rPr>
                <w:rFonts w:ascii="Arial" w:hAnsi="Arial" w:cs="Arial"/>
                <w:color w:val="000000" w:themeColor="text1"/>
                <w:lang w:val="en-US"/>
              </w:rPr>
              <w:t xml:space="preserve">In suspension </w:t>
            </w:r>
          </w:p>
        </w:tc>
      </w:tr>
      <w:tr>
        <w:tc>
          <w:tcPr>
            <w:tcW w:w="1498" w:type="dxa"/>
          </w:tcPr>
          <w:p>
            <w:pPr>
              <w:jc w:val="both"/>
              <w:rPr>
                <w:rFonts w:ascii="Arial" w:hAnsi="Arial" w:cs="Arial"/>
                <w:color w:val="000000" w:themeColor="text1"/>
                <w:lang w:val="en-US" w:eastAsia="en-GB"/>
              </w:rPr>
            </w:pPr>
            <w:r>
              <w:rPr>
                <w:rFonts w:ascii="Arial" w:hAnsi="Arial" w:cs="Arial"/>
                <w:color w:val="000000" w:themeColor="text1"/>
                <w:lang w:val="en-US" w:eastAsia="en-GB"/>
              </w:rPr>
              <w:t>HL60</w:t>
            </w:r>
          </w:p>
        </w:tc>
        <w:tc>
          <w:tcPr>
            <w:tcW w:w="314" w:type="dxa"/>
          </w:tcPr>
          <w:p>
            <w:pPr>
              <w:jc w:val="both"/>
              <w:rPr>
                <w:rFonts w:ascii="Arial" w:hAnsi="Arial" w:cs="Arial"/>
                <w:color w:val="000000" w:themeColor="text1"/>
                <w:lang w:val="en-US"/>
              </w:rPr>
            </w:pPr>
          </w:p>
        </w:tc>
        <w:tc>
          <w:tcPr>
            <w:tcW w:w="5271" w:type="dxa"/>
          </w:tcPr>
          <w:p>
            <w:pPr>
              <w:jc w:val="both"/>
              <w:rPr>
                <w:rFonts w:ascii="Arial" w:hAnsi="Arial" w:cs="Arial"/>
                <w:color w:val="000000" w:themeColor="text1"/>
                <w:lang w:val="en-US"/>
              </w:rPr>
            </w:pPr>
            <w:r>
              <w:rPr>
                <w:rFonts w:ascii="Arial" w:hAnsi="Arial" w:cs="Arial"/>
                <w:color w:val="000000" w:themeColor="text1"/>
                <w:lang w:val="en-US"/>
              </w:rPr>
              <w:t xml:space="preserve">Human AML-derived cell line </w:t>
            </w:r>
          </w:p>
        </w:tc>
        <w:tc>
          <w:tcPr>
            <w:tcW w:w="412" w:type="dxa"/>
          </w:tcPr>
          <w:p>
            <w:pPr>
              <w:jc w:val="both"/>
              <w:rPr>
                <w:rFonts w:ascii="Arial" w:hAnsi="Arial" w:cs="Arial"/>
                <w:color w:val="000000" w:themeColor="text1"/>
                <w:lang w:val="en-US"/>
              </w:rPr>
            </w:pPr>
          </w:p>
        </w:tc>
        <w:tc>
          <w:tcPr>
            <w:tcW w:w="1565" w:type="dxa"/>
          </w:tcPr>
          <w:p>
            <w:pPr>
              <w:jc w:val="both"/>
              <w:rPr>
                <w:rFonts w:ascii="Arial" w:hAnsi="Arial" w:cs="Arial"/>
                <w:color w:val="000000" w:themeColor="text1"/>
                <w:lang w:val="en-US"/>
              </w:rPr>
            </w:pPr>
            <w:r>
              <w:rPr>
                <w:rFonts w:ascii="Arial" w:hAnsi="Arial" w:cs="Arial"/>
                <w:color w:val="000000" w:themeColor="text1"/>
                <w:lang w:val="en-US"/>
              </w:rPr>
              <w:t xml:space="preserve">In suspension </w:t>
            </w:r>
          </w:p>
        </w:tc>
      </w:tr>
      <w:tr>
        <w:tc>
          <w:tcPr>
            <w:tcW w:w="1498" w:type="dxa"/>
          </w:tcPr>
          <w:p>
            <w:pPr>
              <w:jc w:val="both"/>
              <w:rPr>
                <w:rFonts w:ascii="Arial" w:hAnsi="Arial" w:cs="Arial"/>
                <w:color w:val="000000" w:themeColor="text1"/>
                <w:lang w:val="en-US" w:eastAsia="en-GB"/>
              </w:rPr>
            </w:pPr>
            <w:r>
              <w:rPr>
                <w:rFonts w:ascii="Arial" w:hAnsi="Arial" w:cs="Arial"/>
                <w:color w:val="000000" w:themeColor="text1"/>
                <w:lang w:val="en-US" w:eastAsia="en-GB"/>
              </w:rPr>
              <w:lastRenderedPageBreak/>
              <w:t>PBMC</w:t>
            </w:r>
          </w:p>
        </w:tc>
        <w:tc>
          <w:tcPr>
            <w:tcW w:w="314" w:type="dxa"/>
          </w:tcPr>
          <w:p>
            <w:pPr>
              <w:jc w:val="both"/>
              <w:rPr>
                <w:rFonts w:ascii="Arial" w:hAnsi="Arial" w:cs="Arial"/>
                <w:color w:val="000000" w:themeColor="text1"/>
                <w:lang w:val="en-US"/>
              </w:rPr>
            </w:pPr>
          </w:p>
        </w:tc>
        <w:tc>
          <w:tcPr>
            <w:tcW w:w="5271" w:type="dxa"/>
          </w:tcPr>
          <w:p>
            <w:pPr>
              <w:jc w:val="both"/>
              <w:rPr>
                <w:rFonts w:ascii="Arial" w:hAnsi="Arial" w:cs="Arial"/>
                <w:color w:val="000000" w:themeColor="text1"/>
                <w:lang w:val="en-US"/>
              </w:rPr>
            </w:pPr>
            <w:r>
              <w:rPr>
                <w:rFonts w:ascii="Arial" w:hAnsi="Arial" w:cs="Arial"/>
                <w:color w:val="000000" w:themeColor="text1"/>
                <w:lang w:val="en-US"/>
              </w:rPr>
              <w:t>Human, isolated from whole blood from healthy donors</w:t>
            </w:r>
          </w:p>
        </w:tc>
        <w:tc>
          <w:tcPr>
            <w:tcW w:w="412" w:type="dxa"/>
          </w:tcPr>
          <w:p>
            <w:pPr>
              <w:jc w:val="both"/>
              <w:rPr>
                <w:rFonts w:ascii="Arial" w:hAnsi="Arial" w:cs="Arial"/>
                <w:color w:val="000000" w:themeColor="text1"/>
                <w:lang w:val="en-US"/>
              </w:rPr>
            </w:pPr>
          </w:p>
        </w:tc>
        <w:tc>
          <w:tcPr>
            <w:tcW w:w="1565" w:type="dxa"/>
          </w:tcPr>
          <w:p>
            <w:pPr>
              <w:jc w:val="both"/>
              <w:rPr>
                <w:rFonts w:ascii="Arial" w:hAnsi="Arial" w:cs="Arial"/>
                <w:color w:val="000000" w:themeColor="text1"/>
                <w:lang w:val="en-US"/>
              </w:rPr>
            </w:pPr>
            <w:r>
              <w:rPr>
                <w:rFonts w:ascii="Arial" w:hAnsi="Arial" w:cs="Arial"/>
                <w:color w:val="000000" w:themeColor="text1"/>
                <w:lang w:val="en-US"/>
              </w:rPr>
              <w:t xml:space="preserve">In suspension </w:t>
            </w:r>
          </w:p>
        </w:tc>
      </w:tr>
      <w:tr>
        <w:tc>
          <w:tcPr>
            <w:tcW w:w="1498" w:type="dxa"/>
          </w:tcPr>
          <w:p>
            <w:pPr>
              <w:jc w:val="both"/>
              <w:rPr>
                <w:rFonts w:ascii="Arial" w:hAnsi="Arial" w:cs="Arial"/>
                <w:color w:val="000000" w:themeColor="text1"/>
                <w:lang w:val="en-US" w:eastAsia="en-GB"/>
              </w:rPr>
            </w:pPr>
            <w:r>
              <w:rPr>
                <w:rFonts w:ascii="Arial" w:hAnsi="Arial" w:cs="Arial"/>
                <w:color w:val="000000" w:themeColor="text1"/>
                <w:lang w:val="en-US" w:eastAsia="en-GB"/>
              </w:rPr>
              <w:t>Stem cells</w:t>
            </w:r>
          </w:p>
        </w:tc>
        <w:tc>
          <w:tcPr>
            <w:tcW w:w="314" w:type="dxa"/>
          </w:tcPr>
          <w:p>
            <w:pPr>
              <w:jc w:val="both"/>
              <w:rPr>
                <w:rFonts w:ascii="Arial" w:hAnsi="Arial" w:cs="Arial"/>
                <w:color w:val="000000" w:themeColor="text1"/>
                <w:lang w:val="en-US"/>
              </w:rPr>
            </w:pPr>
          </w:p>
        </w:tc>
        <w:tc>
          <w:tcPr>
            <w:tcW w:w="5271" w:type="dxa"/>
          </w:tcPr>
          <w:p>
            <w:pPr>
              <w:jc w:val="both"/>
              <w:rPr>
                <w:rFonts w:ascii="Arial" w:hAnsi="Arial" w:cs="Arial"/>
                <w:color w:val="000000" w:themeColor="text1"/>
                <w:lang w:val="en-US"/>
              </w:rPr>
            </w:pPr>
            <w:r>
              <w:rPr>
                <w:rFonts w:ascii="Arial" w:hAnsi="Arial" w:cs="Arial"/>
                <w:color w:val="000000" w:themeColor="text1"/>
                <w:lang w:val="en-US"/>
              </w:rPr>
              <w:t>Human, isolated from bone marrow of healthy donors</w:t>
            </w:r>
          </w:p>
        </w:tc>
        <w:tc>
          <w:tcPr>
            <w:tcW w:w="412" w:type="dxa"/>
          </w:tcPr>
          <w:p>
            <w:pPr>
              <w:jc w:val="both"/>
              <w:rPr>
                <w:rFonts w:ascii="Arial" w:hAnsi="Arial" w:cs="Arial"/>
                <w:color w:val="000000" w:themeColor="text1"/>
                <w:lang w:val="en-US"/>
              </w:rPr>
            </w:pPr>
          </w:p>
        </w:tc>
        <w:tc>
          <w:tcPr>
            <w:tcW w:w="1565" w:type="dxa"/>
          </w:tcPr>
          <w:p>
            <w:pPr>
              <w:jc w:val="both"/>
              <w:rPr>
                <w:rFonts w:ascii="Arial" w:hAnsi="Arial" w:cs="Arial"/>
                <w:color w:val="000000" w:themeColor="text1"/>
                <w:lang w:val="en-US"/>
              </w:rPr>
            </w:pPr>
            <w:r>
              <w:rPr>
                <w:rFonts w:ascii="Arial" w:hAnsi="Arial" w:cs="Arial"/>
                <w:color w:val="000000" w:themeColor="text1"/>
                <w:lang w:val="en-US"/>
              </w:rPr>
              <w:t xml:space="preserve">In suspension </w:t>
            </w:r>
          </w:p>
        </w:tc>
      </w:tr>
      <w:tr>
        <w:trPr>
          <w:trHeight w:val="74"/>
        </w:trPr>
        <w:tc>
          <w:tcPr>
            <w:tcW w:w="1498" w:type="dxa"/>
            <w:tcBorders>
              <w:bottom w:val="single" w:sz="4" w:space="0" w:color="auto"/>
            </w:tcBorders>
          </w:tcPr>
          <w:p>
            <w:pPr>
              <w:jc w:val="both"/>
              <w:rPr>
                <w:rFonts w:ascii="Arial" w:hAnsi="Arial" w:cs="Arial"/>
                <w:color w:val="000000" w:themeColor="text1"/>
                <w:lang w:val="en-US" w:eastAsia="en-GB"/>
              </w:rPr>
            </w:pPr>
            <w:r>
              <w:rPr>
                <w:rFonts w:ascii="Arial" w:hAnsi="Arial" w:cs="Arial"/>
                <w:color w:val="000000" w:themeColor="text1"/>
                <w:lang w:val="en-US" w:eastAsia="en-GB"/>
              </w:rPr>
              <w:t>T cells</w:t>
            </w:r>
          </w:p>
        </w:tc>
        <w:tc>
          <w:tcPr>
            <w:tcW w:w="314" w:type="dxa"/>
            <w:tcBorders>
              <w:bottom w:val="single" w:sz="4" w:space="0" w:color="auto"/>
            </w:tcBorders>
          </w:tcPr>
          <w:p>
            <w:pPr>
              <w:jc w:val="both"/>
              <w:rPr>
                <w:rFonts w:ascii="Arial" w:hAnsi="Arial" w:cs="Arial"/>
                <w:color w:val="000000" w:themeColor="text1"/>
                <w:lang w:val="en-US"/>
              </w:rPr>
            </w:pPr>
          </w:p>
        </w:tc>
        <w:tc>
          <w:tcPr>
            <w:tcW w:w="5271" w:type="dxa"/>
            <w:tcBorders>
              <w:bottom w:val="single" w:sz="4" w:space="0" w:color="auto"/>
            </w:tcBorders>
          </w:tcPr>
          <w:p>
            <w:pPr>
              <w:jc w:val="both"/>
              <w:rPr>
                <w:rFonts w:ascii="Arial" w:hAnsi="Arial" w:cs="Arial"/>
                <w:color w:val="000000" w:themeColor="text1"/>
                <w:lang w:val="en-US"/>
              </w:rPr>
            </w:pPr>
            <w:r>
              <w:rPr>
                <w:rFonts w:ascii="Arial" w:hAnsi="Arial" w:cs="Arial"/>
                <w:color w:val="000000" w:themeColor="text1"/>
                <w:lang w:val="en-US"/>
              </w:rPr>
              <w:t>Human, isolated from whole blood from healthy donors</w:t>
            </w:r>
          </w:p>
        </w:tc>
        <w:tc>
          <w:tcPr>
            <w:tcW w:w="412" w:type="dxa"/>
            <w:tcBorders>
              <w:bottom w:val="single" w:sz="4" w:space="0" w:color="auto"/>
            </w:tcBorders>
          </w:tcPr>
          <w:p>
            <w:pPr>
              <w:jc w:val="both"/>
              <w:rPr>
                <w:rFonts w:ascii="Arial" w:hAnsi="Arial" w:cs="Arial"/>
                <w:color w:val="000000" w:themeColor="text1"/>
                <w:lang w:val="en-US"/>
              </w:rPr>
            </w:pPr>
          </w:p>
        </w:tc>
        <w:tc>
          <w:tcPr>
            <w:tcW w:w="1565" w:type="dxa"/>
            <w:tcBorders>
              <w:bottom w:val="single" w:sz="4" w:space="0" w:color="auto"/>
            </w:tcBorders>
          </w:tcPr>
          <w:p>
            <w:pPr>
              <w:jc w:val="both"/>
              <w:rPr>
                <w:rFonts w:ascii="Arial" w:hAnsi="Arial" w:cs="Arial"/>
                <w:color w:val="000000" w:themeColor="text1"/>
                <w:lang w:val="en-US"/>
              </w:rPr>
            </w:pPr>
            <w:r>
              <w:rPr>
                <w:rFonts w:ascii="Arial" w:hAnsi="Arial" w:cs="Arial"/>
                <w:color w:val="000000" w:themeColor="text1"/>
                <w:lang w:val="en-US"/>
              </w:rPr>
              <w:t xml:space="preserve">In suspension </w:t>
            </w:r>
          </w:p>
        </w:tc>
      </w:tr>
    </w:tbl>
    <w:p>
      <w:pPr>
        <w:jc w:val="both"/>
        <w:rPr>
          <w:rFonts w:ascii="Arial" w:hAnsi="Arial" w:cs="Arial"/>
          <w:color w:val="000000" w:themeColor="text1"/>
          <w:sz w:val="22"/>
          <w:szCs w:val="22"/>
          <w:lang w:val="en-US"/>
        </w:rPr>
      </w:pPr>
    </w:p>
    <w:p>
      <w:pPr>
        <w:pStyle w:val="Beschriftung"/>
        <w:keepNext/>
        <w:jc w:val="both"/>
        <w:rPr>
          <w:rFonts w:ascii="Arial" w:hAnsi="Arial" w:cs="Arial"/>
          <w:i w:val="0"/>
          <w:color w:val="000000" w:themeColor="text1"/>
          <w:sz w:val="22"/>
          <w:szCs w:val="22"/>
        </w:rPr>
      </w:pPr>
      <w:r>
        <w:rPr>
          <w:rFonts w:ascii="Arial" w:hAnsi="Arial" w:cs="Arial"/>
          <w:i w:val="0"/>
          <w:color w:val="000000" w:themeColor="text1"/>
          <w:sz w:val="22"/>
          <w:szCs w:val="22"/>
        </w:rPr>
        <w:t xml:space="preserve">Supplementary Table </w:t>
      </w:r>
      <w:r>
        <w:rPr>
          <w:rFonts w:ascii="Arial" w:hAnsi="Arial" w:cs="Arial"/>
          <w:i w:val="0"/>
          <w:color w:val="000000" w:themeColor="text1"/>
          <w:sz w:val="22"/>
          <w:szCs w:val="22"/>
        </w:rPr>
        <w:fldChar w:fldCharType="begin"/>
      </w:r>
      <w:r>
        <w:rPr>
          <w:rFonts w:ascii="Arial" w:hAnsi="Arial" w:cs="Arial"/>
          <w:i w:val="0"/>
          <w:color w:val="000000" w:themeColor="text1"/>
          <w:sz w:val="22"/>
          <w:szCs w:val="22"/>
        </w:rPr>
        <w:instrText xml:space="preserve"> SEQ Table \* ARABIC </w:instrText>
      </w:r>
      <w:r>
        <w:rPr>
          <w:rFonts w:ascii="Arial" w:hAnsi="Arial" w:cs="Arial"/>
          <w:i w:val="0"/>
          <w:color w:val="000000" w:themeColor="text1"/>
          <w:sz w:val="22"/>
          <w:szCs w:val="22"/>
        </w:rPr>
        <w:fldChar w:fldCharType="separate"/>
      </w:r>
      <w:r>
        <w:rPr>
          <w:rFonts w:ascii="Arial" w:hAnsi="Arial" w:cs="Arial"/>
          <w:i w:val="0"/>
          <w:noProof/>
          <w:color w:val="000000" w:themeColor="text1"/>
          <w:sz w:val="22"/>
          <w:szCs w:val="22"/>
        </w:rPr>
        <w:t>3</w:t>
      </w:r>
      <w:r>
        <w:rPr>
          <w:rFonts w:ascii="Arial" w:hAnsi="Arial" w:cs="Arial"/>
          <w:i w:val="0"/>
          <w:color w:val="000000" w:themeColor="text1"/>
          <w:sz w:val="22"/>
          <w:szCs w:val="22"/>
        </w:rPr>
        <w:fldChar w:fldCharType="end"/>
      </w:r>
      <w:r>
        <w:rPr>
          <w:rFonts w:ascii="Arial" w:hAnsi="Arial" w:cs="Arial"/>
          <w:i w:val="0"/>
          <w:color w:val="000000" w:themeColor="text1"/>
          <w:sz w:val="22"/>
          <w:szCs w:val="22"/>
        </w:rPr>
        <w:t>: Antibodies for flow-cytometry</w:t>
      </w:r>
    </w:p>
    <w:tbl>
      <w:tblPr>
        <w:tblStyle w:val="TableGrid"/>
        <w:tblW w:w="5000" w:type="pct"/>
        <w:tblInd w:w="0" w:type="dxa"/>
        <w:tblLook w:val="04A0" w:firstRow="1" w:lastRow="0" w:firstColumn="1" w:lastColumn="0" w:noHBand="0" w:noVBand="1"/>
      </w:tblPr>
      <w:tblGrid>
        <w:gridCol w:w="1223"/>
        <w:gridCol w:w="1664"/>
        <w:gridCol w:w="1245"/>
        <w:gridCol w:w="1913"/>
        <w:gridCol w:w="1690"/>
        <w:gridCol w:w="1331"/>
      </w:tblGrid>
      <w:tr>
        <w:trPr>
          <w:trHeight w:val="300"/>
        </w:trPr>
        <w:tc>
          <w:tcPr>
            <w:tcW w:w="513" w:type="pct"/>
            <w:tcBorders>
              <w:top w:val="single" w:sz="4" w:space="0" w:color="auto"/>
              <w:bottom w:val="single" w:sz="4" w:space="0" w:color="auto"/>
            </w:tcBorders>
            <w:noWrap/>
            <w:hideMark/>
          </w:tcPr>
          <w:p>
            <w:pPr>
              <w:jc w:val="both"/>
              <w:rPr>
                <w:rFonts w:ascii="Arial" w:hAnsi="Arial" w:cs="Arial"/>
                <w:b/>
                <w:color w:val="000000" w:themeColor="text1"/>
                <w:lang w:val="en-US"/>
              </w:rPr>
            </w:pPr>
            <w:r>
              <w:rPr>
                <w:rFonts w:ascii="Arial" w:hAnsi="Arial" w:cs="Arial"/>
                <w:b/>
                <w:color w:val="000000" w:themeColor="text1"/>
                <w:lang w:val="en-US"/>
              </w:rPr>
              <w:t>Antigen</w:t>
            </w:r>
          </w:p>
        </w:tc>
        <w:tc>
          <w:tcPr>
            <w:tcW w:w="883" w:type="pct"/>
            <w:tcBorders>
              <w:top w:val="single" w:sz="4" w:space="0" w:color="auto"/>
              <w:bottom w:val="single" w:sz="4" w:space="0" w:color="auto"/>
            </w:tcBorders>
            <w:noWrap/>
            <w:hideMark/>
          </w:tcPr>
          <w:p>
            <w:pPr>
              <w:jc w:val="both"/>
              <w:rPr>
                <w:rFonts w:ascii="Arial" w:hAnsi="Arial" w:cs="Arial"/>
                <w:b/>
                <w:color w:val="000000" w:themeColor="text1"/>
                <w:lang w:val="en-US"/>
              </w:rPr>
            </w:pPr>
            <w:r>
              <w:rPr>
                <w:rFonts w:ascii="Arial" w:hAnsi="Arial" w:cs="Arial"/>
                <w:b/>
                <w:color w:val="000000" w:themeColor="text1"/>
                <w:lang w:val="en-US"/>
              </w:rPr>
              <w:t>Conjugate</w:t>
            </w:r>
          </w:p>
        </w:tc>
        <w:tc>
          <w:tcPr>
            <w:tcW w:w="736" w:type="pct"/>
            <w:tcBorders>
              <w:top w:val="single" w:sz="4" w:space="0" w:color="auto"/>
              <w:bottom w:val="single" w:sz="4" w:space="0" w:color="auto"/>
            </w:tcBorders>
          </w:tcPr>
          <w:p>
            <w:pPr>
              <w:jc w:val="both"/>
              <w:rPr>
                <w:rFonts w:ascii="Arial" w:hAnsi="Arial" w:cs="Arial"/>
                <w:b/>
                <w:color w:val="000000" w:themeColor="text1"/>
                <w:lang w:val="en-US"/>
              </w:rPr>
            </w:pPr>
            <w:r>
              <w:rPr>
                <w:rFonts w:ascii="Arial" w:hAnsi="Arial" w:cs="Arial"/>
                <w:b/>
                <w:color w:val="000000" w:themeColor="text1"/>
                <w:lang w:val="en-US"/>
              </w:rPr>
              <w:t xml:space="preserve">Clone </w:t>
            </w:r>
          </w:p>
        </w:tc>
        <w:tc>
          <w:tcPr>
            <w:tcW w:w="1104" w:type="pct"/>
            <w:tcBorders>
              <w:top w:val="single" w:sz="4" w:space="0" w:color="auto"/>
              <w:bottom w:val="single" w:sz="4" w:space="0" w:color="auto"/>
            </w:tcBorders>
            <w:noWrap/>
            <w:hideMark/>
          </w:tcPr>
          <w:p>
            <w:pPr>
              <w:jc w:val="both"/>
              <w:rPr>
                <w:rFonts w:ascii="Arial" w:hAnsi="Arial" w:cs="Arial"/>
                <w:b/>
                <w:color w:val="000000" w:themeColor="text1"/>
                <w:lang w:val="en-US"/>
              </w:rPr>
            </w:pPr>
            <w:r>
              <w:rPr>
                <w:rFonts w:ascii="Arial" w:hAnsi="Arial" w:cs="Arial"/>
                <w:b/>
                <w:color w:val="000000" w:themeColor="text1"/>
                <w:lang w:val="en-US"/>
              </w:rPr>
              <w:t>Supplier</w:t>
            </w:r>
          </w:p>
        </w:tc>
        <w:tc>
          <w:tcPr>
            <w:tcW w:w="981" w:type="pct"/>
            <w:tcBorders>
              <w:top w:val="single" w:sz="4" w:space="0" w:color="auto"/>
              <w:bottom w:val="single" w:sz="4" w:space="0" w:color="auto"/>
            </w:tcBorders>
            <w:noWrap/>
            <w:hideMark/>
          </w:tcPr>
          <w:p>
            <w:pPr>
              <w:jc w:val="both"/>
              <w:rPr>
                <w:rFonts w:ascii="Arial" w:hAnsi="Arial" w:cs="Arial"/>
                <w:b/>
                <w:color w:val="000000" w:themeColor="text1"/>
                <w:lang w:val="en-US"/>
              </w:rPr>
            </w:pPr>
            <w:r>
              <w:rPr>
                <w:rFonts w:ascii="Arial" w:hAnsi="Arial" w:cs="Arial"/>
                <w:b/>
                <w:color w:val="000000" w:themeColor="text1"/>
                <w:lang w:val="en-US"/>
              </w:rPr>
              <w:t>Isotype</w:t>
            </w:r>
          </w:p>
        </w:tc>
        <w:tc>
          <w:tcPr>
            <w:tcW w:w="784" w:type="pct"/>
            <w:tcBorders>
              <w:top w:val="single" w:sz="4" w:space="0" w:color="auto"/>
              <w:bottom w:val="single" w:sz="4" w:space="0" w:color="auto"/>
            </w:tcBorders>
            <w:noWrap/>
            <w:hideMark/>
          </w:tcPr>
          <w:p>
            <w:pPr>
              <w:jc w:val="both"/>
              <w:rPr>
                <w:rFonts w:ascii="Arial" w:hAnsi="Arial" w:cs="Arial"/>
                <w:b/>
                <w:color w:val="000000" w:themeColor="text1"/>
                <w:lang w:val="en-US"/>
              </w:rPr>
            </w:pPr>
            <w:r>
              <w:rPr>
                <w:rFonts w:ascii="Arial" w:hAnsi="Arial" w:cs="Arial"/>
                <w:b/>
                <w:color w:val="000000" w:themeColor="text1"/>
                <w:lang w:val="en-US"/>
              </w:rPr>
              <w:t>Cat. #</w:t>
            </w:r>
          </w:p>
        </w:tc>
      </w:tr>
      <w:tr>
        <w:trPr>
          <w:trHeight w:val="300"/>
        </w:trPr>
        <w:tc>
          <w:tcPr>
            <w:tcW w:w="513" w:type="pct"/>
            <w:tcBorders>
              <w:top w:val="single" w:sz="4" w:space="0" w:color="auto"/>
            </w:tcBorders>
            <w:noWrap/>
            <w:hideMark/>
          </w:tcPr>
          <w:p>
            <w:pPr>
              <w:jc w:val="both"/>
              <w:rPr>
                <w:rFonts w:ascii="Arial" w:hAnsi="Arial" w:cs="Arial"/>
                <w:color w:val="000000" w:themeColor="text1"/>
                <w:lang w:val="en-US"/>
              </w:rPr>
            </w:pPr>
            <w:r>
              <w:rPr>
                <w:rFonts w:ascii="Arial" w:hAnsi="Arial" w:cs="Arial"/>
                <w:color w:val="000000" w:themeColor="text1"/>
                <w:lang w:val="en-US"/>
              </w:rPr>
              <w:t>CD3</w:t>
            </w:r>
          </w:p>
        </w:tc>
        <w:tc>
          <w:tcPr>
            <w:tcW w:w="883" w:type="pct"/>
            <w:tcBorders>
              <w:top w:val="single" w:sz="4" w:space="0" w:color="auto"/>
            </w:tcBorders>
            <w:noWrap/>
            <w:hideMark/>
          </w:tcPr>
          <w:p>
            <w:pPr>
              <w:jc w:val="both"/>
              <w:rPr>
                <w:rFonts w:ascii="Arial" w:hAnsi="Arial" w:cs="Arial"/>
                <w:color w:val="000000" w:themeColor="text1"/>
                <w:lang w:val="en-US"/>
              </w:rPr>
            </w:pPr>
            <w:r>
              <w:rPr>
                <w:rFonts w:ascii="Arial" w:hAnsi="Arial" w:cs="Arial"/>
                <w:color w:val="000000" w:themeColor="text1"/>
                <w:lang w:val="en-US"/>
              </w:rPr>
              <w:t>Spark Blue™550</w:t>
            </w:r>
          </w:p>
        </w:tc>
        <w:tc>
          <w:tcPr>
            <w:tcW w:w="736" w:type="pct"/>
            <w:tcBorders>
              <w:top w:val="single" w:sz="4" w:space="0" w:color="auto"/>
            </w:tcBorders>
          </w:tcPr>
          <w:p>
            <w:pPr>
              <w:jc w:val="both"/>
              <w:rPr>
                <w:rFonts w:ascii="Arial" w:hAnsi="Arial" w:cs="Arial"/>
                <w:color w:val="000000" w:themeColor="text1"/>
                <w:lang w:val="en-US"/>
              </w:rPr>
            </w:pPr>
            <w:r>
              <w:rPr>
                <w:rFonts w:ascii="Arial" w:hAnsi="Arial" w:cs="Arial"/>
                <w:color w:val="000000" w:themeColor="text1"/>
                <w:lang w:val="en-US"/>
              </w:rPr>
              <w:t>SK7</w:t>
            </w:r>
          </w:p>
        </w:tc>
        <w:tc>
          <w:tcPr>
            <w:tcW w:w="1104" w:type="pct"/>
            <w:tcBorders>
              <w:top w:val="single" w:sz="4" w:space="0" w:color="auto"/>
            </w:tcBorders>
            <w:noWrap/>
            <w:hideMark/>
          </w:tcPr>
          <w:p>
            <w:pPr>
              <w:jc w:val="both"/>
              <w:rPr>
                <w:rFonts w:ascii="Arial" w:hAnsi="Arial" w:cs="Arial"/>
                <w:color w:val="000000" w:themeColor="text1"/>
                <w:lang w:val="en-US"/>
              </w:rPr>
            </w:pPr>
            <w:proofErr w:type="spellStart"/>
            <w:r>
              <w:rPr>
                <w:rFonts w:ascii="Arial" w:hAnsi="Arial" w:cs="Arial"/>
                <w:color w:val="000000" w:themeColor="text1"/>
                <w:lang w:val="en-US"/>
              </w:rPr>
              <w:t>BioLegend</w:t>
            </w:r>
            <w:proofErr w:type="spellEnd"/>
            <w:r>
              <w:rPr>
                <w:rFonts w:ascii="Arial" w:hAnsi="Arial" w:cs="Arial"/>
                <w:color w:val="000000" w:themeColor="text1"/>
                <w:lang w:val="en-US"/>
              </w:rPr>
              <w:t>®</w:t>
            </w:r>
          </w:p>
        </w:tc>
        <w:tc>
          <w:tcPr>
            <w:tcW w:w="981" w:type="pct"/>
            <w:tcBorders>
              <w:top w:val="single" w:sz="4" w:space="0" w:color="auto"/>
            </w:tcBorders>
            <w:noWrap/>
            <w:hideMark/>
          </w:tcPr>
          <w:p>
            <w:pPr>
              <w:jc w:val="both"/>
              <w:rPr>
                <w:rFonts w:ascii="Arial" w:hAnsi="Arial" w:cs="Arial"/>
                <w:color w:val="000000" w:themeColor="text1"/>
                <w:lang w:val="en-US"/>
              </w:rPr>
            </w:pPr>
            <w:r>
              <w:rPr>
                <w:rFonts w:ascii="Arial" w:hAnsi="Arial" w:cs="Arial"/>
                <w:color w:val="000000" w:themeColor="text1"/>
                <w:lang w:val="en-US"/>
              </w:rPr>
              <w:t>Mouse IgG1, κ</w:t>
            </w:r>
          </w:p>
        </w:tc>
        <w:tc>
          <w:tcPr>
            <w:tcW w:w="784" w:type="pct"/>
            <w:tcBorders>
              <w:top w:val="single" w:sz="4" w:space="0" w:color="auto"/>
            </w:tcBorders>
            <w:noWrap/>
            <w:hideMark/>
          </w:tcPr>
          <w:p>
            <w:pPr>
              <w:jc w:val="both"/>
              <w:rPr>
                <w:rFonts w:ascii="Arial" w:hAnsi="Arial" w:cs="Arial"/>
                <w:color w:val="000000" w:themeColor="text1"/>
                <w:lang w:val="en-US"/>
              </w:rPr>
            </w:pPr>
            <w:r>
              <w:rPr>
                <w:rFonts w:ascii="Arial" w:hAnsi="Arial" w:cs="Arial"/>
                <w:color w:val="000000" w:themeColor="text1"/>
                <w:lang w:val="en-US"/>
              </w:rPr>
              <w:t>344851</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CD3</w:t>
            </w:r>
          </w:p>
        </w:tc>
        <w:tc>
          <w:tcPr>
            <w:tcW w:w="883" w:type="pct"/>
            <w:noWrap/>
          </w:tcPr>
          <w:p>
            <w:pPr>
              <w:jc w:val="both"/>
              <w:rPr>
                <w:rFonts w:ascii="Arial" w:hAnsi="Arial" w:cs="Arial"/>
                <w:color w:val="000000" w:themeColor="text1"/>
                <w:lang w:val="en-US"/>
              </w:rPr>
            </w:pPr>
            <w:r>
              <w:rPr>
                <w:rFonts w:ascii="Arial" w:hAnsi="Arial" w:cs="Arial"/>
                <w:color w:val="000000" w:themeColor="text1"/>
                <w:lang w:val="en-US"/>
              </w:rPr>
              <w:t>APC</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REA613</w:t>
            </w:r>
          </w:p>
        </w:tc>
        <w:tc>
          <w:tcPr>
            <w:tcW w:w="1104" w:type="pct"/>
            <w:noWrap/>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 xml:space="preserve">recombinant </w:t>
            </w:r>
          </w:p>
          <w:p>
            <w:pPr>
              <w:jc w:val="both"/>
              <w:rPr>
                <w:rFonts w:ascii="Arial" w:hAnsi="Arial" w:cs="Arial"/>
                <w:color w:val="000000" w:themeColor="text1"/>
                <w:lang w:val="en-US"/>
              </w:rPr>
            </w:pPr>
            <w:r>
              <w:rPr>
                <w:rFonts w:ascii="Arial" w:hAnsi="Arial" w:cs="Arial"/>
                <w:color w:val="000000" w:themeColor="text1"/>
                <w:lang w:val="en-US"/>
              </w:rPr>
              <w:t>human IgG1</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130-113-135</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CD33</w:t>
            </w:r>
          </w:p>
        </w:tc>
        <w:tc>
          <w:tcPr>
            <w:tcW w:w="883" w:type="pct"/>
            <w:noWrap/>
          </w:tcPr>
          <w:p>
            <w:pPr>
              <w:spacing w:line="276" w:lineRule="auto"/>
              <w:jc w:val="both"/>
              <w:rPr>
                <w:rFonts w:ascii="Arial" w:hAnsi="Arial" w:cs="Arial"/>
                <w:color w:val="000000" w:themeColor="text1"/>
                <w:lang w:val="en-US"/>
              </w:rPr>
            </w:pPr>
            <w:r>
              <w:rPr>
                <w:rFonts w:ascii="Arial" w:hAnsi="Arial" w:cs="Arial"/>
                <w:color w:val="000000" w:themeColor="text1"/>
                <w:lang w:val="en-US"/>
              </w:rPr>
              <w:t>BUV563</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WM53</w:t>
            </w:r>
          </w:p>
        </w:tc>
        <w:tc>
          <w:tcPr>
            <w:tcW w:w="1104" w:type="pct"/>
            <w:noWrap/>
          </w:tcPr>
          <w:p>
            <w:pPr>
              <w:jc w:val="both"/>
              <w:rPr>
                <w:rFonts w:ascii="Arial" w:hAnsi="Arial" w:cs="Arial"/>
                <w:color w:val="000000" w:themeColor="text1"/>
                <w:lang w:val="en-US"/>
              </w:rPr>
            </w:pPr>
            <w:r>
              <w:rPr>
                <w:rFonts w:ascii="Arial" w:hAnsi="Arial" w:cs="Arial"/>
                <w:color w:val="000000" w:themeColor="text1"/>
                <w:lang w:val="en-US"/>
              </w:rPr>
              <w:t>BD Biosciences</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 xml:space="preserve">Mouse BALB/c </w:t>
            </w:r>
          </w:p>
          <w:p>
            <w:pPr>
              <w:jc w:val="both"/>
              <w:rPr>
                <w:rFonts w:ascii="Arial" w:hAnsi="Arial" w:cs="Arial"/>
                <w:color w:val="000000" w:themeColor="text1"/>
                <w:lang w:val="en-US"/>
              </w:rPr>
            </w:pPr>
            <w:r>
              <w:rPr>
                <w:rFonts w:ascii="Arial" w:hAnsi="Arial" w:cs="Arial"/>
                <w:color w:val="000000" w:themeColor="text1"/>
                <w:lang w:val="en-US"/>
              </w:rPr>
              <w:t>IgG1, κ</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741369</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CD33</w:t>
            </w:r>
          </w:p>
        </w:tc>
        <w:tc>
          <w:tcPr>
            <w:tcW w:w="883" w:type="pct"/>
            <w:noWrap/>
          </w:tcPr>
          <w:p>
            <w:pPr>
              <w:jc w:val="both"/>
              <w:rPr>
                <w:rFonts w:ascii="Arial" w:hAnsi="Arial" w:cs="Arial"/>
                <w:color w:val="000000" w:themeColor="text1"/>
                <w:lang w:val="en-US"/>
              </w:rPr>
            </w:pPr>
            <w:proofErr w:type="spellStart"/>
            <w:r>
              <w:rPr>
                <w:rFonts w:ascii="Arial" w:hAnsi="Arial" w:cs="Arial"/>
                <w:color w:val="000000" w:themeColor="text1"/>
                <w:lang w:val="en-US"/>
              </w:rPr>
              <w:t>VioGreen</w:t>
            </w:r>
            <w:proofErr w:type="spellEnd"/>
            <w:r>
              <w:rPr>
                <w:rFonts w:ascii="Arial" w:hAnsi="Arial" w:cs="Arial"/>
                <w:color w:val="000000" w:themeColor="text1"/>
                <w:lang w:val="en-US"/>
              </w:rPr>
              <w:t>™</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REA775</w:t>
            </w:r>
          </w:p>
        </w:tc>
        <w:tc>
          <w:tcPr>
            <w:tcW w:w="1104" w:type="pct"/>
            <w:noWrap/>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 xml:space="preserve">recombinant </w:t>
            </w:r>
          </w:p>
          <w:p>
            <w:pPr>
              <w:jc w:val="both"/>
              <w:rPr>
                <w:rFonts w:ascii="Arial" w:hAnsi="Arial" w:cs="Arial"/>
                <w:color w:val="000000" w:themeColor="text1"/>
                <w:lang w:val="en-US"/>
              </w:rPr>
            </w:pPr>
            <w:r>
              <w:rPr>
                <w:rFonts w:ascii="Arial" w:hAnsi="Arial" w:cs="Arial"/>
                <w:color w:val="000000" w:themeColor="text1"/>
                <w:lang w:val="en-US"/>
              </w:rPr>
              <w:t>human IgG1</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130-111-025</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CD34</w:t>
            </w:r>
          </w:p>
        </w:tc>
        <w:tc>
          <w:tcPr>
            <w:tcW w:w="883" w:type="pct"/>
            <w:noWrap/>
          </w:tcPr>
          <w:p>
            <w:pPr>
              <w:jc w:val="both"/>
              <w:rPr>
                <w:rFonts w:ascii="Arial" w:hAnsi="Arial" w:cs="Arial"/>
                <w:color w:val="000000" w:themeColor="text1"/>
                <w:lang w:val="en-US"/>
              </w:rPr>
            </w:pPr>
            <w:r>
              <w:rPr>
                <w:rFonts w:ascii="Arial" w:hAnsi="Arial" w:cs="Arial"/>
                <w:color w:val="000000" w:themeColor="text1"/>
                <w:lang w:val="en-US"/>
              </w:rPr>
              <w:t>BV711</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8G12</w:t>
            </w:r>
          </w:p>
        </w:tc>
        <w:tc>
          <w:tcPr>
            <w:tcW w:w="1104" w:type="pct"/>
            <w:noWrap/>
          </w:tcPr>
          <w:p>
            <w:pPr>
              <w:jc w:val="both"/>
              <w:rPr>
                <w:rFonts w:ascii="Arial" w:hAnsi="Arial" w:cs="Arial"/>
                <w:color w:val="000000" w:themeColor="text1"/>
                <w:lang w:val="en-US"/>
              </w:rPr>
            </w:pPr>
            <w:proofErr w:type="spellStart"/>
            <w:r>
              <w:rPr>
                <w:rFonts w:ascii="Arial" w:hAnsi="Arial" w:cs="Arial"/>
                <w:color w:val="000000" w:themeColor="text1"/>
                <w:lang w:val="en-US"/>
              </w:rPr>
              <w:t>BioLegend</w:t>
            </w:r>
            <w:proofErr w:type="spellEnd"/>
            <w:r>
              <w:rPr>
                <w:rFonts w:ascii="Arial" w:hAnsi="Arial" w:cs="Arial"/>
                <w:color w:val="000000" w:themeColor="text1"/>
                <w:lang w:val="en-US"/>
              </w:rPr>
              <w:t>®</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Mouse IgG1, κ</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745543</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CD38</w:t>
            </w:r>
          </w:p>
        </w:tc>
        <w:tc>
          <w:tcPr>
            <w:tcW w:w="883" w:type="pct"/>
            <w:noWrap/>
          </w:tcPr>
          <w:p>
            <w:pPr>
              <w:jc w:val="both"/>
              <w:rPr>
                <w:rFonts w:ascii="Arial" w:hAnsi="Arial" w:cs="Arial"/>
                <w:color w:val="000000" w:themeColor="text1"/>
                <w:lang w:val="en-US"/>
              </w:rPr>
            </w:pPr>
            <w:r>
              <w:rPr>
                <w:rFonts w:ascii="Arial" w:hAnsi="Arial" w:cs="Arial"/>
                <w:color w:val="000000" w:themeColor="text1"/>
                <w:lang w:val="en-US"/>
              </w:rPr>
              <w:t>BV605</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HB-7</w:t>
            </w:r>
          </w:p>
        </w:tc>
        <w:tc>
          <w:tcPr>
            <w:tcW w:w="1104" w:type="pct"/>
            <w:noWrap/>
          </w:tcPr>
          <w:p>
            <w:pPr>
              <w:jc w:val="both"/>
              <w:rPr>
                <w:rFonts w:ascii="Arial" w:hAnsi="Arial" w:cs="Arial"/>
                <w:color w:val="000000" w:themeColor="text1"/>
                <w:lang w:val="en-US"/>
              </w:rPr>
            </w:pPr>
            <w:proofErr w:type="spellStart"/>
            <w:r>
              <w:rPr>
                <w:rFonts w:ascii="Arial" w:hAnsi="Arial" w:cs="Arial"/>
                <w:color w:val="000000" w:themeColor="text1"/>
                <w:lang w:val="en-US"/>
              </w:rPr>
              <w:t>BioLegend</w:t>
            </w:r>
            <w:proofErr w:type="spellEnd"/>
            <w:r>
              <w:rPr>
                <w:rFonts w:ascii="Arial" w:hAnsi="Arial" w:cs="Arial"/>
                <w:color w:val="000000" w:themeColor="text1"/>
                <w:lang w:val="en-US"/>
              </w:rPr>
              <w:t>®</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Mouse IgG1k</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356642</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CD38</w:t>
            </w:r>
          </w:p>
        </w:tc>
        <w:tc>
          <w:tcPr>
            <w:tcW w:w="883" w:type="pct"/>
            <w:noWrap/>
          </w:tcPr>
          <w:p>
            <w:pPr>
              <w:jc w:val="both"/>
              <w:rPr>
                <w:rFonts w:ascii="Arial" w:hAnsi="Arial" w:cs="Arial"/>
                <w:color w:val="000000" w:themeColor="text1"/>
                <w:lang w:val="en-US"/>
              </w:rPr>
            </w:pPr>
            <w:r>
              <w:rPr>
                <w:rFonts w:ascii="Arial" w:hAnsi="Arial" w:cs="Arial"/>
                <w:color w:val="000000" w:themeColor="text1"/>
                <w:lang w:val="en-US"/>
              </w:rPr>
              <w:t>PE-Vio®770</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REA671</w:t>
            </w:r>
          </w:p>
        </w:tc>
        <w:tc>
          <w:tcPr>
            <w:tcW w:w="1104" w:type="pct"/>
            <w:noWrap/>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Recombinant</w:t>
            </w:r>
          </w:p>
          <w:p>
            <w:pPr>
              <w:jc w:val="both"/>
              <w:rPr>
                <w:rFonts w:ascii="Arial" w:hAnsi="Arial" w:cs="Arial"/>
                <w:color w:val="000000" w:themeColor="text1"/>
                <w:lang w:val="en-US"/>
              </w:rPr>
            </w:pPr>
            <w:r>
              <w:rPr>
                <w:rFonts w:ascii="Arial" w:hAnsi="Arial" w:cs="Arial"/>
                <w:color w:val="000000" w:themeColor="text1"/>
                <w:lang w:val="en-US"/>
              </w:rPr>
              <w:t>human IgG1</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130-113-432</w:t>
            </w:r>
          </w:p>
        </w:tc>
      </w:tr>
      <w:tr>
        <w:trPr>
          <w:trHeight w:val="300"/>
        </w:trPr>
        <w:tc>
          <w:tcPr>
            <w:tcW w:w="513" w:type="pct"/>
            <w:noWrap/>
            <w:hideMark/>
          </w:tcPr>
          <w:p>
            <w:pPr>
              <w:jc w:val="both"/>
              <w:rPr>
                <w:rFonts w:ascii="Arial" w:hAnsi="Arial" w:cs="Arial"/>
                <w:color w:val="000000" w:themeColor="text1"/>
                <w:lang w:val="en-US"/>
              </w:rPr>
            </w:pPr>
            <w:r>
              <w:rPr>
                <w:rFonts w:ascii="Arial" w:hAnsi="Arial" w:cs="Arial"/>
                <w:color w:val="000000" w:themeColor="text1"/>
                <w:lang w:val="en-US"/>
              </w:rPr>
              <w:t>CD45hu</w:t>
            </w:r>
          </w:p>
        </w:tc>
        <w:tc>
          <w:tcPr>
            <w:tcW w:w="883" w:type="pct"/>
            <w:noWrap/>
            <w:hideMark/>
          </w:tcPr>
          <w:p>
            <w:pPr>
              <w:jc w:val="both"/>
              <w:rPr>
                <w:rFonts w:ascii="Arial" w:hAnsi="Arial" w:cs="Arial"/>
                <w:color w:val="000000" w:themeColor="text1"/>
                <w:lang w:val="en-US"/>
              </w:rPr>
            </w:pPr>
            <w:r>
              <w:rPr>
                <w:rFonts w:ascii="Arial" w:hAnsi="Arial" w:cs="Arial"/>
                <w:color w:val="000000" w:themeColor="text1"/>
                <w:lang w:val="en-US"/>
              </w:rPr>
              <w:t>BB515</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HI30</w:t>
            </w:r>
          </w:p>
        </w:tc>
        <w:tc>
          <w:tcPr>
            <w:tcW w:w="1104" w:type="pct"/>
            <w:noWrap/>
            <w:hideMark/>
          </w:tcPr>
          <w:p>
            <w:pPr>
              <w:jc w:val="both"/>
              <w:rPr>
                <w:rFonts w:ascii="Arial" w:hAnsi="Arial" w:cs="Arial"/>
                <w:color w:val="000000" w:themeColor="text1"/>
                <w:lang w:val="en-US"/>
              </w:rPr>
            </w:pPr>
            <w:r>
              <w:rPr>
                <w:rFonts w:ascii="Arial" w:hAnsi="Arial" w:cs="Arial"/>
                <w:color w:val="000000" w:themeColor="text1"/>
                <w:lang w:val="en-US"/>
              </w:rPr>
              <w:t>BD Biosciences</w:t>
            </w:r>
          </w:p>
        </w:tc>
        <w:tc>
          <w:tcPr>
            <w:tcW w:w="981" w:type="pct"/>
            <w:noWrap/>
            <w:hideMark/>
          </w:tcPr>
          <w:p>
            <w:pPr>
              <w:jc w:val="both"/>
              <w:rPr>
                <w:rFonts w:ascii="Arial" w:hAnsi="Arial" w:cs="Arial"/>
                <w:color w:val="000000" w:themeColor="text1"/>
                <w:lang w:val="en-US"/>
              </w:rPr>
            </w:pPr>
            <w:r>
              <w:rPr>
                <w:rFonts w:ascii="Arial" w:hAnsi="Arial" w:cs="Arial"/>
                <w:color w:val="000000" w:themeColor="text1"/>
                <w:lang w:val="en-US"/>
              </w:rPr>
              <w:t>Mouse IgG1, κ</w:t>
            </w:r>
          </w:p>
        </w:tc>
        <w:tc>
          <w:tcPr>
            <w:tcW w:w="784" w:type="pct"/>
            <w:noWrap/>
            <w:hideMark/>
          </w:tcPr>
          <w:p>
            <w:pPr>
              <w:jc w:val="both"/>
              <w:rPr>
                <w:rFonts w:ascii="Arial" w:hAnsi="Arial" w:cs="Arial"/>
                <w:color w:val="000000" w:themeColor="text1"/>
                <w:lang w:val="en-US"/>
              </w:rPr>
            </w:pPr>
            <w:r>
              <w:rPr>
                <w:rFonts w:ascii="Arial" w:hAnsi="Arial" w:cs="Arial"/>
                <w:color w:val="000000" w:themeColor="text1"/>
                <w:lang w:val="en-US"/>
              </w:rPr>
              <w:t>564586</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CD45hu</w:t>
            </w:r>
          </w:p>
        </w:tc>
        <w:tc>
          <w:tcPr>
            <w:tcW w:w="883" w:type="pct"/>
            <w:noWrap/>
          </w:tcPr>
          <w:p>
            <w:pPr>
              <w:jc w:val="both"/>
              <w:rPr>
                <w:rFonts w:ascii="Arial" w:hAnsi="Arial" w:cs="Arial"/>
                <w:color w:val="000000" w:themeColor="text1"/>
                <w:lang w:val="en-US"/>
              </w:rPr>
            </w:pPr>
            <w:r>
              <w:rPr>
                <w:rFonts w:ascii="Arial" w:hAnsi="Arial" w:cs="Arial"/>
                <w:color w:val="000000" w:themeColor="text1"/>
                <w:lang w:val="en-US"/>
              </w:rPr>
              <w:t>FITC</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REA747</w:t>
            </w:r>
          </w:p>
        </w:tc>
        <w:tc>
          <w:tcPr>
            <w:tcW w:w="1104" w:type="pct"/>
            <w:noWrap/>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Recombinant</w:t>
            </w:r>
          </w:p>
          <w:p>
            <w:pPr>
              <w:jc w:val="both"/>
              <w:rPr>
                <w:rFonts w:ascii="Arial" w:hAnsi="Arial" w:cs="Arial"/>
                <w:color w:val="000000" w:themeColor="text1"/>
                <w:lang w:val="en-US"/>
              </w:rPr>
            </w:pPr>
            <w:r>
              <w:rPr>
                <w:rFonts w:ascii="Arial" w:hAnsi="Arial" w:cs="Arial"/>
                <w:color w:val="000000" w:themeColor="text1"/>
                <w:lang w:val="en-US"/>
              </w:rPr>
              <w:t>human IgG1</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130-110-631</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CD45mouse</w:t>
            </w:r>
          </w:p>
        </w:tc>
        <w:tc>
          <w:tcPr>
            <w:tcW w:w="883" w:type="pct"/>
            <w:noWrap/>
          </w:tcPr>
          <w:p>
            <w:pPr>
              <w:jc w:val="both"/>
              <w:rPr>
                <w:rFonts w:ascii="Arial" w:hAnsi="Arial" w:cs="Arial"/>
                <w:color w:val="000000" w:themeColor="text1"/>
                <w:lang w:val="en-US"/>
              </w:rPr>
            </w:pPr>
            <w:r>
              <w:rPr>
                <w:rFonts w:ascii="Arial" w:hAnsi="Arial" w:cs="Arial"/>
                <w:color w:val="000000" w:themeColor="text1"/>
                <w:lang w:val="en-US"/>
              </w:rPr>
              <w:t>Pe-</w:t>
            </w:r>
            <w:proofErr w:type="spellStart"/>
            <w:r>
              <w:rPr>
                <w:rFonts w:ascii="Arial" w:hAnsi="Arial" w:cs="Arial"/>
                <w:color w:val="000000" w:themeColor="text1"/>
                <w:lang w:val="en-US"/>
              </w:rPr>
              <w:t>Vio</w:t>
            </w:r>
            <w:proofErr w:type="spellEnd"/>
            <w:r>
              <w:rPr>
                <w:rFonts w:ascii="Arial" w:hAnsi="Arial" w:cs="Arial"/>
                <w:color w:val="000000" w:themeColor="text1"/>
                <w:lang w:val="en-US"/>
              </w:rPr>
              <w:t xml:space="preserve"> 770</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REA737</w:t>
            </w:r>
          </w:p>
        </w:tc>
        <w:tc>
          <w:tcPr>
            <w:tcW w:w="1104" w:type="pct"/>
            <w:noWrap/>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Recombinant</w:t>
            </w:r>
          </w:p>
          <w:p>
            <w:pPr>
              <w:jc w:val="both"/>
              <w:rPr>
                <w:rFonts w:ascii="Arial" w:hAnsi="Arial" w:cs="Arial"/>
                <w:color w:val="000000" w:themeColor="text1"/>
                <w:lang w:val="en-US"/>
              </w:rPr>
            </w:pPr>
            <w:r>
              <w:rPr>
                <w:rFonts w:ascii="Arial" w:hAnsi="Arial" w:cs="Arial"/>
                <w:color w:val="000000" w:themeColor="text1"/>
                <w:lang w:val="en-US"/>
              </w:rPr>
              <w:t>human IgG1</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130-110-799</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CD112</w:t>
            </w:r>
          </w:p>
        </w:tc>
        <w:tc>
          <w:tcPr>
            <w:tcW w:w="883" w:type="pct"/>
            <w:noWrap/>
          </w:tcPr>
          <w:p>
            <w:pPr>
              <w:jc w:val="both"/>
              <w:rPr>
                <w:rFonts w:ascii="Arial" w:hAnsi="Arial" w:cs="Arial"/>
                <w:color w:val="000000" w:themeColor="text1"/>
                <w:lang w:val="en-US"/>
              </w:rPr>
            </w:pPr>
            <w:r>
              <w:rPr>
                <w:rFonts w:ascii="Arial" w:hAnsi="Arial" w:cs="Arial"/>
                <w:color w:val="000000" w:themeColor="text1"/>
                <w:lang w:val="en-US"/>
              </w:rPr>
              <w:t>PE-Vio®615</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REA1195</w:t>
            </w:r>
          </w:p>
        </w:tc>
        <w:tc>
          <w:tcPr>
            <w:tcW w:w="1104" w:type="pct"/>
            <w:noWrap/>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 xml:space="preserve">Recombinant </w:t>
            </w:r>
          </w:p>
          <w:p>
            <w:pPr>
              <w:jc w:val="both"/>
              <w:rPr>
                <w:rFonts w:ascii="Arial" w:hAnsi="Arial" w:cs="Arial"/>
                <w:color w:val="000000" w:themeColor="text1"/>
                <w:lang w:val="en-US"/>
              </w:rPr>
            </w:pPr>
            <w:r>
              <w:rPr>
                <w:rFonts w:ascii="Arial" w:hAnsi="Arial" w:cs="Arial"/>
                <w:color w:val="000000" w:themeColor="text1"/>
                <w:lang w:val="en-US"/>
              </w:rPr>
              <w:t>human IgG1</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130-122-784</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CD123</w:t>
            </w:r>
          </w:p>
        </w:tc>
        <w:tc>
          <w:tcPr>
            <w:tcW w:w="883" w:type="pct"/>
            <w:noWrap/>
          </w:tcPr>
          <w:p>
            <w:pPr>
              <w:jc w:val="both"/>
              <w:rPr>
                <w:rFonts w:ascii="Arial" w:hAnsi="Arial" w:cs="Arial"/>
                <w:color w:val="000000" w:themeColor="text1"/>
                <w:lang w:val="en-US"/>
              </w:rPr>
            </w:pPr>
            <w:r>
              <w:rPr>
                <w:rFonts w:ascii="Arial" w:hAnsi="Arial" w:cs="Arial"/>
                <w:color w:val="000000" w:themeColor="text1"/>
                <w:lang w:val="en-US"/>
              </w:rPr>
              <w:t>APC-Fire™ 810</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6H6</w:t>
            </w:r>
          </w:p>
        </w:tc>
        <w:tc>
          <w:tcPr>
            <w:tcW w:w="1104" w:type="pct"/>
            <w:noWrap/>
          </w:tcPr>
          <w:p>
            <w:pPr>
              <w:jc w:val="both"/>
              <w:rPr>
                <w:rFonts w:ascii="Arial" w:hAnsi="Arial" w:cs="Arial"/>
                <w:color w:val="000000" w:themeColor="text1"/>
                <w:lang w:val="en-US"/>
              </w:rPr>
            </w:pPr>
            <w:proofErr w:type="spellStart"/>
            <w:r>
              <w:rPr>
                <w:rFonts w:ascii="Arial" w:hAnsi="Arial" w:cs="Arial"/>
                <w:color w:val="000000" w:themeColor="text1"/>
                <w:lang w:val="en-US"/>
              </w:rPr>
              <w:t>BioLegend</w:t>
            </w:r>
            <w:proofErr w:type="spellEnd"/>
            <w:r>
              <w:rPr>
                <w:rFonts w:ascii="Arial" w:hAnsi="Arial" w:cs="Arial"/>
                <w:color w:val="000000" w:themeColor="text1"/>
                <w:lang w:val="en-US"/>
              </w:rPr>
              <w:t>®</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Mouse IgG1, κ</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306053</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CD123</w:t>
            </w:r>
          </w:p>
        </w:tc>
        <w:tc>
          <w:tcPr>
            <w:tcW w:w="883" w:type="pct"/>
            <w:noWrap/>
          </w:tcPr>
          <w:p>
            <w:pPr>
              <w:jc w:val="both"/>
              <w:rPr>
                <w:rFonts w:ascii="Arial" w:hAnsi="Arial" w:cs="Arial"/>
                <w:color w:val="000000" w:themeColor="text1"/>
                <w:lang w:val="en-US"/>
              </w:rPr>
            </w:pPr>
            <w:r>
              <w:rPr>
                <w:rFonts w:ascii="Arial" w:hAnsi="Arial" w:cs="Arial"/>
                <w:color w:val="000000" w:themeColor="text1"/>
                <w:lang w:val="en-US"/>
              </w:rPr>
              <w:t>APC-Vio®770</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REA918</w:t>
            </w:r>
          </w:p>
        </w:tc>
        <w:tc>
          <w:tcPr>
            <w:tcW w:w="1104" w:type="pct"/>
            <w:noWrap/>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 xml:space="preserve">Recombinant </w:t>
            </w:r>
          </w:p>
          <w:p>
            <w:pPr>
              <w:jc w:val="both"/>
              <w:rPr>
                <w:rFonts w:ascii="Arial" w:hAnsi="Arial" w:cs="Arial"/>
                <w:color w:val="000000" w:themeColor="text1"/>
                <w:lang w:val="en-US"/>
              </w:rPr>
            </w:pPr>
            <w:r>
              <w:rPr>
                <w:rFonts w:ascii="Arial" w:hAnsi="Arial" w:cs="Arial"/>
                <w:color w:val="000000" w:themeColor="text1"/>
                <w:lang w:val="en-US"/>
              </w:rPr>
              <w:t>human IgG1</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130-115-267</w:t>
            </w:r>
          </w:p>
        </w:tc>
      </w:tr>
      <w:tr>
        <w:trPr>
          <w:trHeight w:val="300"/>
        </w:trPr>
        <w:tc>
          <w:tcPr>
            <w:tcW w:w="513" w:type="pct"/>
            <w:noWrap/>
            <w:hideMark/>
          </w:tcPr>
          <w:p>
            <w:pPr>
              <w:jc w:val="both"/>
              <w:rPr>
                <w:rFonts w:ascii="Arial" w:hAnsi="Arial" w:cs="Arial"/>
                <w:color w:val="000000" w:themeColor="text1"/>
                <w:lang w:val="en-US"/>
              </w:rPr>
            </w:pPr>
            <w:r>
              <w:rPr>
                <w:rFonts w:ascii="Arial" w:hAnsi="Arial" w:cs="Arial"/>
                <w:color w:val="000000" w:themeColor="text1"/>
                <w:lang w:val="en-US"/>
              </w:rPr>
              <w:t>CD135</w:t>
            </w:r>
          </w:p>
        </w:tc>
        <w:tc>
          <w:tcPr>
            <w:tcW w:w="883" w:type="pct"/>
            <w:noWrap/>
            <w:hideMark/>
          </w:tcPr>
          <w:p>
            <w:pPr>
              <w:jc w:val="both"/>
              <w:rPr>
                <w:rFonts w:ascii="Arial" w:hAnsi="Arial" w:cs="Arial"/>
                <w:color w:val="000000" w:themeColor="text1"/>
                <w:lang w:val="en-US"/>
              </w:rPr>
            </w:pPr>
            <w:r>
              <w:rPr>
                <w:rFonts w:ascii="Arial" w:hAnsi="Arial" w:cs="Arial"/>
                <w:color w:val="000000" w:themeColor="text1"/>
                <w:lang w:val="en-US"/>
              </w:rPr>
              <w:t>PE-Cy™5</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BV10A4H2</w:t>
            </w:r>
          </w:p>
        </w:tc>
        <w:tc>
          <w:tcPr>
            <w:tcW w:w="1104" w:type="pct"/>
            <w:noWrap/>
            <w:hideMark/>
          </w:tcPr>
          <w:p>
            <w:pPr>
              <w:jc w:val="both"/>
              <w:rPr>
                <w:rFonts w:ascii="Arial" w:hAnsi="Arial" w:cs="Arial"/>
                <w:color w:val="000000" w:themeColor="text1"/>
                <w:lang w:val="en-US"/>
              </w:rPr>
            </w:pPr>
            <w:proofErr w:type="spellStart"/>
            <w:r>
              <w:rPr>
                <w:rFonts w:ascii="Arial" w:hAnsi="Arial" w:cs="Arial"/>
                <w:color w:val="000000" w:themeColor="text1"/>
                <w:lang w:val="en-US"/>
              </w:rPr>
              <w:t>BioLegend</w:t>
            </w:r>
            <w:proofErr w:type="spellEnd"/>
            <w:r>
              <w:rPr>
                <w:rFonts w:ascii="Arial" w:hAnsi="Arial" w:cs="Arial"/>
                <w:color w:val="000000" w:themeColor="text1"/>
                <w:lang w:val="en-US"/>
              </w:rPr>
              <w:t>®</w:t>
            </w:r>
          </w:p>
        </w:tc>
        <w:tc>
          <w:tcPr>
            <w:tcW w:w="981" w:type="pct"/>
            <w:noWrap/>
            <w:hideMark/>
          </w:tcPr>
          <w:p>
            <w:pPr>
              <w:jc w:val="both"/>
              <w:rPr>
                <w:rFonts w:ascii="Arial" w:hAnsi="Arial" w:cs="Arial"/>
                <w:color w:val="000000" w:themeColor="text1"/>
                <w:lang w:val="en-US"/>
              </w:rPr>
            </w:pPr>
            <w:r>
              <w:rPr>
                <w:rFonts w:ascii="Arial" w:hAnsi="Arial" w:cs="Arial"/>
                <w:color w:val="000000" w:themeColor="text1"/>
                <w:lang w:val="en-US"/>
              </w:rPr>
              <w:t>Mouse IgG1k</w:t>
            </w:r>
          </w:p>
        </w:tc>
        <w:tc>
          <w:tcPr>
            <w:tcW w:w="784" w:type="pct"/>
            <w:noWrap/>
            <w:hideMark/>
          </w:tcPr>
          <w:p>
            <w:pPr>
              <w:jc w:val="both"/>
              <w:rPr>
                <w:rFonts w:ascii="Arial" w:hAnsi="Arial" w:cs="Arial"/>
                <w:color w:val="000000" w:themeColor="text1"/>
                <w:lang w:val="en-US"/>
              </w:rPr>
            </w:pPr>
            <w:r>
              <w:rPr>
                <w:rFonts w:ascii="Arial" w:hAnsi="Arial" w:cs="Arial"/>
                <w:color w:val="000000" w:themeColor="text1"/>
                <w:lang w:val="en-US"/>
              </w:rPr>
              <w:t>313310</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CD135</w:t>
            </w:r>
          </w:p>
        </w:tc>
        <w:tc>
          <w:tcPr>
            <w:tcW w:w="883" w:type="pct"/>
            <w:noWrap/>
          </w:tcPr>
          <w:p>
            <w:pPr>
              <w:jc w:val="both"/>
              <w:rPr>
                <w:rFonts w:ascii="Arial" w:hAnsi="Arial" w:cs="Arial"/>
                <w:color w:val="000000" w:themeColor="text1"/>
                <w:lang w:val="en-US"/>
              </w:rPr>
            </w:pPr>
            <w:r>
              <w:rPr>
                <w:rFonts w:ascii="Arial" w:hAnsi="Arial" w:cs="Arial"/>
                <w:color w:val="000000" w:themeColor="text1"/>
                <w:lang w:val="en-US"/>
              </w:rPr>
              <w:t>PE</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REA786</w:t>
            </w:r>
          </w:p>
        </w:tc>
        <w:tc>
          <w:tcPr>
            <w:tcW w:w="1104" w:type="pct"/>
            <w:noWrap/>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 xml:space="preserve">Recombinant </w:t>
            </w:r>
          </w:p>
          <w:p>
            <w:pPr>
              <w:jc w:val="both"/>
              <w:rPr>
                <w:rFonts w:ascii="Arial" w:hAnsi="Arial" w:cs="Arial"/>
                <w:color w:val="000000" w:themeColor="text1"/>
                <w:lang w:val="en-US"/>
              </w:rPr>
            </w:pPr>
            <w:r>
              <w:rPr>
                <w:rFonts w:ascii="Arial" w:hAnsi="Arial" w:cs="Arial"/>
                <w:color w:val="000000" w:themeColor="text1"/>
                <w:lang w:val="en-US"/>
              </w:rPr>
              <w:t>human IgG1</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130-111-587</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CD371</w:t>
            </w:r>
          </w:p>
        </w:tc>
        <w:tc>
          <w:tcPr>
            <w:tcW w:w="883" w:type="pct"/>
            <w:noWrap/>
          </w:tcPr>
          <w:p>
            <w:pPr>
              <w:jc w:val="both"/>
              <w:rPr>
                <w:rFonts w:ascii="Arial" w:hAnsi="Arial" w:cs="Arial"/>
                <w:color w:val="000000" w:themeColor="text1"/>
                <w:lang w:val="en-US"/>
              </w:rPr>
            </w:pPr>
            <w:r>
              <w:rPr>
                <w:rFonts w:ascii="Arial" w:hAnsi="Arial" w:cs="Arial"/>
                <w:color w:val="000000" w:themeColor="text1"/>
                <w:lang w:val="en-US"/>
              </w:rPr>
              <w:t>BUV737</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50C1</w:t>
            </w:r>
          </w:p>
        </w:tc>
        <w:tc>
          <w:tcPr>
            <w:tcW w:w="1104" w:type="pct"/>
            <w:noWrap/>
          </w:tcPr>
          <w:p>
            <w:pPr>
              <w:jc w:val="both"/>
              <w:rPr>
                <w:rFonts w:ascii="Arial" w:hAnsi="Arial" w:cs="Arial"/>
                <w:color w:val="000000" w:themeColor="text1"/>
                <w:lang w:val="en-US"/>
              </w:rPr>
            </w:pPr>
            <w:r>
              <w:rPr>
                <w:rFonts w:ascii="Arial" w:hAnsi="Arial" w:cs="Arial"/>
                <w:color w:val="000000" w:themeColor="text1"/>
                <w:lang w:val="en-US"/>
              </w:rPr>
              <w:t>BD Biosciences</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Mouse IgG2a, κ</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748888</w:t>
            </w:r>
          </w:p>
        </w:tc>
      </w:tr>
      <w:tr>
        <w:trPr>
          <w:trHeight w:val="300"/>
        </w:trPr>
        <w:tc>
          <w:tcPr>
            <w:tcW w:w="513" w:type="pct"/>
            <w:noWrap/>
          </w:tcPr>
          <w:p>
            <w:pPr>
              <w:jc w:val="both"/>
              <w:rPr>
                <w:rFonts w:ascii="Arial" w:hAnsi="Arial" w:cs="Arial"/>
                <w:color w:val="000000" w:themeColor="text1"/>
                <w:lang w:val="en-US"/>
              </w:rPr>
            </w:pPr>
            <w:r>
              <w:rPr>
                <w:rFonts w:ascii="Arial" w:hAnsi="Arial" w:cs="Arial"/>
                <w:color w:val="000000" w:themeColor="text1"/>
                <w:lang w:val="en-US"/>
              </w:rPr>
              <w:t>CD371</w:t>
            </w:r>
          </w:p>
        </w:tc>
        <w:tc>
          <w:tcPr>
            <w:tcW w:w="883" w:type="pct"/>
            <w:noWrap/>
          </w:tcPr>
          <w:p>
            <w:pPr>
              <w:jc w:val="both"/>
              <w:rPr>
                <w:rFonts w:ascii="Arial" w:hAnsi="Arial" w:cs="Arial"/>
                <w:color w:val="000000" w:themeColor="text1"/>
                <w:lang w:val="en-US"/>
              </w:rPr>
            </w:pPr>
            <w:proofErr w:type="spellStart"/>
            <w:r>
              <w:rPr>
                <w:rFonts w:ascii="Arial" w:hAnsi="Arial" w:cs="Arial"/>
                <w:color w:val="000000" w:themeColor="text1"/>
                <w:lang w:val="en-US"/>
              </w:rPr>
              <w:t>VioBlue</w:t>
            </w:r>
            <w:proofErr w:type="spellEnd"/>
          </w:p>
        </w:tc>
        <w:tc>
          <w:tcPr>
            <w:tcW w:w="736" w:type="pct"/>
          </w:tcPr>
          <w:p>
            <w:pPr>
              <w:jc w:val="both"/>
              <w:rPr>
                <w:rFonts w:ascii="Arial" w:hAnsi="Arial" w:cs="Arial"/>
                <w:color w:val="000000" w:themeColor="text1"/>
                <w:lang w:val="en-US"/>
              </w:rPr>
            </w:pPr>
            <w:r>
              <w:rPr>
                <w:rFonts w:ascii="Arial" w:hAnsi="Arial" w:cs="Arial"/>
                <w:color w:val="000000" w:themeColor="text1"/>
                <w:lang w:val="en-US"/>
              </w:rPr>
              <w:t>REA431</w:t>
            </w:r>
          </w:p>
        </w:tc>
        <w:tc>
          <w:tcPr>
            <w:tcW w:w="1104" w:type="pct"/>
            <w:noWrap/>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981" w:type="pct"/>
            <w:noWrap/>
          </w:tcPr>
          <w:p>
            <w:pPr>
              <w:jc w:val="both"/>
              <w:rPr>
                <w:rFonts w:ascii="Arial" w:hAnsi="Arial" w:cs="Arial"/>
                <w:color w:val="000000" w:themeColor="text1"/>
                <w:lang w:val="en-US"/>
              </w:rPr>
            </w:pPr>
            <w:r>
              <w:rPr>
                <w:rFonts w:ascii="Arial" w:hAnsi="Arial" w:cs="Arial"/>
                <w:color w:val="000000" w:themeColor="text1"/>
                <w:lang w:val="en-US"/>
              </w:rPr>
              <w:t xml:space="preserve">Recombinant </w:t>
            </w:r>
          </w:p>
          <w:p>
            <w:pPr>
              <w:jc w:val="both"/>
              <w:rPr>
                <w:rFonts w:ascii="Arial" w:hAnsi="Arial" w:cs="Arial"/>
                <w:color w:val="000000" w:themeColor="text1"/>
                <w:lang w:val="en-US"/>
              </w:rPr>
            </w:pPr>
            <w:r>
              <w:rPr>
                <w:rFonts w:ascii="Arial" w:hAnsi="Arial" w:cs="Arial"/>
                <w:color w:val="000000" w:themeColor="text1"/>
                <w:lang w:val="en-US"/>
              </w:rPr>
              <w:t>human IgG1</w:t>
            </w:r>
          </w:p>
        </w:tc>
        <w:tc>
          <w:tcPr>
            <w:tcW w:w="784" w:type="pct"/>
            <w:noWrap/>
          </w:tcPr>
          <w:p>
            <w:pPr>
              <w:jc w:val="both"/>
              <w:rPr>
                <w:rFonts w:ascii="Arial" w:hAnsi="Arial" w:cs="Arial"/>
                <w:color w:val="000000" w:themeColor="text1"/>
                <w:lang w:val="en-US"/>
              </w:rPr>
            </w:pPr>
            <w:r>
              <w:rPr>
                <w:rFonts w:ascii="Arial" w:hAnsi="Arial" w:cs="Arial"/>
                <w:color w:val="000000" w:themeColor="text1"/>
                <w:lang w:val="en-US"/>
              </w:rPr>
              <w:t>130-123-533</w:t>
            </w:r>
          </w:p>
        </w:tc>
      </w:tr>
      <w:tr>
        <w:trPr>
          <w:trHeight w:val="300"/>
        </w:trPr>
        <w:tc>
          <w:tcPr>
            <w:tcW w:w="513" w:type="pct"/>
            <w:noWrap/>
            <w:hideMark/>
          </w:tcPr>
          <w:p>
            <w:pPr>
              <w:jc w:val="both"/>
              <w:rPr>
                <w:rFonts w:ascii="Arial" w:hAnsi="Arial" w:cs="Arial"/>
                <w:color w:val="000000" w:themeColor="text1"/>
                <w:lang w:val="en-US"/>
              </w:rPr>
            </w:pPr>
            <w:r>
              <w:rPr>
                <w:rFonts w:ascii="Arial" w:hAnsi="Arial" w:cs="Arial"/>
                <w:color w:val="000000" w:themeColor="text1"/>
                <w:lang w:val="en-US"/>
              </w:rPr>
              <w:t>IL1RAP</w:t>
            </w:r>
          </w:p>
        </w:tc>
        <w:tc>
          <w:tcPr>
            <w:tcW w:w="883" w:type="pct"/>
            <w:noWrap/>
            <w:hideMark/>
          </w:tcPr>
          <w:p>
            <w:pPr>
              <w:jc w:val="both"/>
              <w:rPr>
                <w:rFonts w:ascii="Arial" w:hAnsi="Arial" w:cs="Arial"/>
                <w:color w:val="000000" w:themeColor="text1"/>
                <w:lang w:val="en-US"/>
              </w:rPr>
            </w:pPr>
            <w:r>
              <w:rPr>
                <w:rFonts w:ascii="Arial" w:hAnsi="Arial" w:cs="Arial"/>
                <w:color w:val="000000" w:themeColor="text1"/>
                <w:lang w:val="en-US"/>
              </w:rPr>
              <w:t>PE-Vio®770</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REA558</w:t>
            </w:r>
          </w:p>
        </w:tc>
        <w:tc>
          <w:tcPr>
            <w:tcW w:w="1104" w:type="pct"/>
            <w:noWrap/>
            <w:hideMark/>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981" w:type="pct"/>
            <w:noWrap/>
            <w:hideMark/>
          </w:tcPr>
          <w:p>
            <w:pPr>
              <w:jc w:val="both"/>
              <w:rPr>
                <w:rFonts w:ascii="Arial" w:hAnsi="Arial" w:cs="Arial"/>
                <w:color w:val="000000" w:themeColor="text1"/>
                <w:lang w:val="en-US"/>
              </w:rPr>
            </w:pPr>
            <w:r>
              <w:rPr>
                <w:rFonts w:ascii="Arial" w:hAnsi="Arial" w:cs="Arial"/>
                <w:color w:val="000000" w:themeColor="text1"/>
                <w:lang w:val="en-US"/>
              </w:rPr>
              <w:t xml:space="preserve">Recombinant </w:t>
            </w:r>
          </w:p>
          <w:p>
            <w:pPr>
              <w:jc w:val="both"/>
              <w:rPr>
                <w:rFonts w:ascii="Arial" w:hAnsi="Arial" w:cs="Arial"/>
                <w:color w:val="000000" w:themeColor="text1"/>
                <w:lang w:val="en-US"/>
              </w:rPr>
            </w:pPr>
            <w:r>
              <w:rPr>
                <w:rFonts w:ascii="Arial" w:hAnsi="Arial" w:cs="Arial"/>
                <w:color w:val="000000" w:themeColor="text1"/>
                <w:lang w:val="en-US"/>
              </w:rPr>
              <w:t>human IgG1</w:t>
            </w:r>
          </w:p>
        </w:tc>
        <w:tc>
          <w:tcPr>
            <w:tcW w:w="784" w:type="pct"/>
            <w:noWrap/>
            <w:hideMark/>
          </w:tcPr>
          <w:p>
            <w:pPr>
              <w:jc w:val="both"/>
              <w:rPr>
                <w:rFonts w:ascii="Arial" w:hAnsi="Arial" w:cs="Arial"/>
                <w:color w:val="000000" w:themeColor="text1"/>
                <w:lang w:val="en-US"/>
              </w:rPr>
            </w:pPr>
            <w:r>
              <w:rPr>
                <w:rFonts w:ascii="Arial" w:hAnsi="Arial" w:cs="Arial"/>
                <w:color w:val="000000" w:themeColor="text1"/>
                <w:lang w:val="en-US"/>
              </w:rPr>
              <w:t>130-108-754</w:t>
            </w:r>
          </w:p>
        </w:tc>
      </w:tr>
      <w:tr>
        <w:trPr>
          <w:trHeight w:val="300"/>
        </w:trPr>
        <w:tc>
          <w:tcPr>
            <w:tcW w:w="513" w:type="pct"/>
            <w:noWrap/>
            <w:hideMark/>
          </w:tcPr>
          <w:p>
            <w:pPr>
              <w:jc w:val="both"/>
              <w:rPr>
                <w:rFonts w:ascii="Arial" w:hAnsi="Arial" w:cs="Arial"/>
                <w:color w:val="000000" w:themeColor="text1"/>
                <w:lang w:val="en-US"/>
              </w:rPr>
            </w:pPr>
            <w:r>
              <w:rPr>
                <w:rFonts w:ascii="Arial" w:hAnsi="Arial" w:cs="Arial"/>
                <w:color w:val="000000" w:themeColor="text1"/>
                <w:lang w:val="en-US"/>
              </w:rPr>
              <w:t>MSLN</w:t>
            </w:r>
          </w:p>
        </w:tc>
        <w:tc>
          <w:tcPr>
            <w:tcW w:w="883" w:type="pct"/>
            <w:noWrap/>
            <w:hideMark/>
          </w:tcPr>
          <w:p>
            <w:pPr>
              <w:jc w:val="both"/>
              <w:rPr>
                <w:rFonts w:ascii="Arial" w:hAnsi="Arial" w:cs="Arial"/>
                <w:color w:val="000000" w:themeColor="text1"/>
                <w:lang w:val="en-US"/>
              </w:rPr>
            </w:pPr>
            <w:r>
              <w:rPr>
                <w:rFonts w:ascii="Arial" w:hAnsi="Arial" w:cs="Arial"/>
                <w:color w:val="000000" w:themeColor="text1"/>
                <w:lang w:val="en-US"/>
              </w:rPr>
              <w:t>PE</w:t>
            </w:r>
          </w:p>
        </w:tc>
        <w:tc>
          <w:tcPr>
            <w:tcW w:w="736" w:type="pct"/>
          </w:tcPr>
          <w:p>
            <w:pPr>
              <w:jc w:val="both"/>
              <w:rPr>
                <w:rFonts w:ascii="Arial" w:hAnsi="Arial" w:cs="Arial"/>
                <w:color w:val="000000" w:themeColor="text1"/>
                <w:lang w:val="en-US"/>
              </w:rPr>
            </w:pPr>
            <w:r>
              <w:rPr>
                <w:rFonts w:ascii="Arial" w:hAnsi="Arial" w:cs="Arial"/>
                <w:color w:val="000000" w:themeColor="text1"/>
                <w:lang w:val="en-US"/>
              </w:rPr>
              <w:t>REA1057</w:t>
            </w:r>
          </w:p>
        </w:tc>
        <w:tc>
          <w:tcPr>
            <w:tcW w:w="1104" w:type="pct"/>
            <w:noWrap/>
            <w:hideMark/>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981" w:type="pct"/>
            <w:noWrap/>
            <w:hideMark/>
          </w:tcPr>
          <w:p>
            <w:pPr>
              <w:jc w:val="both"/>
              <w:rPr>
                <w:rFonts w:ascii="Arial" w:hAnsi="Arial" w:cs="Arial"/>
                <w:color w:val="000000" w:themeColor="text1"/>
                <w:lang w:val="en-US"/>
              </w:rPr>
            </w:pPr>
            <w:r>
              <w:rPr>
                <w:rFonts w:ascii="Arial" w:hAnsi="Arial" w:cs="Arial"/>
                <w:color w:val="000000" w:themeColor="text1"/>
                <w:lang w:val="en-US"/>
              </w:rPr>
              <w:t xml:space="preserve">Recombinant </w:t>
            </w:r>
          </w:p>
          <w:p>
            <w:pPr>
              <w:jc w:val="both"/>
              <w:rPr>
                <w:rFonts w:ascii="Arial" w:hAnsi="Arial" w:cs="Arial"/>
                <w:color w:val="000000" w:themeColor="text1"/>
                <w:lang w:val="en-US"/>
              </w:rPr>
            </w:pPr>
            <w:r>
              <w:rPr>
                <w:rFonts w:ascii="Arial" w:hAnsi="Arial" w:cs="Arial"/>
                <w:color w:val="000000" w:themeColor="text1"/>
                <w:lang w:val="en-US"/>
              </w:rPr>
              <w:t>human IgG1</w:t>
            </w:r>
          </w:p>
        </w:tc>
        <w:tc>
          <w:tcPr>
            <w:tcW w:w="784" w:type="pct"/>
            <w:noWrap/>
            <w:hideMark/>
          </w:tcPr>
          <w:p>
            <w:pPr>
              <w:jc w:val="both"/>
              <w:rPr>
                <w:rFonts w:ascii="Arial" w:hAnsi="Arial" w:cs="Arial"/>
                <w:color w:val="000000" w:themeColor="text1"/>
                <w:lang w:val="en-US"/>
              </w:rPr>
            </w:pPr>
            <w:r>
              <w:rPr>
                <w:rFonts w:ascii="Arial" w:hAnsi="Arial" w:cs="Arial"/>
                <w:color w:val="000000" w:themeColor="text1"/>
                <w:lang w:val="en-US"/>
              </w:rPr>
              <w:t>130-118-095</w:t>
            </w:r>
          </w:p>
        </w:tc>
      </w:tr>
      <w:tr>
        <w:trPr>
          <w:trHeight w:val="300"/>
        </w:trPr>
        <w:tc>
          <w:tcPr>
            <w:tcW w:w="513" w:type="pct"/>
            <w:tcBorders>
              <w:bottom w:val="single" w:sz="4" w:space="0" w:color="auto"/>
            </w:tcBorders>
            <w:noWrap/>
          </w:tcPr>
          <w:p>
            <w:pPr>
              <w:jc w:val="both"/>
              <w:rPr>
                <w:rFonts w:ascii="Arial" w:hAnsi="Arial" w:cs="Arial"/>
                <w:color w:val="000000" w:themeColor="text1"/>
                <w:lang w:val="en-US"/>
              </w:rPr>
            </w:pPr>
            <w:r>
              <w:rPr>
                <w:rFonts w:ascii="Arial" w:hAnsi="Arial" w:cs="Arial"/>
                <w:color w:val="000000" w:themeColor="text1"/>
                <w:lang w:val="en-US"/>
              </w:rPr>
              <w:t>MIC A/B</w:t>
            </w:r>
          </w:p>
        </w:tc>
        <w:tc>
          <w:tcPr>
            <w:tcW w:w="883" w:type="pct"/>
            <w:tcBorders>
              <w:bottom w:val="single" w:sz="4" w:space="0" w:color="auto"/>
            </w:tcBorders>
            <w:noWrap/>
          </w:tcPr>
          <w:p>
            <w:pPr>
              <w:jc w:val="both"/>
              <w:rPr>
                <w:rFonts w:ascii="Arial" w:hAnsi="Arial" w:cs="Arial"/>
                <w:color w:val="000000" w:themeColor="text1"/>
                <w:lang w:val="en-US"/>
              </w:rPr>
            </w:pPr>
            <w:r>
              <w:rPr>
                <w:rFonts w:ascii="Arial" w:hAnsi="Arial" w:cs="Arial"/>
                <w:color w:val="000000" w:themeColor="text1"/>
                <w:lang w:val="en-US"/>
              </w:rPr>
              <w:t>AF™647</w:t>
            </w:r>
          </w:p>
        </w:tc>
        <w:tc>
          <w:tcPr>
            <w:tcW w:w="736" w:type="pct"/>
            <w:tcBorders>
              <w:bottom w:val="single" w:sz="4" w:space="0" w:color="auto"/>
            </w:tcBorders>
          </w:tcPr>
          <w:p>
            <w:pPr>
              <w:jc w:val="both"/>
              <w:rPr>
                <w:rFonts w:ascii="Arial" w:hAnsi="Arial" w:cs="Arial"/>
                <w:color w:val="000000" w:themeColor="text1"/>
                <w:lang w:val="en-US"/>
              </w:rPr>
            </w:pPr>
            <w:r>
              <w:rPr>
                <w:rFonts w:ascii="Arial" w:hAnsi="Arial" w:cs="Arial"/>
                <w:color w:val="000000" w:themeColor="text1"/>
                <w:lang w:val="en-US"/>
              </w:rPr>
              <w:t>6D4</w:t>
            </w:r>
          </w:p>
        </w:tc>
        <w:tc>
          <w:tcPr>
            <w:tcW w:w="1104" w:type="pct"/>
            <w:tcBorders>
              <w:bottom w:val="single" w:sz="4" w:space="0" w:color="auto"/>
            </w:tcBorders>
            <w:noWrap/>
          </w:tcPr>
          <w:p>
            <w:pPr>
              <w:jc w:val="both"/>
              <w:rPr>
                <w:rFonts w:ascii="Arial" w:hAnsi="Arial" w:cs="Arial"/>
                <w:color w:val="000000" w:themeColor="text1"/>
                <w:lang w:val="en-US"/>
              </w:rPr>
            </w:pPr>
            <w:proofErr w:type="spellStart"/>
            <w:r>
              <w:rPr>
                <w:rFonts w:ascii="Arial" w:hAnsi="Arial" w:cs="Arial"/>
                <w:color w:val="000000" w:themeColor="text1"/>
                <w:lang w:val="en-US"/>
              </w:rPr>
              <w:t>BioLegend</w:t>
            </w:r>
            <w:proofErr w:type="spellEnd"/>
            <w:r>
              <w:rPr>
                <w:rFonts w:ascii="Arial" w:hAnsi="Arial" w:cs="Arial"/>
                <w:color w:val="000000" w:themeColor="text1"/>
                <w:lang w:val="en-US"/>
              </w:rPr>
              <w:t>®</w:t>
            </w:r>
          </w:p>
        </w:tc>
        <w:tc>
          <w:tcPr>
            <w:tcW w:w="981" w:type="pct"/>
            <w:tcBorders>
              <w:bottom w:val="single" w:sz="4" w:space="0" w:color="auto"/>
            </w:tcBorders>
            <w:noWrap/>
          </w:tcPr>
          <w:p>
            <w:pPr>
              <w:jc w:val="both"/>
              <w:rPr>
                <w:rFonts w:ascii="Arial" w:hAnsi="Arial" w:cs="Arial"/>
                <w:color w:val="000000" w:themeColor="text1"/>
                <w:lang w:val="en-US"/>
              </w:rPr>
            </w:pPr>
            <w:r>
              <w:rPr>
                <w:rFonts w:ascii="Arial" w:hAnsi="Arial" w:cs="Arial"/>
                <w:color w:val="000000" w:themeColor="text1"/>
                <w:lang w:val="en-US"/>
              </w:rPr>
              <w:t>Mouse IgG2a, κ</w:t>
            </w:r>
          </w:p>
        </w:tc>
        <w:tc>
          <w:tcPr>
            <w:tcW w:w="784" w:type="pct"/>
            <w:tcBorders>
              <w:bottom w:val="single" w:sz="4" w:space="0" w:color="auto"/>
            </w:tcBorders>
            <w:noWrap/>
          </w:tcPr>
          <w:p>
            <w:pPr>
              <w:jc w:val="both"/>
              <w:rPr>
                <w:rFonts w:ascii="Arial" w:hAnsi="Arial" w:cs="Arial"/>
                <w:color w:val="000000" w:themeColor="text1"/>
                <w:lang w:val="en-US"/>
              </w:rPr>
            </w:pPr>
            <w:r>
              <w:rPr>
                <w:rFonts w:ascii="Arial" w:hAnsi="Arial" w:cs="Arial"/>
                <w:color w:val="000000" w:themeColor="text1"/>
                <w:lang w:val="en-US"/>
              </w:rPr>
              <w:t>320914</w:t>
            </w:r>
          </w:p>
        </w:tc>
      </w:tr>
    </w:tbl>
    <w:p>
      <w:pPr>
        <w:jc w:val="both"/>
        <w:rPr>
          <w:rFonts w:ascii="Arial" w:hAnsi="Arial" w:cs="Arial"/>
          <w:color w:val="000000" w:themeColor="text1"/>
          <w:sz w:val="22"/>
          <w:szCs w:val="22"/>
          <w:lang w:val="en-US"/>
        </w:rPr>
      </w:pPr>
    </w:p>
    <w:p>
      <w:pPr>
        <w:pStyle w:val="Beschriftung"/>
        <w:keepNext/>
        <w:jc w:val="both"/>
        <w:rPr>
          <w:rFonts w:ascii="Arial" w:hAnsi="Arial" w:cs="Arial"/>
          <w:i w:val="0"/>
          <w:color w:val="000000" w:themeColor="text1"/>
          <w:sz w:val="22"/>
          <w:szCs w:val="22"/>
        </w:rPr>
      </w:pPr>
      <w:r>
        <w:rPr>
          <w:rFonts w:ascii="Arial" w:hAnsi="Arial" w:cs="Arial"/>
          <w:i w:val="0"/>
          <w:color w:val="000000" w:themeColor="text1"/>
          <w:sz w:val="22"/>
          <w:szCs w:val="22"/>
        </w:rPr>
        <w:t xml:space="preserve">Supplementary Table </w:t>
      </w:r>
      <w:r>
        <w:rPr>
          <w:rFonts w:ascii="Arial" w:hAnsi="Arial" w:cs="Arial"/>
          <w:i w:val="0"/>
          <w:color w:val="000000" w:themeColor="text1"/>
          <w:sz w:val="22"/>
          <w:szCs w:val="22"/>
        </w:rPr>
        <w:fldChar w:fldCharType="begin"/>
      </w:r>
      <w:r>
        <w:rPr>
          <w:rFonts w:ascii="Arial" w:hAnsi="Arial" w:cs="Arial"/>
          <w:i w:val="0"/>
          <w:color w:val="000000" w:themeColor="text1"/>
          <w:sz w:val="22"/>
          <w:szCs w:val="22"/>
        </w:rPr>
        <w:instrText xml:space="preserve"> SEQ Table \* ARABIC </w:instrText>
      </w:r>
      <w:r>
        <w:rPr>
          <w:rFonts w:ascii="Arial" w:hAnsi="Arial" w:cs="Arial"/>
          <w:i w:val="0"/>
          <w:color w:val="000000" w:themeColor="text1"/>
          <w:sz w:val="22"/>
          <w:szCs w:val="22"/>
        </w:rPr>
        <w:fldChar w:fldCharType="separate"/>
      </w:r>
      <w:r>
        <w:rPr>
          <w:rFonts w:ascii="Arial" w:hAnsi="Arial" w:cs="Arial"/>
          <w:i w:val="0"/>
          <w:noProof/>
          <w:color w:val="000000" w:themeColor="text1"/>
          <w:sz w:val="22"/>
          <w:szCs w:val="22"/>
        </w:rPr>
        <w:t>4</w:t>
      </w:r>
      <w:r>
        <w:rPr>
          <w:rFonts w:ascii="Arial" w:hAnsi="Arial" w:cs="Arial"/>
          <w:i w:val="0"/>
          <w:color w:val="000000" w:themeColor="text1"/>
          <w:sz w:val="22"/>
          <w:szCs w:val="22"/>
        </w:rPr>
        <w:fldChar w:fldCharType="end"/>
      </w:r>
      <w:r>
        <w:rPr>
          <w:rFonts w:ascii="Arial" w:hAnsi="Arial" w:cs="Arial"/>
          <w:i w:val="0"/>
          <w:color w:val="000000" w:themeColor="text1"/>
          <w:sz w:val="22"/>
          <w:szCs w:val="22"/>
        </w:rPr>
        <w:t>: Single guide RNAs</w:t>
      </w:r>
    </w:p>
    <w:tbl>
      <w:tblPr>
        <w:tblStyle w:val="TableGrid"/>
        <w:tblW w:w="8997" w:type="dxa"/>
        <w:tblInd w:w="5" w:type="dxa"/>
        <w:tblLook w:val="04A0" w:firstRow="1" w:lastRow="0" w:firstColumn="1" w:lastColumn="0" w:noHBand="0" w:noVBand="1"/>
      </w:tblPr>
      <w:tblGrid>
        <w:gridCol w:w="1208"/>
        <w:gridCol w:w="2090"/>
        <w:gridCol w:w="3261"/>
        <w:gridCol w:w="2438"/>
      </w:tblGrid>
      <w:tr>
        <w:trPr>
          <w:trHeight w:val="418"/>
        </w:trPr>
        <w:tc>
          <w:tcPr>
            <w:tcW w:w="0" w:type="auto"/>
            <w:tcBorders>
              <w:top w:val="single" w:sz="4" w:space="0" w:color="auto"/>
              <w:bottom w:val="single" w:sz="4" w:space="0" w:color="auto"/>
            </w:tcBorders>
          </w:tcPr>
          <w:p>
            <w:pPr>
              <w:jc w:val="both"/>
              <w:rPr>
                <w:rFonts w:ascii="Arial" w:hAnsi="Arial" w:cs="Arial"/>
                <w:color w:val="000000" w:themeColor="text1"/>
                <w:lang w:val="en-US"/>
              </w:rPr>
            </w:pPr>
            <w:bookmarkStart w:id="2" w:name="_Hlk140224477"/>
            <w:r>
              <w:rPr>
                <w:rFonts w:ascii="Arial" w:hAnsi="Arial" w:cs="Arial"/>
                <w:color w:val="000000" w:themeColor="text1"/>
                <w:lang w:val="en-US"/>
              </w:rPr>
              <w:t xml:space="preserve">Target </w:t>
            </w:r>
          </w:p>
        </w:tc>
        <w:tc>
          <w:tcPr>
            <w:tcW w:w="0" w:type="auto"/>
            <w:tcBorders>
              <w:top w:val="single" w:sz="4" w:space="0" w:color="auto"/>
              <w:bottom w:val="single" w:sz="4" w:space="0" w:color="auto"/>
            </w:tcBorders>
          </w:tcPr>
          <w:p>
            <w:pPr>
              <w:jc w:val="both"/>
              <w:rPr>
                <w:rFonts w:ascii="Arial" w:hAnsi="Arial" w:cs="Arial"/>
                <w:color w:val="000000" w:themeColor="text1"/>
                <w:lang w:val="en-US"/>
              </w:rPr>
            </w:pPr>
            <w:r>
              <w:rPr>
                <w:rFonts w:ascii="Arial" w:hAnsi="Arial" w:cs="Arial"/>
                <w:color w:val="000000" w:themeColor="text1"/>
                <w:lang w:val="en-US"/>
              </w:rPr>
              <w:t xml:space="preserve">Internal no. </w:t>
            </w:r>
          </w:p>
        </w:tc>
        <w:tc>
          <w:tcPr>
            <w:tcW w:w="3261" w:type="dxa"/>
            <w:tcBorders>
              <w:top w:val="single" w:sz="4" w:space="0" w:color="auto"/>
              <w:bottom w:val="single" w:sz="4" w:space="0" w:color="auto"/>
            </w:tcBorders>
          </w:tcPr>
          <w:p>
            <w:pPr>
              <w:jc w:val="both"/>
              <w:rPr>
                <w:rFonts w:ascii="Arial" w:hAnsi="Arial" w:cs="Arial"/>
                <w:color w:val="000000" w:themeColor="text1"/>
                <w:lang w:val="en-US"/>
              </w:rPr>
            </w:pPr>
            <w:r>
              <w:rPr>
                <w:rFonts w:ascii="Arial" w:hAnsi="Arial" w:cs="Arial"/>
                <w:color w:val="000000" w:themeColor="text1"/>
                <w:lang w:val="en-US"/>
              </w:rPr>
              <w:t>Sequence 5`</w:t>
            </w:r>
            <w:r>
              <w:rPr>
                <w:rFonts w:ascii="Arial" w:hAnsi="Arial" w:cs="Arial"/>
                <w:color w:val="000000" w:themeColor="text1"/>
                <w:lang w:val="en-US"/>
              </w:rPr>
              <w:sym w:font="Wingdings" w:char="F0E0"/>
            </w:r>
            <w:r>
              <w:rPr>
                <w:rFonts w:ascii="Arial" w:hAnsi="Arial" w:cs="Arial"/>
                <w:color w:val="000000" w:themeColor="text1"/>
                <w:lang w:val="en-US"/>
              </w:rPr>
              <w:t xml:space="preserve"> 3`</w:t>
            </w:r>
          </w:p>
        </w:tc>
        <w:tc>
          <w:tcPr>
            <w:tcW w:w="2438" w:type="dxa"/>
            <w:tcBorders>
              <w:top w:val="single" w:sz="4" w:space="0" w:color="auto"/>
              <w:bottom w:val="single" w:sz="4" w:space="0" w:color="auto"/>
            </w:tcBorders>
          </w:tcPr>
          <w:p>
            <w:pPr>
              <w:jc w:val="both"/>
              <w:rPr>
                <w:rFonts w:ascii="Arial" w:hAnsi="Arial" w:cs="Arial"/>
                <w:color w:val="000000" w:themeColor="text1"/>
                <w:lang w:val="en-US"/>
              </w:rPr>
            </w:pPr>
            <w:r>
              <w:rPr>
                <w:rFonts w:ascii="Arial" w:hAnsi="Arial" w:cs="Arial"/>
                <w:color w:val="000000" w:themeColor="text1"/>
                <w:lang w:val="en-US"/>
              </w:rPr>
              <w:t xml:space="preserve">Supplier </w:t>
            </w:r>
          </w:p>
        </w:tc>
      </w:tr>
      <w:tr>
        <w:trPr>
          <w:trHeight w:val="344"/>
        </w:trPr>
        <w:tc>
          <w:tcPr>
            <w:tcW w:w="0" w:type="auto"/>
          </w:tcPr>
          <w:p>
            <w:pPr>
              <w:jc w:val="both"/>
              <w:rPr>
                <w:rFonts w:ascii="Arial" w:hAnsi="Arial" w:cs="Arial"/>
                <w:color w:val="000000" w:themeColor="text1"/>
                <w:lang w:val="en-US"/>
              </w:rPr>
            </w:pPr>
            <w:r>
              <w:rPr>
                <w:rFonts w:ascii="Arial" w:hAnsi="Arial" w:cs="Arial"/>
                <w:color w:val="000000" w:themeColor="text1"/>
                <w:lang w:val="en-US"/>
              </w:rPr>
              <w:t xml:space="preserve">CD33 </w:t>
            </w:r>
          </w:p>
        </w:tc>
        <w:tc>
          <w:tcPr>
            <w:tcW w:w="0" w:type="auto"/>
          </w:tcPr>
          <w:p>
            <w:pPr>
              <w:jc w:val="both"/>
              <w:rPr>
                <w:rFonts w:ascii="Arial" w:hAnsi="Arial" w:cs="Arial"/>
                <w:color w:val="000000" w:themeColor="text1"/>
                <w:lang w:val="en-US"/>
              </w:rPr>
            </w:pPr>
            <w:r>
              <w:rPr>
                <w:rFonts w:ascii="Arial" w:hAnsi="Arial" w:cs="Arial"/>
                <w:color w:val="000000" w:themeColor="text1"/>
                <w:lang w:val="en-US"/>
              </w:rPr>
              <w:t>64</w:t>
            </w:r>
          </w:p>
        </w:tc>
        <w:tc>
          <w:tcPr>
            <w:tcW w:w="3261" w:type="dxa"/>
          </w:tcPr>
          <w:p>
            <w:pPr>
              <w:jc w:val="both"/>
              <w:rPr>
                <w:rFonts w:ascii="Arial" w:hAnsi="Arial" w:cs="Arial"/>
                <w:color w:val="000000" w:themeColor="text1"/>
                <w:lang w:val="en-US"/>
              </w:rPr>
            </w:pPr>
            <w:r>
              <w:rPr>
                <w:rFonts w:ascii="Arial" w:hAnsi="Arial" w:cs="Arial"/>
                <w:color w:val="000000" w:themeColor="text1"/>
                <w:shd w:val="clear" w:color="auto" w:fill="FFFFFF"/>
                <w:lang w:val="en-US"/>
              </w:rPr>
              <w:t>GAGTCAGTGACGGTACAGGA</w:t>
            </w:r>
          </w:p>
        </w:tc>
        <w:tc>
          <w:tcPr>
            <w:tcW w:w="2438" w:type="dxa"/>
          </w:tcPr>
          <w:p>
            <w:pPr>
              <w:jc w:val="both"/>
              <w:rPr>
                <w:rFonts w:ascii="Arial" w:hAnsi="Arial" w:cs="Arial"/>
                <w:color w:val="000000" w:themeColor="text1"/>
                <w:shd w:val="clear" w:color="auto" w:fill="FFFFFF"/>
                <w:lang w:val="en-US"/>
              </w:rPr>
            </w:pPr>
            <w:r>
              <w:rPr>
                <w:rFonts w:ascii="Arial" w:hAnsi="Arial" w:cs="Arial"/>
                <w:color w:val="000000" w:themeColor="text1"/>
                <w:shd w:val="clear" w:color="auto" w:fill="FFFFFF"/>
                <w:lang w:val="en-US"/>
              </w:rPr>
              <w:t xml:space="preserve">Invitrogen™ </w:t>
            </w:r>
            <w:proofErr w:type="spellStart"/>
            <w:r>
              <w:rPr>
                <w:rFonts w:ascii="Arial" w:hAnsi="Arial" w:cs="Arial"/>
                <w:color w:val="000000" w:themeColor="text1"/>
                <w:shd w:val="clear" w:color="auto" w:fill="FFFFFF"/>
                <w:lang w:val="en-US"/>
              </w:rPr>
              <w:t>TrueGuide</w:t>
            </w:r>
            <w:proofErr w:type="spellEnd"/>
            <w:r>
              <w:rPr>
                <w:rFonts w:ascii="Arial" w:hAnsi="Arial" w:cs="Arial"/>
                <w:color w:val="000000" w:themeColor="text1"/>
                <w:shd w:val="clear" w:color="auto" w:fill="FFFFFF"/>
                <w:lang w:val="en-US"/>
              </w:rPr>
              <w:t>™</w:t>
            </w:r>
          </w:p>
        </w:tc>
      </w:tr>
      <w:tr>
        <w:trPr>
          <w:trHeight w:val="344"/>
        </w:trPr>
        <w:tc>
          <w:tcPr>
            <w:tcW w:w="0" w:type="auto"/>
            <w:tcBorders>
              <w:bottom w:val="single" w:sz="4" w:space="0" w:color="auto"/>
            </w:tcBorders>
          </w:tcPr>
          <w:p>
            <w:pPr>
              <w:jc w:val="both"/>
              <w:rPr>
                <w:rFonts w:ascii="Arial" w:hAnsi="Arial" w:cs="Arial"/>
                <w:color w:val="000000" w:themeColor="text1"/>
                <w:lang w:val="en-US"/>
              </w:rPr>
            </w:pPr>
            <w:r>
              <w:rPr>
                <w:rFonts w:ascii="Arial" w:hAnsi="Arial" w:cs="Arial"/>
                <w:color w:val="000000" w:themeColor="text1"/>
                <w:lang w:val="en-US"/>
              </w:rPr>
              <w:t>CD38</w:t>
            </w:r>
          </w:p>
        </w:tc>
        <w:tc>
          <w:tcPr>
            <w:tcW w:w="0" w:type="auto"/>
            <w:tcBorders>
              <w:bottom w:val="single" w:sz="4" w:space="0" w:color="auto"/>
            </w:tcBorders>
          </w:tcPr>
          <w:p>
            <w:pPr>
              <w:jc w:val="both"/>
              <w:rPr>
                <w:rFonts w:ascii="Arial" w:hAnsi="Arial" w:cs="Arial"/>
                <w:color w:val="000000" w:themeColor="text1"/>
                <w:lang w:val="en-US"/>
              </w:rPr>
            </w:pPr>
            <w:r>
              <w:rPr>
                <w:rFonts w:ascii="Arial" w:hAnsi="Arial" w:cs="Arial"/>
                <w:color w:val="000000" w:themeColor="text1"/>
                <w:lang w:val="en-US"/>
              </w:rPr>
              <w:t>34</w:t>
            </w:r>
          </w:p>
        </w:tc>
        <w:tc>
          <w:tcPr>
            <w:tcW w:w="3261" w:type="dxa"/>
            <w:tcBorders>
              <w:bottom w:val="single" w:sz="4" w:space="0" w:color="auto"/>
            </w:tcBorders>
          </w:tcPr>
          <w:p>
            <w:pPr>
              <w:jc w:val="both"/>
              <w:rPr>
                <w:rFonts w:ascii="Arial" w:hAnsi="Arial" w:cs="Arial"/>
                <w:color w:val="000000" w:themeColor="text1"/>
                <w:shd w:val="clear" w:color="auto" w:fill="FFFFFF"/>
                <w:lang w:val="en-US"/>
              </w:rPr>
            </w:pPr>
            <w:r>
              <w:rPr>
                <w:rFonts w:ascii="Arial" w:hAnsi="Arial" w:cs="Arial"/>
                <w:color w:val="000000" w:themeColor="text1"/>
                <w:lang w:val="en-US"/>
              </w:rPr>
              <w:t>GATCCTCGTCGTGGTGCTCG</w:t>
            </w:r>
          </w:p>
        </w:tc>
        <w:tc>
          <w:tcPr>
            <w:tcW w:w="2438" w:type="dxa"/>
            <w:tcBorders>
              <w:bottom w:val="single" w:sz="4" w:space="0" w:color="auto"/>
            </w:tcBorders>
          </w:tcPr>
          <w:p>
            <w:pPr>
              <w:jc w:val="both"/>
              <w:rPr>
                <w:rFonts w:ascii="Arial" w:hAnsi="Arial" w:cs="Arial"/>
                <w:color w:val="000000" w:themeColor="text1"/>
                <w:shd w:val="clear" w:color="auto" w:fill="FFFFFF"/>
                <w:lang w:val="en-US"/>
              </w:rPr>
            </w:pPr>
            <w:r>
              <w:rPr>
                <w:rFonts w:ascii="Arial" w:hAnsi="Arial" w:cs="Arial"/>
                <w:color w:val="000000" w:themeColor="text1"/>
                <w:lang w:val="en-US"/>
              </w:rPr>
              <w:t xml:space="preserve">Invitrogen™ </w:t>
            </w:r>
            <w:proofErr w:type="spellStart"/>
            <w:r>
              <w:rPr>
                <w:rFonts w:ascii="Arial" w:hAnsi="Arial" w:cs="Arial"/>
                <w:color w:val="000000" w:themeColor="text1"/>
                <w:lang w:val="en-US"/>
              </w:rPr>
              <w:t>TrueGuide</w:t>
            </w:r>
            <w:proofErr w:type="spellEnd"/>
            <w:r>
              <w:rPr>
                <w:rFonts w:ascii="Arial" w:hAnsi="Arial" w:cs="Arial"/>
                <w:color w:val="000000" w:themeColor="text1"/>
                <w:lang w:val="en-US"/>
              </w:rPr>
              <w:t>™</w:t>
            </w:r>
          </w:p>
        </w:tc>
      </w:tr>
      <w:bookmarkEnd w:id="2"/>
    </w:tbl>
    <w:p>
      <w:pPr>
        <w:jc w:val="both"/>
        <w:rPr>
          <w:rFonts w:ascii="Arial" w:hAnsi="Arial" w:cs="Arial"/>
          <w:color w:val="000000" w:themeColor="text1"/>
          <w:sz w:val="22"/>
          <w:szCs w:val="22"/>
          <w:lang w:val="en-US"/>
        </w:rPr>
      </w:pPr>
    </w:p>
    <w:p>
      <w:pPr>
        <w:jc w:val="both"/>
        <w:rPr>
          <w:rFonts w:ascii="Arial" w:eastAsiaTheme="minorEastAsia" w:hAnsi="Arial" w:cs="Arial"/>
          <w:color w:val="000000" w:themeColor="text1"/>
          <w:sz w:val="22"/>
          <w:szCs w:val="22"/>
          <w:lang w:val="en-US"/>
        </w:rPr>
      </w:pPr>
    </w:p>
    <w:p>
      <w:pPr>
        <w:pStyle w:val="Beschriftung"/>
        <w:keepNext/>
        <w:jc w:val="both"/>
        <w:rPr>
          <w:rFonts w:ascii="Arial" w:hAnsi="Arial" w:cs="Arial"/>
          <w:i w:val="0"/>
          <w:color w:val="000000" w:themeColor="text1"/>
          <w:sz w:val="22"/>
          <w:szCs w:val="22"/>
        </w:rPr>
      </w:pPr>
      <w:r>
        <w:rPr>
          <w:rFonts w:ascii="Arial" w:hAnsi="Arial" w:cs="Arial"/>
          <w:i w:val="0"/>
          <w:color w:val="000000" w:themeColor="text1"/>
          <w:sz w:val="22"/>
          <w:szCs w:val="22"/>
        </w:rPr>
        <w:t xml:space="preserve">Supplementary Table </w:t>
      </w:r>
      <w:r>
        <w:rPr>
          <w:rFonts w:ascii="Arial" w:hAnsi="Arial" w:cs="Arial"/>
          <w:i w:val="0"/>
          <w:color w:val="000000" w:themeColor="text1"/>
          <w:sz w:val="22"/>
          <w:szCs w:val="22"/>
        </w:rPr>
        <w:fldChar w:fldCharType="begin"/>
      </w:r>
      <w:r>
        <w:rPr>
          <w:rFonts w:ascii="Arial" w:hAnsi="Arial" w:cs="Arial"/>
          <w:i w:val="0"/>
          <w:color w:val="000000" w:themeColor="text1"/>
          <w:sz w:val="22"/>
          <w:szCs w:val="22"/>
        </w:rPr>
        <w:instrText xml:space="preserve"> SEQ Table \* ARABIC </w:instrText>
      </w:r>
      <w:r>
        <w:rPr>
          <w:rFonts w:ascii="Arial" w:hAnsi="Arial" w:cs="Arial"/>
          <w:i w:val="0"/>
          <w:color w:val="000000" w:themeColor="text1"/>
          <w:sz w:val="22"/>
          <w:szCs w:val="22"/>
        </w:rPr>
        <w:fldChar w:fldCharType="separate"/>
      </w:r>
      <w:r>
        <w:rPr>
          <w:rFonts w:ascii="Arial" w:hAnsi="Arial" w:cs="Arial"/>
          <w:i w:val="0"/>
          <w:noProof/>
          <w:color w:val="000000" w:themeColor="text1"/>
          <w:sz w:val="22"/>
          <w:szCs w:val="22"/>
        </w:rPr>
        <w:t>5</w:t>
      </w:r>
      <w:r>
        <w:rPr>
          <w:rFonts w:ascii="Arial" w:hAnsi="Arial" w:cs="Arial"/>
          <w:i w:val="0"/>
          <w:color w:val="000000" w:themeColor="text1"/>
          <w:sz w:val="22"/>
          <w:szCs w:val="22"/>
        </w:rPr>
        <w:fldChar w:fldCharType="end"/>
      </w:r>
      <w:r>
        <w:rPr>
          <w:rFonts w:ascii="Arial" w:hAnsi="Arial" w:cs="Arial"/>
          <w:i w:val="0"/>
          <w:color w:val="000000" w:themeColor="text1"/>
          <w:sz w:val="22"/>
          <w:szCs w:val="22"/>
        </w:rPr>
        <w:t>: Reagents and Kits</w:t>
      </w:r>
    </w:p>
    <w:tbl>
      <w:tblPr>
        <w:tblStyle w:val="TableGrid"/>
        <w:tblW w:w="9098" w:type="dxa"/>
        <w:tblInd w:w="5" w:type="dxa"/>
        <w:tblLayout w:type="fixed"/>
        <w:tblLook w:val="04A0" w:firstRow="1" w:lastRow="0" w:firstColumn="1" w:lastColumn="0" w:noHBand="0" w:noVBand="1"/>
      </w:tblPr>
      <w:tblGrid>
        <w:gridCol w:w="3256"/>
        <w:gridCol w:w="3146"/>
        <w:gridCol w:w="2696"/>
      </w:tblGrid>
      <w:tr>
        <w:trPr>
          <w:trHeight w:val="218"/>
        </w:trPr>
        <w:tc>
          <w:tcPr>
            <w:tcW w:w="3256" w:type="dxa"/>
            <w:tcBorders>
              <w:top w:val="single" w:sz="4" w:space="0" w:color="auto"/>
              <w:bottom w:val="single" w:sz="4" w:space="0" w:color="auto"/>
            </w:tcBorders>
            <w:noWrap/>
          </w:tcPr>
          <w:p>
            <w:pPr>
              <w:jc w:val="both"/>
              <w:rPr>
                <w:rFonts w:ascii="Arial" w:hAnsi="Arial" w:cs="Arial"/>
                <w:color w:val="000000" w:themeColor="text1"/>
                <w:lang w:val="en-US"/>
              </w:rPr>
            </w:pPr>
            <w:bookmarkStart w:id="3" w:name="_Hlk124795017"/>
            <w:r>
              <w:rPr>
                <w:rFonts w:ascii="Arial" w:hAnsi="Arial" w:cs="Arial"/>
                <w:color w:val="000000" w:themeColor="text1"/>
                <w:lang w:val="en-US"/>
              </w:rPr>
              <w:t>Product</w:t>
            </w:r>
          </w:p>
        </w:tc>
        <w:tc>
          <w:tcPr>
            <w:tcW w:w="3146" w:type="dxa"/>
            <w:tcBorders>
              <w:top w:val="single" w:sz="4" w:space="0" w:color="auto"/>
              <w:bottom w:val="single" w:sz="4" w:space="0" w:color="auto"/>
            </w:tcBorders>
            <w:noWrap/>
          </w:tcPr>
          <w:p>
            <w:pPr>
              <w:jc w:val="both"/>
              <w:rPr>
                <w:rFonts w:ascii="Arial" w:hAnsi="Arial" w:cs="Arial"/>
                <w:color w:val="000000" w:themeColor="text1"/>
                <w:lang w:val="en-US"/>
              </w:rPr>
            </w:pPr>
            <w:r>
              <w:rPr>
                <w:rFonts w:ascii="Arial" w:hAnsi="Arial" w:cs="Arial"/>
                <w:color w:val="000000" w:themeColor="text1"/>
                <w:lang w:val="en-US"/>
              </w:rPr>
              <w:t>Supplier</w:t>
            </w:r>
          </w:p>
        </w:tc>
        <w:tc>
          <w:tcPr>
            <w:tcW w:w="2696" w:type="dxa"/>
            <w:tcBorders>
              <w:top w:val="single" w:sz="4" w:space="0" w:color="auto"/>
              <w:bottom w:val="single" w:sz="4" w:space="0" w:color="auto"/>
            </w:tcBorders>
            <w:noWrap/>
          </w:tcPr>
          <w:p>
            <w:pPr>
              <w:jc w:val="both"/>
              <w:rPr>
                <w:rFonts w:ascii="Arial" w:hAnsi="Arial" w:cs="Arial"/>
                <w:color w:val="000000" w:themeColor="text1"/>
                <w:lang w:val="en-US"/>
              </w:rPr>
            </w:pPr>
            <w:r>
              <w:rPr>
                <w:rFonts w:ascii="Arial" w:hAnsi="Arial" w:cs="Arial"/>
                <w:color w:val="000000" w:themeColor="text1"/>
                <w:lang w:val="en-US"/>
              </w:rPr>
              <w:t>Cat. #</w:t>
            </w:r>
          </w:p>
        </w:tc>
      </w:tr>
      <w:tr>
        <w:trPr>
          <w:trHeight w:val="218"/>
        </w:trPr>
        <w:tc>
          <w:tcPr>
            <w:tcW w:w="3256" w:type="dxa"/>
            <w:tcBorders>
              <w:top w:val="single" w:sz="4" w:space="0" w:color="auto"/>
            </w:tcBorders>
            <w:noWrap/>
          </w:tcPr>
          <w:p>
            <w:pPr>
              <w:jc w:val="both"/>
              <w:rPr>
                <w:rFonts w:ascii="Arial" w:hAnsi="Arial" w:cs="Arial"/>
                <w:color w:val="000000" w:themeColor="text1"/>
                <w:lang w:val="en-US"/>
              </w:rPr>
            </w:pPr>
            <w:r>
              <w:rPr>
                <w:rFonts w:ascii="Arial" w:hAnsi="Arial" w:cs="Arial"/>
                <w:color w:val="000000" w:themeColor="text1"/>
                <w:lang w:val="en-US"/>
              </w:rPr>
              <w:t>7-AAD</w:t>
            </w:r>
          </w:p>
        </w:tc>
        <w:tc>
          <w:tcPr>
            <w:tcW w:w="3146" w:type="dxa"/>
            <w:tcBorders>
              <w:top w:val="single" w:sz="4" w:space="0" w:color="auto"/>
            </w:tcBorders>
            <w:noWrap/>
          </w:tcPr>
          <w:p>
            <w:pPr>
              <w:jc w:val="both"/>
              <w:rPr>
                <w:rFonts w:ascii="Arial" w:hAnsi="Arial" w:cs="Arial"/>
                <w:color w:val="000000" w:themeColor="text1"/>
                <w:lang w:val="en-US"/>
              </w:rPr>
            </w:pPr>
            <w:r>
              <w:rPr>
                <w:rFonts w:ascii="Arial" w:hAnsi="Arial" w:cs="Arial"/>
                <w:color w:val="000000" w:themeColor="text1"/>
                <w:lang w:val="en-US"/>
              </w:rPr>
              <w:t>BD Pharmingen™</w:t>
            </w:r>
          </w:p>
        </w:tc>
        <w:tc>
          <w:tcPr>
            <w:tcW w:w="2696" w:type="dxa"/>
            <w:tcBorders>
              <w:top w:val="single" w:sz="4" w:space="0" w:color="auto"/>
            </w:tcBorders>
            <w:noWrap/>
          </w:tcPr>
          <w:p>
            <w:pPr>
              <w:jc w:val="both"/>
              <w:rPr>
                <w:rFonts w:ascii="Arial" w:hAnsi="Arial" w:cs="Arial"/>
                <w:color w:val="000000" w:themeColor="text1"/>
                <w:lang w:val="en-US"/>
              </w:rPr>
            </w:pPr>
            <w:r>
              <w:rPr>
                <w:rFonts w:ascii="Arial" w:hAnsi="Arial" w:cs="Arial"/>
                <w:color w:val="000000" w:themeColor="text1"/>
                <w:lang w:val="en-US"/>
              </w:rPr>
              <w:t>559925</w:t>
            </w:r>
          </w:p>
        </w:tc>
      </w:tr>
      <w:tr>
        <w:trPr>
          <w:trHeight w:val="218"/>
        </w:trPr>
        <w:tc>
          <w:tcPr>
            <w:tcW w:w="3256" w:type="dxa"/>
            <w:shd w:val="clear" w:color="auto" w:fill="auto"/>
            <w:noWrap/>
          </w:tcPr>
          <w:p>
            <w:pPr>
              <w:jc w:val="both"/>
              <w:rPr>
                <w:rFonts w:ascii="Arial" w:hAnsi="Arial" w:cs="Arial"/>
                <w:color w:val="000000" w:themeColor="text1"/>
                <w:lang w:val="en-US"/>
              </w:rPr>
            </w:pPr>
            <w:r>
              <w:rPr>
                <w:rFonts w:ascii="Arial" w:hAnsi="Arial" w:cs="Arial"/>
                <w:color w:val="000000" w:themeColor="text1"/>
                <w:lang w:val="en-US"/>
              </w:rPr>
              <w:t xml:space="preserve">AdCAR detection reagent </w:t>
            </w:r>
          </w:p>
          <w:p>
            <w:pPr>
              <w:jc w:val="both"/>
              <w:rPr>
                <w:rFonts w:ascii="Arial" w:hAnsi="Arial" w:cs="Arial"/>
                <w:color w:val="000000" w:themeColor="text1"/>
                <w:lang w:val="en-US"/>
              </w:rPr>
            </w:pPr>
            <w:r>
              <w:rPr>
                <w:rFonts w:ascii="Arial" w:hAnsi="Arial" w:cs="Arial"/>
                <w:color w:val="000000" w:themeColor="text1"/>
                <w:lang w:val="en-US"/>
              </w:rPr>
              <w:lastRenderedPageBreak/>
              <w:t>PE and Biotin tag</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eastAsia="en-US"/>
              </w:rPr>
              <w:lastRenderedPageBreak/>
              <w:t>Miltenyi Biotec</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rPr>
              <w:t>-</w:t>
            </w:r>
          </w:p>
        </w:tc>
      </w:tr>
      <w:tr>
        <w:trPr>
          <w:trHeight w:val="218"/>
        </w:trPr>
        <w:tc>
          <w:tcPr>
            <w:tcW w:w="3256" w:type="dxa"/>
            <w:noWrap/>
          </w:tcPr>
          <w:p>
            <w:pPr>
              <w:jc w:val="both"/>
              <w:rPr>
                <w:rFonts w:ascii="Arial" w:hAnsi="Arial" w:cs="Arial"/>
                <w:color w:val="000000" w:themeColor="text1"/>
                <w:lang w:val="en-US"/>
              </w:rPr>
            </w:pPr>
            <w:proofErr w:type="spellStart"/>
            <w:r>
              <w:rPr>
                <w:rFonts w:ascii="Arial" w:hAnsi="Arial" w:cs="Arial"/>
                <w:color w:val="000000" w:themeColor="text1"/>
                <w:lang w:val="en-US"/>
              </w:rPr>
              <w:t>Aquaresist</w:t>
            </w:r>
            <w:proofErr w:type="spellEnd"/>
            <w:r>
              <w:rPr>
                <w:rFonts w:ascii="Arial" w:hAnsi="Arial" w:cs="Arial"/>
                <w:color w:val="000000" w:themeColor="text1"/>
                <w:lang w:val="en-US"/>
              </w:rPr>
              <w:t xml:space="preserve"> </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rPr>
              <w:t>VWR International</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rPr>
              <w:t>462-7000</w:t>
            </w:r>
          </w:p>
        </w:tc>
      </w:tr>
      <w:tr>
        <w:trPr>
          <w:trHeight w:val="218"/>
        </w:trPr>
        <w:tc>
          <w:tcPr>
            <w:tcW w:w="3256" w:type="dxa"/>
            <w:noWrap/>
          </w:tcPr>
          <w:p>
            <w:pPr>
              <w:jc w:val="both"/>
              <w:rPr>
                <w:rFonts w:ascii="Arial" w:hAnsi="Arial" w:cs="Arial"/>
                <w:color w:val="000000" w:themeColor="text1"/>
                <w:lang w:val="en-US" w:eastAsia="en-US"/>
              </w:rPr>
            </w:pPr>
            <w:r>
              <w:rPr>
                <w:rFonts w:ascii="Arial" w:hAnsi="Arial" w:cs="Arial"/>
                <w:color w:val="000000" w:themeColor="text1"/>
                <w:lang w:val="en-US" w:eastAsia="en-US"/>
              </w:rPr>
              <w:t xml:space="preserve">BD </w:t>
            </w:r>
            <w:proofErr w:type="spellStart"/>
            <w:r>
              <w:rPr>
                <w:rFonts w:ascii="Arial" w:hAnsi="Arial" w:cs="Arial"/>
                <w:color w:val="000000" w:themeColor="text1"/>
                <w:lang w:val="en-US" w:eastAsia="en-US"/>
              </w:rPr>
              <w:t>FACSClean</w:t>
            </w:r>
            <w:proofErr w:type="spellEnd"/>
            <w:r>
              <w:rPr>
                <w:rFonts w:ascii="Arial" w:hAnsi="Arial" w:cs="Arial"/>
                <w:color w:val="000000" w:themeColor="text1"/>
                <w:lang w:val="en-US" w:eastAsia="en-US"/>
              </w:rPr>
              <w:t xml:space="preserve"> </w:t>
            </w:r>
          </w:p>
          <w:p>
            <w:pPr>
              <w:jc w:val="both"/>
              <w:rPr>
                <w:rFonts w:ascii="Arial" w:hAnsi="Arial" w:cs="Arial"/>
                <w:color w:val="000000" w:themeColor="text1"/>
                <w:lang w:val="en-US"/>
              </w:rPr>
            </w:pPr>
          </w:p>
        </w:tc>
        <w:tc>
          <w:tcPr>
            <w:tcW w:w="3146" w:type="dxa"/>
            <w:noWrap/>
          </w:tcPr>
          <w:p>
            <w:pPr>
              <w:jc w:val="both"/>
              <w:rPr>
                <w:rFonts w:ascii="Arial" w:hAnsi="Arial" w:cs="Arial"/>
                <w:color w:val="000000" w:themeColor="text1"/>
                <w:lang w:val="en-US" w:eastAsia="en-US"/>
              </w:rPr>
            </w:pPr>
            <w:r>
              <w:rPr>
                <w:rFonts w:ascii="Arial" w:hAnsi="Arial" w:cs="Arial"/>
                <w:color w:val="000000" w:themeColor="text1"/>
                <w:lang w:val="en-US" w:eastAsia="en-US"/>
              </w:rPr>
              <w:t>Becton, Dickinson and</w:t>
            </w:r>
          </w:p>
          <w:p>
            <w:pPr>
              <w:jc w:val="both"/>
              <w:rPr>
                <w:rFonts w:ascii="Arial" w:hAnsi="Arial" w:cs="Arial"/>
                <w:color w:val="000000" w:themeColor="text1"/>
                <w:lang w:val="en-US"/>
              </w:rPr>
            </w:pPr>
            <w:r>
              <w:rPr>
                <w:rFonts w:ascii="Arial" w:hAnsi="Arial" w:cs="Arial"/>
                <w:color w:val="000000" w:themeColor="text1"/>
                <w:lang w:val="en-US" w:eastAsia="en-US"/>
              </w:rPr>
              <w:t>Company</w:t>
            </w:r>
          </w:p>
        </w:tc>
        <w:tc>
          <w:tcPr>
            <w:tcW w:w="2696" w:type="dxa"/>
            <w:noWrap/>
          </w:tcPr>
          <w:p>
            <w:pPr>
              <w:jc w:val="both"/>
              <w:rPr>
                <w:rFonts w:ascii="Arial" w:hAnsi="Arial" w:cs="Arial"/>
                <w:color w:val="000000" w:themeColor="text1"/>
                <w:lang w:val="en-US" w:eastAsia="en-US"/>
              </w:rPr>
            </w:pPr>
            <w:r>
              <w:rPr>
                <w:rFonts w:ascii="Arial" w:hAnsi="Arial" w:cs="Arial"/>
                <w:color w:val="000000" w:themeColor="text1"/>
                <w:lang w:val="en-US" w:eastAsia="en-US"/>
              </w:rPr>
              <w:t>340345</w:t>
            </w:r>
          </w:p>
          <w:p>
            <w:pPr>
              <w:jc w:val="both"/>
              <w:rPr>
                <w:rFonts w:ascii="Arial" w:hAnsi="Arial" w:cs="Arial"/>
                <w:color w:val="000000" w:themeColor="text1"/>
                <w:lang w:val="en-US"/>
              </w:rPr>
            </w:pPr>
          </w:p>
        </w:tc>
      </w:tr>
      <w:tr>
        <w:trPr>
          <w:trHeight w:val="218"/>
        </w:trPr>
        <w:tc>
          <w:tcPr>
            <w:tcW w:w="3256" w:type="dxa"/>
            <w:noWrap/>
          </w:tcPr>
          <w:p>
            <w:pPr>
              <w:jc w:val="both"/>
              <w:rPr>
                <w:rFonts w:ascii="Arial" w:hAnsi="Arial" w:cs="Arial"/>
                <w:color w:val="000000" w:themeColor="text1"/>
                <w:lang w:val="en-US"/>
              </w:rPr>
            </w:pPr>
            <w:r>
              <w:rPr>
                <w:rFonts w:ascii="Arial" w:hAnsi="Arial" w:cs="Arial"/>
                <w:color w:val="000000" w:themeColor="text1"/>
                <w:lang w:val="en-US" w:eastAsia="en-US"/>
              </w:rPr>
              <w:t xml:space="preserve">BD </w:t>
            </w:r>
            <w:proofErr w:type="spellStart"/>
            <w:r>
              <w:rPr>
                <w:rFonts w:ascii="Arial" w:hAnsi="Arial" w:cs="Arial"/>
                <w:color w:val="000000" w:themeColor="text1"/>
                <w:lang w:val="en-US" w:eastAsia="en-US"/>
              </w:rPr>
              <w:t>FACSFlow</w:t>
            </w:r>
            <w:proofErr w:type="spellEnd"/>
          </w:p>
        </w:tc>
        <w:tc>
          <w:tcPr>
            <w:tcW w:w="3146" w:type="dxa"/>
            <w:noWrap/>
          </w:tcPr>
          <w:p>
            <w:pPr>
              <w:jc w:val="both"/>
              <w:rPr>
                <w:rFonts w:ascii="Arial" w:hAnsi="Arial" w:cs="Arial"/>
                <w:color w:val="000000" w:themeColor="text1"/>
                <w:lang w:val="en-US" w:eastAsia="en-US"/>
              </w:rPr>
            </w:pPr>
            <w:r>
              <w:rPr>
                <w:rFonts w:ascii="Arial" w:hAnsi="Arial" w:cs="Arial"/>
                <w:color w:val="000000" w:themeColor="text1"/>
                <w:lang w:val="en-US" w:eastAsia="en-US"/>
              </w:rPr>
              <w:t>Becton, Dickinson and</w:t>
            </w:r>
          </w:p>
          <w:p>
            <w:pPr>
              <w:jc w:val="both"/>
              <w:rPr>
                <w:rFonts w:ascii="Arial" w:hAnsi="Arial" w:cs="Arial"/>
                <w:color w:val="000000" w:themeColor="text1"/>
                <w:lang w:val="en-US"/>
              </w:rPr>
            </w:pPr>
            <w:r>
              <w:rPr>
                <w:rFonts w:ascii="Arial" w:hAnsi="Arial" w:cs="Arial"/>
                <w:color w:val="000000" w:themeColor="text1"/>
                <w:lang w:val="en-US" w:eastAsia="en-US"/>
              </w:rPr>
              <w:t>Company</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eastAsia="en-US"/>
              </w:rPr>
              <w:t>342003</w:t>
            </w:r>
          </w:p>
        </w:tc>
      </w:tr>
      <w:bookmarkEnd w:id="3"/>
      <w:tr>
        <w:trPr>
          <w:trHeight w:val="218"/>
        </w:trPr>
        <w:tc>
          <w:tcPr>
            <w:tcW w:w="3256" w:type="dxa"/>
            <w:noWrap/>
          </w:tcPr>
          <w:p>
            <w:pPr>
              <w:jc w:val="both"/>
              <w:rPr>
                <w:rFonts w:ascii="Arial" w:hAnsi="Arial" w:cs="Arial"/>
                <w:color w:val="000000" w:themeColor="text1"/>
                <w:lang w:val="en-US" w:eastAsia="en-US"/>
              </w:rPr>
            </w:pPr>
            <w:r>
              <w:rPr>
                <w:rFonts w:ascii="Arial" w:hAnsi="Arial" w:cs="Arial"/>
                <w:color w:val="000000" w:themeColor="text1"/>
                <w:lang w:val="en-US" w:eastAsia="en-US"/>
              </w:rPr>
              <w:t xml:space="preserve">BD FACS Shutdown Solution </w:t>
            </w:r>
          </w:p>
        </w:tc>
        <w:tc>
          <w:tcPr>
            <w:tcW w:w="3146" w:type="dxa"/>
            <w:noWrap/>
          </w:tcPr>
          <w:p>
            <w:pPr>
              <w:jc w:val="both"/>
              <w:rPr>
                <w:rFonts w:ascii="Arial" w:hAnsi="Arial" w:cs="Arial"/>
                <w:color w:val="000000" w:themeColor="text1"/>
                <w:lang w:val="en-US" w:eastAsia="en-US"/>
              </w:rPr>
            </w:pPr>
            <w:r>
              <w:rPr>
                <w:rFonts w:ascii="Arial" w:hAnsi="Arial" w:cs="Arial"/>
                <w:color w:val="000000" w:themeColor="text1"/>
                <w:lang w:val="en-US" w:eastAsia="en-US"/>
              </w:rPr>
              <w:t>Becton, Dickinson and</w:t>
            </w:r>
          </w:p>
          <w:p>
            <w:pPr>
              <w:jc w:val="both"/>
              <w:rPr>
                <w:rFonts w:ascii="Arial" w:hAnsi="Arial" w:cs="Arial"/>
                <w:color w:val="000000" w:themeColor="text1"/>
                <w:lang w:val="en-US" w:eastAsia="en-US"/>
              </w:rPr>
            </w:pPr>
            <w:r>
              <w:rPr>
                <w:rFonts w:ascii="Arial" w:hAnsi="Arial" w:cs="Arial"/>
                <w:color w:val="000000" w:themeColor="text1"/>
                <w:lang w:val="en-US" w:eastAsia="en-US"/>
              </w:rPr>
              <w:t>Company</w:t>
            </w:r>
          </w:p>
        </w:tc>
        <w:tc>
          <w:tcPr>
            <w:tcW w:w="2696" w:type="dxa"/>
            <w:noWrap/>
          </w:tcPr>
          <w:p>
            <w:pPr>
              <w:jc w:val="both"/>
              <w:rPr>
                <w:rFonts w:ascii="Arial" w:hAnsi="Arial" w:cs="Arial"/>
                <w:color w:val="000000" w:themeColor="text1"/>
                <w:lang w:val="en-US" w:eastAsia="en-US"/>
              </w:rPr>
            </w:pPr>
            <w:r>
              <w:rPr>
                <w:rFonts w:ascii="Arial" w:hAnsi="Arial" w:cs="Arial"/>
                <w:color w:val="000000" w:themeColor="text1"/>
                <w:lang w:val="en-US" w:eastAsia="en-US"/>
              </w:rPr>
              <w:t>34224</w:t>
            </w:r>
          </w:p>
          <w:p>
            <w:pPr>
              <w:jc w:val="both"/>
              <w:rPr>
                <w:rFonts w:ascii="Arial" w:hAnsi="Arial" w:cs="Arial"/>
                <w:color w:val="000000" w:themeColor="text1"/>
                <w:lang w:val="en-US" w:eastAsia="en-US"/>
              </w:rPr>
            </w:pPr>
          </w:p>
        </w:tc>
      </w:tr>
      <w:tr>
        <w:trPr>
          <w:trHeight w:val="218"/>
        </w:trPr>
        <w:tc>
          <w:tcPr>
            <w:tcW w:w="3256" w:type="dxa"/>
            <w:noWrap/>
          </w:tcPr>
          <w:p>
            <w:pPr>
              <w:jc w:val="both"/>
              <w:rPr>
                <w:rFonts w:ascii="Arial" w:hAnsi="Arial" w:cs="Arial"/>
                <w:color w:val="000000" w:themeColor="text1"/>
                <w:lang w:val="en-US"/>
              </w:rPr>
            </w:pPr>
            <w:proofErr w:type="spellStart"/>
            <w:r>
              <w:rPr>
                <w:rFonts w:ascii="Arial" w:hAnsi="Arial" w:cs="Arial"/>
                <w:color w:val="000000" w:themeColor="text1"/>
                <w:lang w:val="en-US"/>
              </w:rPr>
              <w:t>Biocoll</w:t>
            </w:r>
            <w:proofErr w:type="spellEnd"/>
            <w:r>
              <w:rPr>
                <w:rFonts w:ascii="Arial" w:hAnsi="Arial" w:cs="Arial"/>
                <w:color w:val="000000" w:themeColor="text1"/>
                <w:lang w:val="en-US"/>
              </w:rPr>
              <w:t xml:space="preserve">® separating solution, </w:t>
            </w:r>
          </w:p>
          <w:p>
            <w:pPr>
              <w:jc w:val="both"/>
              <w:rPr>
                <w:rFonts w:ascii="Arial" w:hAnsi="Arial" w:cs="Arial"/>
                <w:color w:val="000000" w:themeColor="text1"/>
                <w:lang w:val="en-US" w:eastAsia="en-US"/>
              </w:rPr>
            </w:pPr>
            <w:r>
              <w:rPr>
                <w:rFonts w:ascii="Arial" w:hAnsi="Arial" w:cs="Arial"/>
                <w:color w:val="000000" w:themeColor="text1"/>
                <w:lang w:val="en-US"/>
              </w:rPr>
              <w:t>density 1.077 g/ml</w:t>
            </w:r>
          </w:p>
        </w:tc>
        <w:tc>
          <w:tcPr>
            <w:tcW w:w="3146" w:type="dxa"/>
            <w:noWrap/>
          </w:tcPr>
          <w:p>
            <w:pPr>
              <w:jc w:val="both"/>
              <w:rPr>
                <w:rFonts w:ascii="Arial" w:hAnsi="Arial" w:cs="Arial"/>
                <w:color w:val="000000" w:themeColor="text1"/>
                <w:lang w:val="en-US" w:eastAsia="en-US"/>
              </w:rPr>
            </w:pPr>
            <w:proofErr w:type="spellStart"/>
            <w:r>
              <w:rPr>
                <w:rFonts w:ascii="Arial" w:hAnsi="Arial" w:cs="Arial"/>
                <w:color w:val="000000" w:themeColor="text1"/>
                <w:lang w:val="en-US"/>
              </w:rPr>
              <w:t>Bio&amp;SELL</w:t>
            </w:r>
            <w:proofErr w:type="spellEnd"/>
          </w:p>
        </w:tc>
        <w:tc>
          <w:tcPr>
            <w:tcW w:w="2696" w:type="dxa"/>
            <w:noWrap/>
          </w:tcPr>
          <w:p>
            <w:pPr>
              <w:jc w:val="both"/>
              <w:rPr>
                <w:rFonts w:ascii="Arial" w:hAnsi="Arial" w:cs="Arial"/>
                <w:color w:val="000000" w:themeColor="text1"/>
                <w:lang w:val="en-US" w:eastAsia="en-US"/>
              </w:rPr>
            </w:pPr>
            <w:r>
              <w:rPr>
                <w:rFonts w:ascii="Arial" w:hAnsi="Arial" w:cs="Arial"/>
                <w:color w:val="000000" w:themeColor="text1"/>
                <w:lang w:val="en-US"/>
              </w:rPr>
              <w:t>L6115</w:t>
            </w:r>
          </w:p>
        </w:tc>
      </w:tr>
      <w:tr>
        <w:trPr>
          <w:trHeight w:val="218"/>
        </w:trPr>
        <w:tc>
          <w:tcPr>
            <w:tcW w:w="3256" w:type="dxa"/>
            <w:noWrap/>
          </w:tcPr>
          <w:p>
            <w:pPr>
              <w:jc w:val="both"/>
              <w:rPr>
                <w:rFonts w:ascii="Arial" w:hAnsi="Arial" w:cs="Arial"/>
                <w:color w:val="000000" w:themeColor="text1"/>
                <w:lang w:val="en-US"/>
              </w:rPr>
            </w:pPr>
            <w:r>
              <w:rPr>
                <w:rFonts w:ascii="Arial" w:hAnsi="Arial" w:cs="Arial"/>
                <w:color w:val="000000" w:themeColor="text1"/>
                <w:lang w:val="en-US" w:eastAsia="en-GB"/>
              </w:rPr>
              <w:t xml:space="preserve">Brilliant Stain Buffer, 5 ml </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eastAsia="en-GB"/>
              </w:rPr>
              <w:t>BD Biosciences</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eastAsia="en-GB"/>
              </w:rPr>
              <w:t>563794</w:t>
            </w:r>
          </w:p>
        </w:tc>
      </w:tr>
      <w:tr>
        <w:trPr>
          <w:trHeight w:val="218"/>
        </w:trPr>
        <w:tc>
          <w:tcPr>
            <w:tcW w:w="3256" w:type="dxa"/>
            <w:noWrap/>
          </w:tcPr>
          <w:p>
            <w:pPr>
              <w:jc w:val="both"/>
              <w:rPr>
                <w:rFonts w:ascii="Arial" w:hAnsi="Arial" w:cs="Arial"/>
                <w:color w:val="000000" w:themeColor="text1"/>
                <w:lang w:val="en-US"/>
              </w:rPr>
            </w:pPr>
            <w:r>
              <w:rPr>
                <w:rFonts w:ascii="Arial" w:hAnsi="Arial" w:cs="Arial"/>
                <w:color w:val="000000" w:themeColor="text1"/>
                <w:lang w:val="en-US" w:eastAsia="en-US"/>
              </w:rPr>
              <w:t xml:space="preserve">Cas9-NLS </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eastAsia="en-US"/>
              </w:rPr>
              <w:t xml:space="preserve">UC Berkeley QB3 </w:t>
            </w:r>
            <w:proofErr w:type="spellStart"/>
            <w:r>
              <w:rPr>
                <w:rFonts w:ascii="Arial" w:hAnsi="Arial" w:cs="Arial"/>
                <w:color w:val="000000" w:themeColor="text1"/>
                <w:lang w:val="en-US" w:eastAsia="en-US"/>
              </w:rPr>
              <w:t>Macrolab</w:t>
            </w:r>
            <w:proofErr w:type="spellEnd"/>
            <w:r>
              <w:rPr>
                <w:rFonts w:ascii="Arial" w:hAnsi="Arial" w:cs="Arial"/>
                <w:color w:val="000000" w:themeColor="text1"/>
                <w:lang w:val="en-US" w:eastAsia="en-US"/>
              </w:rPr>
              <w:t xml:space="preserve"> </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eastAsia="en-US"/>
              </w:rPr>
              <w:t>-</w:t>
            </w:r>
          </w:p>
        </w:tc>
      </w:tr>
      <w:tr>
        <w:trPr>
          <w:trHeight w:val="218"/>
        </w:trPr>
        <w:tc>
          <w:tcPr>
            <w:tcW w:w="3256" w:type="dxa"/>
            <w:noWrap/>
          </w:tcPr>
          <w:p>
            <w:pPr>
              <w:jc w:val="both"/>
              <w:rPr>
                <w:rFonts w:ascii="Arial" w:hAnsi="Arial" w:cs="Arial"/>
                <w:color w:val="000000" w:themeColor="text1"/>
                <w:lang w:val="en-US"/>
              </w:rPr>
            </w:pPr>
            <w:r>
              <w:rPr>
                <w:rFonts w:ascii="Arial" w:hAnsi="Arial" w:cs="Arial"/>
                <w:color w:val="000000" w:themeColor="text1"/>
                <w:lang w:val="en-US" w:eastAsia="en-US"/>
              </w:rPr>
              <w:t xml:space="preserve">CD4 </w:t>
            </w:r>
            <w:proofErr w:type="spellStart"/>
            <w:r>
              <w:rPr>
                <w:rFonts w:ascii="Arial" w:hAnsi="Arial" w:cs="Arial"/>
                <w:color w:val="000000" w:themeColor="text1"/>
                <w:lang w:val="en-US" w:eastAsia="en-US"/>
              </w:rPr>
              <w:t>MicroBeads</w:t>
            </w:r>
            <w:proofErr w:type="spellEnd"/>
            <w:r>
              <w:rPr>
                <w:rFonts w:ascii="Arial" w:hAnsi="Arial" w:cs="Arial"/>
                <w:color w:val="000000" w:themeColor="text1"/>
                <w:lang w:val="en-US" w:eastAsia="en-US"/>
              </w:rPr>
              <w:t xml:space="preserve"> </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eastAsia="en-US"/>
              </w:rPr>
              <w:t>Miltenyi Biotec</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eastAsia="en-US"/>
              </w:rPr>
              <w:t>130-045-101</w:t>
            </w:r>
          </w:p>
        </w:tc>
      </w:tr>
      <w:tr>
        <w:trPr>
          <w:trHeight w:val="218"/>
        </w:trPr>
        <w:tc>
          <w:tcPr>
            <w:tcW w:w="3256" w:type="dxa"/>
            <w:noWrap/>
          </w:tcPr>
          <w:p>
            <w:pPr>
              <w:jc w:val="both"/>
              <w:rPr>
                <w:rFonts w:ascii="Arial" w:hAnsi="Arial" w:cs="Arial"/>
                <w:color w:val="000000" w:themeColor="text1"/>
                <w:lang w:val="en-US"/>
              </w:rPr>
            </w:pPr>
            <w:r>
              <w:rPr>
                <w:rFonts w:ascii="Arial" w:hAnsi="Arial" w:cs="Arial"/>
                <w:color w:val="000000" w:themeColor="text1"/>
                <w:lang w:val="en-US" w:eastAsia="en-US"/>
              </w:rPr>
              <w:t xml:space="preserve">CD8 </w:t>
            </w:r>
            <w:proofErr w:type="spellStart"/>
            <w:r>
              <w:rPr>
                <w:rFonts w:ascii="Arial" w:hAnsi="Arial" w:cs="Arial"/>
                <w:color w:val="000000" w:themeColor="text1"/>
                <w:lang w:val="en-US" w:eastAsia="en-US"/>
              </w:rPr>
              <w:t>MicroBeads</w:t>
            </w:r>
            <w:proofErr w:type="spellEnd"/>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eastAsia="en-US"/>
              </w:rPr>
              <w:t>Miltenyi Biotec</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eastAsia="en-US"/>
              </w:rPr>
              <w:t>130-045-201</w:t>
            </w:r>
          </w:p>
        </w:tc>
      </w:tr>
      <w:tr>
        <w:trPr>
          <w:trHeight w:val="218"/>
        </w:trPr>
        <w:tc>
          <w:tcPr>
            <w:tcW w:w="3256" w:type="dxa"/>
            <w:noWrap/>
          </w:tcPr>
          <w:p>
            <w:pPr>
              <w:jc w:val="both"/>
              <w:rPr>
                <w:rFonts w:ascii="Arial" w:hAnsi="Arial" w:cs="Arial"/>
                <w:color w:val="000000" w:themeColor="text1"/>
                <w:lang w:val="en-US"/>
              </w:rPr>
            </w:pPr>
            <w:r>
              <w:rPr>
                <w:rFonts w:ascii="Arial" w:hAnsi="Arial" w:cs="Arial"/>
                <w:color w:val="000000" w:themeColor="text1"/>
                <w:lang w:val="en-US"/>
              </w:rPr>
              <w:t xml:space="preserve">CD19 </w:t>
            </w:r>
            <w:proofErr w:type="spellStart"/>
            <w:r>
              <w:rPr>
                <w:rFonts w:ascii="Arial" w:hAnsi="Arial" w:cs="Arial"/>
                <w:color w:val="000000" w:themeColor="text1"/>
                <w:lang w:val="en-US"/>
              </w:rPr>
              <w:t>MicroBeads</w:t>
            </w:r>
            <w:proofErr w:type="spellEnd"/>
            <w:r>
              <w:rPr>
                <w:rFonts w:ascii="Arial" w:hAnsi="Arial" w:cs="Arial"/>
                <w:color w:val="000000" w:themeColor="text1"/>
                <w:lang w:val="en-US"/>
              </w:rPr>
              <w:t>, human</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rPr>
              <w:t>130-050-301</w:t>
            </w:r>
          </w:p>
        </w:tc>
      </w:tr>
      <w:tr>
        <w:trPr>
          <w:trHeight w:val="218"/>
        </w:trPr>
        <w:tc>
          <w:tcPr>
            <w:tcW w:w="3256" w:type="dxa"/>
            <w:noWrap/>
          </w:tcPr>
          <w:p>
            <w:pPr>
              <w:jc w:val="both"/>
              <w:rPr>
                <w:rFonts w:ascii="Arial" w:hAnsi="Arial" w:cs="Arial"/>
                <w:color w:val="000000" w:themeColor="text1"/>
                <w:lang w:val="en-US"/>
              </w:rPr>
            </w:pPr>
            <w:r>
              <w:rPr>
                <w:rFonts w:ascii="Arial" w:hAnsi="Arial" w:cs="Arial"/>
                <w:color w:val="000000" w:themeColor="text1"/>
                <w:lang w:val="en-US"/>
              </w:rPr>
              <w:t>CD45 Microbeads, human</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rPr>
              <w:t>Miltenyi Biotec</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rPr>
              <w:t>130-045-801</w:t>
            </w:r>
          </w:p>
        </w:tc>
      </w:tr>
      <w:tr>
        <w:trPr>
          <w:trHeight w:val="218"/>
        </w:trPr>
        <w:tc>
          <w:tcPr>
            <w:tcW w:w="3256" w:type="dxa"/>
            <w:noWrap/>
          </w:tcPr>
          <w:p>
            <w:pPr>
              <w:jc w:val="both"/>
              <w:rPr>
                <w:rFonts w:ascii="Arial" w:hAnsi="Arial" w:cs="Arial"/>
                <w:color w:val="000000" w:themeColor="text1"/>
                <w:lang w:val="en-US"/>
              </w:rPr>
            </w:pPr>
            <w:r>
              <w:rPr>
                <w:rFonts w:ascii="Arial" w:hAnsi="Arial" w:cs="Arial"/>
                <w:color w:val="000000" w:themeColor="text1"/>
                <w:lang w:val="en-US" w:eastAsia="en-GB"/>
              </w:rPr>
              <w:t>CliniMACS® PBS/EDTA buffer</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eastAsia="en-GB"/>
              </w:rPr>
              <w:t>Miltenyi Biotec</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eastAsia="en-GB"/>
              </w:rPr>
              <w:t>200-070-025</w:t>
            </w:r>
          </w:p>
        </w:tc>
      </w:tr>
      <w:tr>
        <w:trPr>
          <w:trHeight w:val="218"/>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Compensation Beads</w:t>
            </w:r>
          </w:p>
          <w:p>
            <w:pPr>
              <w:jc w:val="both"/>
              <w:rPr>
                <w:rFonts w:ascii="Arial" w:hAnsi="Arial" w:cs="Arial"/>
                <w:color w:val="000000" w:themeColor="text1"/>
                <w:lang w:val="en-US"/>
              </w:rPr>
            </w:pPr>
            <w:proofErr w:type="spellStart"/>
            <w:r>
              <w:rPr>
                <w:rFonts w:ascii="Arial" w:hAnsi="Arial" w:cs="Arial"/>
                <w:color w:val="000000" w:themeColor="text1"/>
                <w:lang w:val="en-US" w:eastAsia="en-GB"/>
              </w:rPr>
              <w:t>UltraComp</w:t>
            </w:r>
            <w:proofErr w:type="spellEnd"/>
            <w:r>
              <w:rPr>
                <w:rFonts w:ascii="Arial" w:hAnsi="Arial" w:cs="Arial"/>
                <w:color w:val="000000" w:themeColor="text1"/>
                <w:lang w:val="en-US" w:eastAsia="en-GB"/>
              </w:rPr>
              <w:t xml:space="preserve"> </w:t>
            </w:r>
            <w:proofErr w:type="spellStart"/>
            <w:r>
              <w:rPr>
                <w:rFonts w:ascii="Arial" w:hAnsi="Arial" w:cs="Arial"/>
                <w:color w:val="000000" w:themeColor="text1"/>
                <w:lang w:val="en-US" w:eastAsia="en-GB"/>
              </w:rPr>
              <w:t>eBeads</w:t>
            </w:r>
            <w:proofErr w:type="spellEnd"/>
            <w:r>
              <w:rPr>
                <w:rFonts w:ascii="Arial" w:hAnsi="Arial" w:cs="Arial"/>
                <w:color w:val="000000" w:themeColor="text1"/>
                <w:lang w:val="en-US" w:eastAsia="en-GB"/>
              </w:rPr>
              <w:t xml:space="preserve">™ Plus </w:t>
            </w:r>
          </w:p>
        </w:tc>
        <w:tc>
          <w:tcPr>
            <w:tcW w:w="3146" w:type="dxa"/>
            <w:noWrap/>
          </w:tcPr>
          <w:p>
            <w:pPr>
              <w:jc w:val="both"/>
              <w:rPr>
                <w:rFonts w:ascii="Arial" w:hAnsi="Arial" w:cs="Arial"/>
                <w:color w:val="000000" w:themeColor="text1"/>
                <w:lang w:val="en-US"/>
              </w:rPr>
            </w:pPr>
            <w:proofErr w:type="spellStart"/>
            <w:r>
              <w:rPr>
                <w:rFonts w:ascii="Arial" w:hAnsi="Arial" w:cs="Arial"/>
                <w:color w:val="000000" w:themeColor="text1"/>
                <w:lang w:val="en-US" w:eastAsia="en-GB"/>
              </w:rPr>
              <w:t>ThermoFisher</w:t>
            </w:r>
            <w:proofErr w:type="spellEnd"/>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eastAsia="en-GB"/>
              </w:rPr>
              <w:t>01-3333-42</w:t>
            </w:r>
          </w:p>
        </w:tc>
      </w:tr>
      <w:tr>
        <w:trPr>
          <w:trHeight w:val="218"/>
        </w:trPr>
        <w:tc>
          <w:tcPr>
            <w:tcW w:w="3256" w:type="dxa"/>
            <w:noWrap/>
          </w:tcPr>
          <w:p>
            <w:pPr>
              <w:jc w:val="both"/>
              <w:rPr>
                <w:rFonts w:ascii="Arial" w:hAnsi="Arial" w:cs="Arial"/>
                <w:color w:val="000000" w:themeColor="text1"/>
                <w:lang w:val="en-US" w:eastAsia="en-GB"/>
              </w:rPr>
            </w:pPr>
            <w:proofErr w:type="spellStart"/>
            <w:r>
              <w:rPr>
                <w:rFonts w:ascii="Arial" w:hAnsi="Arial" w:cs="Arial"/>
                <w:color w:val="000000" w:themeColor="text1"/>
                <w:lang w:val="en-US" w:eastAsia="en-GB"/>
              </w:rPr>
              <w:t>CryoSure</w:t>
            </w:r>
            <w:proofErr w:type="spellEnd"/>
            <w:r>
              <w:rPr>
                <w:rFonts w:ascii="Arial" w:hAnsi="Arial" w:cs="Arial"/>
                <w:color w:val="000000" w:themeColor="text1"/>
                <w:lang w:val="en-US" w:eastAsia="en-GB"/>
              </w:rPr>
              <w:t xml:space="preserve">-DMSO </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WAK-</w:t>
            </w:r>
            <w:proofErr w:type="spellStart"/>
            <w:r>
              <w:rPr>
                <w:rFonts w:ascii="Arial" w:hAnsi="Arial" w:cs="Arial"/>
                <w:color w:val="000000" w:themeColor="text1"/>
                <w:lang w:val="en-US" w:eastAsia="en-GB"/>
              </w:rPr>
              <w:t>Chemie</w:t>
            </w:r>
            <w:proofErr w:type="spellEnd"/>
            <w:r>
              <w:rPr>
                <w:rFonts w:ascii="Arial" w:hAnsi="Arial" w:cs="Arial"/>
                <w:color w:val="000000" w:themeColor="text1"/>
                <w:lang w:val="en-US" w:eastAsia="en-GB"/>
              </w:rPr>
              <w:t xml:space="preserve"> Medical</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WAK-DMSO-70</w:t>
            </w:r>
          </w:p>
        </w:tc>
      </w:tr>
      <w:tr>
        <w:trPr>
          <w:trHeight w:val="218"/>
        </w:trPr>
        <w:tc>
          <w:tcPr>
            <w:tcW w:w="3256" w:type="dxa"/>
            <w:noWrap/>
          </w:tcPr>
          <w:p>
            <w:pPr>
              <w:jc w:val="both"/>
              <w:rPr>
                <w:rFonts w:ascii="Arial" w:hAnsi="Arial" w:cs="Arial"/>
                <w:color w:val="000000" w:themeColor="text1"/>
                <w:lang w:val="en-US" w:eastAsia="en-GB"/>
              </w:rPr>
            </w:pPr>
            <w:proofErr w:type="spellStart"/>
            <w:r>
              <w:rPr>
                <w:rFonts w:ascii="Arial" w:hAnsi="Arial" w:cs="Arial"/>
                <w:color w:val="000000" w:themeColor="text1"/>
                <w:lang w:val="en-US" w:eastAsia="en-GB"/>
              </w:rPr>
              <w:t>Descosept</w:t>
            </w:r>
            <w:proofErr w:type="spellEnd"/>
            <w:r>
              <w:rPr>
                <w:rFonts w:ascii="Arial" w:hAnsi="Arial" w:cs="Arial"/>
                <w:color w:val="000000" w:themeColor="text1"/>
                <w:lang w:val="en-US" w:eastAsia="en-GB"/>
              </w:rPr>
              <w:t xml:space="preserve"> AF </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Dr. Schumacher GmbH</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00-311-010</w:t>
            </w:r>
          </w:p>
        </w:tc>
      </w:tr>
      <w:tr>
        <w:trPr>
          <w:trHeight w:val="218"/>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D-Luciferin</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Sigma-Aldrich</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L9504</w:t>
            </w:r>
          </w:p>
        </w:tc>
      </w:tr>
      <w:tr>
        <w:trPr>
          <w:trHeight w:val="218"/>
        </w:trPr>
        <w:tc>
          <w:tcPr>
            <w:tcW w:w="3256" w:type="dxa"/>
            <w:noWrap/>
          </w:tcPr>
          <w:p>
            <w:pPr>
              <w:jc w:val="both"/>
              <w:rPr>
                <w:rFonts w:ascii="Arial" w:hAnsi="Arial" w:cs="Arial"/>
                <w:color w:val="000000" w:themeColor="text1"/>
                <w:lang w:val="en-US"/>
              </w:rPr>
            </w:pPr>
            <w:r>
              <w:rPr>
                <w:rFonts w:ascii="Arial" w:hAnsi="Arial" w:cs="Arial"/>
                <w:color w:val="000000" w:themeColor="text1"/>
                <w:lang w:val="en-US"/>
              </w:rPr>
              <w:t>DMEM culture medium</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rPr>
              <w:t>Gibco™, Thermo Fisher</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rPr>
              <w:t>41965039</w:t>
            </w:r>
          </w:p>
        </w:tc>
      </w:tr>
      <w:tr>
        <w:trPr>
          <w:trHeight w:val="218"/>
        </w:trPr>
        <w:tc>
          <w:tcPr>
            <w:tcW w:w="3256" w:type="dxa"/>
            <w:noWrap/>
          </w:tcPr>
          <w:p>
            <w:pPr>
              <w:jc w:val="both"/>
              <w:rPr>
                <w:rFonts w:ascii="Arial" w:hAnsi="Arial" w:cs="Arial"/>
                <w:color w:val="000000" w:themeColor="text1"/>
                <w:lang w:val="en-US" w:eastAsia="en-GB"/>
              </w:rPr>
            </w:pPr>
            <w:proofErr w:type="spellStart"/>
            <w:r>
              <w:rPr>
                <w:rFonts w:ascii="Arial" w:hAnsi="Arial" w:cs="Arial"/>
                <w:color w:val="000000" w:themeColor="text1"/>
                <w:lang w:val="en-US" w:eastAsia="en-GB"/>
              </w:rPr>
              <w:t>Dnase</w:t>
            </w:r>
            <w:proofErr w:type="spellEnd"/>
            <w:r>
              <w:rPr>
                <w:rFonts w:ascii="Arial" w:hAnsi="Arial" w:cs="Arial"/>
                <w:color w:val="000000" w:themeColor="text1"/>
                <w:lang w:val="en-US" w:eastAsia="en-GB"/>
              </w:rPr>
              <w:t xml:space="preserve"> 1</w:t>
            </w:r>
          </w:p>
          <w:p>
            <w:pPr>
              <w:jc w:val="both"/>
              <w:rPr>
                <w:rFonts w:ascii="Arial" w:hAnsi="Arial" w:cs="Arial"/>
                <w:color w:val="000000" w:themeColor="text1"/>
                <w:lang w:val="en-US"/>
              </w:rPr>
            </w:pPr>
            <w:r>
              <w:rPr>
                <w:rFonts w:ascii="Arial" w:hAnsi="Arial" w:cs="Arial"/>
                <w:color w:val="000000" w:themeColor="text1"/>
                <w:lang w:val="en-US" w:eastAsia="en-GB"/>
              </w:rPr>
              <w:t>20.000 units</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Invitrogen™,</w:t>
            </w:r>
          </w:p>
          <w:p>
            <w:pPr>
              <w:jc w:val="both"/>
              <w:rPr>
                <w:rFonts w:ascii="Arial" w:hAnsi="Arial" w:cs="Arial"/>
                <w:color w:val="000000" w:themeColor="text1"/>
                <w:lang w:val="en-US"/>
              </w:rPr>
            </w:pPr>
            <w:r>
              <w:rPr>
                <w:rFonts w:ascii="Arial" w:hAnsi="Arial" w:cs="Arial"/>
                <w:color w:val="000000" w:themeColor="text1"/>
                <w:lang w:val="en-US" w:eastAsia="en-GB"/>
              </w:rPr>
              <w:t>Thermo Fisher Scientific</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eastAsia="en-GB"/>
              </w:rPr>
              <w:t>18047019</w:t>
            </w:r>
          </w:p>
        </w:tc>
      </w:tr>
      <w:tr>
        <w:trPr>
          <w:trHeight w:val="218"/>
        </w:trPr>
        <w:tc>
          <w:tcPr>
            <w:tcW w:w="3256" w:type="dxa"/>
            <w:noWrap/>
          </w:tcPr>
          <w:p>
            <w:pPr>
              <w:jc w:val="both"/>
              <w:rPr>
                <w:rFonts w:ascii="Arial" w:hAnsi="Arial" w:cs="Arial"/>
                <w:color w:val="000000" w:themeColor="text1"/>
                <w:lang w:val="en-US"/>
              </w:rPr>
            </w:pPr>
            <w:r>
              <w:rPr>
                <w:rFonts w:ascii="Arial" w:hAnsi="Arial" w:cs="Arial"/>
                <w:color w:val="000000" w:themeColor="text1"/>
                <w:lang w:val="en-US"/>
              </w:rPr>
              <w:t>DPBS, magnesium, calcium</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rPr>
              <w:t>Gibco™, Thermo Fisher</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rPr>
              <w:t>14040-117</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rPr>
              <w:t>HSA, 20%</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Takeda</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0749161</w:t>
            </w:r>
          </w:p>
        </w:tc>
      </w:tr>
      <w:tr>
        <w:trPr>
          <w:trHeight w:val="270"/>
        </w:trPr>
        <w:tc>
          <w:tcPr>
            <w:tcW w:w="3256" w:type="dxa"/>
            <w:noWrap/>
          </w:tcPr>
          <w:p>
            <w:pPr>
              <w:jc w:val="both"/>
              <w:rPr>
                <w:rFonts w:ascii="Arial" w:hAnsi="Arial" w:cs="Arial"/>
                <w:color w:val="000000" w:themeColor="text1"/>
              </w:rPr>
            </w:pPr>
            <w:r>
              <w:rPr>
                <w:rFonts w:ascii="Arial" w:hAnsi="Arial" w:cs="Arial"/>
                <w:color w:val="000000" w:themeColor="text1"/>
              </w:rPr>
              <w:t>Heparin-Natrium</w:t>
            </w:r>
          </w:p>
          <w:p>
            <w:pPr>
              <w:jc w:val="both"/>
              <w:rPr>
                <w:rFonts w:ascii="Arial" w:hAnsi="Arial" w:cs="Arial"/>
                <w:color w:val="000000" w:themeColor="text1"/>
              </w:rPr>
            </w:pPr>
            <w:r>
              <w:rPr>
                <w:rFonts w:ascii="Arial" w:hAnsi="Arial" w:cs="Arial"/>
                <w:color w:val="000000" w:themeColor="text1"/>
              </w:rPr>
              <w:t xml:space="preserve">25.000 I.E./5 ml </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rPr>
              <w:t>Leo Pharma</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rPr>
              <w:t>15261203</w:t>
            </w:r>
          </w:p>
        </w:tc>
      </w:tr>
      <w:tr>
        <w:trPr>
          <w:trHeight w:val="270"/>
        </w:trPr>
        <w:tc>
          <w:tcPr>
            <w:tcW w:w="3256" w:type="dxa"/>
            <w:noWrap/>
          </w:tcPr>
          <w:p>
            <w:pPr>
              <w:jc w:val="both"/>
              <w:rPr>
                <w:rFonts w:ascii="Arial" w:hAnsi="Arial" w:cs="Arial"/>
                <w:color w:val="000000" w:themeColor="text1"/>
                <w:lang w:val="en-US"/>
              </w:rPr>
            </w:pPr>
            <w:r>
              <w:rPr>
                <w:rFonts w:ascii="Arial" w:hAnsi="Arial" w:cs="Arial"/>
                <w:color w:val="000000" w:themeColor="text1"/>
                <w:lang w:val="en-US" w:eastAsia="en-US"/>
              </w:rPr>
              <w:t xml:space="preserve">Human IL7, premium grade </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eastAsia="en-US"/>
              </w:rPr>
              <w:t>Miltenyi Biotec</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eastAsia="en-US"/>
              </w:rPr>
              <w:t>130-095-362</w:t>
            </w:r>
          </w:p>
        </w:tc>
      </w:tr>
      <w:tr>
        <w:trPr>
          <w:trHeight w:val="270"/>
        </w:trPr>
        <w:tc>
          <w:tcPr>
            <w:tcW w:w="3256" w:type="dxa"/>
            <w:noWrap/>
          </w:tcPr>
          <w:p>
            <w:pPr>
              <w:jc w:val="both"/>
              <w:rPr>
                <w:rFonts w:ascii="Arial" w:hAnsi="Arial" w:cs="Arial"/>
                <w:color w:val="000000" w:themeColor="text1"/>
                <w:lang w:val="en-US"/>
              </w:rPr>
            </w:pPr>
            <w:r>
              <w:rPr>
                <w:rFonts w:ascii="Arial" w:hAnsi="Arial" w:cs="Arial"/>
                <w:color w:val="000000" w:themeColor="text1"/>
                <w:lang w:val="en-US" w:eastAsia="en-US"/>
              </w:rPr>
              <w:t xml:space="preserve">Human IL15, premium </w:t>
            </w:r>
            <w:r>
              <w:rPr>
                <w:rFonts w:ascii="Arial" w:hAnsi="Arial" w:cs="Arial"/>
                <w:color w:val="000000" w:themeColor="text1"/>
                <w:lang w:val="en-US"/>
              </w:rPr>
              <w:t>g</w:t>
            </w:r>
            <w:r>
              <w:rPr>
                <w:rFonts w:ascii="Arial" w:hAnsi="Arial" w:cs="Arial"/>
                <w:color w:val="000000" w:themeColor="text1"/>
                <w:lang w:val="en-US" w:eastAsia="en-US"/>
              </w:rPr>
              <w:t>rade</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eastAsia="en-US"/>
              </w:rPr>
              <w:t>Miltenyi Biotec</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eastAsia="en-US"/>
              </w:rPr>
              <w:t>130-095-765</w:t>
            </w:r>
          </w:p>
        </w:tc>
      </w:tr>
      <w:tr>
        <w:trPr>
          <w:trHeight w:val="270"/>
        </w:trPr>
        <w:tc>
          <w:tcPr>
            <w:tcW w:w="3256" w:type="dxa"/>
            <w:noWrap/>
          </w:tcPr>
          <w:p>
            <w:pPr>
              <w:jc w:val="both"/>
              <w:rPr>
                <w:rFonts w:ascii="Arial" w:hAnsi="Arial" w:cs="Arial"/>
                <w:color w:val="000000" w:themeColor="text1"/>
                <w:lang w:val="en-US"/>
              </w:rPr>
            </w:pPr>
            <w:r>
              <w:rPr>
                <w:rFonts w:ascii="Arial" w:hAnsi="Arial" w:cs="Arial"/>
                <w:color w:val="000000" w:themeColor="text1"/>
                <w:lang w:val="en-US"/>
              </w:rPr>
              <w:t>Insulin-Transferrin-Selenium (ITS -G) (100X)</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rPr>
              <w:t>Gibco</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rPr>
              <w:t>41400045</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 xml:space="preserve">Ethanol denatured </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SAV Liquid production</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ETO-10000-99-1</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 xml:space="preserve">FCS </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 xml:space="preserve">Gibco™, Thermo Fisher </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10270-106</w:t>
            </w:r>
          </w:p>
        </w:tc>
      </w:tr>
      <w:tr>
        <w:trPr>
          <w:trHeight w:val="270"/>
        </w:trPr>
        <w:tc>
          <w:tcPr>
            <w:tcW w:w="3256" w:type="dxa"/>
            <w:noWrap/>
          </w:tcPr>
          <w:p>
            <w:pPr>
              <w:jc w:val="both"/>
              <w:rPr>
                <w:rFonts w:ascii="Arial" w:hAnsi="Arial" w:cs="Arial"/>
                <w:color w:val="000000" w:themeColor="text1"/>
                <w:lang w:val="en-US" w:eastAsia="en-GB"/>
              </w:rPr>
            </w:pPr>
            <w:proofErr w:type="spellStart"/>
            <w:r>
              <w:rPr>
                <w:rFonts w:ascii="Arial" w:hAnsi="Arial" w:cs="Arial"/>
                <w:color w:val="000000" w:themeColor="text1"/>
                <w:lang w:val="en-US" w:eastAsia="en-GB"/>
              </w:rPr>
              <w:t>FcR</w:t>
            </w:r>
            <w:proofErr w:type="spellEnd"/>
            <w:r>
              <w:rPr>
                <w:rFonts w:ascii="Arial" w:hAnsi="Arial" w:cs="Arial"/>
                <w:color w:val="000000" w:themeColor="text1"/>
                <w:lang w:val="en-US" w:eastAsia="en-GB"/>
              </w:rPr>
              <w:t xml:space="preserve"> Blocking Reagent</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Miltenyi Biotec</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130-059-901</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 xml:space="preserve">L-glutamine 200 mM </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Sigma-Aldrich</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G7513</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MACS® Comp Bead Kit,</w:t>
            </w:r>
          </w:p>
          <w:p>
            <w:pPr>
              <w:jc w:val="both"/>
              <w:rPr>
                <w:rFonts w:ascii="Arial" w:hAnsi="Arial" w:cs="Arial"/>
                <w:color w:val="000000" w:themeColor="text1"/>
                <w:lang w:val="en-US" w:eastAsia="en-GB"/>
              </w:rPr>
            </w:pPr>
            <w:r>
              <w:rPr>
                <w:rFonts w:ascii="Arial" w:hAnsi="Arial" w:cs="Arial"/>
                <w:color w:val="000000" w:themeColor="text1"/>
                <w:lang w:val="en-US" w:eastAsia="en-GB"/>
              </w:rPr>
              <w:t>anti-REA</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Miltenyi Biotec</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130-104-693</w:t>
            </w:r>
          </w:p>
        </w:tc>
      </w:tr>
      <w:tr>
        <w:trPr>
          <w:trHeight w:val="270"/>
        </w:trPr>
        <w:tc>
          <w:tcPr>
            <w:tcW w:w="3256" w:type="dxa"/>
            <w:noWrap/>
          </w:tcPr>
          <w:p>
            <w:pPr>
              <w:jc w:val="both"/>
              <w:rPr>
                <w:rFonts w:ascii="Arial" w:hAnsi="Arial" w:cs="Arial"/>
                <w:color w:val="000000" w:themeColor="text1"/>
                <w:lang w:val="en-US"/>
              </w:rPr>
            </w:pPr>
            <w:r>
              <w:rPr>
                <w:rFonts w:ascii="Arial" w:hAnsi="Arial" w:cs="Arial"/>
                <w:color w:val="000000" w:themeColor="text1"/>
                <w:lang w:val="en-US"/>
              </w:rPr>
              <w:t>Neon™ Transfection System 100 µL Kit</w:t>
            </w:r>
          </w:p>
        </w:tc>
        <w:tc>
          <w:tcPr>
            <w:tcW w:w="3146" w:type="dxa"/>
            <w:noWrap/>
          </w:tcPr>
          <w:p>
            <w:pPr>
              <w:jc w:val="both"/>
              <w:rPr>
                <w:rFonts w:ascii="Arial" w:hAnsi="Arial" w:cs="Arial"/>
                <w:color w:val="000000" w:themeColor="text1"/>
                <w:lang w:val="en-US"/>
              </w:rPr>
            </w:pPr>
            <w:r>
              <w:rPr>
                <w:rFonts w:ascii="Arial" w:hAnsi="Arial" w:cs="Arial"/>
                <w:color w:val="000000" w:themeColor="text1"/>
                <w:lang w:val="en-US"/>
              </w:rPr>
              <w:t>Invitrogen</w:t>
            </w:r>
          </w:p>
        </w:tc>
        <w:tc>
          <w:tcPr>
            <w:tcW w:w="2696" w:type="dxa"/>
            <w:noWrap/>
          </w:tcPr>
          <w:p>
            <w:pPr>
              <w:jc w:val="both"/>
              <w:rPr>
                <w:rFonts w:ascii="Arial" w:hAnsi="Arial" w:cs="Arial"/>
                <w:color w:val="000000" w:themeColor="text1"/>
                <w:lang w:val="en-US"/>
              </w:rPr>
            </w:pPr>
            <w:r>
              <w:rPr>
                <w:rFonts w:ascii="Arial" w:hAnsi="Arial" w:cs="Arial"/>
                <w:color w:val="000000" w:themeColor="text1"/>
                <w:lang w:val="en-US"/>
              </w:rPr>
              <w:t>MPK10096</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 xml:space="preserve">PBS, sterile </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Sigma-Aldrich</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D8537</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Penicillin (10.000 U/ml)-Streptomycin (10 mg/ml)</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Sigma-Aldrich</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P0781</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Sodium pyruvate (100 mM), 100X</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Gibco</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11360-70</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 xml:space="preserve">RPMI 1640 medium </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Sigma-Aldrich</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R0883</w:t>
            </w:r>
          </w:p>
        </w:tc>
      </w:tr>
      <w:tr>
        <w:trPr>
          <w:trHeight w:val="270"/>
        </w:trPr>
        <w:tc>
          <w:tcPr>
            <w:tcW w:w="3256" w:type="dxa"/>
            <w:noWrap/>
          </w:tcPr>
          <w:p>
            <w:pPr>
              <w:jc w:val="both"/>
              <w:rPr>
                <w:rFonts w:ascii="Arial" w:hAnsi="Arial" w:cs="Arial"/>
                <w:color w:val="000000" w:themeColor="text1"/>
                <w:lang w:val="en-US" w:eastAsia="en-GB"/>
              </w:rPr>
            </w:pPr>
            <w:proofErr w:type="spellStart"/>
            <w:r>
              <w:rPr>
                <w:rFonts w:ascii="Arial" w:hAnsi="Arial" w:cs="Arial"/>
                <w:color w:val="000000" w:themeColor="text1"/>
                <w:lang w:val="en-US" w:eastAsia="en-GB"/>
              </w:rPr>
              <w:t>SpectroFlo</w:t>
            </w:r>
            <w:proofErr w:type="spellEnd"/>
            <w:r>
              <w:rPr>
                <w:rFonts w:ascii="Arial" w:hAnsi="Arial" w:cs="Arial"/>
                <w:color w:val="000000" w:themeColor="text1"/>
                <w:lang w:val="en-US" w:eastAsia="en-GB"/>
              </w:rPr>
              <w:t>® QC Beads</w:t>
            </w:r>
          </w:p>
        </w:tc>
        <w:tc>
          <w:tcPr>
            <w:tcW w:w="3146" w:type="dxa"/>
            <w:noWrap/>
          </w:tcPr>
          <w:p>
            <w:pPr>
              <w:jc w:val="both"/>
              <w:rPr>
                <w:rFonts w:ascii="Arial" w:hAnsi="Arial" w:cs="Arial"/>
                <w:color w:val="000000" w:themeColor="text1"/>
                <w:lang w:val="en-US" w:eastAsia="en-GB"/>
              </w:rPr>
            </w:pPr>
            <w:proofErr w:type="spellStart"/>
            <w:r>
              <w:rPr>
                <w:rFonts w:ascii="Arial" w:hAnsi="Arial" w:cs="Arial"/>
                <w:color w:val="000000" w:themeColor="text1"/>
                <w:lang w:val="en-US" w:eastAsia="en-GB"/>
              </w:rPr>
              <w:t>Cytek</w:t>
            </w:r>
            <w:proofErr w:type="spellEnd"/>
            <w:r>
              <w:rPr>
                <w:rFonts w:ascii="Arial" w:hAnsi="Arial" w:cs="Arial"/>
                <w:color w:val="000000" w:themeColor="text1"/>
                <w:lang w:val="en-US" w:eastAsia="en-GB"/>
              </w:rPr>
              <w:t>® Biosciences</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SKU B7-10001</w:t>
            </w:r>
          </w:p>
        </w:tc>
      </w:tr>
      <w:tr>
        <w:trPr>
          <w:trHeight w:val="270"/>
        </w:trPr>
        <w:tc>
          <w:tcPr>
            <w:tcW w:w="3256" w:type="dxa"/>
            <w:noWrap/>
          </w:tcPr>
          <w:p>
            <w:pPr>
              <w:jc w:val="both"/>
              <w:rPr>
                <w:rFonts w:ascii="Arial" w:hAnsi="Arial" w:cs="Arial"/>
                <w:color w:val="000000" w:themeColor="text1"/>
                <w:lang w:val="en-US" w:eastAsia="en-GB"/>
              </w:rPr>
            </w:pPr>
            <w:proofErr w:type="spellStart"/>
            <w:r>
              <w:rPr>
                <w:rFonts w:ascii="Arial" w:hAnsi="Arial" w:cs="Arial"/>
                <w:color w:val="000000" w:themeColor="text1"/>
                <w:lang w:val="en-US" w:eastAsia="en-GB"/>
              </w:rPr>
              <w:t>TexMACS</w:t>
            </w:r>
            <w:proofErr w:type="spellEnd"/>
            <w:r>
              <w:rPr>
                <w:rFonts w:ascii="Arial" w:hAnsi="Arial" w:cs="Arial"/>
                <w:color w:val="000000" w:themeColor="text1"/>
                <w:lang w:val="en-US" w:eastAsia="en-GB"/>
              </w:rPr>
              <w:t xml:space="preserve"> media </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Miltenyi Biotec</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130-097-196</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rPr>
              <w:t>1-thioglycerole</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Sigma-Aldrich</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M6145</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Trypsin-EDTA solution</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Sigma-Aldrich</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T3924</w:t>
            </w:r>
          </w:p>
        </w:tc>
      </w:tr>
      <w:tr>
        <w:trPr>
          <w:trHeight w:val="270"/>
        </w:trPr>
        <w:tc>
          <w:tcPr>
            <w:tcW w:w="325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 xml:space="preserve">T Cell </w:t>
            </w:r>
            <w:proofErr w:type="spellStart"/>
            <w:r>
              <w:rPr>
                <w:rFonts w:ascii="Arial" w:hAnsi="Arial" w:cs="Arial"/>
                <w:color w:val="000000" w:themeColor="text1"/>
                <w:lang w:val="en-US" w:eastAsia="en-GB"/>
              </w:rPr>
              <w:t>TransAct</w:t>
            </w:r>
            <w:proofErr w:type="spellEnd"/>
            <w:r>
              <w:rPr>
                <w:rFonts w:ascii="Arial" w:hAnsi="Arial" w:cs="Arial"/>
                <w:color w:val="000000" w:themeColor="text1"/>
                <w:lang w:val="en-US" w:eastAsia="en-GB"/>
              </w:rPr>
              <w:t xml:space="preserve">™ </w:t>
            </w:r>
          </w:p>
        </w:tc>
        <w:tc>
          <w:tcPr>
            <w:tcW w:w="314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Miltenyi Biotec</w:t>
            </w:r>
          </w:p>
        </w:tc>
        <w:tc>
          <w:tcPr>
            <w:tcW w:w="2696" w:type="dxa"/>
            <w:noWrap/>
          </w:tcPr>
          <w:p>
            <w:pPr>
              <w:jc w:val="both"/>
              <w:rPr>
                <w:rFonts w:ascii="Arial" w:hAnsi="Arial" w:cs="Arial"/>
                <w:color w:val="000000" w:themeColor="text1"/>
                <w:lang w:val="en-US" w:eastAsia="en-GB"/>
              </w:rPr>
            </w:pPr>
            <w:r>
              <w:rPr>
                <w:rFonts w:ascii="Arial" w:hAnsi="Arial" w:cs="Arial"/>
                <w:color w:val="000000" w:themeColor="text1"/>
                <w:lang w:val="en-US" w:eastAsia="en-GB"/>
              </w:rPr>
              <w:t>130-111-160</w:t>
            </w:r>
          </w:p>
        </w:tc>
      </w:tr>
      <w:tr>
        <w:trPr>
          <w:trHeight w:val="270"/>
        </w:trPr>
        <w:tc>
          <w:tcPr>
            <w:tcW w:w="3256" w:type="dxa"/>
            <w:tcBorders>
              <w:bottom w:val="single" w:sz="4" w:space="0" w:color="auto"/>
            </w:tcBorders>
            <w:noWrap/>
          </w:tcPr>
          <w:p>
            <w:pPr>
              <w:jc w:val="both"/>
              <w:rPr>
                <w:rFonts w:ascii="Arial" w:hAnsi="Arial" w:cs="Arial"/>
                <w:color w:val="000000" w:themeColor="text1"/>
                <w:lang w:val="en-US" w:eastAsia="en-GB"/>
              </w:rPr>
            </w:pPr>
            <w:r>
              <w:rPr>
                <w:rFonts w:ascii="Arial" w:hAnsi="Arial" w:cs="Arial"/>
                <w:color w:val="000000" w:themeColor="text1"/>
                <w:lang w:val="en-US"/>
              </w:rPr>
              <w:t>Zombie UV™ Viability Dye</w:t>
            </w:r>
          </w:p>
        </w:tc>
        <w:tc>
          <w:tcPr>
            <w:tcW w:w="3146" w:type="dxa"/>
            <w:tcBorders>
              <w:bottom w:val="single" w:sz="4" w:space="0" w:color="auto"/>
            </w:tcBorders>
            <w:noWrap/>
          </w:tcPr>
          <w:p>
            <w:pPr>
              <w:jc w:val="both"/>
              <w:rPr>
                <w:rFonts w:ascii="Arial" w:hAnsi="Arial" w:cs="Arial"/>
                <w:color w:val="000000" w:themeColor="text1"/>
                <w:lang w:val="en-US" w:eastAsia="en-GB"/>
              </w:rPr>
            </w:pPr>
            <w:proofErr w:type="spellStart"/>
            <w:r>
              <w:rPr>
                <w:rFonts w:ascii="Arial" w:hAnsi="Arial" w:cs="Arial"/>
                <w:color w:val="000000" w:themeColor="text1"/>
                <w:lang w:val="en-US"/>
              </w:rPr>
              <w:t>BioLegend</w:t>
            </w:r>
            <w:proofErr w:type="spellEnd"/>
            <w:r>
              <w:rPr>
                <w:rFonts w:ascii="Arial" w:hAnsi="Arial" w:cs="Arial"/>
                <w:color w:val="000000" w:themeColor="text1"/>
                <w:lang w:val="en-US"/>
              </w:rPr>
              <w:t>®</w:t>
            </w:r>
          </w:p>
        </w:tc>
        <w:tc>
          <w:tcPr>
            <w:tcW w:w="2696" w:type="dxa"/>
            <w:tcBorders>
              <w:bottom w:val="single" w:sz="4" w:space="0" w:color="auto"/>
            </w:tcBorders>
            <w:noWrap/>
          </w:tcPr>
          <w:p>
            <w:pPr>
              <w:jc w:val="both"/>
              <w:rPr>
                <w:rFonts w:ascii="Arial" w:hAnsi="Arial" w:cs="Arial"/>
                <w:color w:val="000000" w:themeColor="text1"/>
                <w:lang w:val="en-US" w:eastAsia="en-GB"/>
              </w:rPr>
            </w:pPr>
            <w:r>
              <w:rPr>
                <w:rFonts w:ascii="Arial" w:hAnsi="Arial" w:cs="Arial"/>
                <w:color w:val="000000" w:themeColor="text1"/>
                <w:lang w:val="en-US"/>
              </w:rPr>
              <w:t>423107</w:t>
            </w:r>
          </w:p>
        </w:tc>
      </w:tr>
    </w:tbl>
    <w:p>
      <w:pPr>
        <w:jc w:val="both"/>
        <w:rPr>
          <w:rFonts w:ascii="Arial" w:hAnsi="Arial" w:cs="Arial"/>
          <w:color w:val="000000" w:themeColor="text1"/>
          <w:sz w:val="22"/>
          <w:szCs w:val="22"/>
          <w:lang w:val="en-US"/>
        </w:rPr>
      </w:pPr>
    </w:p>
    <w:p>
      <w:pPr>
        <w:jc w:val="both"/>
        <w:rPr>
          <w:rFonts w:ascii="Arial" w:hAnsi="Arial" w:cs="Arial"/>
          <w:color w:val="000000" w:themeColor="text1"/>
          <w:sz w:val="22"/>
          <w:szCs w:val="22"/>
          <w:lang w:val="en-US"/>
        </w:rPr>
      </w:pPr>
    </w:p>
    <w:p>
      <w:pPr>
        <w:jc w:val="both"/>
        <w:rPr>
          <w:rFonts w:ascii="Arial" w:hAnsi="Arial" w:cs="Arial"/>
          <w:color w:val="000000" w:themeColor="text1"/>
          <w:sz w:val="22"/>
          <w:szCs w:val="22"/>
          <w:lang w:val="en-US"/>
        </w:rPr>
      </w:pPr>
    </w:p>
    <w:p>
      <w:pPr>
        <w:keepNext/>
        <w:spacing w:line="48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lastRenderedPageBreak/>
        <w:t>Supplementary Figure Legend</w:t>
      </w:r>
    </w:p>
    <w:p>
      <w:pPr>
        <w:keepNext/>
        <w:spacing w:line="480" w:lineRule="auto"/>
        <w:jc w:val="both"/>
        <w:rPr>
          <w:rFonts w:ascii="Arial" w:hAnsi="Arial" w:cs="Arial"/>
          <w:b/>
          <w:color w:val="000000" w:themeColor="text1"/>
          <w:sz w:val="22"/>
          <w:szCs w:val="22"/>
          <w:lang w:val="en-US"/>
        </w:rPr>
      </w:pPr>
    </w:p>
    <w:p>
      <w:pPr>
        <w:spacing w:line="480" w:lineRule="auto"/>
        <w:jc w:val="both"/>
        <w:rPr>
          <w:rFonts w:ascii="Arial" w:hAnsi="Arial" w:cs="Arial"/>
          <w:b/>
          <w:color w:val="000000" w:themeColor="text1"/>
          <w:sz w:val="22"/>
          <w:szCs w:val="22"/>
          <w:lang w:val="en-US" w:eastAsia="en-US"/>
        </w:rPr>
      </w:pPr>
      <w:r>
        <w:rPr>
          <w:rFonts w:ascii="Arial" w:hAnsi="Arial" w:cs="Arial"/>
          <w:b/>
          <w:color w:val="000000" w:themeColor="text1"/>
          <w:sz w:val="22"/>
          <w:szCs w:val="22"/>
          <w:lang w:val="en-US"/>
        </w:rPr>
        <w:t xml:space="preserve">Supplementary Figure </w:t>
      </w:r>
      <w:r>
        <w:rPr>
          <w:rFonts w:ascii="Arial" w:hAnsi="Arial" w:cs="Arial"/>
          <w:b/>
          <w:color w:val="000000" w:themeColor="text1"/>
          <w:sz w:val="22"/>
          <w:szCs w:val="22"/>
          <w:lang w:val="en-US"/>
        </w:rPr>
        <w:fldChar w:fldCharType="begin"/>
      </w:r>
      <w:r>
        <w:rPr>
          <w:rFonts w:ascii="Arial" w:hAnsi="Arial" w:cs="Arial"/>
          <w:b/>
          <w:color w:val="000000" w:themeColor="text1"/>
          <w:sz w:val="22"/>
          <w:szCs w:val="22"/>
          <w:lang w:val="en-US"/>
        </w:rPr>
        <w:instrText xml:space="preserve"> SEQ Supplemantary_Figure \* ARABIC </w:instrText>
      </w:r>
      <w:r>
        <w:rPr>
          <w:rFonts w:ascii="Arial" w:hAnsi="Arial" w:cs="Arial"/>
          <w:b/>
          <w:color w:val="000000" w:themeColor="text1"/>
          <w:sz w:val="22"/>
          <w:szCs w:val="22"/>
          <w:lang w:val="en-US"/>
        </w:rPr>
        <w:fldChar w:fldCharType="separate"/>
      </w:r>
      <w:r>
        <w:rPr>
          <w:rFonts w:ascii="Arial" w:hAnsi="Arial" w:cs="Arial"/>
          <w:b/>
          <w:noProof/>
          <w:color w:val="000000" w:themeColor="text1"/>
          <w:sz w:val="22"/>
          <w:szCs w:val="22"/>
          <w:lang w:val="en-US"/>
        </w:rPr>
        <w:t>1</w:t>
      </w:r>
      <w:r>
        <w:rPr>
          <w:rFonts w:ascii="Arial" w:hAnsi="Arial" w:cs="Arial"/>
          <w:b/>
          <w:color w:val="000000" w:themeColor="text1"/>
          <w:sz w:val="22"/>
          <w:szCs w:val="22"/>
          <w:lang w:val="en-US"/>
        </w:rPr>
        <w:fldChar w:fldCharType="end"/>
      </w:r>
      <w:r>
        <w:rPr>
          <w:rFonts w:ascii="Arial" w:hAnsi="Arial" w:cs="Arial"/>
          <w:b/>
          <w:color w:val="000000" w:themeColor="text1"/>
          <w:sz w:val="22"/>
          <w:szCs w:val="22"/>
          <w:lang w:val="en-US"/>
        </w:rPr>
        <w:t>: Patient Characteristics.</w:t>
      </w:r>
    </w:p>
    <w:p>
      <w:pPr>
        <w:spacing w:line="480" w:lineRule="auto"/>
        <w:jc w:val="both"/>
        <w:rPr>
          <w:rFonts w:ascii="Arial" w:hAnsi="Arial" w:cs="Arial"/>
          <w:color w:val="000000" w:themeColor="text1"/>
          <w:sz w:val="22"/>
          <w:szCs w:val="22"/>
          <w:lang w:val="en-US" w:eastAsia="en-US"/>
        </w:rPr>
      </w:pPr>
      <w:r>
        <w:rPr>
          <w:rFonts w:ascii="Arial" w:hAnsi="Arial" w:cs="Arial"/>
          <w:color w:val="000000" w:themeColor="text1"/>
          <w:sz w:val="22"/>
          <w:szCs w:val="22"/>
          <w:lang w:val="en-US" w:eastAsia="en-US"/>
        </w:rPr>
        <w:t xml:space="preserve">Characteristics of analyzed AML patients. From left to right: Patient ID, sex, age at primary diagnosis, primary or relapse at sample collection, AML type (FAB classification). </w:t>
      </w:r>
    </w:p>
    <w:p>
      <w:pPr>
        <w:spacing w:line="480" w:lineRule="auto"/>
        <w:jc w:val="both"/>
        <w:rPr>
          <w:rFonts w:ascii="Arial" w:hAnsi="Arial" w:cs="Arial"/>
          <w:color w:val="000000" w:themeColor="text1"/>
          <w:sz w:val="22"/>
          <w:szCs w:val="22"/>
          <w:lang w:val="en-US" w:eastAsia="en-US"/>
        </w:rPr>
      </w:pPr>
    </w:p>
    <w:p>
      <w:pPr>
        <w:spacing w:line="480" w:lineRule="auto"/>
        <w:jc w:val="both"/>
        <w:rPr>
          <w:rFonts w:ascii="Arial" w:hAnsi="Arial" w:cs="Arial"/>
          <w:b/>
          <w:color w:val="000000" w:themeColor="text1"/>
          <w:sz w:val="22"/>
          <w:szCs w:val="22"/>
          <w:lang w:val="en-US" w:eastAsia="en-US"/>
        </w:rPr>
      </w:pPr>
      <w:r>
        <w:rPr>
          <w:rFonts w:ascii="Arial" w:hAnsi="Arial" w:cs="Arial"/>
          <w:b/>
          <w:color w:val="000000" w:themeColor="text1"/>
          <w:sz w:val="22"/>
          <w:szCs w:val="22"/>
          <w:lang w:val="en-US" w:eastAsia="en-US"/>
        </w:rPr>
        <w:t>Supplementary Figure 2: Gating strategy of bone marrow analysis, expression analysis of AdCAR T cells, and CD33/CD38 expression on activated T cells.</w:t>
      </w:r>
    </w:p>
    <w:p>
      <w:pPr>
        <w:pStyle w:val="Beschriftung"/>
        <w:spacing w:line="600" w:lineRule="auto"/>
        <w:jc w:val="both"/>
        <w:rPr>
          <w:rFonts w:ascii="Arial" w:hAnsi="Arial" w:cs="Arial"/>
          <w:i w:val="0"/>
          <w:color w:val="000000" w:themeColor="text1"/>
          <w:sz w:val="22"/>
          <w:szCs w:val="22"/>
        </w:rPr>
      </w:pPr>
      <w:r>
        <w:rPr>
          <w:rFonts w:ascii="Arial" w:hAnsi="Arial" w:cs="Arial"/>
          <w:b/>
          <w:i w:val="0"/>
          <w:color w:val="000000" w:themeColor="text1"/>
          <w:sz w:val="22"/>
          <w:szCs w:val="22"/>
        </w:rPr>
        <w:t>A</w:t>
      </w:r>
      <w:r>
        <w:rPr>
          <w:rFonts w:ascii="Arial" w:hAnsi="Arial" w:cs="Arial"/>
          <w:i w:val="0"/>
          <w:color w:val="000000" w:themeColor="text1"/>
          <w:sz w:val="22"/>
          <w:szCs w:val="22"/>
        </w:rPr>
        <w:t xml:space="preserve"> Flow cytometry gating strategy of bone marrow from an AML patient. From left to right: lymphocytes defined via FSC-A and SSC-A, doublet discrimination via FSC-A vs. FSC-H and SSC-A vs. SSC-H, dead cells discrimination via ZOMBIE UV™ viability dye, AML blasts defined as CD45 dim. </w:t>
      </w:r>
      <w:r>
        <w:rPr>
          <w:rFonts w:ascii="Arial" w:hAnsi="Arial" w:cs="Arial"/>
          <w:b/>
          <w:i w:val="0"/>
          <w:color w:val="000000" w:themeColor="text1"/>
          <w:sz w:val="22"/>
          <w:szCs w:val="22"/>
        </w:rPr>
        <w:t>B</w:t>
      </w:r>
      <w:r>
        <w:rPr>
          <w:rFonts w:ascii="Arial" w:hAnsi="Arial" w:cs="Arial"/>
          <w:i w:val="0"/>
          <w:color w:val="000000" w:themeColor="text1"/>
          <w:sz w:val="22"/>
          <w:szCs w:val="22"/>
        </w:rPr>
        <w:t xml:space="preserve"> Gating strategy of healthy bone marrow: From left to right: lymphocytes defined via FSC-A and SSC-A, doublet discrimination via FSC-A vs. FSC-H and SSC-A vs. SSC-H, dead cells discrimination via ZOMBIE UV™ viability dye, CD45 dim defining HSPCs as CD34</w:t>
      </w:r>
      <w:r>
        <w:rPr>
          <w:rFonts w:ascii="Arial" w:hAnsi="Arial" w:cs="Arial"/>
          <w:i w:val="0"/>
          <w:color w:val="000000" w:themeColor="text1"/>
          <w:sz w:val="22"/>
          <w:szCs w:val="22"/>
          <w:vertAlign w:val="superscript"/>
        </w:rPr>
        <w:t>+</w:t>
      </w:r>
      <w:r>
        <w:rPr>
          <w:rFonts w:ascii="Arial" w:hAnsi="Arial" w:cs="Arial"/>
          <w:i w:val="0"/>
          <w:color w:val="000000" w:themeColor="text1"/>
          <w:sz w:val="22"/>
          <w:szCs w:val="22"/>
        </w:rPr>
        <w:t>/CD38</w:t>
      </w:r>
      <w:r>
        <w:rPr>
          <w:rFonts w:ascii="Arial" w:hAnsi="Arial" w:cs="Arial"/>
          <w:i w:val="0"/>
          <w:color w:val="000000" w:themeColor="text1"/>
          <w:sz w:val="22"/>
          <w:szCs w:val="22"/>
          <w:vertAlign w:val="superscript"/>
        </w:rPr>
        <w:t>+</w:t>
      </w:r>
      <w:r>
        <w:rPr>
          <w:rFonts w:ascii="Arial" w:hAnsi="Arial" w:cs="Arial"/>
          <w:i w:val="0"/>
          <w:color w:val="000000" w:themeColor="text1"/>
          <w:sz w:val="22"/>
          <w:szCs w:val="22"/>
        </w:rPr>
        <w:t xml:space="preserve"> and HSCs as CD34 CD34</w:t>
      </w:r>
      <w:r>
        <w:rPr>
          <w:rFonts w:ascii="Arial" w:hAnsi="Arial" w:cs="Arial"/>
          <w:i w:val="0"/>
          <w:color w:val="000000" w:themeColor="text1"/>
          <w:sz w:val="22"/>
          <w:szCs w:val="22"/>
          <w:vertAlign w:val="superscript"/>
        </w:rPr>
        <w:t>+</w:t>
      </w:r>
      <w:r>
        <w:rPr>
          <w:rFonts w:ascii="Arial" w:hAnsi="Arial" w:cs="Arial"/>
          <w:i w:val="0"/>
          <w:color w:val="000000" w:themeColor="text1"/>
          <w:sz w:val="22"/>
          <w:szCs w:val="22"/>
        </w:rPr>
        <w:t>/CD38</w:t>
      </w:r>
      <w:r>
        <w:rPr>
          <w:rFonts w:ascii="Arial" w:hAnsi="Arial" w:cs="Arial"/>
          <w:i w:val="0"/>
          <w:color w:val="000000" w:themeColor="text1"/>
          <w:sz w:val="22"/>
          <w:szCs w:val="22"/>
          <w:vertAlign w:val="superscript"/>
        </w:rPr>
        <w:t>-</w:t>
      </w:r>
      <w:r>
        <w:rPr>
          <w:rFonts w:ascii="Arial" w:hAnsi="Arial" w:cs="Arial"/>
          <w:i w:val="0"/>
          <w:color w:val="000000" w:themeColor="text1"/>
          <w:sz w:val="22"/>
          <w:szCs w:val="22"/>
        </w:rPr>
        <w:t xml:space="preserve">. </w:t>
      </w:r>
      <w:r>
        <w:rPr>
          <w:rFonts w:ascii="Arial" w:hAnsi="Arial" w:cs="Arial"/>
          <w:b/>
          <w:i w:val="0"/>
          <w:color w:val="000000" w:themeColor="text1"/>
          <w:sz w:val="22"/>
          <w:szCs w:val="22"/>
        </w:rPr>
        <w:t>C</w:t>
      </w:r>
      <w:r>
        <w:rPr>
          <w:rFonts w:ascii="Arial" w:hAnsi="Arial" w:cs="Arial"/>
          <w:i w:val="0"/>
          <w:color w:val="000000" w:themeColor="text1"/>
          <w:sz w:val="22"/>
          <w:szCs w:val="22"/>
        </w:rPr>
        <w:t xml:space="preserve"> Exemplary AdCAR T expression analysis determined by flow cytometry and stained with</w:t>
      </w:r>
      <w:r>
        <w:rPr>
          <w:rFonts w:ascii="Arial" w:hAnsi="Arial" w:cs="Arial"/>
          <w:color w:val="000000" w:themeColor="text1"/>
          <w:sz w:val="22"/>
          <w:szCs w:val="22"/>
        </w:rPr>
        <w:t xml:space="preserve"> </w:t>
      </w:r>
      <w:r>
        <w:rPr>
          <w:rFonts w:ascii="Arial" w:hAnsi="Arial" w:cs="Arial"/>
          <w:i w:val="0"/>
          <w:color w:val="000000" w:themeColor="text1"/>
          <w:sz w:val="22"/>
          <w:szCs w:val="22"/>
        </w:rPr>
        <w:t xml:space="preserve">AdCAR detection reagent PE (Miltenyi Biotec). </w:t>
      </w:r>
      <w:r>
        <w:rPr>
          <w:rFonts w:ascii="Arial" w:hAnsi="Arial" w:cs="Arial"/>
          <w:b/>
          <w:i w:val="0"/>
          <w:color w:val="000000" w:themeColor="text1"/>
          <w:sz w:val="22"/>
          <w:szCs w:val="22"/>
        </w:rPr>
        <w:t xml:space="preserve"> D</w:t>
      </w:r>
      <w:r>
        <w:rPr>
          <w:rFonts w:ascii="Arial" w:hAnsi="Arial" w:cs="Arial"/>
          <w:i w:val="0"/>
          <w:color w:val="000000" w:themeColor="text1"/>
          <w:sz w:val="22"/>
          <w:szCs w:val="22"/>
        </w:rPr>
        <w:t xml:space="preserve"> CD33 and CD38 expression on activated T cells is shown as histograms of an exemplary donor (left). CD33 and CD38 expression on activated T cells from 5 different donors (right). Each data point represents an individual heathy donor, horizontal lines the mean value ± standard deviation (SD).</w:t>
      </w:r>
    </w:p>
    <w:p>
      <w:pPr>
        <w:spacing w:line="600" w:lineRule="auto"/>
        <w:jc w:val="both"/>
        <w:rPr>
          <w:rFonts w:ascii="Arial" w:hAnsi="Arial" w:cs="Arial"/>
          <w:color w:val="000000" w:themeColor="text1"/>
          <w:sz w:val="22"/>
          <w:szCs w:val="22"/>
          <w:lang w:val="en-US" w:eastAsia="en-US"/>
        </w:rPr>
      </w:pPr>
    </w:p>
    <w:p>
      <w:pPr>
        <w:spacing w:line="600" w:lineRule="auto"/>
        <w:jc w:val="both"/>
        <w:rPr>
          <w:rFonts w:ascii="Arial" w:hAnsi="Arial" w:cs="Arial"/>
          <w:b/>
          <w:color w:val="000000" w:themeColor="text1"/>
          <w:sz w:val="22"/>
          <w:szCs w:val="22"/>
          <w:lang w:val="en-US" w:eastAsia="en-US"/>
        </w:rPr>
      </w:pPr>
      <w:r>
        <w:rPr>
          <w:rFonts w:ascii="Arial" w:hAnsi="Arial" w:cs="Arial"/>
          <w:b/>
          <w:color w:val="000000" w:themeColor="text1"/>
          <w:sz w:val="22"/>
          <w:szCs w:val="22"/>
          <w:lang w:val="en-US" w:eastAsia="en-US"/>
        </w:rPr>
        <w:t>Supplementary Figure 3: Flow chart of LLE-</w:t>
      </w:r>
      <w:proofErr w:type="spellStart"/>
      <w:r>
        <w:rPr>
          <w:rFonts w:ascii="Arial" w:hAnsi="Arial" w:cs="Arial"/>
          <w:b/>
          <w:color w:val="000000" w:themeColor="text1"/>
          <w:sz w:val="22"/>
          <w:szCs w:val="22"/>
          <w:lang w:val="en-US" w:eastAsia="en-US"/>
        </w:rPr>
        <w:t>mAb</w:t>
      </w:r>
      <w:proofErr w:type="spellEnd"/>
      <w:r>
        <w:rPr>
          <w:rFonts w:ascii="Arial" w:hAnsi="Arial" w:cs="Arial"/>
          <w:b/>
          <w:color w:val="000000" w:themeColor="text1"/>
          <w:sz w:val="22"/>
          <w:szCs w:val="22"/>
          <w:lang w:val="en-US" w:eastAsia="en-US"/>
        </w:rPr>
        <w:t xml:space="preserve"> production.</w:t>
      </w:r>
    </w:p>
    <w:p>
      <w:pPr>
        <w:spacing w:line="600" w:lineRule="auto"/>
        <w:jc w:val="both"/>
        <w:rPr>
          <w:rFonts w:ascii="Arial" w:hAnsi="Arial" w:cs="Arial"/>
          <w:color w:val="000000" w:themeColor="text1"/>
          <w:sz w:val="22"/>
          <w:szCs w:val="22"/>
          <w:lang w:val="en-US" w:eastAsia="en-US"/>
        </w:rPr>
      </w:pPr>
      <w:r>
        <w:rPr>
          <w:rFonts w:ascii="Arial" w:hAnsi="Arial" w:cs="Arial"/>
          <w:color w:val="000000" w:themeColor="text1"/>
          <w:sz w:val="22"/>
          <w:szCs w:val="22"/>
          <w:lang w:val="en-US" w:eastAsia="en-US"/>
        </w:rPr>
        <w:t xml:space="preserve">VH and LH sequences for the respective mAbs were cloned on an Fc-attenuated (L234A/L235A (LALA)) IgG1 backbone in a pcDNA™3.1 (+) mammalian expression vector. </w:t>
      </w:r>
      <w:proofErr w:type="spellStart"/>
      <w:r>
        <w:rPr>
          <w:rFonts w:ascii="Arial" w:hAnsi="Arial" w:cs="Arial"/>
          <w:color w:val="000000" w:themeColor="text1"/>
          <w:sz w:val="22"/>
          <w:szCs w:val="22"/>
          <w:lang w:val="en-US" w:eastAsia="en-US"/>
        </w:rPr>
        <w:lastRenderedPageBreak/>
        <w:t>ExpiCHO</w:t>
      </w:r>
      <w:proofErr w:type="spellEnd"/>
      <w:r>
        <w:rPr>
          <w:rFonts w:ascii="Arial" w:hAnsi="Arial" w:cs="Arial"/>
          <w:color w:val="000000" w:themeColor="text1"/>
          <w:sz w:val="22"/>
          <w:szCs w:val="22"/>
          <w:lang w:val="en-US" w:eastAsia="en-US"/>
        </w:rPr>
        <w:t xml:space="preserve">™ cells were cultured until reaching the desired cell amount a density for transient transfection. Transfection was performed according to the manufacturer’s instructions, using the high titer protocol. Antibodies in the clarified and filtered supernatant were harvested by centrifugation and purified using </w:t>
      </w:r>
      <w:proofErr w:type="spellStart"/>
      <w:r>
        <w:rPr>
          <w:rFonts w:ascii="Arial" w:hAnsi="Arial" w:cs="Arial"/>
          <w:color w:val="000000" w:themeColor="text1"/>
          <w:sz w:val="22"/>
          <w:szCs w:val="22"/>
          <w:lang w:val="en-US" w:eastAsia="en-US"/>
        </w:rPr>
        <w:t>rProtein</w:t>
      </w:r>
      <w:proofErr w:type="spellEnd"/>
      <w:r>
        <w:rPr>
          <w:rFonts w:ascii="Arial" w:hAnsi="Arial" w:cs="Arial"/>
          <w:color w:val="000000" w:themeColor="text1"/>
          <w:sz w:val="22"/>
          <w:szCs w:val="22"/>
          <w:lang w:val="en-US" w:eastAsia="en-US"/>
        </w:rPr>
        <w:t xml:space="preserve"> A </w:t>
      </w:r>
      <w:proofErr w:type="spellStart"/>
      <w:r>
        <w:rPr>
          <w:rFonts w:ascii="Arial" w:hAnsi="Arial" w:cs="Arial"/>
          <w:color w:val="000000" w:themeColor="text1"/>
          <w:sz w:val="22"/>
          <w:szCs w:val="22"/>
          <w:lang w:val="en-US" w:eastAsia="en-US"/>
        </w:rPr>
        <w:t>GraviTrap</w:t>
      </w:r>
      <w:proofErr w:type="spellEnd"/>
      <w:r>
        <w:rPr>
          <w:rFonts w:ascii="Arial" w:hAnsi="Arial" w:cs="Arial"/>
          <w:color w:val="000000" w:themeColor="text1"/>
          <w:sz w:val="22"/>
          <w:szCs w:val="22"/>
          <w:lang w:val="en-US" w:eastAsia="en-US"/>
        </w:rPr>
        <w:t xml:space="preserve"> columns (</w:t>
      </w:r>
      <w:proofErr w:type="spellStart"/>
      <w:r>
        <w:rPr>
          <w:rFonts w:ascii="Arial" w:hAnsi="Arial" w:cs="Arial"/>
          <w:color w:val="000000" w:themeColor="text1"/>
          <w:sz w:val="22"/>
          <w:szCs w:val="22"/>
          <w:lang w:val="en-US" w:eastAsia="en-US"/>
        </w:rPr>
        <w:t>Cytiva</w:t>
      </w:r>
      <w:proofErr w:type="spellEnd"/>
      <w:r>
        <w:rPr>
          <w:rFonts w:ascii="Arial" w:hAnsi="Arial" w:cs="Arial"/>
          <w:color w:val="000000" w:themeColor="text1"/>
          <w:sz w:val="22"/>
          <w:szCs w:val="22"/>
          <w:lang w:val="en-US" w:eastAsia="en-US"/>
        </w:rPr>
        <w:t>) followed by desalting with PD10 Sephadex G25 columns (</w:t>
      </w:r>
      <w:proofErr w:type="spellStart"/>
      <w:r>
        <w:rPr>
          <w:rFonts w:ascii="Arial" w:hAnsi="Arial" w:cs="Arial"/>
          <w:color w:val="000000" w:themeColor="text1"/>
          <w:sz w:val="22"/>
          <w:szCs w:val="22"/>
          <w:lang w:val="en-US" w:eastAsia="en-US"/>
        </w:rPr>
        <w:t>Cytiva</w:t>
      </w:r>
      <w:proofErr w:type="spellEnd"/>
      <w:r>
        <w:rPr>
          <w:rFonts w:ascii="Arial" w:hAnsi="Arial" w:cs="Arial"/>
          <w:color w:val="000000" w:themeColor="text1"/>
          <w:sz w:val="22"/>
          <w:szCs w:val="22"/>
          <w:lang w:val="en-US" w:eastAsia="en-US"/>
        </w:rPr>
        <w:t>). Biotin conjugation of purified antibodies was performed using 3-fold molar excess of biotin-LC-LC-NHS (Thermo Fisher), followed by separation of the antibody/label mix again on a Sephadex G25 column (</w:t>
      </w:r>
      <w:proofErr w:type="spellStart"/>
      <w:r>
        <w:rPr>
          <w:rFonts w:ascii="Arial" w:hAnsi="Arial" w:cs="Arial"/>
          <w:color w:val="000000" w:themeColor="text1"/>
          <w:sz w:val="22"/>
          <w:szCs w:val="22"/>
          <w:lang w:val="en-US" w:eastAsia="en-US"/>
        </w:rPr>
        <w:t>Cytiva</w:t>
      </w:r>
      <w:proofErr w:type="spellEnd"/>
      <w:r>
        <w:rPr>
          <w:rFonts w:ascii="Arial" w:hAnsi="Arial" w:cs="Arial"/>
          <w:color w:val="000000" w:themeColor="text1"/>
          <w:sz w:val="22"/>
          <w:szCs w:val="22"/>
          <w:lang w:val="en-US" w:eastAsia="en-US"/>
        </w:rPr>
        <w:t>). Successful conjugation was confirmed by flow cytometry on cell lines expressing the target antigen and secondary staining with a fluorophore-conjugated anti-biotin antibody (Miltenyi Biotec) and functional assays. Purity was analyzed by SDS Gel analysis.</w:t>
      </w:r>
    </w:p>
    <w:p>
      <w:pPr>
        <w:spacing w:line="600" w:lineRule="auto"/>
        <w:jc w:val="both"/>
        <w:rPr>
          <w:rFonts w:ascii="Arial" w:hAnsi="Arial" w:cs="Arial"/>
          <w:color w:val="000000" w:themeColor="text1"/>
          <w:sz w:val="22"/>
          <w:szCs w:val="22"/>
          <w:lang w:val="en-US" w:eastAsia="en-US"/>
        </w:rPr>
      </w:pPr>
    </w:p>
    <w:p>
      <w:pPr>
        <w:spacing w:line="600" w:lineRule="auto"/>
        <w:jc w:val="both"/>
        <w:rPr>
          <w:rFonts w:ascii="Arial" w:hAnsi="Arial" w:cs="Arial"/>
          <w:b/>
          <w:color w:val="000000" w:themeColor="text1"/>
          <w:sz w:val="22"/>
          <w:szCs w:val="22"/>
          <w:lang w:val="en-US" w:eastAsia="en-US"/>
        </w:rPr>
      </w:pPr>
      <w:r>
        <w:rPr>
          <w:rFonts w:ascii="Arial" w:hAnsi="Arial" w:cs="Arial"/>
          <w:b/>
          <w:color w:val="000000" w:themeColor="text1"/>
          <w:sz w:val="22"/>
          <w:szCs w:val="22"/>
          <w:lang w:val="en-US" w:eastAsia="en-US"/>
        </w:rPr>
        <w:t>Supplementary Figure 4: Flow cytometry analysis of healthy bone marrow.</w:t>
      </w:r>
    </w:p>
    <w:p>
      <w:pPr>
        <w:spacing w:line="600" w:lineRule="auto"/>
        <w:jc w:val="both"/>
        <w:rPr>
          <w:rFonts w:ascii="Arial" w:hAnsi="Arial" w:cs="Arial"/>
          <w:color w:val="000000" w:themeColor="text1"/>
          <w:sz w:val="22"/>
          <w:szCs w:val="22"/>
          <w:lang w:val="en-US" w:eastAsia="en-US"/>
        </w:rPr>
      </w:pPr>
      <w:r>
        <w:rPr>
          <w:rFonts w:ascii="Arial" w:hAnsi="Arial" w:cs="Arial"/>
          <w:color w:val="000000" w:themeColor="text1"/>
          <w:sz w:val="22"/>
          <w:szCs w:val="22"/>
          <w:lang w:val="en-US" w:eastAsia="en-US"/>
        </w:rPr>
        <w:t>A UMAP based on the expression of CD45, CD3, CD34, CD33, CD38, CD123, CD135 and CD371 as well as FSC and SSC signals, as determined by flow cytometry, of an exemplary healthy bone marrow sample. B Antigen expression of CD45, CD3, CD34, CD33, CD38, CD123, CD135 and CD371, each dot representing one cells. A Clustering compared with antigen expression allows a clear separation of the main cell populations T cells, Monocytes, not T lymphocytes, as well as HSCs, and HSPCs.</w:t>
      </w:r>
    </w:p>
    <w:p>
      <w:pPr>
        <w:spacing w:line="600" w:lineRule="auto"/>
        <w:jc w:val="both"/>
        <w:rPr>
          <w:rFonts w:ascii="Arial" w:hAnsi="Arial" w:cs="Arial"/>
          <w:color w:val="000000" w:themeColor="text1"/>
          <w:sz w:val="22"/>
          <w:szCs w:val="22"/>
          <w:lang w:val="en-US" w:eastAsia="en-US"/>
        </w:rPr>
      </w:pPr>
    </w:p>
    <w:p>
      <w:pPr>
        <w:spacing w:line="600" w:lineRule="auto"/>
        <w:jc w:val="both"/>
        <w:rPr>
          <w:rFonts w:ascii="Arial" w:hAnsi="Arial" w:cs="Arial"/>
          <w:b/>
          <w:color w:val="000000" w:themeColor="text1"/>
          <w:sz w:val="22"/>
          <w:szCs w:val="22"/>
          <w:lang w:val="en-US" w:eastAsia="en-US"/>
        </w:rPr>
      </w:pPr>
      <w:r>
        <w:rPr>
          <w:rFonts w:ascii="Arial" w:hAnsi="Arial" w:cs="Arial"/>
          <w:b/>
          <w:color w:val="000000" w:themeColor="text1"/>
          <w:sz w:val="22"/>
          <w:szCs w:val="22"/>
          <w:lang w:val="en-US" w:eastAsia="en-US"/>
        </w:rPr>
        <w:t>Supplementary Figure 5: In vitro evaluation of multiplex targeting by AdCAR-T vs. U937.</w:t>
      </w:r>
    </w:p>
    <w:p>
      <w:pPr>
        <w:spacing w:line="600" w:lineRule="auto"/>
        <w:jc w:val="both"/>
        <w:rPr>
          <w:rFonts w:ascii="Arial" w:hAnsi="Arial" w:cs="Arial"/>
          <w:color w:val="000000" w:themeColor="text1"/>
          <w:sz w:val="22"/>
          <w:szCs w:val="22"/>
          <w:lang w:val="en-US" w:eastAsia="en-US"/>
        </w:rPr>
      </w:pPr>
      <w:r>
        <w:rPr>
          <w:rFonts w:ascii="Arial" w:hAnsi="Arial" w:cs="Arial"/>
          <w:color w:val="000000" w:themeColor="text1"/>
          <w:sz w:val="22"/>
          <w:szCs w:val="22"/>
          <w:lang w:val="en-US" w:eastAsia="en-US"/>
        </w:rPr>
        <w:t xml:space="preserve">U937 wildtype (WT), U937 CD33KO, U937 CD38KO, and U937 CD33/CD38 KO were mixed at a 1:1:1:1 ratio. AdCAR-T were added at an E:T ratio of 1:1. LLE-aCD33, LLE-aCD38, or LLE-aCD371 as well as combinations thereof were added to reach a final concentration of 10 </w:t>
      </w:r>
      <w:r>
        <w:rPr>
          <w:rFonts w:ascii="Arial" w:hAnsi="Arial" w:cs="Arial"/>
          <w:color w:val="000000" w:themeColor="text1"/>
          <w:sz w:val="22"/>
          <w:szCs w:val="22"/>
          <w:lang w:val="en-US" w:eastAsia="en-US"/>
        </w:rPr>
        <w:lastRenderedPageBreak/>
        <w:t>ng/</w:t>
      </w:r>
      <w:proofErr w:type="spellStart"/>
      <w:r>
        <w:rPr>
          <w:rFonts w:ascii="Arial" w:hAnsi="Arial" w:cs="Arial"/>
          <w:color w:val="000000" w:themeColor="text1"/>
          <w:sz w:val="22"/>
          <w:szCs w:val="22"/>
          <w:lang w:val="en-US" w:eastAsia="en-US"/>
        </w:rPr>
        <w:t>mL.</w:t>
      </w:r>
      <w:proofErr w:type="spellEnd"/>
      <w:r>
        <w:rPr>
          <w:rFonts w:ascii="Arial" w:hAnsi="Arial" w:cs="Arial"/>
          <w:color w:val="000000" w:themeColor="text1"/>
          <w:sz w:val="22"/>
          <w:szCs w:val="22"/>
          <w:lang w:val="en-US" w:eastAsia="en-US"/>
        </w:rPr>
        <w:t xml:space="preserve"> B UMAP, representing batched surviving target cells after 48h of incubation of all conditions (n=3 each condition), based on the expression of CD33, CD38 and CD371, as determined by flow cytometry. From left to right, viable target cells for indicated conditions are plotted in color. From top to bottom, expression of CD33, CD38, and CD371 are color-coded.  </w:t>
      </w:r>
    </w:p>
    <w:p>
      <w:pPr>
        <w:spacing w:line="600" w:lineRule="auto"/>
        <w:jc w:val="both"/>
        <w:rPr>
          <w:rFonts w:ascii="Arial" w:hAnsi="Arial" w:cs="Arial"/>
          <w:color w:val="000000" w:themeColor="text1"/>
          <w:sz w:val="22"/>
          <w:szCs w:val="22"/>
          <w:lang w:val="en-US" w:eastAsia="en-US"/>
        </w:rPr>
      </w:pPr>
    </w:p>
    <w:p>
      <w:pPr>
        <w:spacing w:line="600" w:lineRule="auto"/>
        <w:jc w:val="both"/>
        <w:rPr>
          <w:rFonts w:ascii="Arial" w:hAnsi="Arial" w:cs="Arial"/>
          <w:b/>
          <w:color w:val="000000" w:themeColor="text1"/>
          <w:sz w:val="22"/>
          <w:szCs w:val="22"/>
          <w:lang w:val="en-US" w:eastAsia="en-US"/>
        </w:rPr>
      </w:pPr>
      <w:r>
        <w:rPr>
          <w:rFonts w:ascii="Arial" w:hAnsi="Arial" w:cs="Arial"/>
          <w:b/>
          <w:color w:val="000000" w:themeColor="text1"/>
          <w:sz w:val="22"/>
          <w:szCs w:val="22"/>
          <w:lang w:val="en-US" w:eastAsia="en-US"/>
        </w:rPr>
        <w:t xml:space="preserve">Supplementary Figure 6 Bone marrow analysis of PDX mice. </w:t>
      </w:r>
    </w:p>
    <w:p>
      <w:pPr>
        <w:spacing w:line="600" w:lineRule="auto"/>
        <w:jc w:val="both"/>
        <w:rPr>
          <w:rFonts w:ascii="Arial" w:hAnsi="Arial" w:cs="Arial"/>
          <w:bCs/>
          <w:color w:val="000000" w:themeColor="text1"/>
          <w:sz w:val="22"/>
          <w:szCs w:val="22"/>
          <w:lang w:val="en-US" w:eastAsia="en-US"/>
        </w:rPr>
      </w:pPr>
      <w:r>
        <w:rPr>
          <w:rFonts w:ascii="Arial" w:hAnsi="Arial" w:cs="Arial"/>
          <w:color w:val="000000" w:themeColor="text1"/>
          <w:sz w:val="22"/>
          <w:szCs w:val="22"/>
          <w:lang w:val="en-US" w:eastAsia="en-US"/>
        </w:rPr>
        <w:t xml:space="preserve">A Gating strategy of bone marrow end point analysis from the in vivo PDX experiment. Lymphocytes defined via FSC-A and SSC-A, doublet discrimination via FSC-A vs. FSC-H and SSC-A vs. SSC-H, dead cells discrimination via 7AAD. Tumor cells are defined as CD45 human+ / CD3-. B Expression profile of CD33, CD38, CD123, CD135, and CD371 of the PDX cells from the untreated control group (Tumor only). C CD3+ frequency in bone marrow at end point analysis. Each group represents 4-5 mice, horizontal lines the mean value ± standard deviation (SD). </w:t>
      </w:r>
      <w:r>
        <w:rPr>
          <w:rFonts w:ascii="Arial" w:hAnsi="Arial" w:cs="Arial"/>
          <w:bCs/>
          <w:color w:val="000000" w:themeColor="text1"/>
          <w:sz w:val="22"/>
          <w:szCs w:val="22"/>
          <w:lang w:val="en-US" w:eastAsia="en-US"/>
        </w:rPr>
        <w:t xml:space="preserve">The full table of the respective statistical analysis is provided in the </w:t>
      </w:r>
      <w:r>
        <w:rPr>
          <w:rFonts w:ascii="Arial" w:hAnsi="Arial" w:cs="Arial"/>
          <w:b/>
          <w:bCs/>
          <w:i/>
          <w:color w:val="000000" w:themeColor="text1"/>
          <w:sz w:val="22"/>
          <w:szCs w:val="22"/>
          <w:lang w:val="en-US" w:eastAsia="en-US"/>
        </w:rPr>
        <w:t>Additional file 1</w:t>
      </w:r>
      <w:r>
        <w:rPr>
          <w:rFonts w:ascii="Arial" w:hAnsi="Arial" w:cs="Arial"/>
          <w:b/>
          <w:bCs/>
          <w:color w:val="000000" w:themeColor="text1"/>
          <w:sz w:val="22"/>
          <w:szCs w:val="22"/>
          <w:lang w:val="en-US" w:eastAsia="en-US"/>
        </w:rPr>
        <w:t>.</w:t>
      </w:r>
    </w:p>
    <w:p>
      <w:pPr>
        <w:spacing w:line="600" w:lineRule="auto"/>
        <w:jc w:val="both"/>
        <w:rPr>
          <w:rFonts w:ascii="Arial" w:hAnsi="Arial" w:cs="Arial"/>
          <w:color w:val="000000" w:themeColor="text1"/>
          <w:sz w:val="22"/>
          <w:szCs w:val="22"/>
          <w:lang w:val="en-US" w:eastAsia="en-US"/>
        </w:rPr>
      </w:pPr>
    </w:p>
    <w:p>
      <w:pPr>
        <w:jc w:val="both"/>
        <w:rPr>
          <w:rFonts w:ascii="Arial" w:hAnsi="Arial" w:cs="Arial"/>
          <w:color w:val="000000" w:themeColor="text1"/>
          <w:sz w:val="22"/>
          <w:szCs w:val="22"/>
          <w:lang w:val="en-US" w:eastAsia="en-US"/>
        </w:rPr>
      </w:pPr>
      <w:r>
        <w:rPr>
          <w:rFonts w:ascii="Arial" w:hAnsi="Arial" w:cs="Arial"/>
          <w:color w:val="000000" w:themeColor="text1"/>
          <w:sz w:val="22"/>
          <w:szCs w:val="22"/>
          <w:lang w:val="en-US" w:eastAsia="en-US"/>
        </w:rPr>
        <w:br w:type="page"/>
      </w:r>
    </w:p>
    <w:p>
      <w:pPr>
        <w:spacing w:line="480" w:lineRule="auto"/>
        <w:jc w:val="both"/>
        <w:rPr>
          <w:rFonts w:ascii="Arial" w:hAnsi="Arial" w:cs="Arial"/>
          <w:b/>
          <w:color w:val="000000" w:themeColor="text1"/>
          <w:sz w:val="22"/>
          <w:szCs w:val="22"/>
          <w:lang w:val="en-US" w:eastAsia="en-US"/>
        </w:rPr>
      </w:pPr>
      <w:r>
        <w:rPr>
          <w:rFonts w:ascii="Arial" w:hAnsi="Arial" w:cs="Arial"/>
          <w:b/>
          <w:color w:val="000000" w:themeColor="text1"/>
          <w:sz w:val="22"/>
          <w:szCs w:val="22"/>
          <w:lang w:val="en-US" w:eastAsia="en-US"/>
        </w:rPr>
        <w:lastRenderedPageBreak/>
        <w:t>Supplementary Figure 1</w:t>
      </w:r>
      <w:r>
        <w:rPr>
          <w:rFonts w:ascii="Arial" w:hAnsi="Arial" w:cs="Arial"/>
          <w:noProof/>
          <w:color w:val="000000" w:themeColor="text1"/>
          <w:sz w:val="22"/>
          <w:szCs w:val="22"/>
          <w:lang w:val="en-US"/>
        </w:rPr>
        <w:drawing>
          <wp:inline distT="0" distB="0" distL="0" distR="0">
            <wp:extent cx="5747385" cy="537952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3867"/>
                    <a:stretch/>
                  </pic:blipFill>
                  <pic:spPr bwMode="auto">
                    <a:xfrm>
                      <a:off x="0" y="0"/>
                      <a:ext cx="5747385" cy="5379522"/>
                    </a:xfrm>
                    <a:prstGeom prst="rect">
                      <a:avLst/>
                    </a:prstGeom>
                    <a:noFill/>
                    <a:ln>
                      <a:noFill/>
                    </a:ln>
                    <a:extLst>
                      <a:ext uri="{53640926-AAD7-44D8-BBD7-CCE9431645EC}">
                        <a14:shadowObscured xmlns:a14="http://schemas.microsoft.com/office/drawing/2010/main"/>
                      </a:ext>
                    </a:extLst>
                  </pic:spPr>
                </pic:pic>
              </a:graphicData>
            </a:graphic>
          </wp:inline>
        </w:drawing>
      </w:r>
    </w:p>
    <w:p>
      <w:pPr>
        <w:spacing w:line="48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br w:type="page"/>
      </w:r>
    </w:p>
    <w:p>
      <w:pPr>
        <w:spacing w:line="480" w:lineRule="auto"/>
        <w:jc w:val="both"/>
        <w:rPr>
          <w:rFonts w:ascii="Arial" w:hAnsi="Arial" w:cs="Arial"/>
          <w:color w:val="000000" w:themeColor="text1"/>
          <w:sz w:val="22"/>
          <w:szCs w:val="22"/>
          <w:lang w:val="en-US"/>
        </w:rPr>
      </w:pPr>
      <w:r>
        <w:rPr>
          <w:rFonts w:ascii="Arial" w:hAnsi="Arial" w:cs="Arial"/>
          <w:b/>
          <w:color w:val="000000" w:themeColor="text1"/>
          <w:sz w:val="22"/>
          <w:szCs w:val="22"/>
          <w:lang w:val="en-US" w:eastAsia="en-US"/>
        </w:rPr>
        <w:lastRenderedPageBreak/>
        <w:t>Supplementary Figure 2</w:t>
      </w:r>
    </w:p>
    <w:p>
      <w:pPr>
        <w:keepNext/>
        <w:spacing w:line="480" w:lineRule="auto"/>
        <w:jc w:val="both"/>
        <w:rPr>
          <w:rFonts w:ascii="Arial" w:hAnsi="Arial" w:cs="Arial"/>
          <w:color w:val="000000" w:themeColor="text1"/>
          <w:sz w:val="22"/>
          <w:szCs w:val="22"/>
          <w:lang w:val="en-US"/>
        </w:rPr>
      </w:pPr>
      <w:r>
        <w:rPr>
          <w:rFonts w:ascii="Arial" w:hAnsi="Arial" w:cs="Arial"/>
          <w:noProof/>
          <w:color w:val="000000" w:themeColor="text1"/>
          <w:sz w:val="22"/>
          <w:szCs w:val="22"/>
          <w:lang w:val="en-US"/>
        </w:rPr>
        <w:drawing>
          <wp:inline distT="0" distB="0" distL="0" distR="0">
            <wp:extent cx="5747385" cy="441762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45692"/>
                    <a:stretch/>
                  </pic:blipFill>
                  <pic:spPr bwMode="auto">
                    <a:xfrm>
                      <a:off x="0" y="0"/>
                      <a:ext cx="5747385" cy="4417620"/>
                    </a:xfrm>
                    <a:prstGeom prst="rect">
                      <a:avLst/>
                    </a:prstGeom>
                    <a:noFill/>
                    <a:ln>
                      <a:noFill/>
                    </a:ln>
                    <a:extLst>
                      <a:ext uri="{53640926-AAD7-44D8-BBD7-CCE9431645EC}">
                        <a14:shadowObscured xmlns:a14="http://schemas.microsoft.com/office/drawing/2010/main"/>
                      </a:ext>
                    </a:extLst>
                  </pic:spPr>
                </pic:pic>
              </a:graphicData>
            </a:graphic>
          </wp:inline>
        </w:drawing>
      </w:r>
    </w:p>
    <w:p>
      <w:pPr>
        <w:jc w:val="both"/>
        <w:rPr>
          <w:rFonts w:ascii="Arial" w:hAnsi="Arial" w:cs="Arial"/>
          <w:color w:val="000000" w:themeColor="text1"/>
          <w:sz w:val="22"/>
          <w:szCs w:val="22"/>
          <w:lang w:val="en-US"/>
        </w:rPr>
      </w:pPr>
      <w:r>
        <w:rPr>
          <w:rFonts w:ascii="Arial" w:hAnsi="Arial" w:cs="Arial"/>
          <w:color w:val="000000" w:themeColor="text1"/>
          <w:sz w:val="22"/>
          <w:szCs w:val="22"/>
          <w:lang w:val="en-US"/>
        </w:rPr>
        <w:br w:type="page"/>
      </w:r>
    </w:p>
    <w:p>
      <w:pPr>
        <w:pStyle w:val="Beschriftung"/>
        <w:spacing w:line="480" w:lineRule="auto"/>
        <w:jc w:val="both"/>
        <w:rPr>
          <w:rFonts w:ascii="Arial" w:hAnsi="Arial" w:cs="Arial"/>
          <w:i w:val="0"/>
          <w:color w:val="000000" w:themeColor="text1"/>
          <w:sz w:val="22"/>
          <w:szCs w:val="22"/>
        </w:rPr>
      </w:pPr>
      <w:r>
        <w:rPr>
          <w:rFonts w:ascii="Arial" w:hAnsi="Arial" w:cs="Arial"/>
          <w:b/>
          <w:i w:val="0"/>
          <w:color w:val="000000" w:themeColor="text1"/>
          <w:sz w:val="22"/>
          <w:szCs w:val="22"/>
        </w:rPr>
        <w:lastRenderedPageBreak/>
        <w:t>Supplementary Figure 3</w:t>
      </w:r>
    </w:p>
    <w:p>
      <w:pPr>
        <w:pStyle w:val="Beschriftung"/>
        <w:spacing w:line="480" w:lineRule="auto"/>
        <w:jc w:val="both"/>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extent cx="5759450" cy="347947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b="57288"/>
                    <a:stretch/>
                  </pic:blipFill>
                  <pic:spPr bwMode="auto">
                    <a:xfrm>
                      <a:off x="0" y="0"/>
                      <a:ext cx="5759450" cy="3479470"/>
                    </a:xfrm>
                    <a:prstGeom prst="rect">
                      <a:avLst/>
                    </a:prstGeom>
                    <a:noFill/>
                    <a:ln>
                      <a:noFill/>
                    </a:ln>
                    <a:extLst>
                      <a:ext uri="{53640926-AAD7-44D8-BBD7-CCE9431645EC}">
                        <a14:shadowObscured xmlns:a14="http://schemas.microsoft.com/office/drawing/2010/main"/>
                      </a:ext>
                    </a:extLst>
                  </pic:spPr>
                </pic:pic>
              </a:graphicData>
            </a:graphic>
          </wp:inline>
        </w:drawing>
      </w:r>
    </w:p>
    <w:p>
      <w:pPr>
        <w:jc w:val="both"/>
        <w:rPr>
          <w:rFonts w:ascii="Arial" w:eastAsia="Arial Unicode MS" w:hAnsi="Arial" w:cs="Arial"/>
          <w:bCs/>
          <w:color w:val="000000" w:themeColor="text1"/>
          <w:sz w:val="22"/>
          <w:szCs w:val="22"/>
          <w:lang w:val="en-US"/>
        </w:rPr>
      </w:pPr>
      <w:r>
        <w:rPr>
          <w:rFonts w:ascii="Arial" w:eastAsia="Arial Unicode MS" w:hAnsi="Arial" w:cs="Arial"/>
          <w:bCs/>
          <w:color w:val="000000" w:themeColor="text1"/>
          <w:sz w:val="22"/>
          <w:szCs w:val="22"/>
          <w:lang w:val="en-US"/>
        </w:rPr>
        <w:br w:type="page"/>
      </w:r>
    </w:p>
    <w:p>
      <w:pPr>
        <w:spacing w:line="480" w:lineRule="auto"/>
        <w:jc w:val="both"/>
        <w:rPr>
          <w:rFonts w:ascii="Arial" w:eastAsia="Arial Unicode MS" w:hAnsi="Arial" w:cs="Arial"/>
          <w:bCs/>
          <w:color w:val="000000" w:themeColor="text1"/>
          <w:sz w:val="22"/>
          <w:szCs w:val="22"/>
          <w:lang w:val="en-US"/>
        </w:rPr>
      </w:pPr>
      <w:r>
        <w:rPr>
          <w:rFonts w:ascii="Arial" w:hAnsi="Arial" w:cs="Arial"/>
          <w:b/>
          <w:color w:val="000000" w:themeColor="text1"/>
          <w:sz w:val="22"/>
          <w:szCs w:val="22"/>
          <w:lang w:val="en-US" w:eastAsia="en-US"/>
        </w:rPr>
        <w:lastRenderedPageBreak/>
        <w:t>Supplementary Figure 4</w:t>
      </w:r>
    </w:p>
    <w:p>
      <w:pPr>
        <w:pStyle w:val="Beschriftung"/>
        <w:keepNext/>
        <w:spacing w:line="480" w:lineRule="auto"/>
        <w:jc w:val="both"/>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extent cx="5756144" cy="206734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74582"/>
                    <a:stretch/>
                  </pic:blipFill>
                  <pic:spPr bwMode="auto">
                    <a:xfrm>
                      <a:off x="0" y="0"/>
                      <a:ext cx="5756910" cy="2067615"/>
                    </a:xfrm>
                    <a:prstGeom prst="rect">
                      <a:avLst/>
                    </a:prstGeom>
                    <a:noFill/>
                    <a:ln>
                      <a:noFill/>
                    </a:ln>
                    <a:extLst>
                      <a:ext uri="{53640926-AAD7-44D8-BBD7-CCE9431645EC}">
                        <a14:shadowObscured xmlns:a14="http://schemas.microsoft.com/office/drawing/2010/main"/>
                      </a:ext>
                    </a:extLst>
                  </pic:spPr>
                </pic:pic>
              </a:graphicData>
            </a:graphic>
          </wp:inline>
        </w:drawing>
      </w:r>
    </w:p>
    <w:p>
      <w:pPr>
        <w:spacing w:line="480" w:lineRule="auto"/>
        <w:jc w:val="both"/>
        <w:rPr>
          <w:rFonts w:ascii="Arial" w:hAnsi="Arial" w:cs="Arial"/>
          <w:color w:val="000000" w:themeColor="text1"/>
          <w:sz w:val="22"/>
          <w:szCs w:val="22"/>
          <w:lang w:val="en-US" w:eastAsia="en-US"/>
        </w:rPr>
      </w:pPr>
    </w:p>
    <w:p>
      <w:pPr>
        <w:spacing w:line="480" w:lineRule="auto"/>
        <w:jc w:val="both"/>
        <w:rPr>
          <w:rFonts w:ascii="Arial" w:hAnsi="Arial" w:cs="Arial"/>
          <w:color w:val="000000" w:themeColor="text1"/>
          <w:sz w:val="22"/>
          <w:szCs w:val="22"/>
          <w:lang w:val="en-US" w:eastAsia="en-US"/>
        </w:rPr>
      </w:pPr>
      <w:r>
        <w:rPr>
          <w:rFonts w:ascii="Arial" w:hAnsi="Arial" w:cs="Arial"/>
          <w:b/>
          <w:color w:val="000000" w:themeColor="text1"/>
          <w:sz w:val="22"/>
          <w:szCs w:val="22"/>
          <w:lang w:val="en-US" w:eastAsia="en-US"/>
        </w:rPr>
        <w:t>Supplementary Figure 5</w:t>
      </w:r>
    </w:p>
    <w:p>
      <w:pPr>
        <w:spacing w:line="480" w:lineRule="auto"/>
        <w:jc w:val="both"/>
        <w:rPr>
          <w:rFonts w:ascii="Arial" w:hAnsi="Arial" w:cs="Arial"/>
          <w:color w:val="000000" w:themeColor="text1"/>
          <w:sz w:val="22"/>
          <w:szCs w:val="22"/>
          <w:lang w:val="en-US" w:eastAsia="en-US"/>
        </w:rPr>
      </w:pPr>
      <w:r>
        <w:rPr>
          <w:rFonts w:ascii="Arial" w:hAnsi="Arial" w:cs="Arial"/>
          <w:noProof/>
          <w:color w:val="000000" w:themeColor="text1"/>
          <w:sz w:val="22"/>
          <w:szCs w:val="22"/>
          <w:lang w:val="en-US" w:eastAsia="en-US"/>
        </w:rPr>
        <w:drawing>
          <wp:inline distT="0" distB="0" distL="0" distR="0">
            <wp:extent cx="5756910" cy="3419061"/>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57968"/>
                    <a:stretch/>
                  </pic:blipFill>
                  <pic:spPr bwMode="auto">
                    <a:xfrm>
                      <a:off x="0" y="0"/>
                      <a:ext cx="5756910" cy="3419061"/>
                    </a:xfrm>
                    <a:prstGeom prst="rect">
                      <a:avLst/>
                    </a:prstGeom>
                    <a:noFill/>
                    <a:ln>
                      <a:noFill/>
                    </a:ln>
                    <a:extLst>
                      <a:ext uri="{53640926-AAD7-44D8-BBD7-CCE9431645EC}">
                        <a14:shadowObscured xmlns:a14="http://schemas.microsoft.com/office/drawing/2010/main"/>
                      </a:ext>
                    </a:extLst>
                  </pic:spPr>
                </pic:pic>
              </a:graphicData>
            </a:graphic>
          </wp:inline>
        </w:drawing>
      </w:r>
    </w:p>
    <w:p>
      <w:pPr>
        <w:jc w:val="both"/>
        <w:rPr>
          <w:rFonts w:ascii="Arial" w:hAnsi="Arial" w:cs="Arial"/>
          <w:color w:val="000000" w:themeColor="text1"/>
          <w:sz w:val="22"/>
          <w:szCs w:val="22"/>
          <w:lang w:val="en-US" w:eastAsia="en-US"/>
        </w:rPr>
      </w:pPr>
      <w:r>
        <w:rPr>
          <w:rFonts w:ascii="Arial" w:hAnsi="Arial" w:cs="Arial"/>
          <w:color w:val="000000" w:themeColor="text1"/>
          <w:sz w:val="22"/>
          <w:szCs w:val="22"/>
          <w:lang w:val="en-US" w:eastAsia="en-US"/>
        </w:rPr>
        <w:br w:type="page"/>
      </w:r>
    </w:p>
    <w:p>
      <w:pPr>
        <w:spacing w:line="480" w:lineRule="auto"/>
        <w:jc w:val="both"/>
        <w:rPr>
          <w:rFonts w:ascii="Arial" w:hAnsi="Arial" w:cs="Arial"/>
          <w:color w:val="000000" w:themeColor="text1"/>
          <w:sz w:val="22"/>
          <w:szCs w:val="22"/>
          <w:lang w:val="en-US" w:eastAsia="en-US"/>
        </w:rPr>
      </w:pPr>
      <w:r>
        <w:rPr>
          <w:rFonts w:ascii="Arial" w:hAnsi="Arial" w:cs="Arial"/>
          <w:b/>
          <w:color w:val="000000" w:themeColor="text1"/>
          <w:sz w:val="22"/>
          <w:szCs w:val="22"/>
          <w:lang w:val="en-US" w:eastAsia="en-US"/>
        </w:rPr>
        <w:lastRenderedPageBreak/>
        <w:t>Supplementary Figure 6</w:t>
      </w:r>
    </w:p>
    <w:p>
      <w:pPr>
        <w:spacing w:line="480" w:lineRule="auto"/>
        <w:jc w:val="both"/>
        <w:rPr>
          <w:rFonts w:ascii="Arial" w:hAnsi="Arial" w:cs="Arial"/>
          <w:color w:val="000000" w:themeColor="text1"/>
          <w:sz w:val="22"/>
          <w:szCs w:val="22"/>
          <w:lang w:val="en-US" w:eastAsia="en-US"/>
        </w:rPr>
      </w:pPr>
      <w:r>
        <w:rPr>
          <w:rFonts w:ascii="Arial" w:hAnsi="Arial" w:cs="Arial"/>
          <w:noProof/>
          <w:color w:val="000000" w:themeColor="text1"/>
          <w:sz w:val="22"/>
          <w:szCs w:val="22"/>
          <w:lang w:val="en-US" w:eastAsia="en-US"/>
        </w:rPr>
        <w:drawing>
          <wp:inline distT="0" distB="0" distL="0" distR="0">
            <wp:extent cx="5753100" cy="57054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9859"/>
                    <a:stretch/>
                  </pic:blipFill>
                  <pic:spPr bwMode="auto">
                    <a:xfrm>
                      <a:off x="0" y="0"/>
                      <a:ext cx="5753100" cy="5705475"/>
                    </a:xfrm>
                    <a:prstGeom prst="rect">
                      <a:avLst/>
                    </a:prstGeom>
                    <a:noFill/>
                    <a:ln>
                      <a:noFill/>
                    </a:ln>
                    <a:extLst>
                      <a:ext uri="{53640926-AAD7-44D8-BBD7-CCE9431645EC}">
                        <a14:shadowObscured xmlns:a14="http://schemas.microsoft.com/office/drawing/2010/main"/>
                      </a:ext>
                    </a:extLst>
                  </pic:spPr>
                </pic:pic>
              </a:graphicData>
            </a:graphic>
          </wp:inline>
        </w:drawing>
      </w:r>
      <w:bookmarkStart w:id="4" w:name="_GoBack"/>
      <w:bookmarkEnd w:id="4"/>
    </w:p>
    <w:sectPr>
      <w:footerReference w:type="even" r:id="rId14"/>
      <w:footerReference w:type="default" r:id="rId15"/>
      <w:pgSz w:w="11900" w:h="16840"/>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02782000"/>
      <w:docPartObj>
        <w:docPartGallery w:val="Page Numbers (Bottom of Page)"/>
        <w:docPartUnique/>
      </w:docPartObj>
    </w:sdtPr>
    <w:sdtContent>
      <w:p>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769840518"/>
      <w:docPartObj>
        <w:docPartGallery w:val="Page Numbers (Bottom of Page)"/>
        <w:docPartUnique/>
      </w:docPartObj>
    </w:sdtPr>
    <w:sdtContent>
      <w:p>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03FE1"/>
    <w:multiLevelType w:val="hybridMultilevel"/>
    <w:tmpl w:val="9872EC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CA565BA"/>
    <w:multiLevelType w:val="hybridMultilevel"/>
    <w:tmpl w:val="A328BE86"/>
    <w:lvl w:ilvl="0" w:tplc="04070015">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6A563711"/>
    <w:multiLevelType w:val="multilevel"/>
    <w:tmpl w:val="79B47B74"/>
    <w:lvl w:ilvl="0">
      <w:start w:val="9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CD107E"/>
    <w:multiLevelType w:val="hybridMultilevel"/>
    <w:tmpl w:val="A328BE86"/>
    <w:lvl w:ilvl="0" w:tplc="04070015">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7AC65CD5"/>
    <w:multiLevelType w:val="hybridMultilevel"/>
    <w:tmpl w:val="2D626A4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activeWritingStyle w:appName="MSWord" w:lang="en-US"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_NIX&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wrpp0xv5wpd2evs9o5rvs95af9pzsf29pz&quot;&gt;My EndNote Library-Converted&lt;record-ids&gt;&lt;item&gt;66&lt;/item&gt;&lt;item&gt;89&lt;/item&gt;&lt;item&gt;115&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805679-2D98-E94A-8599-E7BB9EB9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Times New Roman" w:eastAsia="Times New Roman" w:hAnsi="Times New Roman" w:cs="Times New Roman"/>
      <w:lang w:eastAsia="de-DE"/>
    </w:rPr>
  </w:style>
  <w:style w:type="paragraph" w:styleId="berschrift1">
    <w:name w:val="heading 1"/>
    <w:basedOn w:val="Standard"/>
    <w:link w:val="berschrift1Zchn"/>
    <w:uiPriority w:val="9"/>
    <w:qFormat/>
    <w:pPr>
      <w:spacing w:before="100" w:beforeAutospacing="1" w:after="100" w:afterAutospacing="1"/>
      <w:outlineLvl w:val="0"/>
    </w:pPr>
    <w:rPr>
      <w:b/>
      <w:bCs/>
      <w:kern w:val="36"/>
      <w:sz w:val="48"/>
      <w:szCs w:val="48"/>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F5496" w:themeColor="accent1" w:themeShade="BF"/>
      <w:sz w:val="26"/>
      <w:szCs w:val="26"/>
      <w:lang w:eastAsia="de-DE"/>
    </w:rPr>
  </w:style>
  <w:style w:type="character" w:styleId="Hyperlink">
    <w:name w:val="Hyperlink"/>
    <w:basedOn w:val="Absatz-Standardschriftart"/>
    <w:uiPriority w:val="99"/>
    <w:unhideWhenUsed/>
    <w:rPr>
      <w:color w:val="0000FF"/>
      <w:u w:val="single"/>
    </w:rPr>
  </w:style>
  <w:style w:type="character" w:styleId="BesuchterLink">
    <w:name w:val="FollowedHyperlink"/>
    <w:basedOn w:val="Absatz-Standardschriftart"/>
    <w:uiPriority w:val="99"/>
    <w:semiHidden/>
    <w:unhideWhenUsed/>
    <w:rPr>
      <w:color w:val="954F72" w:themeColor="followedHyperlink"/>
      <w:u w:val="single"/>
    </w:rPr>
  </w:style>
  <w:style w:type="character" w:styleId="Zeilennummer">
    <w:name w:val="line number"/>
    <w:basedOn w:val="Absatz-Standardschriftart"/>
    <w:uiPriority w:val="99"/>
    <w:semiHidden/>
    <w:unhideWhenUsed/>
  </w:style>
  <w:style w:type="paragraph" w:styleId="Kopfzeile">
    <w:name w:val="header"/>
    <w:basedOn w:val="Standard"/>
    <w:link w:val="KopfzeileZchn"/>
    <w:uiPriority w:val="99"/>
    <w:unhideWhenUsed/>
    <w:pPr>
      <w:tabs>
        <w:tab w:val="center" w:pos="4513"/>
        <w:tab w:val="right" w:pos="9026"/>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lang w:eastAsia="de-DE"/>
    </w:rPr>
  </w:style>
  <w:style w:type="paragraph" w:styleId="Fuzeile">
    <w:name w:val="footer"/>
    <w:basedOn w:val="Standard"/>
    <w:link w:val="FuzeileZchn"/>
    <w:uiPriority w:val="99"/>
    <w:unhideWhenUsed/>
    <w:pPr>
      <w:tabs>
        <w:tab w:val="center" w:pos="4513"/>
        <w:tab w:val="right" w:pos="9026"/>
      </w:tabs>
    </w:pPr>
  </w:style>
  <w:style w:type="character" w:customStyle="1" w:styleId="FuzeileZchn">
    <w:name w:val="Fußzeile Zchn"/>
    <w:basedOn w:val="Absatz-Standardschriftart"/>
    <w:link w:val="Fuzeile"/>
    <w:uiPriority w:val="99"/>
    <w:rPr>
      <w:rFonts w:ascii="Times New Roman" w:eastAsia="Times New Roman" w:hAnsi="Times New Roman" w:cs="Times New Roman"/>
      <w:lang w:eastAsia="de-DE"/>
    </w:rPr>
  </w:style>
  <w:style w:type="character" w:styleId="Seitenzahl">
    <w:name w:val="page number"/>
    <w:basedOn w:val="Absatz-Standardschriftart"/>
    <w:uiPriority w:val="99"/>
    <w:semiHidden/>
    <w:unhideWhenUsed/>
  </w:style>
  <w:style w:type="paragraph" w:customStyle="1" w:styleId="EndNoteBibliographyTitle">
    <w:name w:val="EndNote Bibliography Title"/>
    <w:basedOn w:val="Standard"/>
    <w:link w:val="EndNoteBibliographyTitleChar"/>
    <w:pPr>
      <w:jc w:val="center"/>
    </w:pPr>
  </w:style>
  <w:style w:type="character" w:customStyle="1" w:styleId="EndNoteBibliographyTitleChar">
    <w:name w:val="EndNote Bibliography Title Char"/>
    <w:basedOn w:val="Absatz-Standardschriftart"/>
    <w:link w:val="EndNoteBibliographyTitle"/>
    <w:rPr>
      <w:rFonts w:ascii="Times New Roman" w:eastAsia="Times New Roman" w:hAnsi="Times New Roman" w:cs="Times New Roman"/>
      <w:lang w:eastAsia="de-DE"/>
    </w:rPr>
  </w:style>
  <w:style w:type="paragraph" w:customStyle="1" w:styleId="EndNoteBibliography">
    <w:name w:val="EndNote Bibliography"/>
    <w:basedOn w:val="Standard"/>
    <w:link w:val="EndNoteBibliographyChar"/>
  </w:style>
  <w:style w:type="character" w:customStyle="1" w:styleId="EndNoteBibliographyChar">
    <w:name w:val="EndNote Bibliography Char"/>
    <w:basedOn w:val="Absatz-Standardschriftart"/>
    <w:link w:val="EndNoteBibliography"/>
    <w:rPr>
      <w:rFonts w:ascii="Times New Roman" w:eastAsia="Times New Roman" w:hAnsi="Times New Roman" w:cs="Times New Roman"/>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lang w:val="en-GB" w:eastAsia="en-GB"/>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val="en-GB" w:eastAsia="en-GB"/>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Kommentarthema">
    <w:name w:val="annotation subject"/>
    <w:basedOn w:val="Kommentartext"/>
    <w:next w:val="Kommentartext"/>
    <w:link w:val="KommentarthemaZchn"/>
    <w:uiPriority w:val="99"/>
    <w:semiHidden/>
    <w:unhideWhenUsed/>
    <w:rPr>
      <w:b/>
      <w:bCs/>
      <w:lang w:eastAsia="de-DE"/>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val="en-GB" w:eastAsia="de-DE"/>
    </w:rPr>
  </w:style>
  <w:style w:type="paragraph" w:styleId="berarbeitung">
    <w:name w:val="Revision"/>
    <w:hidden/>
    <w:uiPriority w:val="99"/>
    <w:semiHidden/>
    <w:rPr>
      <w:rFonts w:ascii="Times New Roman" w:eastAsia="Times New Roman" w:hAnsi="Times New Roman" w:cs="Times New Roman"/>
      <w:lang w:eastAsia="de-DE"/>
    </w:rPr>
  </w:style>
  <w:style w:type="paragraph" w:styleId="StandardWeb">
    <w:name w:val="Normal (Web)"/>
    <w:basedOn w:val="Standard"/>
    <w:uiPriority w:val="99"/>
    <w:semiHidden/>
    <w:unhideWhenUsed/>
    <w:pPr>
      <w:spacing w:before="100" w:beforeAutospacing="1" w:after="100" w:afterAutospacing="1"/>
    </w:pPr>
    <w:rPr>
      <w:lang w:eastAsia="en-GB"/>
    </w:rPr>
  </w:style>
  <w:style w:type="table" w:customStyle="1" w:styleId="TableGrid">
    <w:name w:val="TableGrid"/>
    <w:rPr>
      <w:rFonts w:eastAsiaTheme="minorEastAsia"/>
      <w:sz w:val="22"/>
      <w:szCs w:val="22"/>
      <w:lang w:eastAsia="de-DE"/>
    </w:rPr>
    <w:tblPr>
      <w:tblCellMar>
        <w:top w:w="0" w:type="dxa"/>
        <w:left w:w="0" w:type="dxa"/>
        <w:bottom w:w="0" w:type="dxa"/>
        <w:right w:w="0" w:type="dxa"/>
      </w:tblCellMar>
    </w:tblPr>
  </w:style>
  <w:style w:type="paragraph" w:styleId="Beschriftung">
    <w:name w:val="caption"/>
    <w:basedOn w:val="Standard"/>
    <w:next w:val="Standard"/>
    <w:uiPriority w:val="35"/>
    <w:unhideWhenUsed/>
    <w:qFormat/>
    <w:pPr>
      <w:spacing w:after="200"/>
    </w:pPr>
    <w:rPr>
      <w:rFonts w:asciiTheme="minorHAnsi" w:eastAsiaTheme="minorHAnsi" w:hAnsiTheme="minorHAnsi" w:cstheme="minorBidi"/>
      <w:i/>
      <w:iCs/>
      <w:color w:val="44546A" w:themeColor="text2"/>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23856">
      <w:bodyDiv w:val="1"/>
      <w:marLeft w:val="0"/>
      <w:marRight w:val="0"/>
      <w:marTop w:val="0"/>
      <w:marBottom w:val="0"/>
      <w:divBdr>
        <w:top w:val="none" w:sz="0" w:space="0" w:color="auto"/>
        <w:left w:val="none" w:sz="0" w:space="0" w:color="auto"/>
        <w:bottom w:val="none" w:sz="0" w:space="0" w:color="auto"/>
        <w:right w:val="none" w:sz="0" w:space="0" w:color="auto"/>
      </w:divBdr>
    </w:div>
    <w:div w:id="113600452">
      <w:bodyDiv w:val="1"/>
      <w:marLeft w:val="0"/>
      <w:marRight w:val="0"/>
      <w:marTop w:val="0"/>
      <w:marBottom w:val="0"/>
      <w:divBdr>
        <w:top w:val="none" w:sz="0" w:space="0" w:color="auto"/>
        <w:left w:val="none" w:sz="0" w:space="0" w:color="auto"/>
        <w:bottom w:val="none" w:sz="0" w:space="0" w:color="auto"/>
        <w:right w:val="none" w:sz="0" w:space="0" w:color="auto"/>
      </w:divBdr>
    </w:div>
    <w:div w:id="222449552">
      <w:bodyDiv w:val="1"/>
      <w:marLeft w:val="0"/>
      <w:marRight w:val="0"/>
      <w:marTop w:val="0"/>
      <w:marBottom w:val="0"/>
      <w:divBdr>
        <w:top w:val="none" w:sz="0" w:space="0" w:color="auto"/>
        <w:left w:val="none" w:sz="0" w:space="0" w:color="auto"/>
        <w:bottom w:val="none" w:sz="0" w:space="0" w:color="auto"/>
        <w:right w:val="none" w:sz="0" w:space="0" w:color="auto"/>
      </w:divBdr>
    </w:div>
    <w:div w:id="223101101">
      <w:bodyDiv w:val="1"/>
      <w:marLeft w:val="0"/>
      <w:marRight w:val="0"/>
      <w:marTop w:val="0"/>
      <w:marBottom w:val="0"/>
      <w:divBdr>
        <w:top w:val="none" w:sz="0" w:space="0" w:color="auto"/>
        <w:left w:val="none" w:sz="0" w:space="0" w:color="auto"/>
        <w:bottom w:val="none" w:sz="0" w:space="0" w:color="auto"/>
        <w:right w:val="none" w:sz="0" w:space="0" w:color="auto"/>
      </w:divBdr>
    </w:div>
    <w:div w:id="305159953">
      <w:bodyDiv w:val="1"/>
      <w:marLeft w:val="0"/>
      <w:marRight w:val="0"/>
      <w:marTop w:val="0"/>
      <w:marBottom w:val="0"/>
      <w:divBdr>
        <w:top w:val="none" w:sz="0" w:space="0" w:color="auto"/>
        <w:left w:val="none" w:sz="0" w:space="0" w:color="auto"/>
        <w:bottom w:val="none" w:sz="0" w:space="0" w:color="auto"/>
        <w:right w:val="none" w:sz="0" w:space="0" w:color="auto"/>
      </w:divBdr>
    </w:div>
    <w:div w:id="318465221">
      <w:bodyDiv w:val="1"/>
      <w:marLeft w:val="0"/>
      <w:marRight w:val="0"/>
      <w:marTop w:val="0"/>
      <w:marBottom w:val="0"/>
      <w:divBdr>
        <w:top w:val="none" w:sz="0" w:space="0" w:color="auto"/>
        <w:left w:val="none" w:sz="0" w:space="0" w:color="auto"/>
        <w:bottom w:val="none" w:sz="0" w:space="0" w:color="auto"/>
        <w:right w:val="none" w:sz="0" w:space="0" w:color="auto"/>
      </w:divBdr>
    </w:div>
    <w:div w:id="405995722">
      <w:bodyDiv w:val="1"/>
      <w:marLeft w:val="0"/>
      <w:marRight w:val="0"/>
      <w:marTop w:val="0"/>
      <w:marBottom w:val="0"/>
      <w:divBdr>
        <w:top w:val="none" w:sz="0" w:space="0" w:color="auto"/>
        <w:left w:val="none" w:sz="0" w:space="0" w:color="auto"/>
        <w:bottom w:val="none" w:sz="0" w:space="0" w:color="auto"/>
        <w:right w:val="none" w:sz="0" w:space="0" w:color="auto"/>
      </w:divBdr>
    </w:div>
    <w:div w:id="492451342">
      <w:bodyDiv w:val="1"/>
      <w:marLeft w:val="0"/>
      <w:marRight w:val="0"/>
      <w:marTop w:val="0"/>
      <w:marBottom w:val="0"/>
      <w:divBdr>
        <w:top w:val="none" w:sz="0" w:space="0" w:color="auto"/>
        <w:left w:val="none" w:sz="0" w:space="0" w:color="auto"/>
        <w:bottom w:val="none" w:sz="0" w:space="0" w:color="auto"/>
        <w:right w:val="none" w:sz="0" w:space="0" w:color="auto"/>
      </w:divBdr>
      <w:divsChild>
        <w:div w:id="1778210396">
          <w:marLeft w:val="0"/>
          <w:marRight w:val="0"/>
          <w:marTop w:val="0"/>
          <w:marBottom w:val="0"/>
          <w:divBdr>
            <w:top w:val="none" w:sz="0" w:space="0" w:color="auto"/>
            <w:left w:val="none" w:sz="0" w:space="0" w:color="auto"/>
            <w:bottom w:val="none" w:sz="0" w:space="0" w:color="auto"/>
            <w:right w:val="none" w:sz="0" w:space="0" w:color="auto"/>
          </w:divBdr>
          <w:divsChild>
            <w:div w:id="1781147380">
              <w:marLeft w:val="0"/>
              <w:marRight w:val="0"/>
              <w:marTop w:val="0"/>
              <w:marBottom w:val="0"/>
              <w:divBdr>
                <w:top w:val="none" w:sz="0" w:space="0" w:color="auto"/>
                <w:left w:val="none" w:sz="0" w:space="0" w:color="auto"/>
                <w:bottom w:val="none" w:sz="0" w:space="0" w:color="auto"/>
                <w:right w:val="none" w:sz="0" w:space="0" w:color="auto"/>
              </w:divBdr>
              <w:divsChild>
                <w:div w:id="13824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96487">
      <w:bodyDiv w:val="1"/>
      <w:marLeft w:val="0"/>
      <w:marRight w:val="0"/>
      <w:marTop w:val="0"/>
      <w:marBottom w:val="0"/>
      <w:divBdr>
        <w:top w:val="none" w:sz="0" w:space="0" w:color="auto"/>
        <w:left w:val="none" w:sz="0" w:space="0" w:color="auto"/>
        <w:bottom w:val="none" w:sz="0" w:space="0" w:color="auto"/>
        <w:right w:val="none" w:sz="0" w:space="0" w:color="auto"/>
      </w:divBdr>
    </w:div>
    <w:div w:id="567541874">
      <w:bodyDiv w:val="1"/>
      <w:marLeft w:val="0"/>
      <w:marRight w:val="0"/>
      <w:marTop w:val="0"/>
      <w:marBottom w:val="0"/>
      <w:divBdr>
        <w:top w:val="none" w:sz="0" w:space="0" w:color="auto"/>
        <w:left w:val="none" w:sz="0" w:space="0" w:color="auto"/>
        <w:bottom w:val="none" w:sz="0" w:space="0" w:color="auto"/>
        <w:right w:val="none" w:sz="0" w:space="0" w:color="auto"/>
      </w:divBdr>
    </w:div>
    <w:div w:id="645939457">
      <w:bodyDiv w:val="1"/>
      <w:marLeft w:val="0"/>
      <w:marRight w:val="0"/>
      <w:marTop w:val="0"/>
      <w:marBottom w:val="0"/>
      <w:divBdr>
        <w:top w:val="none" w:sz="0" w:space="0" w:color="auto"/>
        <w:left w:val="none" w:sz="0" w:space="0" w:color="auto"/>
        <w:bottom w:val="none" w:sz="0" w:space="0" w:color="auto"/>
        <w:right w:val="none" w:sz="0" w:space="0" w:color="auto"/>
      </w:divBdr>
    </w:div>
    <w:div w:id="681279232">
      <w:bodyDiv w:val="1"/>
      <w:marLeft w:val="0"/>
      <w:marRight w:val="0"/>
      <w:marTop w:val="0"/>
      <w:marBottom w:val="0"/>
      <w:divBdr>
        <w:top w:val="none" w:sz="0" w:space="0" w:color="auto"/>
        <w:left w:val="none" w:sz="0" w:space="0" w:color="auto"/>
        <w:bottom w:val="none" w:sz="0" w:space="0" w:color="auto"/>
        <w:right w:val="none" w:sz="0" w:space="0" w:color="auto"/>
      </w:divBdr>
    </w:div>
    <w:div w:id="697849901">
      <w:bodyDiv w:val="1"/>
      <w:marLeft w:val="0"/>
      <w:marRight w:val="0"/>
      <w:marTop w:val="0"/>
      <w:marBottom w:val="0"/>
      <w:divBdr>
        <w:top w:val="none" w:sz="0" w:space="0" w:color="auto"/>
        <w:left w:val="none" w:sz="0" w:space="0" w:color="auto"/>
        <w:bottom w:val="none" w:sz="0" w:space="0" w:color="auto"/>
        <w:right w:val="none" w:sz="0" w:space="0" w:color="auto"/>
      </w:divBdr>
    </w:div>
    <w:div w:id="734200228">
      <w:bodyDiv w:val="1"/>
      <w:marLeft w:val="0"/>
      <w:marRight w:val="0"/>
      <w:marTop w:val="0"/>
      <w:marBottom w:val="0"/>
      <w:divBdr>
        <w:top w:val="none" w:sz="0" w:space="0" w:color="auto"/>
        <w:left w:val="none" w:sz="0" w:space="0" w:color="auto"/>
        <w:bottom w:val="none" w:sz="0" w:space="0" w:color="auto"/>
        <w:right w:val="none" w:sz="0" w:space="0" w:color="auto"/>
      </w:divBdr>
    </w:div>
    <w:div w:id="751002712">
      <w:bodyDiv w:val="1"/>
      <w:marLeft w:val="0"/>
      <w:marRight w:val="0"/>
      <w:marTop w:val="0"/>
      <w:marBottom w:val="0"/>
      <w:divBdr>
        <w:top w:val="none" w:sz="0" w:space="0" w:color="auto"/>
        <w:left w:val="none" w:sz="0" w:space="0" w:color="auto"/>
        <w:bottom w:val="none" w:sz="0" w:space="0" w:color="auto"/>
        <w:right w:val="none" w:sz="0" w:space="0" w:color="auto"/>
      </w:divBdr>
    </w:div>
    <w:div w:id="803540889">
      <w:bodyDiv w:val="1"/>
      <w:marLeft w:val="0"/>
      <w:marRight w:val="0"/>
      <w:marTop w:val="0"/>
      <w:marBottom w:val="0"/>
      <w:divBdr>
        <w:top w:val="none" w:sz="0" w:space="0" w:color="auto"/>
        <w:left w:val="none" w:sz="0" w:space="0" w:color="auto"/>
        <w:bottom w:val="none" w:sz="0" w:space="0" w:color="auto"/>
        <w:right w:val="none" w:sz="0" w:space="0" w:color="auto"/>
      </w:divBdr>
    </w:div>
    <w:div w:id="866412937">
      <w:bodyDiv w:val="1"/>
      <w:marLeft w:val="0"/>
      <w:marRight w:val="0"/>
      <w:marTop w:val="0"/>
      <w:marBottom w:val="0"/>
      <w:divBdr>
        <w:top w:val="none" w:sz="0" w:space="0" w:color="auto"/>
        <w:left w:val="none" w:sz="0" w:space="0" w:color="auto"/>
        <w:bottom w:val="none" w:sz="0" w:space="0" w:color="auto"/>
        <w:right w:val="none" w:sz="0" w:space="0" w:color="auto"/>
      </w:divBdr>
    </w:div>
    <w:div w:id="923418075">
      <w:bodyDiv w:val="1"/>
      <w:marLeft w:val="0"/>
      <w:marRight w:val="0"/>
      <w:marTop w:val="0"/>
      <w:marBottom w:val="0"/>
      <w:divBdr>
        <w:top w:val="none" w:sz="0" w:space="0" w:color="auto"/>
        <w:left w:val="none" w:sz="0" w:space="0" w:color="auto"/>
        <w:bottom w:val="none" w:sz="0" w:space="0" w:color="auto"/>
        <w:right w:val="none" w:sz="0" w:space="0" w:color="auto"/>
      </w:divBdr>
    </w:div>
    <w:div w:id="1048142005">
      <w:bodyDiv w:val="1"/>
      <w:marLeft w:val="0"/>
      <w:marRight w:val="0"/>
      <w:marTop w:val="0"/>
      <w:marBottom w:val="0"/>
      <w:divBdr>
        <w:top w:val="none" w:sz="0" w:space="0" w:color="auto"/>
        <w:left w:val="none" w:sz="0" w:space="0" w:color="auto"/>
        <w:bottom w:val="none" w:sz="0" w:space="0" w:color="auto"/>
        <w:right w:val="none" w:sz="0" w:space="0" w:color="auto"/>
      </w:divBdr>
    </w:div>
    <w:div w:id="1086029603">
      <w:bodyDiv w:val="1"/>
      <w:marLeft w:val="0"/>
      <w:marRight w:val="0"/>
      <w:marTop w:val="0"/>
      <w:marBottom w:val="0"/>
      <w:divBdr>
        <w:top w:val="none" w:sz="0" w:space="0" w:color="auto"/>
        <w:left w:val="none" w:sz="0" w:space="0" w:color="auto"/>
        <w:bottom w:val="none" w:sz="0" w:space="0" w:color="auto"/>
        <w:right w:val="none" w:sz="0" w:space="0" w:color="auto"/>
      </w:divBdr>
    </w:div>
    <w:div w:id="1125581685">
      <w:bodyDiv w:val="1"/>
      <w:marLeft w:val="0"/>
      <w:marRight w:val="0"/>
      <w:marTop w:val="0"/>
      <w:marBottom w:val="0"/>
      <w:divBdr>
        <w:top w:val="none" w:sz="0" w:space="0" w:color="auto"/>
        <w:left w:val="none" w:sz="0" w:space="0" w:color="auto"/>
        <w:bottom w:val="none" w:sz="0" w:space="0" w:color="auto"/>
        <w:right w:val="none" w:sz="0" w:space="0" w:color="auto"/>
      </w:divBdr>
    </w:div>
    <w:div w:id="1246646512">
      <w:bodyDiv w:val="1"/>
      <w:marLeft w:val="0"/>
      <w:marRight w:val="0"/>
      <w:marTop w:val="0"/>
      <w:marBottom w:val="0"/>
      <w:divBdr>
        <w:top w:val="none" w:sz="0" w:space="0" w:color="auto"/>
        <w:left w:val="none" w:sz="0" w:space="0" w:color="auto"/>
        <w:bottom w:val="none" w:sz="0" w:space="0" w:color="auto"/>
        <w:right w:val="none" w:sz="0" w:space="0" w:color="auto"/>
      </w:divBdr>
    </w:div>
    <w:div w:id="1278098053">
      <w:bodyDiv w:val="1"/>
      <w:marLeft w:val="0"/>
      <w:marRight w:val="0"/>
      <w:marTop w:val="0"/>
      <w:marBottom w:val="0"/>
      <w:divBdr>
        <w:top w:val="none" w:sz="0" w:space="0" w:color="auto"/>
        <w:left w:val="none" w:sz="0" w:space="0" w:color="auto"/>
        <w:bottom w:val="none" w:sz="0" w:space="0" w:color="auto"/>
        <w:right w:val="none" w:sz="0" w:space="0" w:color="auto"/>
      </w:divBdr>
    </w:div>
    <w:div w:id="1282806297">
      <w:bodyDiv w:val="1"/>
      <w:marLeft w:val="0"/>
      <w:marRight w:val="0"/>
      <w:marTop w:val="0"/>
      <w:marBottom w:val="0"/>
      <w:divBdr>
        <w:top w:val="none" w:sz="0" w:space="0" w:color="auto"/>
        <w:left w:val="none" w:sz="0" w:space="0" w:color="auto"/>
        <w:bottom w:val="none" w:sz="0" w:space="0" w:color="auto"/>
        <w:right w:val="none" w:sz="0" w:space="0" w:color="auto"/>
      </w:divBdr>
    </w:div>
    <w:div w:id="1304919603">
      <w:bodyDiv w:val="1"/>
      <w:marLeft w:val="0"/>
      <w:marRight w:val="0"/>
      <w:marTop w:val="0"/>
      <w:marBottom w:val="0"/>
      <w:divBdr>
        <w:top w:val="none" w:sz="0" w:space="0" w:color="auto"/>
        <w:left w:val="none" w:sz="0" w:space="0" w:color="auto"/>
        <w:bottom w:val="none" w:sz="0" w:space="0" w:color="auto"/>
        <w:right w:val="none" w:sz="0" w:space="0" w:color="auto"/>
      </w:divBdr>
    </w:div>
    <w:div w:id="1445417753">
      <w:bodyDiv w:val="1"/>
      <w:marLeft w:val="0"/>
      <w:marRight w:val="0"/>
      <w:marTop w:val="0"/>
      <w:marBottom w:val="0"/>
      <w:divBdr>
        <w:top w:val="none" w:sz="0" w:space="0" w:color="auto"/>
        <w:left w:val="none" w:sz="0" w:space="0" w:color="auto"/>
        <w:bottom w:val="none" w:sz="0" w:space="0" w:color="auto"/>
        <w:right w:val="none" w:sz="0" w:space="0" w:color="auto"/>
      </w:divBdr>
    </w:div>
    <w:div w:id="1908765380">
      <w:bodyDiv w:val="1"/>
      <w:marLeft w:val="0"/>
      <w:marRight w:val="0"/>
      <w:marTop w:val="0"/>
      <w:marBottom w:val="0"/>
      <w:divBdr>
        <w:top w:val="none" w:sz="0" w:space="0" w:color="auto"/>
        <w:left w:val="none" w:sz="0" w:space="0" w:color="auto"/>
        <w:bottom w:val="none" w:sz="0" w:space="0" w:color="auto"/>
        <w:right w:val="none" w:sz="0" w:space="0" w:color="auto"/>
      </w:divBdr>
    </w:div>
    <w:div w:id="1938637174">
      <w:bodyDiv w:val="1"/>
      <w:marLeft w:val="0"/>
      <w:marRight w:val="0"/>
      <w:marTop w:val="0"/>
      <w:marBottom w:val="0"/>
      <w:divBdr>
        <w:top w:val="none" w:sz="0" w:space="0" w:color="auto"/>
        <w:left w:val="none" w:sz="0" w:space="0" w:color="auto"/>
        <w:bottom w:val="none" w:sz="0" w:space="0" w:color="auto"/>
        <w:right w:val="none" w:sz="0" w:space="0" w:color="auto"/>
      </w:divBdr>
    </w:div>
    <w:div w:id="1989165601">
      <w:bodyDiv w:val="1"/>
      <w:marLeft w:val="0"/>
      <w:marRight w:val="0"/>
      <w:marTop w:val="0"/>
      <w:marBottom w:val="0"/>
      <w:divBdr>
        <w:top w:val="none" w:sz="0" w:space="0" w:color="auto"/>
        <w:left w:val="none" w:sz="0" w:space="0" w:color="auto"/>
        <w:bottom w:val="none" w:sz="0" w:space="0" w:color="auto"/>
        <w:right w:val="none" w:sz="0" w:space="0" w:color="auto"/>
      </w:divBdr>
    </w:div>
    <w:div w:id="2026589759">
      <w:bodyDiv w:val="1"/>
      <w:marLeft w:val="0"/>
      <w:marRight w:val="0"/>
      <w:marTop w:val="0"/>
      <w:marBottom w:val="0"/>
      <w:divBdr>
        <w:top w:val="none" w:sz="0" w:space="0" w:color="auto"/>
        <w:left w:val="none" w:sz="0" w:space="0" w:color="auto"/>
        <w:bottom w:val="none" w:sz="0" w:space="0" w:color="auto"/>
        <w:right w:val="none" w:sz="0" w:space="0" w:color="auto"/>
      </w:divBdr>
    </w:div>
    <w:div w:id="2130657071">
      <w:bodyDiv w:val="1"/>
      <w:marLeft w:val="0"/>
      <w:marRight w:val="0"/>
      <w:marTop w:val="0"/>
      <w:marBottom w:val="0"/>
      <w:divBdr>
        <w:top w:val="none" w:sz="0" w:space="0" w:color="auto"/>
        <w:left w:val="none" w:sz="0" w:space="0" w:color="auto"/>
        <w:bottom w:val="none" w:sz="0" w:space="0" w:color="auto"/>
        <w:right w:val="none" w:sz="0" w:space="0" w:color="auto"/>
      </w:divBdr>
    </w:div>
    <w:div w:id="2145540403">
      <w:bodyDiv w:val="1"/>
      <w:marLeft w:val="0"/>
      <w:marRight w:val="0"/>
      <w:marTop w:val="0"/>
      <w:marBottom w:val="0"/>
      <w:divBdr>
        <w:top w:val="none" w:sz="0" w:space="0" w:color="auto"/>
        <w:left w:val="none" w:sz="0" w:space="0" w:color="auto"/>
        <w:bottom w:val="none" w:sz="0" w:space="0" w:color="auto"/>
        <w:right w:val="none" w:sz="0" w:space="0" w:color="auto"/>
      </w:divBdr>
    </w:div>
    <w:div w:id="214735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869DB-B5C5-42E9-97B3-E1F5FC6BF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3463</Words>
  <Characters>21818</Characters>
  <Application>Microsoft Office Word</Application>
  <DocSecurity>0</DocSecurity>
  <Lines>181</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Augsberger</dc:creator>
  <cp:keywords/>
  <dc:description/>
  <cp:lastModifiedBy>Daniel Atar</cp:lastModifiedBy>
  <cp:revision>11</cp:revision>
  <cp:lastPrinted>2023-07-30T20:50:00Z</cp:lastPrinted>
  <dcterms:created xsi:type="dcterms:W3CDTF">2023-07-28T18:35:00Z</dcterms:created>
  <dcterms:modified xsi:type="dcterms:W3CDTF">2023-11-24T11:49:00Z</dcterms:modified>
</cp:coreProperties>
</file>