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546A" w:rsidRDefault="00F00A2D" w:rsidP="00FA54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kern w:val="0"/>
          <w:szCs w:val="16"/>
        </w:rPr>
        <w:t>S</w:t>
      </w:r>
      <w:bookmarkStart w:id="0" w:name="_GoBack"/>
      <w:bookmarkEnd w:id="0"/>
      <w:r w:rsidR="005349D8">
        <w:rPr>
          <w:rFonts w:ascii="Times New Roman" w:hAnsi="Times New Roman" w:cs="Times New Roman"/>
          <w:b/>
          <w:kern w:val="0"/>
          <w:szCs w:val="16"/>
        </w:rPr>
        <w:t>upplementary Figure 1</w:t>
      </w:r>
      <w:r w:rsidR="00FA546A" w:rsidRPr="008F7734">
        <w:rPr>
          <w:rFonts w:ascii="Times New Roman" w:hAnsi="Times New Roman" w:cs="Times New Roman"/>
          <w:b/>
          <w:kern w:val="0"/>
          <w:szCs w:val="16"/>
        </w:rPr>
        <w:t xml:space="preserve">. </w:t>
      </w:r>
      <w:r w:rsidR="00746D4D" w:rsidRPr="00746D4D">
        <w:rPr>
          <w:rFonts w:ascii="Times New Roman" w:hAnsi="Times New Roman" w:cs="Times New Roman"/>
        </w:rPr>
        <w:t>Rarefaction curves of the number of OTUs versus the sequencing effort per sample</w:t>
      </w:r>
      <w:r w:rsidR="00B41BF2">
        <w:rPr>
          <w:rFonts w:ascii="Times New Roman" w:hAnsi="Times New Roman" w:cs="Times New Roman"/>
        </w:rPr>
        <w:t xml:space="preserve"> in </w:t>
      </w:r>
      <w:r w:rsidR="009C0D90">
        <w:rPr>
          <w:rFonts w:ascii="Times New Roman" w:hAnsi="Times New Roman" w:cs="Times New Roman"/>
        </w:rPr>
        <w:t xml:space="preserve">the </w:t>
      </w:r>
      <w:r w:rsidR="00B41BF2">
        <w:rPr>
          <w:rFonts w:ascii="Times New Roman" w:hAnsi="Times New Roman" w:cs="Times New Roman"/>
        </w:rPr>
        <w:t>full cohort</w:t>
      </w:r>
      <w:r w:rsidR="00746D4D" w:rsidRPr="00746D4D">
        <w:rPr>
          <w:rFonts w:ascii="Times New Roman" w:hAnsi="Times New Roman" w:cs="Times New Roman"/>
        </w:rPr>
        <w:t>.</w:t>
      </w:r>
    </w:p>
    <w:p w:rsidR="00FA546A" w:rsidRDefault="00387FFC" w:rsidP="00FA546A">
      <w:pPr>
        <w:rPr>
          <w:rFonts w:ascii="Times New Roman" w:hAnsi="Times New Roman" w:cs="Times New Roman"/>
        </w:rPr>
      </w:pPr>
      <w:r w:rsidRPr="00387FFC">
        <w:rPr>
          <w:rFonts w:ascii="Times New Roman" w:hAnsi="Times New Roman" w:cs="Times New Roman"/>
          <w:noProof/>
        </w:rPr>
        <w:drawing>
          <wp:inline distT="0" distB="0" distL="0" distR="0">
            <wp:extent cx="8863330" cy="2859139"/>
            <wp:effectExtent l="0" t="0" r="0" b="0"/>
            <wp:docPr id="12" name="圖片 12" descr="C:\論文寫作\Microbiota study\Beta blockers\Results (new)\Supplementary Figur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論文寫作\Microbiota study\Beta blockers\Results (new)\Supplementary Figure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2859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546A">
        <w:rPr>
          <w:rFonts w:ascii="Times New Roman" w:hAnsi="Times New Roman" w:cs="Times New Roman"/>
        </w:rPr>
        <w:t xml:space="preserve"> </w:t>
      </w:r>
    </w:p>
    <w:p w:rsidR="00FA546A" w:rsidRDefault="00FA546A" w:rsidP="00FA546A">
      <w:pPr>
        <w:rPr>
          <w:rFonts w:ascii="Times New Roman" w:hAnsi="Times New Roman" w:cs="Times New Roman"/>
        </w:rPr>
      </w:pPr>
    </w:p>
    <w:p w:rsidR="00FA546A" w:rsidRDefault="00FA546A" w:rsidP="00FA546A">
      <w:pPr>
        <w:rPr>
          <w:rFonts w:ascii="Times New Roman" w:hAnsi="Times New Roman" w:cs="Times New Roman"/>
        </w:rPr>
        <w:sectPr w:rsidR="00FA546A" w:rsidSect="00B41BF2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</w:p>
    <w:p w:rsidR="00FA546A" w:rsidRDefault="005349D8" w:rsidP="00FA54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kern w:val="0"/>
          <w:szCs w:val="16"/>
        </w:rPr>
        <w:lastRenderedPageBreak/>
        <w:t>Supplementary Figure 2</w:t>
      </w:r>
      <w:r w:rsidR="00FA546A" w:rsidRPr="008F7734">
        <w:rPr>
          <w:rFonts w:ascii="Times New Roman" w:hAnsi="Times New Roman" w:cs="Times New Roman"/>
          <w:b/>
          <w:kern w:val="0"/>
          <w:szCs w:val="16"/>
        </w:rPr>
        <w:t xml:space="preserve">. </w:t>
      </w:r>
      <w:r w:rsidR="00FA546A">
        <w:rPr>
          <w:rFonts w:ascii="Times New Roman" w:hAnsi="Times New Roman" w:cs="Times New Roman"/>
        </w:rPr>
        <w:t>The r</w:t>
      </w:r>
      <w:r w:rsidR="00FA546A" w:rsidRPr="008F7734">
        <w:rPr>
          <w:rFonts w:ascii="Times New Roman" w:hAnsi="Times New Roman" w:cs="Times New Roman"/>
        </w:rPr>
        <w:t>elative abundance</w:t>
      </w:r>
      <w:r w:rsidR="009C0D90">
        <w:rPr>
          <w:rFonts w:ascii="Times New Roman" w:hAnsi="Times New Roman" w:cs="Times New Roman"/>
        </w:rPr>
        <w:t xml:space="preserve"> percentage</w:t>
      </w:r>
      <w:r w:rsidR="00FA546A" w:rsidRPr="008F7734">
        <w:rPr>
          <w:rFonts w:ascii="Times New Roman" w:hAnsi="Times New Roman" w:cs="Times New Roman"/>
        </w:rPr>
        <w:t xml:space="preserve"> of intestinal microbiota </w:t>
      </w:r>
      <w:r w:rsidR="00FA546A">
        <w:rPr>
          <w:rFonts w:ascii="Times New Roman" w:hAnsi="Times New Roman" w:cs="Times New Roman"/>
        </w:rPr>
        <w:t xml:space="preserve">between </w:t>
      </w:r>
      <w:r w:rsidR="00B55333">
        <w:rPr>
          <w:rFonts w:ascii="Times New Roman" w:hAnsi="Times New Roman" w:cs="Times New Roman"/>
        </w:rPr>
        <w:t>β</w:t>
      </w:r>
      <w:r w:rsidR="00B55333">
        <w:rPr>
          <w:rFonts w:ascii="Times New Roman" w:hAnsi="Times New Roman" w:cs="Times New Roman" w:hint="eastAsia"/>
        </w:rPr>
        <w:t xml:space="preserve"> blocker</w:t>
      </w:r>
      <w:r w:rsidR="00B55333">
        <w:rPr>
          <w:rFonts w:ascii="Times New Roman" w:hAnsi="Times New Roman" w:cs="Times New Roman"/>
        </w:rPr>
        <w:t xml:space="preserve"> users</w:t>
      </w:r>
      <w:r w:rsidR="00FA546A">
        <w:rPr>
          <w:rFonts w:ascii="Times New Roman" w:hAnsi="Times New Roman" w:cs="Times New Roman"/>
        </w:rPr>
        <w:t xml:space="preserve"> and </w:t>
      </w:r>
      <w:r w:rsidR="00B55333">
        <w:rPr>
          <w:rFonts w:ascii="Times New Roman" w:hAnsi="Times New Roman" w:cs="Times New Roman"/>
        </w:rPr>
        <w:t>non-</w:t>
      </w:r>
      <w:r w:rsidR="00FA546A">
        <w:rPr>
          <w:rFonts w:ascii="Times New Roman" w:hAnsi="Times New Roman" w:cs="Times New Roman"/>
        </w:rPr>
        <w:t>users</w:t>
      </w:r>
      <w:r w:rsidR="007C23F8">
        <w:rPr>
          <w:rFonts w:ascii="Times New Roman" w:hAnsi="Times New Roman" w:cs="Times New Roman"/>
        </w:rPr>
        <w:t xml:space="preserve"> in </w:t>
      </w:r>
      <w:r w:rsidR="009C0D90">
        <w:rPr>
          <w:rFonts w:ascii="Times New Roman" w:hAnsi="Times New Roman" w:cs="Times New Roman"/>
        </w:rPr>
        <w:t xml:space="preserve">the </w:t>
      </w:r>
      <w:r w:rsidR="00F0570A">
        <w:rPr>
          <w:rFonts w:ascii="Times New Roman" w:hAnsi="Times New Roman" w:cs="Times New Roman"/>
        </w:rPr>
        <w:t>full cohort and propensity score matching cohort</w:t>
      </w:r>
      <w:r w:rsidR="00FA546A">
        <w:rPr>
          <w:rFonts w:ascii="Times New Roman" w:hAnsi="Times New Roman" w:cs="Times New Roman"/>
        </w:rPr>
        <w:t xml:space="preserve">. (A) Phylum </w:t>
      </w:r>
      <w:r w:rsidR="007C23F8">
        <w:rPr>
          <w:rFonts w:ascii="Times New Roman" w:hAnsi="Times New Roman" w:cs="Times New Roman"/>
        </w:rPr>
        <w:t xml:space="preserve">level </w:t>
      </w:r>
      <w:r w:rsidR="00FA546A">
        <w:rPr>
          <w:rFonts w:ascii="Times New Roman" w:hAnsi="Times New Roman" w:cs="Times New Roman"/>
        </w:rPr>
        <w:t xml:space="preserve">(B) Class </w:t>
      </w:r>
      <w:r w:rsidR="007C23F8">
        <w:rPr>
          <w:rFonts w:ascii="Times New Roman" w:hAnsi="Times New Roman" w:cs="Times New Roman"/>
        </w:rPr>
        <w:t xml:space="preserve">level </w:t>
      </w:r>
      <w:r w:rsidR="00FA546A">
        <w:rPr>
          <w:rFonts w:ascii="Times New Roman" w:hAnsi="Times New Roman" w:cs="Times New Roman"/>
        </w:rPr>
        <w:t>(C) Order level.</w:t>
      </w:r>
    </w:p>
    <w:p w:rsidR="00805C5E" w:rsidRDefault="00387FFC" w:rsidP="00FA546A">
      <w:pPr>
        <w:rPr>
          <w:rFonts w:ascii="Times New Roman" w:hAnsi="Times New Roman" w:cs="Times New Roman"/>
        </w:rPr>
      </w:pPr>
      <w:r w:rsidRPr="00387FFC">
        <w:rPr>
          <w:rFonts w:ascii="Times New Roman" w:hAnsi="Times New Roman" w:cs="Times New Roman"/>
          <w:noProof/>
        </w:rPr>
        <w:drawing>
          <wp:inline distT="0" distB="0" distL="0" distR="0">
            <wp:extent cx="5274310" cy="5652074"/>
            <wp:effectExtent l="0" t="0" r="2540" b="6350"/>
            <wp:docPr id="13" name="圖片 13" descr="C:\論文寫作\Microbiota study\Beta blockers\Results (new)\Supplementary Figur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論文寫作\Microbiota study\Beta blockers\Results (new)\Supplementary Figure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52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546A" w:rsidRDefault="00FA546A" w:rsidP="00FA546A">
      <w:pPr>
        <w:rPr>
          <w:rFonts w:ascii="Times New Roman" w:hAnsi="Times New Roman" w:cs="Times New Roman"/>
        </w:rPr>
        <w:sectPr w:rsidR="00FA546A" w:rsidSect="00E32051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:rsidR="005349D8" w:rsidRDefault="00FA546A" w:rsidP="005349D8">
      <w:pPr>
        <w:rPr>
          <w:rFonts w:ascii="Times New Roman" w:hAnsi="Times New Roman" w:cs="Times New Roman"/>
          <w:color w:val="000000"/>
        </w:rPr>
      </w:pPr>
      <w:r w:rsidRPr="008F7734">
        <w:rPr>
          <w:rFonts w:ascii="Times New Roman" w:hAnsi="Times New Roman" w:cs="Times New Roman"/>
          <w:b/>
          <w:kern w:val="0"/>
          <w:szCs w:val="16"/>
        </w:rPr>
        <w:lastRenderedPageBreak/>
        <w:t xml:space="preserve">Supplementary Figure </w:t>
      </w:r>
      <w:r w:rsidR="005349D8">
        <w:rPr>
          <w:rFonts w:ascii="Times New Roman" w:hAnsi="Times New Roman" w:cs="Times New Roman"/>
          <w:b/>
          <w:kern w:val="0"/>
          <w:szCs w:val="16"/>
        </w:rPr>
        <w:t>3</w:t>
      </w:r>
      <w:r w:rsidRPr="008F7734">
        <w:rPr>
          <w:rFonts w:ascii="Times New Roman" w:hAnsi="Times New Roman" w:cs="Times New Roman"/>
          <w:b/>
          <w:kern w:val="0"/>
          <w:szCs w:val="16"/>
        </w:rPr>
        <w:t>.</w:t>
      </w:r>
      <w:r>
        <w:rPr>
          <w:rFonts w:ascii="Times New Roman" w:hAnsi="Times New Roman" w:cs="Times New Roman"/>
          <w:b/>
          <w:kern w:val="0"/>
          <w:szCs w:val="16"/>
        </w:rPr>
        <w:t xml:space="preserve"> </w:t>
      </w:r>
      <w:r w:rsidR="005349D8" w:rsidRPr="00CA7D62">
        <w:rPr>
          <w:rFonts w:ascii="Times New Roman" w:hAnsi="Times New Roman" w:cs="Times New Roman"/>
          <w:kern w:val="0"/>
          <w:szCs w:val="16"/>
        </w:rPr>
        <w:t>Core microbiome analysis</w:t>
      </w:r>
      <w:r w:rsidR="005349D8" w:rsidRPr="008F7734">
        <w:rPr>
          <w:rFonts w:ascii="Times New Roman" w:hAnsi="Times New Roman" w:cs="Times New Roman"/>
        </w:rPr>
        <w:t xml:space="preserve"> </w:t>
      </w:r>
      <w:r w:rsidR="005349D8" w:rsidRPr="008F7734">
        <w:rPr>
          <w:rFonts w:ascii="Times New Roman" w:hAnsi="Times New Roman" w:cs="Times New Roman"/>
          <w:color w:val="000000"/>
        </w:rPr>
        <w:t>in hemodialysis patients</w:t>
      </w:r>
      <w:r w:rsidR="005349D8">
        <w:rPr>
          <w:rFonts w:ascii="Times New Roman" w:hAnsi="Times New Roman" w:cs="Times New Roman"/>
          <w:color w:val="000000"/>
        </w:rPr>
        <w:t xml:space="preserve"> with and without </w:t>
      </w:r>
      <w:r w:rsidR="005349D8">
        <w:rPr>
          <w:rFonts w:ascii="Times New Roman" w:hAnsi="Times New Roman" w:cs="Times New Roman"/>
        </w:rPr>
        <w:t>β</w:t>
      </w:r>
      <w:r w:rsidR="005349D8">
        <w:rPr>
          <w:rFonts w:ascii="Times New Roman" w:hAnsi="Times New Roman" w:cs="Times New Roman" w:hint="eastAsia"/>
        </w:rPr>
        <w:t xml:space="preserve"> blocker</w:t>
      </w:r>
      <w:r w:rsidR="005349D8">
        <w:rPr>
          <w:rFonts w:ascii="Times New Roman" w:hAnsi="Times New Roman" w:cs="Times New Roman"/>
        </w:rPr>
        <w:t xml:space="preserve"> used.</w:t>
      </w:r>
      <w:r w:rsidR="005349D8">
        <w:rPr>
          <w:rFonts w:ascii="Times New Roman" w:hAnsi="Times New Roman" w:cs="Times New Roman"/>
          <w:color w:val="000000"/>
        </w:rPr>
        <w:t xml:space="preserve"> (A) SparCC correlation analysis (genus level using 100 SparCC permutation</w:t>
      </w:r>
      <w:r w:rsidR="009C0D90">
        <w:rPr>
          <w:rFonts w:ascii="Times New Roman" w:hAnsi="Times New Roman" w:cs="Times New Roman"/>
          <w:color w:val="000000"/>
        </w:rPr>
        <w:t>s</w:t>
      </w:r>
      <w:r w:rsidR="005349D8">
        <w:rPr>
          <w:rFonts w:ascii="Times New Roman" w:hAnsi="Times New Roman" w:cs="Times New Roman"/>
          <w:color w:val="000000"/>
        </w:rPr>
        <w:t xml:space="preserve">, 0.35 correlation threshold, and 0.05 P-value threshold) in all </w:t>
      </w:r>
      <w:r w:rsidR="005349D8" w:rsidRPr="008F7734">
        <w:rPr>
          <w:rFonts w:ascii="Times New Roman" w:hAnsi="Times New Roman" w:cs="Times New Roman"/>
          <w:color w:val="000000"/>
        </w:rPr>
        <w:t>hemodialysis patients</w:t>
      </w:r>
      <w:r w:rsidR="005349D8">
        <w:rPr>
          <w:rFonts w:ascii="Times New Roman" w:hAnsi="Times New Roman" w:cs="Times New Roman"/>
          <w:color w:val="000000"/>
        </w:rPr>
        <w:t xml:space="preserve"> with and without </w:t>
      </w:r>
      <w:r w:rsidR="005349D8">
        <w:rPr>
          <w:rFonts w:ascii="Times New Roman" w:hAnsi="Times New Roman" w:cs="Times New Roman"/>
        </w:rPr>
        <w:t>β</w:t>
      </w:r>
      <w:r w:rsidR="005349D8">
        <w:rPr>
          <w:rFonts w:ascii="Times New Roman" w:hAnsi="Times New Roman" w:cs="Times New Roman" w:hint="eastAsia"/>
        </w:rPr>
        <w:t xml:space="preserve"> blocker</w:t>
      </w:r>
      <w:r w:rsidR="005349D8">
        <w:rPr>
          <w:rFonts w:ascii="Times New Roman" w:hAnsi="Times New Roman" w:cs="Times New Roman"/>
        </w:rPr>
        <w:t xml:space="preserve"> used</w:t>
      </w:r>
      <w:r w:rsidR="005349D8">
        <w:rPr>
          <w:rFonts w:ascii="Times New Roman" w:hAnsi="Times New Roman" w:cs="Times New Roman"/>
          <w:color w:val="000000"/>
        </w:rPr>
        <w:t xml:space="preserve"> (B) </w:t>
      </w:r>
      <w:r w:rsidR="005349D8">
        <w:rPr>
          <w:rFonts w:ascii="Times New Roman" w:hAnsi="Times New Roman" w:cs="Times New Roman"/>
          <w:kern w:val="0"/>
          <w:szCs w:val="16"/>
        </w:rPr>
        <w:t>R</w:t>
      </w:r>
      <w:r w:rsidR="005349D8" w:rsidRPr="00CA7D62">
        <w:rPr>
          <w:rFonts w:ascii="Times New Roman" w:hAnsi="Times New Roman" w:cs="Times New Roman"/>
          <w:kern w:val="0"/>
          <w:szCs w:val="16"/>
        </w:rPr>
        <w:t>elative abundance and sample prevalence of bacterial genus</w:t>
      </w:r>
      <w:r w:rsidR="005349D8">
        <w:rPr>
          <w:rFonts w:ascii="Times New Roman" w:hAnsi="Times New Roman" w:cs="Times New Roman"/>
          <w:kern w:val="0"/>
          <w:szCs w:val="16"/>
        </w:rPr>
        <w:t xml:space="preserve"> in </w:t>
      </w:r>
      <w:r w:rsidR="005349D8">
        <w:rPr>
          <w:rFonts w:ascii="Times New Roman" w:hAnsi="Times New Roman" w:cs="Times New Roman"/>
        </w:rPr>
        <w:t>β</w:t>
      </w:r>
      <w:r w:rsidR="005349D8">
        <w:rPr>
          <w:rFonts w:ascii="Times New Roman" w:hAnsi="Times New Roman" w:cs="Times New Roman" w:hint="eastAsia"/>
        </w:rPr>
        <w:t xml:space="preserve"> blocker</w:t>
      </w:r>
      <w:r w:rsidR="005349D8">
        <w:rPr>
          <w:rFonts w:ascii="Times New Roman" w:hAnsi="Times New Roman" w:cs="Times New Roman"/>
        </w:rPr>
        <w:t xml:space="preserve"> </w:t>
      </w:r>
      <w:r w:rsidR="005349D8">
        <w:rPr>
          <w:rFonts w:ascii="Times New Roman" w:hAnsi="Times New Roman" w:cs="Times New Roman"/>
          <w:color w:val="000000"/>
        </w:rPr>
        <w:t>users and non- users.</w:t>
      </w:r>
    </w:p>
    <w:p w:rsidR="00387FFC" w:rsidRDefault="00387FFC" w:rsidP="005349D8">
      <w:pPr>
        <w:rPr>
          <w:rFonts w:ascii="Times New Roman" w:hAnsi="Times New Roman" w:cs="Times New Roman"/>
          <w:color w:val="000000"/>
        </w:rPr>
      </w:pPr>
      <w:r w:rsidRPr="00387FFC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441700" cy="7525414"/>
            <wp:effectExtent l="0" t="0" r="6350" b="0"/>
            <wp:docPr id="14" name="圖片 14" descr="C:\論文寫作\Microbiota study\Beta blockers\Results (new)\Supplementary Figur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論文寫作\Microbiota study\Beta blockers\Results (new)\Supplementary Figure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7260" cy="7537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49D8" w:rsidRDefault="005349D8" w:rsidP="005349D8">
      <w:pPr>
        <w:rPr>
          <w:rFonts w:ascii="Times New Roman" w:hAnsi="Times New Roman" w:cs="Times New Roman"/>
        </w:rPr>
        <w:sectPr w:rsidR="005349D8" w:rsidSect="00E32051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:rsidR="007804A3" w:rsidRDefault="007804A3" w:rsidP="007804A3">
      <w:r w:rsidRPr="00092B75">
        <w:rPr>
          <w:rFonts w:ascii="Times New Roman" w:hAnsi="Times New Roman" w:cs="Times New Roman" w:hint="eastAsia"/>
          <w:b/>
          <w:kern w:val="0"/>
          <w:szCs w:val="16"/>
        </w:rPr>
        <w:lastRenderedPageBreak/>
        <w:t>Supplementary Table 1.</w:t>
      </w:r>
      <w:r>
        <w:rPr>
          <w:rFonts w:ascii="Times New Roman" w:hAnsi="Times New Roman" w:cs="Times New Roman" w:hint="eastAsia"/>
          <w:kern w:val="0"/>
          <w:szCs w:val="16"/>
        </w:rPr>
        <w:t xml:space="preserve"> </w:t>
      </w:r>
      <w:r w:rsidRPr="00623F62">
        <w:rPr>
          <w:rFonts w:ascii="Times New Roman" w:hAnsi="Times New Roman" w:cs="Times New Roman"/>
          <w:kern w:val="0"/>
          <w:szCs w:val="16"/>
        </w:rPr>
        <w:t xml:space="preserve">Summary table of </w:t>
      </w:r>
      <w:r w:rsidR="009C0D90">
        <w:rPr>
          <w:rFonts w:ascii="Times New Roman" w:hAnsi="Times New Roman" w:cs="Times New Roman"/>
          <w:kern w:val="0"/>
          <w:szCs w:val="16"/>
        </w:rPr>
        <w:t>significant genus</w:t>
      </w:r>
      <w:r w:rsidRPr="00623F62">
        <w:rPr>
          <w:rFonts w:ascii="Times New Roman" w:hAnsi="Times New Roman" w:cs="Times New Roman"/>
          <w:kern w:val="0"/>
          <w:szCs w:val="16"/>
        </w:rPr>
        <w:t xml:space="preserve"> difference </w:t>
      </w:r>
      <w:r>
        <w:rPr>
          <w:rFonts w:ascii="Times New Roman" w:hAnsi="Times New Roman" w:cs="Times New Roman"/>
          <w:kern w:val="0"/>
          <w:szCs w:val="16"/>
        </w:rPr>
        <w:t>in hemodialysis patients with and without β-blocker treatment in</w:t>
      </w:r>
      <w:r w:rsidRPr="00623F62">
        <w:rPr>
          <w:rFonts w:ascii="Times New Roman" w:hAnsi="Times New Roman" w:cs="Times New Roman"/>
          <w:kern w:val="0"/>
          <w:szCs w:val="16"/>
        </w:rPr>
        <w:t xml:space="preserve"> </w:t>
      </w:r>
      <w:r>
        <w:rPr>
          <w:rFonts w:ascii="Times New Roman" w:eastAsia="新細明體" w:hAnsi="Times New Roman" w:cs="Times New Roman"/>
          <w:bCs/>
          <w:color w:val="000000"/>
          <w:kern w:val="0"/>
          <w:szCs w:val="24"/>
        </w:rPr>
        <w:t>zero-inflated Gaussian fit model</w:t>
      </w:r>
    </w:p>
    <w:tbl>
      <w:tblPr>
        <w:tblW w:w="75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711"/>
        <w:gridCol w:w="1959"/>
        <w:gridCol w:w="1843"/>
      </w:tblGrid>
      <w:tr w:rsidR="007804A3" w:rsidRPr="00092B75" w:rsidTr="003E37EE">
        <w:trPr>
          <w:trHeight w:val="359"/>
        </w:trPr>
        <w:tc>
          <w:tcPr>
            <w:tcW w:w="371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Genus</w:t>
            </w:r>
          </w:p>
        </w:tc>
        <w:tc>
          <w:tcPr>
            <w:tcW w:w="3802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Zero-inflated Gaussian fit method</w:t>
            </w:r>
          </w:p>
        </w:tc>
      </w:tr>
      <w:tr w:rsidR="007804A3" w:rsidRPr="00092B75" w:rsidTr="003E37EE">
        <w:trPr>
          <w:trHeight w:val="35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Before propensity score matching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After propensity score matching</w:t>
            </w:r>
          </w:p>
        </w:tc>
      </w:tr>
      <w:tr w:rsidR="007804A3" w:rsidRPr="00092B75" w:rsidTr="003E37EE">
        <w:trPr>
          <w:trHeight w:val="35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9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P value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P value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Prevotella_2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0.192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0.004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Prevotellaceae NK3B31 group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0.030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0.005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Subdoligranulum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0.011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Flavonifractor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0.044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0.015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Tyzzerella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0.049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0.024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Streptococcus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0.037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Ruminococcaceae UCG-005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0.039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Faecalibacterium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0.044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Christensenellaceae R7 group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0.063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Ruminococcaceae UCG-003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0.791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0.069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Enterobacter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0.070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Lachnospiraceae UCG-004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0.641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0.091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Ruminiclostridium 9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0.044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0.093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Ruminococcaceae UCG-004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0.100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Lachnospiraceae UCG-005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0.236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0.115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Pantoea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0.140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Anaerotruncus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0.144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Intestinibacter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0.148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Eubacterium ventriosum group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0.488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0.187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Erysipelatoclostridium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0.271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0.200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Ruminiclostridium 6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0.210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Collinsella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0.210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Lachnoclostridium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0.850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0.232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Bacteroides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0.282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0.232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Prevotella 9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0.244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uncultured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0.252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Eubacterium coprostanoligenes group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0.765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0.252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Cronobacter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0.254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Roseburia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0.274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Lachnospiraceae NC2004 group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0.311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Ruminiclostridium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0.312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lastRenderedPageBreak/>
              <w:t>Eubacterium hallii group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0.316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Butyricimonas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0.344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Eisenbergiella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0.080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0.351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Barnesiella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0.358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Clostridium sensu stricto 1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0.778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0.375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Lachnospiraceae UCG-010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0.778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0.382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Phascolarctobacterium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0.926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0.385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Ruminiclostridium 5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0.043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0.397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Akkermansia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0.169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0.399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Bifidobacterium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0.422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Haemophilus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0.534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0.444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Lachnospira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0.446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Fusicatenibacter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0.887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0.460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Sutterella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0.991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0.460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Megamonas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0.957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0.483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Lactonifactor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0.385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0.488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Dorea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0.897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0.551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Desulfovibrio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0.087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0.555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Parabacteroides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0.194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0.573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Pseudobutyrivibrio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0.577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Odoribacter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0.761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0.577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Intestinimonas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0.581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Lachnospiraceae NK4A136 group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0.819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0.644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Hungatella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0.288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0.644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Eubacterium ruminantium group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0.457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0.645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Eubacterium oxidoreducens group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0.658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Bilophila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0.750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0.682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Lachnospiraceae UCG-008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0.694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Prevotella 7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0.694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Paraprevotella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0.869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0.709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uncultured bacterium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0.849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0.723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Erysipelotrichaceae UCG-003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0.739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0.822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Escherichia Shigella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0.838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Parasutterella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0.326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0.858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Fusobacterium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0.872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Incertae Sedis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0.959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0.874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Veillonella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0.522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0.888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Blautia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0.829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0.894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lastRenderedPageBreak/>
              <w:t>Ruminococcus 2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0.145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0.896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Oscillospira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0.913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Alistipes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0.650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0.921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Ruminococcaceae UCG-013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0.745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0.925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Ruminococcaceae UCG-002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0.388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0.928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Anaerostipes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0.938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Ruminococcus 1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0.876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0.958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Ruminococcaceae NK4A214 group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0.979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Family XIII AD3011 group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15AD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7804A3" w:rsidRPr="00092B75" w:rsidTr="003E37EE">
        <w:trPr>
          <w:trHeight w:val="339"/>
        </w:trPr>
        <w:tc>
          <w:tcPr>
            <w:tcW w:w="37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Lachnospiraceae ND3007 group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E37E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0.464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04A3" w:rsidRPr="00092B75" w:rsidRDefault="007804A3" w:rsidP="00315AD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092B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</w:tbl>
    <w:p w:rsidR="007804A3" w:rsidRDefault="007804A3" w:rsidP="007804A3"/>
    <w:p w:rsidR="00BE10BF" w:rsidRDefault="00BE10BF" w:rsidP="005349D8">
      <w:pPr>
        <w:rPr>
          <w:rFonts w:ascii="Times New Roman" w:hAnsi="Times New Roman" w:cs="Times New Roman"/>
        </w:rPr>
      </w:pPr>
    </w:p>
    <w:sectPr w:rsidR="00BE10BF" w:rsidSect="003E37E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0FB1" w:rsidRDefault="00A40FB1" w:rsidP="00D2008E">
      <w:r>
        <w:separator/>
      </w:r>
    </w:p>
  </w:endnote>
  <w:endnote w:type="continuationSeparator" w:id="0">
    <w:p w:rsidR="00A40FB1" w:rsidRDefault="00A40FB1" w:rsidP="00D20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0FB1" w:rsidRDefault="00A40FB1" w:rsidP="00D2008E">
      <w:r>
        <w:separator/>
      </w:r>
    </w:p>
  </w:footnote>
  <w:footnote w:type="continuationSeparator" w:id="0">
    <w:p w:rsidR="00A40FB1" w:rsidRDefault="00A40FB1" w:rsidP="00D200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G0NDY0tzQ3NTYztzBU0lEKTi0uzszPAykwNKoFAKNCFJEtAAAA"/>
  </w:docVars>
  <w:rsids>
    <w:rsidRoot w:val="0005045A"/>
    <w:rsid w:val="0005045A"/>
    <w:rsid w:val="000574E4"/>
    <w:rsid w:val="00077006"/>
    <w:rsid w:val="000B093D"/>
    <w:rsid w:val="00106F80"/>
    <w:rsid w:val="001229FF"/>
    <w:rsid w:val="00144BD3"/>
    <w:rsid w:val="00195A1A"/>
    <w:rsid w:val="001B3BFE"/>
    <w:rsid w:val="001B7AF1"/>
    <w:rsid w:val="001E1940"/>
    <w:rsid w:val="002252DE"/>
    <w:rsid w:val="00237F89"/>
    <w:rsid w:val="002718F4"/>
    <w:rsid w:val="00271D4B"/>
    <w:rsid w:val="002956A0"/>
    <w:rsid w:val="002A0CFC"/>
    <w:rsid w:val="00301059"/>
    <w:rsid w:val="00315AD9"/>
    <w:rsid w:val="00345F3E"/>
    <w:rsid w:val="00371DD5"/>
    <w:rsid w:val="00387FFC"/>
    <w:rsid w:val="003A2695"/>
    <w:rsid w:val="003C3FCF"/>
    <w:rsid w:val="003E0B1F"/>
    <w:rsid w:val="003E37EE"/>
    <w:rsid w:val="00417EBD"/>
    <w:rsid w:val="00423836"/>
    <w:rsid w:val="00432FE6"/>
    <w:rsid w:val="00437EB5"/>
    <w:rsid w:val="00486168"/>
    <w:rsid w:val="00507FE8"/>
    <w:rsid w:val="005349D8"/>
    <w:rsid w:val="005365F3"/>
    <w:rsid w:val="00560EFC"/>
    <w:rsid w:val="00583EA3"/>
    <w:rsid w:val="005D71C4"/>
    <w:rsid w:val="005F2336"/>
    <w:rsid w:val="006847F9"/>
    <w:rsid w:val="006D2098"/>
    <w:rsid w:val="006F2FB0"/>
    <w:rsid w:val="006F3E67"/>
    <w:rsid w:val="006F74D4"/>
    <w:rsid w:val="00746D4D"/>
    <w:rsid w:val="007804A3"/>
    <w:rsid w:val="00780F46"/>
    <w:rsid w:val="007C23F8"/>
    <w:rsid w:val="007D139A"/>
    <w:rsid w:val="007E7649"/>
    <w:rsid w:val="00805C5E"/>
    <w:rsid w:val="0081378A"/>
    <w:rsid w:val="00825CBA"/>
    <w:rsid w:val="008E7540"/>
    <w:rsid w:val="00917743"/>
    <w:rsid w:val="009279BE"/>
    <w:rsid w:val="009B67DF"/>
    <w:rsid w:val="009C0D90"/>
    <w:rsid w:val="009F0F3E"/>
    <w:rsid w:val="00A40FB1"/>
    <w:rsid w:val="00A76887"/>
    <w:rsid w:val="00A80DAD"/>
    <w:rsid w:val="00AB3ECF"/>
    <w:rsid w:val="00AC6F14"/>
    <w:rsid w:val="00AD2898"/>
    <w:rsid w:val="00AF6470"/>
    <w:rsid w:val="00B345C9"/>
    <w:rsid w:val="00B41BF2"/>
    <w:rsid w:val="00B55333"/>
    <w:rsid w:val="00B92DC3"/>
    <w:rsid w:val="00BC6C4D"/>
    <w:rsid w:val="00BC70AA"/>
    <w:rsid w:val="00BE10BF"/>
    <w:rsid w:val="00C06533"/>
    <w:rsid w:val="00C12E1C"/>
    <w:rsid w:val="00C14BBA"/>
    <w:rsid w:val="00D2008E"/>
    <w:rsid w:val="00D24CE6"/>
    <w:rsid w:val="00D35F1C"/>
    <w:rsid w:val="00D51C3E"/>
    <w:rsid w:val="00D677D5"/>
    <w:rsid w:val="00DD7513"/>
    <w:rsid w:val="00DE0660"/>
    <w:rsid w:val="00DE0B04"/>
    <w:rsid w:val="00DF09CF"/>
    <w:rsid w:val="00E04329"/>
    <w:rsid w:val="00E32051"/>
    <w:rsid w:val="00E358D1"/>
    <w:rsid w:val="00E76DE4"/>
    <w:rsid w:val="00EC2F53"/>
    <w:rsid w:val="00EC36FC"/>
    <w:rsid w:val="00EC67EC"/>
    <w:rsid w:val="00ED56BE"/>
    <w:rsid w:val="00EF1811"/>
    <w:rsid w:val="00F00A2D"/>
    <w:rsid w:val="00F0570A"/>
    <w:rsid w:val="00F1186D"/>
    <w:rsid w:val="00F161FA"/>
    <w:rsid w:val="00F26216"/>
    <w:rsid w:val="00F30604"/>
    <w:rsid w:val="00F30836"/>
    <w:rsid w:val="00F55497"/>
    <w:rsid w:val="00F55C7B"/>
    <w:rsid w:val="00F95C0A"/>
    <w:rsid w:val="00FA546A"/>
    <w:rsid w:val="00FB62DE"/>
    <w:rsid w:val="00FD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9307F4"/>
  <w15:chartTrackingRefBased/>
  <w15:docId w15:val="{AE41551B-5004-4EF7-8880-BAB860FD1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546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54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A546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A54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A546A"/>
    <w:rPr>
      <w:sz w:val="20"/>
      <w:szCs w:val="20"/>
    </w:rPr>
  </w:style>
  <w:style w:type="table" w:styleId="a7">
    <w:name w:val="Table Grid"/>
    <w:basedOn w:val="a1"/>
    <w:uiPriority w:val="39"/>
    <w:rsid w:val="00FA54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Subtitle"/>
    <w:basedOn w:val="a"/>
    <w:next w:val="a"/>
    <w:link w:val="a9"/>
    <w:uiPriority w:val="11"/>
    <w:qFormat/>
    <w:rsid w:val="00FA546A"/>
    <w:pPr>
      <w:spacing w:after="60"/>
      <w:jc w:val="center"/>
      <w:outlineLvl w:val="1"/>
    </w:pPr>
    <w:rPr>
      <w:szCs w:val="24"/>
    </w:rPr>
  </w:style>
  <w:style w:type="character" w:customStyle="1" w:styleId="a9">
    <w:name w:val="副標題 字元"/>
    <w:basedOn w:val="a0"/>
    <w:link w:val="a8"/>
    <w:uiPriority w:val="11"/>
    <w:rsid w:val="00FA546A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99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0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521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Pana</dc:creator>
  <cp:keywords/>
  <dc:description/>
  <cp:lastModifiedBy>Pana</cp:lastModifiedBy>
  <cp:revision>2</cp:revision>
  <dcterms:created xsi:type="dcterms:W3CDTF">2020-06-11T15:24:00Z</dcterms:created>
  <dcterms:modified xsi:type="dcterms:W3CDTF">2020-06-11T15:24:00Z</dcterms:modified>
</cp:coreProperties>
</file>