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883" w:rsidRPr="00B05C3B" w:rsidRDefault="00886574" w:rsidP="00FF2883">
      <w:pPr>
        <w:pStyle w:val="Caption"/>
        <w:keepNext/>
        <w:spacing w:after="0"/>
        <w:rPr>
          <w:i w:val="0"/>
          <w:color w:val="auto"/>
          <w:sz w:val="24"/>
          <w:szCs w:val="24"/>
        </w:rPr>
      </w:pPr>
      <w:bookmarkStart w:id="0" w:name="_GoBack"/>
      <w:r w:rsidRPr="00886574">
        <w:rPr>
          <w:b/>
          <w:i w:val="0"/>
          <w:color w:val="auto"/>
          <w:sz w:val="24"/>
          <w:szCs w:val="24"/>
        </w:rPr>
        <w:t>Supplemental Table B</w:t>
      </w:r>
      <w:bookmarkEnd w:id="0"/>
      <w:r w:rsidR="00FF2883" w:rsidRPr="00B05C3B">
        <w:rPr>
          <w:i w:val="0"/>
          <w:color w:val="auto"/>
          <w:sz w:val="24"/>
          <w:szCs w:val="24"/>
        </w:rPr>
        <w:t xml:space="preserve">. Binary logistic regression evaluating the outcome of CPAP Belly diagnosis including the covariates of birthweight, NIPPV support, and level of PEEP support. Zero neonates without CPAP Belly received NIPPV support at time of analysis, so Schaefer correction was used to add ½ to each cell with a zero value in order to complete analysis. In order to use Schaefer correction, birthweight was converted to a categorical variable. </w:t>
      </w:r>
      <w:r w:rsidR="00FF2883" w:rsidRPr="00B05C3B">
        <w:rPr>
          <w:i w:val="0"/>
          <w:color w:val="auto"/>
          <w:sz w:val="24"/>
          <w:szCs w:val="24"/>
          <w:lang w:val="el-GR"/>
        </w:rPr>
        <w:t>β</w:t>
      </w:r>
      <w:r w:rsidR="00FF2883" w:rsidRPr="00B05C3B">
        <w:rPr>
          <w:i w:val="0"/>
          <w:color w:val="auto"/>
          <w:sz w:val="24"/>
          <w:szCs w:val="24"/>
        </w:rPr>
        <w:t xml:space="preserve"> weights, p-values, Exp(</w:t>
      </w:r>
      <w:r w:rsidR="00FF2883" w:rsidRPr="00B05C3B">
        <w:rPr>
          <w:i w:val="0"/>
          <w:color w:val="auto"/>
          <w:sz w:val="24"/>
          <w:szCs w:val="24"/>
          <w:lang w:val="el-GR"/>
        </w:rPr>
        <w:t>β</w:t>
      </w:r>
      <w:r w:rsidR="00FF2883" w:rsidRPr="00B05C3B">
        <w:rPr>
          <w:i w:val="0"/>
          <w:color w:val="auto"/>
          <w:sz w:val="24"/>
          <w:szCs w:val="24"/>
        </w:rPr>
        <w:t xml:space="preserve">) or odds ratios, and 95% confidence intervals of the odds ratios are reported. Birthweight &gt; 1.32kg was only significant covariate associated with CPAP Belly diagnosis. Neither NIPPV support nor PEEP value independently predicted CPAP Belly diagnosis. </w:t>
      </w:r>
    </w:p>
    <w:p w:rsidR="00FF2883" w:rsidRPr="00B05C3B" w:rsidRDefault="00FF2883" w:rsidP="00FF2883">
      <w:pPr>
        <w:pStyle w:val="Caption"/>
        <w:keepNext/>
        <w:spacing w:after="0"/>
        <w:rPr>
          <w:i w:val="0"/>
          <w:color w:val="auto"/>
          <w:sz w:val="24"/>
          <w:szCs w:val="24"/>
        </w:rPr>
      </w:pPr>
      <w:proofErr w:type="spellStart"/>
      <w:r w:rsidRPr="00B05C3B">
        <w:rPr>
          <w:i w:val="0"/>
          <w:color w:val="auto"/>
          <w:sz w:val="24"/>
          <w:szCs w:val="24"/>
          <w:vertAlign w:val="superscript"/>
        </w:rPr>
        <w:t>a</w:t>
      </w:r>
      <w:r w:rsidRPr="00B05C3B">
        <w:rPr>
          <w:i w:val="0"/>
          <w:color w:val="auto"/>
          <w:sz w:val="24"/>
          <w:szCs w:val="24"/>
        </w:rPr>
        <w:t>NIPPV</w:t>
      </w:r>
      <w:proofErr w:type="spellEnd"/>
      <w:r w:rsidRPr="00B05C3B">
        <w:rPr>
          <w:i w:val="0"/>
          <w:color w:val="auto"/>
          <w:sz w:val="24"/>
          <w:szCs w:val="24"/>
        </w:rPr>
        <w:t>: Noninvasive positive pressure ventilation.</w:t>
      </w:r>
    </w:p>
    <w:p w:rsidR="00FF2883" w:rsidRPr="00B05C3B" w:rsidRDefault="00FF2883" w:rsidP="00FF2883">
      <w:pPr>
        <w:pStyle w:val="Caption"/>
        <w:keepNext/>
        <w:spacing w:after="0"/>
        <w:rPr>
          <w:i w:val="0"/>
          <w:color w:val="auto"/>
          <w:sz w:val="24"/>
          <w:szCs w:val="24"/>
        </w:rPr>
      </w:pPr>
      <w:proofErr w:type="spellStart"/>
      <w:r w:rsidRPr="00B05C3B">
        <w:rPr>
          <w:i w:val="0"/>
          <w:color w:val="auto"/>
          <w:sz w:val="24"/>
          <w:szCs w:val="24"/>
          <w:vertAlign w:val="superscript"/>
        </w:rPr>
        <w:t>b</w:t>
      </w:r>
      <w:r w:rsidRPr="00B05C3B">
        <w:rPr>
          <w:i w:val="0"/>
          <w:color w:val="auto"/>
          <w:sz w:val="24"/>
          <w:szCs w:val="24"/>
        </w:rPr>
        <w:t>PEEP</w:t>
      </w:r>
      <w:proofErr w:type="spellEnd"/>
      <w:r w:rsidRPr="00B05C3B">
        <w:rPr>
          <w:i w:val="0"/>
          <w:color w:val="auto"/>
          <w:sz w:val="24"/>
          <w:szCs w:val="24"/>
        </w:rPr>
        <w:t>: Positive end expiratory pressure.</w:t>
      </w:r>
    </w:p>
    <w:p w:rsidR="00B05C3B" w:rsidRPr="00B05C3B" w:rsidRDefault="00B05C3B" w:rsidP="00B05C3B"/>
    <w:tbl>
      <w:tblPr>
        <w:tblW w:w="8185" w:type="dxa"/>
        <w:tblCellMar>
          <w:left w:w="0" w:type="dxa"/>
          <w:right w:w="0" w:type="dxa"/>
        </w:tblCellMar>
        <w:tblLook w:val="0420" w:firstRow="1" w:lastRow="0" w:firstColumn="0" w:lastColumn="0" w:noHBand="0" w:noVBand="1"/>
      </w:tblPr>
      <w:tblGrid>
        <w:gridCol w:w="2785"/>
        <w:gridCol w:w="1080"/>
        <w:gridCol w:w="1170"/>
        <w:gridCol w:w="1080"/>
        <w:gridCol w:w="2070"/>
      </w:tblGrid>
      <w:tr w:rsidR="00A20750" w:rsidRPr="00A20750" w:rsidTr="00A20750">
        <w:trPr>
          <w:trHeight w:val="584"/>
        </w:trPr>
        <w:tc>
          <w:tcPr>
            <w:tcW w:w="2785" w:type="dxa"/>
            <w:tcBorders>
              <w:top w:val="single" w:sz="4" w:space="0" w:color="5B9BD5"/>
              <w:left w:val="single" w:sz="4" w:space="0" w:color="5B9BD5"/>
              <w:bottom w:val="single" w:sz="4" w:space="0" w:color="5B9BD5"/>
              <w:right w:val="nil"/>
            </w:tcBorders>
            <w:shd w:val="clear" w:color="auto" w:fill="5B9BD5"/>
            <w:tcMar>
              <w:top w:w="72" w:type="dxa"/>
              <w:left w:w="144" w:type="dxa"/>
              <w:bottom w:w="72" w:type="dxa"/>
              <w:right w:w="144" w:type="dxa"/>
            </w:tcMar>
            <w:vAlign w:val="center"/>
            <w:hideMark/>
          </w:tcPr>
          <w:p w:rsidR="00A20750" w:rsidRPr="00A20750" w:rsidRDefault="00A20750" w:rsidP="00A20750">
            <w:pPr>
              <w:spacing w:after="0"/>
            </w:pPr>
            <w:r w:rsidRPr="00A20750">
              <w:rPr>
                <w:b/>
                <w:bCs/>
              </w:rPr>
              <w:t>Covariates</w:t>
            </w:r>
          </w:p>
        </w:tc>
        <w:tc>
          <w:tcPr>
            <w:tcW w:w="108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vAlign w:val="center"/>
            <w:hideMark/>
          </w:tcPr>
          <w:p w:rsidR="00A20750" w:rsidRPr="00A20750" w:rsidRDefault="00A20750" w:rsidP="00A20750">
            <w:pPr>
              <w:spacing w:after="0"/>
            </w:pPr>
            <w:r w:rsidRPr="00A20750">
              <w:rPr>
                <w:b/>
                <w:bCs/>
                <w:lang w:val="el-GR"/>
              </w:rPr>
              <w:t>β</w:t>
            </w:r>
          </w:p>
        </w:tc>
        <w:tc>
          <w:tcPr>
            <w:tcW w:w="117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vAlign w:val="center"/>
            <w:hideMark/>
          </w:tcPr>
          <w:p w:rsidR="00A20750" w:rsidRPr="00A20750" w:rsidRDefault="00A20750" w:rsidP="00A20750">
            <w:pPr>
              <w:spacing w:after="0"/>
            </w:pPr>
            <w:r w:rsidRPr="00A20750">
              <w:rPr>
                <w:b/>
                <w:bCs/>
                <w:i/>
                <w:iCs/>
              </w:rPr>
              <w:t>p</w:t>
            </w:r>
            <w:r w:rsidRPr="00A20750">
              <w:rPr>
                <w:b/>
                <w:bCs/>
              </w:rPr>
              <w:t>-value</w:t>
            </w:r>
          </w:p>
        </w:tc>
        <w:tc>
          <w:tcPr>
            <w:tcW w:w="108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vAlign w:val="center"/>
            <w:hideMark/>
          </w:tcPr>
          <w:p w:rsidR="00A20750" w:rsidRPr="00A20750" w:rsidRDefault="00A20750" w:rsidP="00A20750">
            <w:pPr>
              <w:spacing w:after="0"/>
            </w:pPr>
            <w:r w:rsidRPr="00A20750">
              <w:rPr>
                <w:b/>
                <w:bCs/>
              </w:rPr>
              <w:t>Exp(</w:t>
            </w:r>
            <w:r w:rsidRPr="00A20750">
              <w:rPr>
                <w:b/>
                <w:bCs/>
                <w:lang w:val="el-GR"/>
              </w:rPr>
              <w:t>β</w:t>
            </w:r>
            <w:r w:rsidRPr="00A20750">
              <w:rPr>
                <w:b/>
                <w:bCs/>
              </w:rPr>
              <w:t>)</w:t>
            </w:r>
          </w:p>
        </w:tc>
        <w:tc>
          <w:tcPr>
            <w:tcW w:w="2070" w:type="dxa"/>
            <w:tcBorders>
              <w:top w:val="single" w:sz="4" w:space="0" w:color="5B9BD5"/>
              <w:left w:val="nil"/>
              <w:bottom w:val="single" w:sz="4" w:space="0" w:color="5B9BD5"/>
              <w:right w:val="single" w:sz="4" w:space="0" w:color="5B9BD5"/>
            </w:tcBorders>
            <w:shd w:val="clear" w:color="auto" w:fill="5B9BD5"/>
            <w:tcMar>
              <w:top w:w="72" w:type="dxa"/>
              <w:left w:w="144" w:type="dxa"/>
              <w:bottom w:w="72" w:type="dxa"/>
              <w:right w:w="144" w:type="dxa"/>
            </w:tcMar>
            <w:vAlign w:val="center"/>
            <w:hideMark/>
          </w:tcPr>
          <w:p w:rsidR="00A20750" w:rsidRPr="00A20750" w:rsidRDefault="00A20750" w:rsidP="00A20750">
            <w:pPr>
              <w:spacing w:after="0"/>
            </w:pPr>
            <w:r w:rsidRPr="00A20750">
              <w:rPr>
                <w:b/>
                <w:bCs/>
              </w:rPr>
              <w:t>95% CI for Exp(</w:t>
            </w:r>
            <w:r w:rsidRPr="00A20750">
              <w:rPr>
                <w:b/>
                <w:bCs/>
                <w:lang w:val="el-GR"/>
              </w:rPr>
              <w:t>β</w:t>
            </w:r>
            <w:r w:rsidRPr="00A20750">
              <w:rPr>
                <w:b/>
                <w:bCs/>
              </w:rPr>
              <w:t>)</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Birthweight (&lt;1.01kg)</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p>
        </w:tc>
        <w:tc>
          <w:tcPr>
            <w:tcW w:w="117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p>
        </w:tc>
        <w:tc>
          <w:tcPr>
            <w:tcW w:w="207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A20750" w:rsidRPr="00A20750" w:rsidRDefault="00A20750" w:rsidP="00A20750">
            <w:pPr>
              <w:spacing w:after="0"/>
            </w:pP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 xml:space="preserve">   Birthweight (1.01-1.31kg)</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-0.738</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0.158</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0.478</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0.169 – 1.326</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 xml:space="preserve">   Birthweight (&gt;1.32kg)</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-1.599</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0.005</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0.202</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0.063 – 0.604</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proofErr w:type="spellStart"/>
            <w:r w:rsidRPr="00A20750">
              <w:t>NIPPV</w:t>
            </w:r>
            <w:r w:rsidRPr="00A20750">
              <w:rPr>
                <w:vertAlign w:val="superscript"/>
              </w:rPr>
              <w:t>a</w:t>
            </w:r>
            <w:proofErr w:type="spellEnd"/>
            <w:r w:rsidRPr="00A20750">
              <w:t xml:space="preserve"> Support</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0.473</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0.566</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1.604</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0.324 – 8.856</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proofErr w:type="spellStart"/>
            <w:r w:rsidRPr="00A20750">
              <w:t>PEEP</w:t>
            </w:r>
            <w:r w:rsidRPr="00A20750">
              <w:rPr>
                <w:vertAlign w:val="superscript"/>
              </w:rPr>
              <w:t>b</w:t>
            </w:r>
            <w:proofErr w:type="spellEnd"/>
            <w:r w:rsidRPr="00A20750">
              <w:t xml:space="preserve"> ≤ 5 cmH</w:t>
            </w:r>
            <w:r w:rsidRPr="00A20750">
              <w:rPr>
                <w:vertAlign w:val="subscript"/>
              </w:rPr>
              <w:t>2</w:t>
            </w:r>
            <w:r w:rsidRPr="00A20750">
              <w:t>O</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 xml:space="preserve">   PEEP 6 cmH</w:t>
            </w:r>
            <w:r w:rsidRPr="00A20750">
              <w:rPr>
                <w:vertAlign w:val="subscript"/>
              </w:rPr>
              <w:t>2</w:t>
            </w:r>
            <w:r w:rsidRPr="00A20750">
              <w:t>O</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0.928</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0.052</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2.530</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0.992 – 6.523</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 xml:space="preserve">   PEEP ≥ 7 cmH</w:t>
            </w:r>
            <w:r w:rsidRPr="00A20750">
              <w:rPr>
                <w:vertAlign w:val="subscript"/>
              </w:rPr>
              <w:t>2</w:t>
            </w:r>
            <w:r w:rsidRPr="00A20750">
              <w:t>O</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0.555</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0.512</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1.742</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0.317 – 9.510</w:t>
            </w:r>
          </w:p>
        </w:tc>
      </w:tr>
      <w:tr w:rsidR="00A20750" w:rsidRPr="00A20750" w:rsidTr="00A20750">
        <w:trPr>
          <w:trHeight w:val="29"/>
        </w:trPr>
        <w:tc>
          <w:tcPr>
            <w:tcW w:w="278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A20750" w:rsidRPr="00A20750" w:rsidRDefault="00A20750" w:rsidP="00A20750">
            <w:pPr>
              <w:spacing w:after="0"/>
            </w:pPr>
            <w:r w:rsidRPr="00A20750">
              <w:t>Constant</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0.150</w:t>
            </w:r>
          </w:p>
        </w:tc>
        <w:tc>
          <w:tcPr>
            <w:tcW w:w="117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0.741</w:t>
            </w:r>
          </w:p>
        </w:tc>
        <w:tc>
          <w:tcPr>
            <w:tcW w:w="1080" w:type="dxa"/>
            <w:tcBorders>
              <w:top w:val="single" w:sz="4" w:space="0" w:color="5B9BD5"/>
              <w:left w:val="nil"/>
              <w:bottom w:val="single" w:sz="4" w:space="0" w:color="5B9BD5"/>
              <w:right w:val="nil"/>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0.861</w:t>
            </w:r>
          </w:p>
        </w:tc>
        <w:tc>
          <w:tcPr>
            <w:tcW w:w="2070" w:type="dxa"/>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vAlign w:val="bottom"/>
            <w:hideMark/>
          </w:tcPr>
          <w:p w:rsidR="00A20750" w:rsidRPr="00A20750" w:rsidRDefault="00A20750" w:rsidP="00A20750">
            <w:pPr>
              <w:spacing w:after="0"/>
            </w:pPr>
            <w:r w:rsidRPr="00A20750">
              <w:t>0.348 – 2.114</w:t>
            </w:r>
          </w:p>
        </w:tc>
      </w:tr>
    </w:tbl>
    <w:p w:rsidR="00663CA3" w:rsidRDefault="00886574"/>
    <w:sectPr w:rsidR="00663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83"/>
    <w:rsid w:val="0033172A"/>
    <w:rsid w:val="006321A9"/>
    <w:rsid w:val="00886574"/>
    <w:rsid w:val="008946A7"/>
    <w:rsid w:val="00A20750"/>
    <w:rsid w:val="00B05C3B"/>
    <w:rsid w:val="00EA2048"/>
    <w:rsid w:val="00FF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3EEE"/>
  <w15:chartTrackingRefBased/>
  <w15:docId w15:val="{D747F326-0990-4FDC-BF08-CCA951B1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F288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5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Stanford University IT</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Shuo Gu</dc:creator>
  <cp:keywords/>
  <dc:description/>
  <cp:lastModifiedBy>Hannah Shuo Gu</cp:lastModifiedBy>
  <cp:revision>6</cp:revision>
  <dcterms:created xsi:type="dcterms:W3CDTF">2023-09-01T22:48:00Z</dcterms:created>
  <dcterms:modified xsi:type="dcterms:W3CDTF">2023-11-23T22:44:00Z</dcterms:modified>
</cp:coreProperties>
</file>