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298" w:rsidRPr="009E5569" w:rsidRDefault="00B16949" w:rsidP="00067298">
      <w:pPr>
        <w:pStyle w:val="Caption"/>
        <w:keepNext/>
        <w:spacing w:after="0"/>
        <w:rPr>
          <w:i w:val="0"/>
          <w:color w:val="auto"/>
          <w:sz w:val="24"/>
          <w:szCs w:val="24"/>
        </w:rPr>
      </w:pPr>
      <w:r w:rsidRPr="00B16949">
        <w:rPr>
          <w:b/>
          <w:i w:val="0"/>
          <w:color w:val="auto"/>
          <w:sz w:val="24"/>
          <w:szCs w:val="24"/>
        </w:rPr>
        <w:t>Supplemental Table C</w:t>
      </w:r>
      <w:r w:rsidR="00067298" w:rsidRPr="009E5569">
        <w:rPr>
          <w:i w:val="0"/>
          <w:color w:val="auto"/>
          <w:sz w:val="24"/>
          <w:szCs w:val="24"/>
        </w:rPr>
        <w:t xml:space="preserve">: Outcomes Regression Analyses. </w:t>
      </w:r>
    </w:p>
    <w:p w:rsidR="00067298" w:rsidRPr="009E5569" w:rsidRDefault="00067298" w:rsidP="00067298">
      <w:pPr>
        <w:pStyle w:val="Caption"/>
        <w:keepNext/>
        <w:spacing w:after="0"/>
        <w:rPr>
          <w:i w:val="0"/>
          <w:color w:val="auto"/>
          <w:sz w:val="24"/>
          <w:szCs w:val="24"/>
        </w:rPr>
      </w:pPr>
      <w:r w:rsidRPr="009E5569">
        <w:rPr>
          <w:i w:val="0"/>
          <w:color w:val="auto"/>
          <w:sz w:val="24"/>
          <w:szCs w:val="24"/>
        </w:rPr>
        <w:t>(A). Linear Regression evaluating outcomes of day of life (DOL</w:t>
      </w:r>
      <w:r w:rsidR="009C7B07">
        <w:rPr>
          <w:i w:val="0"/>
          <w:color w:val="auto"/>
          <w:sz w:val="24"/>
          <w:szCs w:val="24"/>
        </w:rPr>
        <w:t>)</w:t>
      </w:r>
      <w:bookmarkStart w:id="0" w:name="_GoBack"/>
      <w:bookmarkEnd w:id="0"/>
      <w:r w:rsidRPr="009E5569">
        <w:rPr>
          <w:i w:val="0"/>
          <w:color w:val="auto"/>
          <w:sz w:val="24"/>
          <w:szCs w:val="24"/>
        </w:rPr>
        <w:t xml:space="preserve"> of full enteral feeds, DOL of central line removal, and DOL of TPN discontinuation using covariates of birthweight, CPAP Belly diagnosis, and an interaction term, reporting </w:t>
      </w:r>
      <w:r w:rsidRPr="009E5569">
        <w:rPr>
          <w:i w:val="0"/>
          <w:color w:val="auto"/>
          <w:sz w:val="24"/>
          <w:szCs w:val="24"/>
          <w:lang w:val="el-GR"/>
        </w:rPr>
        <w:t>β</w:t>
      </w:r>
      <w:r w:rsidRPr="009E5569">
        <w:rPr>
          <w:i w:val="0"/>
          <w:color w:val="auto"/>
          <w:sz w:val="24"/>
          <w:szCs w:val="24"/>
        </w:rPr>
        <w:t xml:space="preserve">-weight, p-value, and 95% confidence interval of </w:t>
      </w:r>
      <w:r w:rsidRPr="009E5569">
        <w:rPr>
          <w:i w:val="0"/>
          <w:color w:val="auto"/>
          <w:sz w:val="24"/>
          <w:szCs w:val="24"/>
          <w:lang w:val="el-GR"/>
        </w:rPr>
        <w:t>β</w:t>
      </w:r>
      <w:r w:rsidRPr="009E5569">
        <w:rPr>
          <w:i w:val="0"/>
          <w:color w:val="auto"/>
          <w:sz w:val="24"/>
          <w:szCs w:val="24"/>
        </w:rPr>
        <w:t xml:space="preserve">-weight. The only significant covariate associated with each of these three outcomes was birthweight.  </w:t>
      </w:r>
    </w:p>
    <w:p w:rsidR="009E5569" w:rsidRPr="001241CF" w:rsidRDefault="00067298" w:rsidP="001241CF">
      <w:pPr>
        <w:pStyle w:val="Caption"/>
        <w:keepNext/>
        <w:spacing w:after="0"/>
        <w:rPr>
          <w:i w:val="0"/>
          <w:color w:val="auto"/>
          <w:sz w:val="24"/>
          <w:szCs w:val="24"/>
        </w:rPr>
      </w:pPr>
      <w:r w:rsidRPr="009E5569">
        <w:rPr>
          <w:i w:val="0"/>
          <w:color w:val="auto"/>
          <w:sz w:val="24"/>
          <w:szCs w:val="24"/>
        </w:rPr>
        <w:t xml:space="preserve">(B). Negative Binomial Regression evaluating outcomes of total number of abdominal radiographs obtained in first 28 DOL as well as number of unneeded abdominal radiographs, defined as those not followed by any clinical change (i.e. nondiagnostic of necrotizing enterocolitis). Covariates included birthweight, CPAP Belly diagnosis, and an interaction term, and the following are reported: </w:t>
      </w:r>
      <w:r w:rsidRPr="009E5569">
        <w:rPr>
          <w:i w:val="0"/>
          <w:color w:val="auto"/>
          <w:sz w:val="24"/>
          <w:szCs w:val="24"/>
          <w:lang w:val="el-GR"/>
        </w:rPr>
        <w:t>β</w:t>
      </w:r>
      <w:r w:rsidRPr="009E5569">
        <w:rPr>
          <w:i w:val="0"/>
          <w:color w:val="auto"/>
          <w:sz w:val="24"/>
          <w:szCs w:val="24"/>
        </w:rPr>
        <w:t>-weight, p-value, Exp(</w:t>
      </w:r>
      <w:r w:rsidRPr="009E5569">
        <w:rPr>
          <w:i w:val="0"/>
          <w:color w:val="auto"/>
          <w:sz w:val="24"/>
          <w:szCs w:val="24"/>
          <w:lang w:val="el-GR"/>
        </w:rPr>
        <w:t>β</w:t>
      </w:r>
      <w:r w:rsidRPr="009E5569">
        <w:rPr>
          <w:i w:val="0"/>
          <w:color w:val="auto"/>
          <w:sz w:val="24"/>
          <w:szCs w:val="24"/>
        </w:rPr>
        <w:t xml:space="preserve">) or odds ratio, and </w:t>
      </w:r>
      <w:proofErr w:type="spellStart"/>
      <w:r w:rsidRPr="009E5569">
        <w:rPr>
          <w:i w:val="0"/>
          <w:color w:val="auto"/>
          <w:sz w:val="24"/>
          <w:szCs w:val="24"/>
        </w:rPr>
        <w:t>and</w:t>
      </w:r>
      <w:proofErr w:type="spellEnd"/>
      <w:r w:rsidRPr="009E5569">
        <w:rPr>
          <w:i w:val="0"/>
          <w:color w:val="auto"/>
          <w:sz w:val="24"/>
          <w:szCs w:val="24"/>
        </w:rPr>
        <w:t xml:space="preserve"> 95% confidence interval of Exp(</w:t>
      </w:r>
      <w:r w:rsidRPr="009E5569">
        <w:rPr>
          <w:i w:val="0"/>
          <w:color w:val="auto"/>
          <w:sz w:val="24"/>
          <w:szCs w:val="24"/>
          <w:lang w:val="el-GR"/>
        </w:rPr>
        <w:t>β</w:t>
      </w:r>
      <w:r w:rsidRPr="009E5569">
        <w:rPr>
          <w:i w:val="0"/>
          <w:color w:val="auto"/>
          <w:sz w:val="24"/>
          <w:szCs w:val="24"/>
        </w:rPr>
        <w:t>). Both birthweight and CPAP Belly diagnosis are independently associated with the number of total and unneeded abdominal radiographs. CPAP Belly diagnosis is associated with 2.6 more total AXRs and 2.4 more unneeded AXRs in the first 28 DOL.</w:t>
      </w:r>
    </w:p>
    <w:tbl>
      <w:tblPr>
        <w:tblW w:w="10705" w:type="dxa"/>
        <w:tblInd w:w="-635" w:type="dxa"/>
        <w:tblCellMar>
          <w:left w:w="0" w:type="dxa"/>
          <w:right w:w="0" w:type="dxa"/>
        </w:tblCellMar>
        <w:tblLook w:val="0420" w:firstRow="1" w:lastRow="0" w:firstColumn="0" w:lastColumn="0" w:noHBand="0" w:noVBand="1"/>
      </w:tblPr>
      <w:tblGrid>
        <w:gridCol w:w="3325"/>
        <w:gridCol w:w="2520"/>
        <w:gridCol w:w="900"/>
        <w:gridCol w:w="108"/>
        <w:gridCol w:w="1080"/>
        <w:gridCol w:w="91"/>
        <w:gridCol w:w="781"/>
        <w:gridCol w:w="1900"/>
      </w:tblGrid>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A. Linear Regression</w:t>
            </w:r>
          </w:p>
        </w:tc>
        <w:tc>
          <w:tcPr>
            <w:tcW w:w="252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Covariates</w:t>
            </w:r>
          </w:p>
        </w:tc>
        <w:tc>
          <w:tcPr>
            <w:tcW w:w="90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lang w:val="el-GR"/>
              </w:rPr>
              <w:t>β</w:t>
            </w:r>
          </w:p>
        </w:tc>
        <w:tc>
          <w:tcPr>
            <w:tcW w:w="1279" w:type="dxa"/>
            <w:gridSpan w:val="3"/>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i/>
                <w:iCs/>
                <w:sz w:val="18"/>
                <w:szCs w:val="18"/>
              </w:rPr>
              <w:t>p</w:t>
            </w:r>
            <w:r w:rsidRPr="001241CF">
              <w:rPr>
                <w:b/>
                <w:bCs/>
                <w:sz w:val="18"/>
                <w:szCs w:val="18"/>
              </w:rPr>
              <w:t>-value</w:t>
            </w:r>
          </w:p>
        </w:tc>
        <w:tc>
          <w:tcPr>
            <w:tcW w:w="2681" w:type="dxa"/>
            <w:gridSpan w:val="2"/>
            <w:tcBorders>
              <w:top w:val="single" w:sz="4" w:space="0" w:color="5B9BD5"/>
              <w:left w:val="nil"/>
              <w:bottom w:val="single" w:sz="4" w:space="0" w:color="5B9BD5"/>
              <w:right w:val="single" w:sz="4" w:space="0" w:color="5B9BD5"/>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 xml:space="preserve">95% CI for </w:t>
            </w:r>
            <w:r w:rsidRPr="001241CF">
              <w:rPr>
                <w:b/>
                <w:bCs/>
                <w:sz w:val="18"/>
                <w:szCs w:val="18"/>
                <w:lang w:val="el-GR"/>
              </w:rPr>
              <w:t>β</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DOL Full Enteral Feeds</w:t>
            </w: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Constant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9.721</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8.613 – 10.829</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-0.180</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0.861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-2.201 – 1.842</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Birthweight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 xml:space="preserve">-6.61 </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-9.562 – -3.657</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Birthweight*CPAP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 xml:space="preserve">-0.131 </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0.965</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-6.078 – 5.815</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DOL Central Line Removal</w:t>
            </w: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Constant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7.796</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6.488 – 9.105</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0.496</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0.699</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-2.047 – 3.039</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Birthweight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-7.347</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-11.317 – -3.376</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Birthweight*CPAP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0.449</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0.909</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 xml:space="preserve">-7.305 – 8.204 </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DOL TPN Discontinued</w:t>
            </w: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Constant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7.748</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6.655 – 8.841</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-0.133</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0.895</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-2.126 – 1.86</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Birthweight</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-6.941</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-9.852 – -4.03</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Birthweight*CPAP Belly</w:t>
            </w:r>
          </w:p>
        </w:tc>
        <w:tc>
          <w:tcPr>
            <w:tcW w:w="90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-0.046</w:t>
            </w:r>
          </w:p>
        </w:tc>
        <w:tc>
          <w:tcPr>
            <w:tcW w:w="1279" w:type="dxa"/>
            <w:gridSpan w:val="3"/>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0.988</w:t>
            </w:r>
          </w:p>
        </w:tc>
        <w:tc>
          <w:tcPr>
            <w:tcW w:w="2681" w:type="dxa"/>
            <w:gridSpan w:val="2"/>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-5.909 – 5.817</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 Negative Binomial Regression</w:t>
            </w:r>
          </w:p>
        </w:tc>
        <w:tc>
          <w:tcPr>
            <w:tcW w:w="252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Covariates</w:t>
            </w:r>
          </w:p>
        </w:tc>
        <w:tc>
          <w:tcPr>
            <w:tcW w:w="1008" w:type="dxa"/>
            <w:gridSpan w:val="2"/>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lang w:val="el-GR"/>
              </w:rPr>
              <w:t>β</w:t>
            </w:r>
          </w:p>
        </w:tc>
        <w:tc>
          <w:tcPr>
            <w:tcW w:w="1080" w:type="dxa"/>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i/>
                <w:iCs/>
                <w:sz w:val="18"/>
                <w:szCs w:val="18"/>
              </w:rPr>
              <w:t>p</w:t>
            </w:r>
            <w:r w:rsidRPr="001241CF">
              <w:rPr>
                <w:b/>
                <w:bCs/>
                <w:sz w:val="18"/>
                <w:szCs w:val="18"/>
              </w:rPr>
              <w:t>-value</w:t>
            </w:r>
          </w:p>
        </w:tc>
        <w:tc>
          <w:tcPr>
            <w:tcW w:w="872" w:type="dxa"/>
            <w:gridSpan w:val="2"/>
            <w:tcBorders>
              <w:top w:val="single" w:sz="4" w:space="0" w:color="5B9BD5"/>
              <w:left w:val="nil"/>
              <w:bottom w:val="single" w:sz="4" w:space="0" w:color="5B9BD5"/>
              <w:right w:val="nil"/>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Exp(</w:t>
            </w:r>
            <w:r w:rsidRPr="001241CF">
              <w:rPr>
                <w:b/>
                <w:bCs/>
                <w:sz w:val="18"/>
                <w:szCs w:val="18"/>
                <w:lang w:val="el-GR"/>
              </w:rPr>
              <w:t>β</w:t>
            </w:r>
            <w:r w:rsidRPr="001241CF">
              <w:rPr>
                <w:b/>
                <w:bCs/>
                <w:sz w:val="18"/>
                <w:szCs w:val="18"/>
              </w:rPr>
              <w:t>)</w:t>
            </w:r>
          </w:p>
        </w:tc>
        <w:tc>
          <w:tcPr>
            <w:tcW w:w="1900" w:type="dxa"/>
            <w:tcBorders>
              <w:top w:val="single" w:sz="4" w:space="0" w:color="5B9BD5"/>
              <w:left w:val="nil"/>
              <w:bottom w:val="single" w:sz="4" w:space="0" w:color="5B9BD5"/>
              <w:right w:val="single" w:sz="4" w:space="0" w:color="5B9BD5"/>
            </w:tcBorders>
            <w:shd w:val="clear" w:color="auto" w:fill="5B9BD5"/>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95% CI for Exp(</w:t>
            </w:r>
            <w:r w:rsidRPr="001241CF">
              <w:rPr>
                <w:b/>
                <w:bCs/>
                <w:sz w:val="18"/>
                <w:szCs w:val="18"/>
                <w:lang w:val="el-GR"/>
              </w:rPr>
              <w:t>β</w:t>
            </w:r>
            <w:r w:rsidRPr="001241CF">
              <w:rPr>
                <w:b/>
                <w:bCs/>
                <w:sz w:val="18"/>
                <w:szCs w:val="18"/>
              </w:rPr>
              <w:t>)</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No. AXRs in first 28 DOL</w:t>
            </w: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Constant</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0.037</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0.837</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1.037</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0.733 – 1.468</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CPAP Belly</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1.262</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3.531</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2.028 – 6.148</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Birthweight</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-1.55</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0.002</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0.212</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0.079 – 0.571</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Birthweight*CPAP Belly</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0.278</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0.732</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1.321</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0.269 – 6.485</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No. Unneeded AXRs in 28 DOL</w:t>
            </w: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Constant</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0.037</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0.837</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1.037</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0.733 – 1.468</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CPAP Belly</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1.187</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&lt;0.001</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3.277</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1.882 – 5.706</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Birthweight</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-1.55</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0.002</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0.212</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b/>
                <w:bCs/>
                <w:sz w:val="18"/>
                <w:szCs w:val="18"/>
              </w:rPr>
              <w:t>0.079 – 0.571</w:t>
            </w:r>
          </w:p>
        </w:tc>
      </w:tr>
      <w:tr w:rsidR="00673F75" w:rsidRPr="001241CF" w:rsidTr="001241CF">
        <w:trPr>
          <w:trHeight w:val="20"/>
        </w:trPr>
        <w:tc>
          <w:tcPr>
            <w:tcW w:w="3325" w:type="dxa"/>
            <w:tcBorders>
              <w:top w:val="single" w:sz="4" w:space="0" w:color="5B9BD5"/>
              <w:left w:val="single" w:sz="4" w:space="0" w:color="5B9BD5"/>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p>
        </w:tc>
        <w:tc>
          <w:tcPr>
            <w:tcW w:w="252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Birthweight*CPAP Belly</w:t>
            </w:r>
          </w:p>
        </w:tc>
        <w:tc>
          <w:tcPr>
            <w:tcW w:w="1008"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0.311</w:t>
            </w:r>
          </w:p>
        </w:tc>
        <w:tc>
          <w:tcPr>
            <w:tcW w:w="1080" w:type="dxa"/>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0.699</w:t>
            </w:r>
          </w:p>
        </w:tc>
        <w:tc>
          <w:tcPr>
            <w:tcW w:w="872" w:type="dxa"/>
            <w:gridSpan w:val="2"/>
            <w:tcBorders>
              <w:top w:val="single" w:sz="4" w:space="0" w:color="5B9BD5"/>
              <w:left w:val="nil"/>
              <w:bottom w:val="single" w:sz="4" w:space="0" w:color="5B9BD5"/>
              <w:right w:val="nil"/>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1.364</w:t>
            </w:r>
          </w:p>
        </w:tc>
        <w:tc>
          <w:tcPr>
            <w:tcW w:w="1900" w:type="dxa"/>
            <w:tcBorders>
              <w:top w:val="single" w:sz="4" w:space="0" w:color="5B9BD5"/>
              <w:left w:val="nil"/>
              <w:bottom w:val="single" w:sz="4" w:space="0" w:color="5B9BD5"/>
              <w:right w:val="single" w:sz="4" w:space="0" w:color="5B9BD5"/>
            </w:tcBorders>
            <w:shd w:val="clear" w:color="auto" w:fill="auto"/>
            <w:tcMar>
              <w:top w:w="72" w:type="dxa"/>
              <w:left w:w="144" w:type="dxa"/>
              <w:bottom w:w="72" w:type="dxa"/>
              <w:right w:w="144" w:type="dxa"/>
            </w:tcMar>
            <w:hideMark/>
          </w:tcPr>
          <w:p w:rsidR="00673F75" w:rsidRPr="001241CF" w:rsidRDefault="00673F75" w:rsidP="00673F75">
            <w:pPr>
              <w:spacing w:after="0"/>
              <w:rPr>
                <w:sz w:val="18"/>
                <w:szCs w:val="18"/>
              </w:rPr>
            </w:pPr>
            <w:r w:rsidRPr="001241CF">
              <w:rPr>
                <w:sz w:val="18"/>
                <w:szCs w:val="18"/>
              </w:rPr>
              <w:t>0.283 – 6.585</w:t>
            </w:r>
          </w:p>
        </w:tc>
      </w:tr>
    </w:tbl>
    <w:p w:rsidR="00663CA3" w:rsidRDefault="009C7B07" w:rsidP="001241CF"/>
    <w:sectPr w:rsidR="00663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98"/>
    <w:rsid w:val="00067298"/>
    <w:rsid w:val="001241CF"/>
    <w:rsid w:val="0033172A"/>
    <w:rsid w:val="0033569E"/>
    <w:rsid w:val="00673F75"/>
    <w:rsid w:val="007165A1"/>
    <w:rsid w:val="008946A7"/>
    <w:rsid w:val="009C7B07"/>
    <w:rsid w:val="009E5569"/>
    <w:rsid w:val="00A4545F"/>
    <w:rsid w:val="00B16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9072"/>
  <w15:chartTrackingRefBased/>
  <w15:docId w15:val="{609CED25-9988-41D7-B16B-AEDD8270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6729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570135">
      <w:bodyDiv w:val="1"/>
      <w:marLeft w:val="0"/>
      <w:marRight w:val="0"/>
      <w:marTop w:val="0"/>
      <w:marBottom w:val="0"/>
      <w:divBdr>
        <w:top w:val="none" w:sz="0" w:space="0" w:color="auto"/>
        <w:left w:val="none" w:sz="0" w:space="0" w:color="auto"/>
        <w:bottom w:val="none" w:sz="0" w:space="0" w:color="auto"/>
        <w:right w:val="none" w:sz="0" w:space="0" w:color="auto"/>
      </w:divBdr>
    </w:div>
    <w:div w:id="146037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Stanford University IT</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Shuo Gu</dc:creator>
  <cp:keywords/>
  <dc:description/>
  <cp:lastModifiedBy>Hannah Shuo Gu</cp:lastModifiedBy>
  <cp:revision>7</cp:revision>
  <dcterms:created xsi:type="dcterms:W3CDTF">2023-09-01T22:52:00Z</dcterms:created>
  <dcterms:modified xsi:type="dcterms:W3CDTF">2023-11-23T23:11:00Z</dcterms:modified>
</cp:coreProperties>
</file>