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682C1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Extended data figures and tables</w:t>
      </w:r>
    </w:p>
    <w:p w14:paraId="5AB30AAA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1AD12D2" w14:textId="77777777" w:rsidR="004027F6" w:rsidRDefault="004027F6" w:rsidP="004027F6">
      <w:pPr>
        <w:jc w:val="center"/>
      </w:pPr>
      <w:r>
        <w:rPr>
          <w:noProof/>
        </w:rPr>
        <w:drawing>
          <wp:inline distT="0" distB="0" distL="0" distR="0" wp14:anchorId="5B7987DE" wp14:editId="605E43B6">
            <wp:extent cx="3924300" cy="2643446"/>
            <wp:effectExtent l="0" t="0" r="0" b="5080"/>
            <wp:docPr id="10170277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027746" name="图片 10170277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4808" cy="265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7CDD2" w14:textId="77777777" w:rsidR="004027F6" w:rsidRDefault="004027F6" w:rsidP="004027F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Extended Data Fig. 1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bookmarkStart w:id="0" w:name="OLE_LINK102"/>
      <w:r>
        <w:rPr>
          <w:rFonts w:ascii="Times New Roman" w:hAnsi="Times New Roman" w:cs="Times New Roman"/>
          <w:b/>
          <w:bCs/>
          <w:sz w:val="24"/>
          <w:szCs w:val="28"/>
        </w:rPr>
        <w:t>A conserved gene cluster is present in metformin utilizers.</w:t>
      </w:r>
      <w:bookmarkEnd w:id="0"/>
      <w:r>
        <w:rPr>
          <w:rFonts w:ascii="Times New Roman" w:hAnsi="Times New Roman" w:cs="Times New Roman"/>
          <w:sz w:val="24"/>
          <w:szCs w:val="28"/>
        </w:rPr>
        <w:t xml:space="preserve"> Metformin degraders were isolated from </w:t>
      </w:r>
      <w:r>
        <w:rPr>
          <w:rFonts w:ascii="Times New Roman" w:hAnsi="Times New Roman" w:cs="Times New Roman"/>
          <w:i/>
          <w:iCs/>
          <w:sz w:val="24"/>
          <w:szCs w:val="28"/>
        </w:rPr>
        <w:t>Aminobacter</w:t>
      </w:r>
      <w:r>
        <w:rPr>
          <w:rFonts w:ascii="Times New Roman" w:hAnsi="Times New Roman" w:cs="Times New Roman"/>
          <w:sz w:val="24"/>
          <w:szCs w:val="28"/>
        </w:rPr>
        <w:t xml:space="preserve"> strain</w:t>
      </w:r>
      <w:r>
        <w:rPr>
          <w:rFonts w:ascii="Times New Roman" w:hAnsi="Times New Roman" w:cs="Times New Roman" w:hint="eastAsia"/>
          <w:sz w:val="24"/>
          <w:szCs w:val="28"/>
        </w:rPr>
        <w:t>s</w:t>
      </w:r>
      <w:r>
        <w:rPr>
          <w:rFonts w:ascii="Times New Roman" w:hAnsi="Times New Roman" w:cs="Times New Roman"/>
          <w:sz w:val="24"/>
          <w:szCs w:val="28"/>
        </w:rPr>
        <w:t xml:space="preserve"> NyZ550</w:t>
      </w:r>
      <w:r w:rsidRPr="00BB1FA5">
        <w:rPr>
          <w:rFonts w:ascii="Times New Roman" w:hAnsi="Times New Roman" w:cs="Times New Roman"/>
          <w:sz w:val="24"/>
          <w:szCs w:val="28"/>
          <w:vertAlign w:val="superscript"/>
        </w:rPr>
        <w:t>17</w:t>
      </w:r>
      <w:r>
        <w:rPr>
          <w:rFonts w:ascii="Times New Roman" w:hAnsi="Times New Roman" w:cs="Times New Roman"/>
          <w:sz w:val="24"/>
          <w:szCs w:val="28"/>
        </w:rPr>
        <w:t>, MD1</w:t>
      </w:r>
      <w:r w:rsidRPr="00BB1FA5">
        <w:rPr>
          <w:rFonts w:ascii="Times New Roman" w:hAnsi="Times New Roman" w:cs="Times New Roman"/>
          <w:sz w:val="24"/>
          <w:szCs w:val="28"/>
          <w:vertAlign w:val="superscript"/>
        </w:rPr>
        <w:t>18</w:t>
      </w:r>
      <w:r>
        <w:rPr>
          <w:rFonts w:ascii="Times New Roman" w:hAnsi="Times New Roman" w:cs="Times New Roman"/>
          <w:sz w:val="24"/>
          <w:szCs w:val="28"/>
        </w:rPr>
        <w:t xml:space="preserve"> and MET-1</w:t>
      </w:r>
      <w:r w:rsidRPr="00BB1FA5">
        <w:rPr>
          <w:rFonts w:ascii="Times New Roman" w:hAnsi="Times New Roman" w:cs="Times New Roman"/>
          <w:sz w:val="24"/>
          <w:szCs w:val="28"/>
          <w:vertAlign w:val="superscript"/>
        </w:rPr>
        <w:t>16</w:t>
      </w:r>
      <w:r>
        <w:rPr>
          <w:rFonts w:ascii="Times New Roman" w:hAnsi="Times New Roman" w:cs="Times New Roman"/>
          <w:sz w:val="24"/>
          <w:szCs w:val="28"/>
        </w:rPr>
        <w:t xml:space="preserve">, as well as </w:t>
      </w:r>
      <w:r>
        <w:rPr>
          <w:rFonts w:ascii="Times New Roman" w:hAnsi="Times New Roman" w:cs="Times New Roman"/>
          <w:i/>
          <w:iCs/>
          <w:sz w:val="24"/>
          <w:szCs w:val="28"/>
        </w:rPr>
        <w:t>Pseudomonas</w:t>
      </w:r>
      <w:r>
        <w:rPr>
          <w:rFonts w:ascii="Times New Roman" w:hAnsi="Times New Roman" w:cs="Times New Roman"/>
          <w:sz w:val="24"/>
          <w:szCs w:val="28"/>
        </w:rPr>
        <w:t xml:space="preserve"> strain</w:t>
      </w:r>
      <w:r>
        <w:rPr>
          <w:rFonts w:ascii="Times New Roman" w:hAnsi="Times New Roman" w:cs="Times New Roman" w:hint="eastAsia"/>
          <w:sz w:val="24"/>
          <w:szCs w:val="28"/>
        </w:rPr>
        <w:t>s</w:t>
      </w:r>
      <w:r>
        <w:rPr>
          <w:rFonts w:ascii="Times New Roman" w:hAnsi="Times New Roman" w:cs="Times New Roman"/>
          <w:sz w:val="24"/>
          <w:szCs w:val="28"/>
        </w:rPr>
        <w:t xml:space="preserve"> KHPS1 and KHPS2</w:t>
      </w:r>
      <w:r w:rsidRPr="00BB1FA5">
        <w:rPr>
          <w:rFonts w:ascii="Times New Roman" w:hAnsi="Times New Roman" w:cs="Times New Roman"/>
          <w:sz w:val="24"/>
          <w:szCs w:val="28"/>
          <w:vertAlign w:val="superscript"/>
        </w:rPr>
        <w:t>19</w:t>
      </w:r>
      <w:r>
        <w:rPr>
          <w:rFonts w:ascii="Times New Roman" w:hAnsi="Times New Roman" w:cs="Times New Roman"/>
          <w:sz w:val="24"/>
          <w:szCs w:val="28"/>
        </w:rPr>
        <w:t xml:space="preserve">. The boxed gene cluster was shared by </w:t>
      </w:r>
      <w:r>
        <w:rPr>
          <w:rFonts w:ascii="Times New Roman" w:hAnsi="Times New Roman" w:cs="Times New Roman" w:hint="eastAsia"/>
          <w:sz w:val="24"/>
          <w:szCs w:val="28"/>
        </w:rPr>
        <w:t>the</w:t>
      </w:r>
      <w:r>
        <w:rPr>
          <w:rFonts w:ascii="Times New Roman" w:hAnsi="Times New Roman" w:cs="Times New Roman"/>
          <w:sz w:val="24"/>
          <w:szCs w:val="28"/>
        </w:rPr>
        <w:t>se metformin degraders, and consisted of seven putative genes encoding a MerR family regulatory protein, a nucleobase-cation-symport-1 (NCS1)-like importer, an AcrR-like regulatory protein, two Ni/Fe hydrogenase nickel incorporation-associated proteins (HypA and HypB) and two arginase family proteins.</w:t>
      </w:r>
    </w:p>
    <w:p w14:paraId="315FA85D" w14:textId="77777777" w:rsidR="004027F6" w:rsidRDefault="004027F6" w:rsidP="004027F6">
      <w:pPr>
        <w:jc w:val="left"/>
        <w:rPr>
          <w:rFonts w:ascii="Arial" w:hAnsi="Arial" w:cs="Arial"/>
          <w:sz w:val="24"/>
          <w:szCs w:val="28"/>
        </w:rPr>
      </w:pPr>
    </w:p>
    <w:p w14:paraId="3DCABEAB" w14:textId="77777777" w:rsidR="004027F6" w:rsidRDefault="004027F6" w:rsidP="004027F6">
      <w:pPr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noProof/>
          <w:sz w:val="24"/>
          <w:szCs w:val="28"/>
        </w:rPr>
        <w:lastRenderedPageBreak/>
        <w:drawing>
          <wp:inline distT="0" distB="0" distL="0" distR="0" wp14:anchorId="1B5884D2" wp14:editId="2DEC2EC0">
            <wp:extent cx="5274310" cy="3068955"/>
            <wp:effectExtent l="0" t="0" r="2540" b="0"/>
            <wp:docPr id="193699359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993594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17985" w14:textId="77777777" w:rsidR="004027F6" w:rsidRDefault="004027F6" w:rsidP="004027F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1" w:name="_Hlk147579580"/>
      <w:r>
        <w:rPr>
          <w:rFonts w:ascii="Times New Roman" w:hAnsi="Times New Roman" w:cs="Times New Roman"/>
          <w:b/>
          <w:bCs/>
          <w:sz w:val="24"/>
          <w:szCs w:val="28"/>
        </w:rPr>
        <w:t>Extended Data Fig. 2</w:t>
      </w:r>
      <w:bookmarkEnd w:id="1"/>
      <w:r>
        <w:rPr>
          <w:rFonts w:ascii="Times New Roman" w:hAnsi="Times New Roman" w:cs="Times New Roman"/>
          <w:sz w:val="24"/>
          <w:szCs w:val="28"/>
        </w:rPr>
        <w:t xml:space="preserve"> A</w:t>
      </w:r>
      <w:r>
        <w:rPr>
          <w:rFonts w:ascii="Times New Roman" w:hAnsi="Times New Roman" w:cs="Times New Roman" w:hint="eastAsia"/>
          <w:sz w:val="24"/>
          <w:szCs w:val="28"/>
        </w:rPr>
        <w:t>ddition</w:t>
      </w:r>
      <w:r>
        <w:rPr>
          <w:rFonts w:ascii="Times New Roman" w:hAnsi="Times New Roman" w:cs="Times New Roman"/>
          <w:sz w:val="24"/>
          <w:szCs w:val="28"/>
        </w:rPr>
        <w:t xml:space="preserve">al characterization of MetCaCb. </w:t>
      </w:r>
      <w:r>
        <w:rPr>
          <w:rFonts w:ascii="Times New Roman" w:hAnsi="Times New Roman" w:cs="Times New Roman"/>
          <w:b/>
          <w:bCs/>
          <w:sz w:val="24"/>
          <w:szCs w:val="28"/>
        </w:rPr>
        <w:t>(a)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Conversion of metformin by cell extracts of </w:t>
      </w:r>
      <w:r>
        <w:rPr>
          <w:rFonts w:ascii="Times New Roman" w:hAnsi="Times New Roman" w:cs="Times New Roman"/>
          <w:i/>
          <w:iCs/>
          <w:sz w:val="24"/>
        </w:rPr>
        <w:t>E. coli</w:t>
      </w:r>
      <w:r>
        <w:rPr>
          <w:rFonts w:ascii="Times New Roman" w:hAnsi="Times New Roman" w:cs="Times New Roman"/>
          <w:sz w:val="24"/>
        </w:rPr>
        <w:t xml:space="preserve"> expressing</w:t>
      </w:r>
      <w:r>
        <w:rPr>
          <w:rFonts w:ascii="Times New Roman" w:hAnsi="Times New Roman" w:cs="Times New Roman"/>
          <w:sz w:val="24"/>
          <w:szCs w:val="28"/>
        </w:rPr>
        <w:t xml:space="preserve"> different combinations of MetABCaCb </w:t>
      </w:r>
      <w:r>
        <w:rPr>
          <w:rFonts w:ascii="Times New Roman" w:hAnsi="Times New Roman" w:cs="Times New Roman"/>
          <w:sz w:val="24"/>
        </w:rPr>
        <w:t>in the presence or absence of 200 μM nickel ion</w:t>
      </w:r>
      <w:r>
        <w:rPr>
          <w:rFonts w:ascii="Times New Roman" w:hAnsi="Times New Roman" w:cs="Times New Roman"/>
          <w:sz w:val="24"/>
          <w:szCs w:val="28"/>
        </w:rPr>
        <w:t>. ND means not detected. Columns represent the average of three technical replicates; error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bars indicate standard deviation. </w:t>
      </w:r>
      <w:r>
        <w:rPr>
          <w:rFonts w:ascii="Times New Roman" w:hAnsi="Times New Roman" w:cs="Times New Roman"/>
          <w:b/>
          <w:bCs/>
          <w:sz w:val="24"/>
          <w:szCs w:val="28"/>
        </w:rPr>
        <w:t>(b)</w:t>
      </w:r>
      <w:r>
        <w:rPr>
          <w:rFonts w:ascii="Times New Roman" w:hAnsi="Times New Roman" w:cs="Times New Roman"/>
          <w:sz w:val="24"/>
          <w:szCs w:val="28"/>
        </w:rPr>
        <w:t xml:space="preserve"> LC-MS i</w:t>
      </w:r>
      <w:r>
        <w:rPr>
          <w:rFonts w:ascii="Times New Roman" w:hAnsi="Times New Roman" w:cs="Times New Roman" w:hint="eastAsia"/>
          <w:sz w:val="24"/>
          <w:szCs w:val="28"/>
        </w:rPr>
        <w:t>dentification</w:t>
      </w:r>
      <w:r>
        <w:rPr>
          <w:rFonts w:ascii="Times New Roman" w:hAnsi="Times New Roman" w:cs="Times New Roman"/>
          <w:sz w:val="24"/>
          <w:szCs w:val="28"/>
        </w:rPr>
        <w:t xml:space="preserve"> of the product from the hydrolysis of metformin by MetCaCb. </w:t>
      </w:r>
      <w:r>
        <w:rPr>
          <w:rFonts w:ascii="Times New Roman" w:hAnsi="Times New Roman" w:cs="Times New Roman"/>
          <w:b/>
          <w:bCs/>
          <w:sz w:val="24"/>
          <w:szCs w:val="28"/>
        </w:rPr>
        <w:t>(c)</w:t>
      </w:r>
      <w:r>
        <w:rPr>
          <w:rFonts w:ascii="Times New Roman" w:hAnsi="Times New Roman" w:cs="Times New Roman"/>
          <w:sz w:val="24"/>
          <w:szCs w:val="28"/>
        </w:rPr>
        <w:t xml:space="preserve"> LC-MS i</w:t>
      </w:r>
      <w:r>
        <w:rPr>
          <w:rFonts w:ascii="Times New Roman" w:hAnsi="Times New Roman" w:cs="Times New Roman" w:hint="eastAsia"/>
          <w:sz w:val="24"/>
          <w:szCs w:val="28"/>
        </w:rPr>
        <w:t>dentification</w:t>
      </w:r>
      <w:r>
        <w:rPr>
          <w:rFonts w:ascii="Times New Roman" w:hAnsi="Times New Roman" w:cs="Times New Roman"/>
          <w:sz w:val="24"/>
          <w:szCs w:val="28"/>
        </w:rPr>
        <w:t xml:space="preserve"> of the product from the hydrolysis of 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8"/>
        </w:rPr>
        <w:t>C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15</w:t>
      </w:r>
      <w:r>
        <w:rPr>
          <w:rFonts w:ascii="Times New Roman" w:hAnsi="Times New Roman" w:cs="Times New Roman"/>
          <w:sz w:val="24"/>
          <w:szCs w:val="28"/>
        </w:rPr>
        <w:t xml:space="preserve">N-labelled metformin by MetCaCb. </w:t>
      </w:r>
      <w:r>
        <w:rPr>
          <w:rFonts w:ascii="Times New Roman" w:hAnsi="Times New Roman" w:cs="Times New Roman"/>
          <w:b/>
          <w:bCs/>
          <w:sz w:val="24"/>
          <w:szCs w:val="28"/>
        </w:rPr>
        <w:t>(d)</w:t>
      </w:r>
      <w:r>
        <w:rPr>
          <w:rFonts w:ascii="Times New Roman" w:hAnsi="Times New Roman" w:cs="Times New Roman"/>
          <w:sz w:val="24"/>
          <w:szCs w:val="28"/>
        </w:rPr>
        <w:t xml:space="preserve"> LC-MS i</w:t>
      </w:r>
      <w:r>
        <w:rPr>
          <w:rFonts w:ascii="Times New Roman" w:hAnsi="Times New Roman" w:cs="Times New Roman" w:hint="eastAsia"/>
          <w:sz w:val="24"/>
          <w:szCs w:val="28"/>
        </w:rPr>
        <w:t>dentification</w:t>
      </w:r>
      <w:r>
        <w:rPr>
          <w:rFonts w:ascii="Times New Roman" w:hAnsi="Times New Roman" w:cs="Times New Roman"/>
          <w:sz w:val="24"/>
          <w:szCs w:val="28"/>
        </w:rPr>
        <w:t xml:space="preserve"> of the product from the hydrolysis of metformin by MetCaCb performed in an 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18</w:t>
      </w:r>
      <w:r>
        <w:rPr>
          <w:rFonts w:ascii="Times New Roman" w:hAnsi="Times New Roman" w:cs="Times New Roman"/>
          <w:sz w:val="24"/>
          <w:szCs w:val="28"/>
        </w:rPr>
        <w:t xml:space="preserve">O solution. </w:t>
      </w:r>
      <w:r>
        <w:rPr>
          <w:rFonts w:ascii="Times New Roman" w:hAnsi="Times New Roman" w:cs="Times New Roman"/>
          <w:b/>
          <w:bCs/>
          <w:sz w:val="24"/>
          <w:szCs w:val="28"/>
        </w:rPr>
        <w:t>(e)</w:t>
      </w:r>
      <w:r>
        <w:rPr>
          <w:rFonts w:ascii="Times New Roman" w:hAnsi="Times New Roman" w:cs="Times New Roman"/>
          <w:sz w:val="24"/>
          <w:szCs w:val="28"/>
        </w:rPr>
        <w:t xml:space="preserve"> A representative result of the time-dependent production of guanylurea and dimethylamine from a standard metformin hydrolase assay. </w:t>
      </w:r>
      <w:r>
        <w:rPr>
          <w:rFonts w:ascii="Times New Roman" w:hAnsi="Times New Roman" w:cs="Times New Roman"/>
          <w:b/>
          <w:bCs/>
          <w:sz w:val="24"/>
          <w:szCs w:val="28"/>
        </w:rPr>
        <w:t>(f)</w:t>
      </w:r>
      <w:r>
        <w:rPr>
          <w:rFonts w:ascii="Times New Roman" w:hAnsi="Times New Roman" w:cs="Times New Roman"/>
          <w:sz w:val="24"/>
          <w:szCs w:val="28"/>
        </w:rPr>
        <w:t xml:space="preserve"> Hydrolase activity of MetCaCb toward various substrates with a concentration of 10 mM. For </w:t>
      </w:r>
      <w:r>
        <w:rPr>
          <w:rFonts w:ascii="Times New Roman" w:hAnsi="Times New Roman" w:cs="Times New Roman"/>
          <w:sz w:val="24"/>
        </w:rPr>
        <w:t xml:space="preserve">biguanide and its derivatives (brown font), the activity tests were based on the production of guanylurea, and for the guanidinium moiety-containing substrates (red font), the activity tests were based on the production of urea. </w:t>
      </w:r>
      <w:r>
        <w:rPr>
          <w:rFonts w:ascii="Times New Roman" w:hAnsi="Times New Roman" w:cs="Times New Roman"/>
          <w:sz w:val="24"/>
          <w:szCs w:val="28"/>
        </w:rPr>
        <w:t>ND means no product was detected.</w:t>
      </w:r>
    </w:p>
    <w:p w14:paraId="219F9D2A" w14:textId="77777777" w:rsidR="004027F6" w:rsidRDefault="004027F6" w:rsidP="004027F6">
      <w:pPr>
        <w:spacing w:line="360" w:lineRule="auto"/>
        <w:jc w:val="center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noProof/>
          <w:sz w:val="24"/>
          <w:szCs w:val="28"/>
        </w:rPr>
        <w:lastRenderedPageBreak/>
        <w:drawing>
          <wp:inline distT="0" distB="0" distL="0" distR="0" wp14:anchorId="58CA5A02" wp14:editId="65EBEBE5">
            <wp:extent cx="4368800" cy="2153285"/>
            <wp:effectExtent l="0" t="0" r="0" b="571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9308" cy="215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D106E" w14:textId="77777777" w:rsidR="004027F6" w:rsidRDefault="004027F6" w:rsidP="004027F6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Extended Data Fig. 3</w:t>
      </w:r>
      <w:r>
        <w:rPr>
          <w:rFonts w:ascii="Arial" w:hAnsi="Arial" w:cs="Arial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Overall structure of the MetCaCb complex. (a)</w:t>
      </w:r>
      <w:r>
        <w:rPr>
          <w:rFonts w:ascii="Times New Roman" w:hAnsi="Times New Roman" w:cs="Times New Roman"/>
          <w:sz w:val="24"/>
          <w:szCs w:val="28"/>
        </w:rPr>
        <w:t xml:space="preserve"> Side view of a cartoon representation of the MetCaCb h</w:t>
      </w:r>
      <w:r>
        <w:rPr>
          <w:rFonts w:ascii="Times New Roman" w:hAnsi="Times New Roman" w:cs="Times New Roman"/>
          <w:sz w:val="24"/>
        </w:rPr>
        <w:t xml:space="preserve">examer. </w:t>
      </w:r>
      <w:r>
        <w:rPr>
          <w:rFonts w:ascii="Times New Roman" w:hAnsi="Times New Roman" w:cs="Times New Roman"/>
          <w:b/>
          <w:bCs/>
          <w:sz w:val="24"/>
        </w:rPr>
        <w:t>(b)</w:t>
      </w:r>
      <w:r>
        <w:rPr>
          <w:rFonts w:ascii="Times New Roman" w:hAnsi="Times New Roman" w:cs="Times New Roman"/>
          <w:sz w:val="24"/>
        </w:rPr>
        <w:t xml:space="preserve"> Top view of the trimer consisting of one MetCa (claret) and two MetCb (yellow and cyan). Metal ions are shown as green sphere.</w:t>
      </w:r>
    </w:p>
    <w:p w14:paraId="244BF9F8" w14:textId="77777777" w:rsidR="004027F6" w:rsidRDefault="004027F6" w:rsidP="004027F6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1C166CE" w14:textId="77777777" w:rsidR="004027F6" w:rsidRDefault="004027F6" w:rsidP="004027F6">
      <w:pPr>
        <w:widowControl/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noProof/>
          <w:sz w:val="24"/>
          <w:szCs w:val="28"/>
        </w:rPr>
        <w:lastRenderedPageBreak/>
        <w:drawing>
          <wp:inline distT="0" distB="0" distL="0" distR="0" wp14:anchorId="26C5A2FC" wp14:editId="070A5B84">
            <wp:extent cx="5274310" cy="3568700"/>
            <wp:effectExtent l="0" t="0" r="2540" b="0"/>
            <wp:docPr id="11595692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569264" name="图片 115956926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199CB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Extended Data Fig. 4</w:t>
      </w:r>
      <w:r>
        <w:rPr>
          <w:rFonts w:ascii="Times New Roman" w:hAnsi="Times New Roman" w:cs="Times New Roman"/>
          <w:sz w:val="24"/>
        </w:rPr>
        <w:t xml:space="preserve"> </w:t>
      </w:r>
      <w:bookmarkStart w:id="2" w:name="OLE_LINK103"/>
      <w:r>
        <w:rPr>
          <w:rFonts w:ascii="Times New Roman" w:hAnsi="Times New Roman" w:cs="Times New Roman"/>
          <w:b/>
          <w:bCs/>
          <w:sz w:val="24"/>
        </w:rPr>
        <w:t>CryoEM micrographs of the MetCaCb complex.</w:t>
      </w:r>
      <w:bookmarkEnd w:id="2"/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43C5D9FC" w14:textId="77777777" w:rsidR="004027F6" w:rsidRDefault="004027F6" w:rsidP="004027F6">
      <w:pPr>
        <w:spacing w:line="48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(a) </w:t>
      </w:r>
      <w:r>
        <w:rPr>
          <w:rFonts w:ascii="Times New Roman" w:hAnsi="Times New Roman" w:cs="Times New Roman"/>
          <w:sz w:val="24"/>
        </w:rPr>
        <w:t xml:space="preserve">Representative cryoEM micrographs of MetCaCb. Scale bar is </w:t>
      </w:r>
      <w:r>
        <w:rPr>
          <w:rFonts w:ascii="Times New Roman" w:eastAsia="SimSun" w:hAnsi="Times New Roman" w:cs="Times New Roman"/>
          <w:sz w:val="24"/>
        </w:rPr>
        <w:t xml:space="preserve">500 Å. </w:t>
      </w:r>
      <w:r>
        <w:rPr>
          <w:rFonts w:ascii="Times New Roman" w:eastAsia="SimSun" w:hAnsi="Times New Roman" w:cs="Times New Roman"/>
          <w:b/>
          <w:bCs/>
          <w:sz w:val="24"/>
        </w:rPr>
        <w:t>(b)</w:t>
      </w:r>
      <w:r>
        <w:rPr>
          <w:rFonts w:ascii="Times New Roman" w:eastAsia="SimSun" w:hAnsi="Times New Roman" w:cs="Times New Roman"/>
          <w:sz w:val="24"/>
        </w:rPr>
        <w:t xml:space="preserve"> Representative 2D classes of MetCaCb showing the views of the protein complex. </w:t>
      </w:r>
      <w:r>
        <w:rPr>
          <w:rFonts w:ascii="Times New Roman" w:eastAsia="SimSun" w:hAnsi="Times New Roman" w:cs="Times New Roman"/>
          <w:b/>
          <w:bCs/>
          <w:sz w:val="24"/>
        </w:rPr>
        <w:t>(c)</w:t>
      </w:r>
      <w:r>
        <w:rPr>
          <w:rFonts w:ascii="Times New Roman" w:eastAsia="SimSun" w:hAnsi="Times New Roman" w:cs="Times New Roman"/>
          <w:sz w:val="24"/>
        </w:rPr>
        <w:t xml:space="preserve"> The cryoEM map of MetCaCb revealing a spherical hexamer architecture.</w:t>
      </w:r>
    </w:p>
    <w:p w14:paraId="18487F34" w14:textId="77777777" w:rsidR="004027F6" w:rsidRDefault="004027F6" w:rsidP="004027F6">
      <w:pPr>
        <w:spacing w:line="480" w:lineRule="auto"/>
        <w:jc w:val="center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noProof/>
          <w:sz w:val="24"/>
        </w:rPr>
        <w:lastRenderedPageBreak/>
        <w:drawing>
          <wp:inline distT="0" distB="0" distL="0" distR="0" wp14:anchorId="336592BF" wp14:editId="5ABB8147">
            <wp:extent cx="4086860" cy="5251450"/>
            <wp:effectExtent l="0" t="0" r="8890" b="6350"/>
            <wp:docPr id="3665189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518964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3881" cy="5260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49B86" w14:textId="77777777" w:rsidR="004027F6" w:rsidRPr="0060104A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SimSun" w:hAnsi="Times New Roman" w:cs="Times New Roman"/>
          <w:b/>
          <w:bCs/>
          <w:sz w:val="24"/>
        </w:rPr>
        <w:t>Extended Data Fig. 5</w:t>
      </w:r>
      <w:r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Structural differences </w:t>
      </w:r>
      <w:r>
        <w:rPr>
          <w:rFonts w:ascii="Times New Roman" w:eastAsia="SimSun" w:hAnsi="Times New Roman" w:cs="Times New Roman" w:hint="eastAsia"/>
          <w:b/>
          <w:bCs/>
          <w:sz w:val="24"/>
        </w:rPr>
        <w:t>of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 MetCa and MetCb.</w:t>
      </w:r>
      <w:r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</w:rPr>
        <w:t>(a)</w:t>
      </w:r>
      <w:r>
        <w:rPr>
          <w:rFonts w:ascii="Times New Roman" w:eastAsia="SimSun" w:hAnsi="Times New Roman" w:cs="Times New Roman"/>
          <w:sz w:val="24"/>
        </w:rPr>
        <w:t xml:space="preserve"> The </w:t>
      </w:r>
      <w:r>
        <w:rPr>
          <w:rFonts w:ascii="Times New Roman" w:hAnsi="Times New Roman" w:cs="Times New Roman"/>
          <w:sz w:val="24"/>
        </w:rPr>
        <w:t>N</w:t>
      </w:r>
      <w:r>
        <w:t>-</w:t>
      </w:r>
      <w:r>
        <w:rPr>
          <w:rFonts w:ascii="Times New Roman" w:hAnsi="Times New Roman" w:cs="Times New Roman"/>
          <w:sz w:val="24"/>
        </w:rPr>
        <w:t xml:space="preserve">terminal loop structure of MetCa. The boxed region shows the interface between two MetCa molecules. </w:t>
      </w:r>
      <w:r>
        <w:rPr>
          <w:rFonts w:ascii="Times New Roman" w:hAnsi="Times New Roman" w:cs="Times New Roman"/>
          <w:b/>
          <w:bCs/>
          <w:sz w:val="24"/>
        </w:rPr>
        <w:t>(b)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N</w:t>
      </w:r>
      <w:r>
        <w:t>-</w:t>
      </w:r>
      <w:r>
        <w:rPr>
          <w:rFonts w:ascii="Times New Roman" w:hAnsi="Times New Roman" w:cs="Times New Roman"/>
          <w:sz w:val="24"/>
        </w:rPr>
        <w:t xml:space="preserve">terminal loop of MetCa binds to a hydrophobic region of the adjacent MetCa. </w:t>
      </w:r>
      <w:r>
        <w:rPr>
          <w:rFonts w:ascii="Times New Roman" w:hAnsi="Times New Roman" w:cs="Times New Roman"/>
          <w:b/>
          <w:bCs/>
          <w:sz w:val="24"/>
        </w:rPr>
        <w:t>(c)</w:t>
      </w:r>
      <w:r>
        <w:rPr>
          <w:rFonts w:ascii="Times New Roman" w:hAnsi="Times New Roman" w:cs="Times New Roman"/>
          <w:sz w:val="24"/>
        </w:rPr>
        <w:t xml:space="preserve"> Schematic drawing of the additional C-terminal loop of MetCb (yellow). The inset enlarged detail shows the interactions between the C-terminal loop of MetCb and MetCa. </w:t>
      </w:r>
      <w:r>
        <w:rPr>
          <w:rFonts w:ascii="Times New Roman" w:hAnsi="Times New Roman" w:cs="Times New Roman"/>
          <w:b/>
          <w:bCs/>
          <w:sz w:val="24"/>
        </w:rPr>
        <w:t xml:space="preserve">(d) </w:t>
      </w:r>
      <w:r>
        <w:rPr>
          <w:rFonts w:ascii="Times New Roman" w:hAnsi="Times New Roman" w:cs="Times New Roman"/>
          <w:sz w:val="24"/>
        </w:rPr>
        <w:t xml:space="preserve">Schematic drawing of the putative active site of MetCa. The metal ions are shown as green sphere and the residues coordinating them are shown as sticks. </w:t>
      </w:r>
      <w:r>
        <w:rPr>
          <w:rFonts w:ascii="Times New Roman" w:hAnsi="Times New Roman" w:cs="Times New Roman"/>
          <w:b/>
          <w:bCs/>
          <w:sz w:val="24"/>
        </w:rPr>
        <w:t>(e)</w:t>
      </w:r>
      <w:r>
        <w:rPr>
          <w:rFonts w:ascii="Times New Roman" w:hAnsi="Times New Roman" w:cs="Times New Roman"/>
          <w:sz w:val="24"/>
        </w:rPr>
        <w:t xml:space="preserve"> Schematic drawing of the putative active site of MetCb.</w:t>
      </w:r>
    </w:p>
    <w:p w14:paraId="530F2EE8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</w:p>
    <w:p w14:paraId="08876236" w14:textId="77777777" w:rsidR="004027F6" w:rsidRDefault="004027F6" w:rsidP="004027F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65B5D1A" wp14:editId="5A0FA641">
            <wp:extent cx="3775075" cy="3189057"/>
            <wp:effectExtent l="0" t="0" r="0" b="0"/>
            <wp:docPr id="9209490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949056" name="图片 92094905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358" cy="319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F629F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Extended Data Fig. 6 Active-site architecture of MetCaCb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</w:rPr>
        <w:t>(a)</w:t>
      </w:r>
      <w:r>
        <w:rPr>
          <w:rFonts w:ascii="Times New Roman" w:hAnsi="Times New Roman" w:cs="Times New Roman"/>
          <w:sz w:val="24"/>
        </w:rPr>
        <w:t xml:space="preserve"> Schematic drawing of that the active site cavity within the head domain of MetCa is capped by the tail domain of a MetCb subunit. The hollowed-out structure of MetCb (dotted circle) connects the substrate pocket in MetCa. </w:t>
      </w:r>
      <w:r>
        <w:rPr>
          <w:rFonts w:ascii="Times New Roman" w:hAnsi="Times New Roman" w:cs="Times New Roman"/>
          <w:b/>
          <w:bCs/>
          <w:sz w:val="24"/>
        </w:rPr>
        <w:t>(b)</w:t>
      </w:r>
      <w:r>
        <w:rPr>
          <w:rFonts w:ascii="Times New Roman" w:hAnsi="Times New Roman" w:cs="Times New Roman"/>
          <w:sz w:val="24"/>
        </w:rPr>
        <w:t xml:space="preserve"> Schematic drawing of the active site of MetCa with a metformin molecule (purple</w:t>
      </w:r>
      <w:r w:rsidRPr="00E54CF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stick) docked into it. The capped MetCb is shown as surface representation. </w:t>
      </w:r>
      <w:r>
        <w:rPr>
          <w:rFonts w:ascii="Times New Roman" w:hAnsi="Times New Roman" w:cs="Times New Roman"/>
          <w:b/>
          <w:bCs/>
          <w:sz w:val="24"/>
        </w:rPr>
        <w:t>(c)</w:t>
      </w:r>
      <w:r>
        <w:rPr>
          <w:rFonts w:ascii="Times New Roman" w:hAnsi="Times New Roman" w:cs="Times New Roman"/>
          <w:sz w:val="24"/>
        </w:rPr>
        <w:t xml:space="preserve"> Sequence alignment of the noncoordinating active site residues of Met</w:t>
      </w: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aCb with representative sequences of arginase family proteins. The sequences used included guanidine hydrolase (GdmH), agmatinase (SpeB), guanidinobutyrase (GbuA), guanidinopropionase (GpuA), arginase from </w:t>
      </w:r>
      <w:r>
        <w:rPr>
          <w:rFonts w:ascii="Times New Roman" w:hAnsi="Times New Roman" w:cs="Times New Roman"/>
          <w:i/>
          <w:iCs/>
          <w:sz w:val="24"/>
        </w:rPr>
        <w:t>Thermus thermophilus</w:t>
      </w:r>
      <w:r>
        <w:rPr>
          <w:rFonts w:ascii="Times New Roman" w:hAnsi="Times New Roman" w:cs="Times New Roman"/>
          <w:sz w:val="24"/>
        </w:rPr>
        <w:t xml:space="preserve"> (ttARG), human arginases I and II (hARGI and hARGII), and arginase from </w:t>
      </w:r>
      <w:r>
        <w:rPr>
          <w:rFonts w:ascii="Times New Roman" w:hAnsi="Times New Roman" w:cs="Times New Roman"/>
          <w:i/>
          <w:iCs/>
          <w:sz w:val="24"/>
        </w:rPr>
        <w:t>Schistosoma mansoni</w:t>
      </w:r>
      <w:r>
        <w:rPr>
          <w:rFonts w:ascii="Times New Roman" w:hAnsi="Times New Roman" w:cs="Times New Roman"/>
          <w:sz w:val="24"/>
        </w:rPr>
        <w:t xml:space="preserve"> (smARG).</w:t>
      </w:r>
    </w:p>
    <w:p w14:paraId="4B073FA8" w14:textId="77777777" w:rsidR="004027F6" w:rsidRDefault="004027F6" w:rsidP="004027F6">
      <w:pPr>
        <w:widowControl/>
        <w:jc w:val="center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noProof/>
          <w:sz w:val="24"/>
          <w:szCs w:val="28"/>
        </w:rPr>
        <w:lastRenderedPageBreak/>
        <w:drawing>
          <wp:inline distT="0" distB="0" distL="0" distR="0" wp14:anchorId="2569F677" wp14:editId="6D20E774">
            <wp:extent cx="3472908" cy="3489325"/>
            <wp:effectExtent l="0" t="0" r="0" b="0"/>
            <wp:docPr id="17002888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288814" name="图片 170028881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829" cy="3494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1FE53" w14:textId="77777777" w:rsidR="004027F6" w:rsidRDefault="004027F6" w:rsidP="004027F6">
      <w:pPr>
        <w:widowControl/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Extended Data Fig. 7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Sequence similarity network (SSN) of the MetCa and MetCb homologs. </w:t>
      </w:r>
      <w:r>
        <w:rPr>
          <w:rFonts w:ascii="Times New Roman" w:hAnsi="Times New Roman" w:cs="Times New Roman"/>
          <w:sz w:val="24"/>
          <w:szCs w:val="28"/>
        </w:rPr>
        <w:t>MetCa and MetCb homologous sequences were retrieved from the UniRef90 database using a minimal sequence identity of 25% with the query sequences. The resultant hits were mixed and subjected to filtration by CD-HIT with a cutoff value of 65%, resulting in a total of 1097 sequences. The SSN analysis was carried out by EFI-EST</w:t>
      </w:r>
      <w:r>
        <w:rPr>
          <w:rFonts w:ascii="Times New Roman" w:hAnsi="Times New Roman" w:cs="Times New Roman"/>
          <w:noProof/>
          <w:sz w:val="24"/>
          <w:szCs w:val="28"/>
        </w:rPr>
        <w:t xml:space="preserve"> (</w:t>
      </w:r>
      <w:r w:rsidRPr="00277CE5">
        <w:rPr>
          <w:rFonts w:ascii="Times New Roman" w:hAnsi="Times New Roman" w:cs="Times New Roman"/>
          <w:noProof/>
          <w:sz w:val="24"/>
          <w:szCs w:val="28"/>
        </w:rPr>
        <w:t>https://efi.igb.illinois.edu/efi-est/</w:t>
      </w:r>
      <w:r>
        <w:rPr>
          <w:rFonts w:ascii="Times New Roman" w:hAnsi="Times New Roman" w:cs="Times New Roman"/>
          <w:noProof/>
          <w:sz w:val="24"/>
          <w:szCs w:val="28"/>
        </w:rPr>
        <w:t>)</w:t>
      </w:r>
      <w:r>
        <w:rPr>
          <w:rFonts w:ascii="Times New Roman" w:hAnsi="Times New Roman" w:cs="Times New Roman"/>
          <w:sz w:val="24"/>
          <w:szCs w:val="28"/>
        </w:rPr>
        <w:t xml:space="preserve"> using the filtered sequences together with other characterized enzymes from arginase/agmatinase family proteins. The visualized clusters were generated from a result using a cutoff alignment score of 60. GdmH: guanidine hydrolase; SpeB: agmatinase; GbuA: guanidinobutyrase; GpuA: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>guanidinopropionase; HutG: formimidoylglutamase; ARG: arginase.</w:t>
      </w:r>
    </w:p>
    <w:p w14:paraId="63269E60" w14:textId="77777777" w:rsidR="004027F6" w:rsidRDefault="004027F6" w:rsidP="004027F6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5B96BC30" w14:textId="77777777" w:rsidR="004027F6" w:rsidRDefault="004027F6" w:rsidP="004027F6">
      <w:pPr>
        <w:widowControl/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Extended Data Table 1</w:t>
      </w:r>
      <w:r>
        <w:rPr>
          <w:rFonts w:ascii="Times New Roman" w:hAnsi="Times New Roman" w:cs="Times New Roman"/>
          <w:sz w:val="24"/>
        </w:rPr>
        <w:t xml:space="preserve"> Kinetic parameters of MetCaCb and its variants for metformin or 1-methylbiguanide.</w:t>
      </w:r>
    </w:p>
    <w:tbl>
      <w:tblPr>
        <w:tblStyle w:val="TableGrid"/>
        <w:tblW w:w="8266" w:type="dxa"/>
        <w:tblLook w:val="04A0" w:firstRow="1" w:lastRow="0" w:firstColumn="1" w:lastColumn="0" w:noHBand="0" w:noVBand="1"/>
      </w:tblPr>
      <w:tblGrid>
        <w:gridCol w:w="1838"/>
        <w:gridCol w:w="1843"/>
        <w:gridCol w:w="1559"/>
        <w:gridCol w:w="992"/>
        <w:gridCol w:w="2034"/>
      </w:tblGrid>
      <w:tr w:rsidR="004027F6" w14:paraId="565FD0A2" w14:textId="77777777" w:rsidTr="0039098B">
        <w:tc>
          <w:tcPr>
            <w:tcW w:w="1838" w:type="dxa"/>
          </w:tcPr>
          <w:p w14:paraId="40BE6C2F" w14:textId="77777777" w:rsidR="004027F6" w:rsidRDefault="004027F6" w:rsidP="0039098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</w:rPr>
              <w:t>escription</w:t>
            </w:r>
          </w:p>
        </w:tc>
        <w:tc>
          <w:tcPr>
            <w:tcW w:w="1843" w:type="dxa"/>
          </w:tcPr>
          <w:p w14:paraId="64490C62" w14:textId="77777777" w:rsidR="004027F6" w:rsidRDefault="004027F6" w:rsidP="0039098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K</w:t>
            </w:r>
            <w:r>
              <w:rPr>
                <w:rFonts w:ascii="Times New Roman" w:hAnsi="Times New Roman" w:cs="Times New Roman"/>
                <w:i/>
                <w:iCs/>
                <w:sz w:val="22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sz w:val="22"/>
              </w:rPr>
              <w:t>(mM)</w:t>
            </w:r>
          </w:p>
        </w:tc>
        <w:tc>
          <w:tcPr>
            <w:tcW w:w="1559" w:type="dxa"/>
          </w:tcPr>
          <w:p w14:paraId="616CE61D" w14:textId="77777777" w:rsidR="004027F6" w:rsidRDefault="004027F6" w:rsidP="0039098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V</w:t>
            </w:r>
            <w:r>
              <w:rPr>
                <w:rFonts w:ascii="Times New Roman" w:hAnsi="Times New Roman" w:cs="Times New Roman" w:hint="eastAsia"/>
                <w:i/>
                <w:iCs/>
                <w:sz w:val="22"/>
                <w:vertAlign w:val="subscript"/>
              </w:rPr>
              <w:t>max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(nM s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92" w:type="dxa"/>
          </w:tcPr>
          <w:p w14:paraId="29C4D08F" w14:textId="77777777" w:rsidR="004027F6" w:rsidRDefault="004027F6" w:rsidP="0039098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K</w:t>
            </w:r>
            <w:r>
              <w:rPr>
                <w:rFonts w:ascii="Times New Roman" w:hAnsi="Times New Roman" w:cs="Times New Roman"/>
                <w:i/>
                <w:iCs/>
                <w:sz w:val="22"/>
                <w:vertAlign w:val="subscript"/>
              </w:rPr>
              <w:t>cat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(s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034" w:type="dxa"/>
          </w:tcPr>
          <w:p w14:paraId="7E81D89C" w14:textId="77777777" w:rsidR="004027F6" w:rsidRDefault="004027F6" w:rsidP="0039098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K</w:t>
            </w:r>
            <w:r>
              <w:rPr>
                <w:rFonts w:ascii="Times New Roman" w:hAnsi="Times New Roman" w:cs="Times New Roman"/>
                <w:i/>
                <w:iCs/>
                <w:sz w:val="22"/>
                <w:vertAlign w:val="subscript"/>
              </w:rPr>
              <w:t>cat</w:t>
            </w:r>
            <w:r>
              <w:rPr>
                <w:rFonts w:ascii="Times New Roman" w:hAnsi="Times New Roman" w:cs="Times New Roman"/>
                <w:sz w:val="22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 K</w:t>
            </w:r>
            <w:r>
              <w:rPr>
                <w:rFonts w:ascii="Times New Roman" w:hAnsi="Times New Roman" w:cs="Times New Roman"/>
                <w:i/>
                <w:iCs/>
                <w:sz w:val="22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sz w:val="22"/>
              </w:rPr>
              <w:t xml:space="preserve"> (mM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2"/>
              </w:rPr>
              <w:t xml:space="preserve"> s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4027F6" w14:paraId="0D40E81D" w14:textId="77777777" w:rsidTr="0039098B">
        <w:tc>
          <w:tcPr>
            <w:tcW w:w="1838" w:type="dxa"/>
          </w:tcPr>
          <w:p w14:paraId="34D3A959" w14:textId="77777777" w:rsidR="004027F6" w:rsidRDefault="004027F6" w:rsidP="0039098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WT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, Metformin, pH 9.0</w:t>
            </w:r>
          </w:p>
        </w:tc>
        <w:tc>
          <w:tcPr>
            <w:tcW w:w="1843" w:type="dxa"/>
          </w:tcPr>
          <w:p w14:paraId="371494A6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6.84±0.49</w:t>
            </w:r>
          </w:p>
        </w:tc>
        <w:tc>
          <w:tcPr>
            <w:tcW w:w="1559" w:type="dxa"/>
          </w:tcPr>
          <w:p w14:paraId="2B976B90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815.40±17.29</w:t>
            </w:r>
          </w:p>
        </w:tc>
        <w:tc>
          <w:tcPr>
            <w:tcW w:w="992" w:type="dxa"/>
          </w:tcPr>
          <w:p w14:paraId="6B06432F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12.83</w:t>
            </w:r>
          </w:p>
        </w:tc>
        <w:tc>
          <w:tcPr>
            <w:tcW w:w="2034" w:type="dxa"/>
          </w:tcPr>
          <w:p w14:paraId="6A4C540A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1.88</w:t>
            </w:r>
          </w:p>
        </w:tc>
      </w:tr>
      <w:tr w:rsidR="004027F6" w14:paraId="6C7A8EFE" w14:textId="77777777" w:rsidTr="0039098B">
        <w:tc>
          <w:tcPr>
            <w:tcW w:w="1838" w:type="dxa"/>
          </w:tcPr>
          <w:p w14:paraId="0E156A45" w14:textId="77777777" w:rsidR="004027F6" w:rsidRDefault="004027F6" w:rsidP="0039098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WT, Metformin, pH 10.0</w:t>
            </w:r>
          </w:p>
        </w:tc>
        <w:tc>
          <w:tcPr>
            <w:tcW w:w="1843" w:type="dxa"/>
          </w:tcPr>
          <w:p w14:paraId="669A825A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6.42±0.98</w:t>
            </w:r>
          </w:p>
        </w:tc>
        <w:tc>
          <w:tcPr>
            <w:tcW w:w="1559" w:type="dxa"/>
          </w:tcPr>
          <w:p w14:paraId="508793C1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453.50±19.30</w:t>
            </w:r>
          </w:p>
        </w:tc>
        <w:tc>
          <w:tcPr>
            <w:tcW w:w="992" w:type="dxa"/>
          </w:tcPr>
          <w:p w14:paraId="7C3C43E1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7.13</w:t>
            </w:r>
          </w:p>
        </w:tc>
        <w:tc>
          <w:tcPr>
            <w:tcW w:w="2034" w:type="dxa"/>
          </w:tcPr>
          <w:p w14:paraId="2F04F6BD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1.11</w:t>
            </w:r>
          </w:p>
        </w:tc>
      </w:tr>
      <w:tr w:rsidR="004027F6" w14:paraId="2EF146C1" w14:textId="77777777" w:rsidTr="0039098B">
        <w:tc>
          <w:tcPr>
            <w:tcW w:w="1838" w:type="dxa"/>
          </w:tcPr>
          <w:p w14:paraId="34CC9A6A" w14:textId="77777777" w:rsidR="004027F6" w:rsidRDefault="004027F6" w:rsidP="0039098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WT, 1-Methylbiguanide, pH 9.0</w:t>
            </w:r>
          </w:p>
        </w:tc>
        <w:tc>
          <w:tcPr>
            <w:tcW w:w="1843" w:type="dxa"/>
          </w:tcPr>
          <w:p w14:paraId="284C9CF7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158.20±24.70</w:t>
            </w:r>
          </w:p>
        </w:tc>
        <w:tc>
          <w:tcPr>
            <w:tcW w:w="1559" w:type="dxa"/>
          </w:tcPr>
          <w:p w14:paraId="1E2E7C03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307.60±22.97</w:t>
            </w:r>
          </w:p>
        </w:tc>
        <w:tc>
          <w:tcPr>
            <w:tcW w:w="992" w:type="dxa"/>
          </w:tcPr>
          <w:p w14:paraId="78582F1E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4.84</w:t>
            </w:r>
          </w:p>
        </w:tc>
        <w:tc>
          <w:tcPr>
            <w:tcW w:w="2034" w:type="dxa"/>
          </w:tcPr>
          <w:p w14:paraId="6A147C4B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</w:tr>
      <w:tr w:rsidR="004027F6" w14:paraId="4E30EF1E" w14:textId="77777777" w:rsidTr="0039098B">
        <w:trPr>
          <w:trHeight w:val="278"/>
        </w:trPr>
        <w:tc>
          <w:tcPr>
            <w:tcW w:w="1838" w:type="dxa"/>
            <w:noWrap/>
          </w:tcPr>
          <w:p w14:paraId="7934171A" w14:textId="77777777" w:rsidR="004027F6" w:rsidRDefault="004027F6" w:rsidP="0039098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D183A</w:t>
            </w:r>
            <w:r>
              <w:rPr>
                <w:rFonts w:ascii="Times New Roman" w:eastAsia="SimSun" w:hAnsi="Times New Roman" w:cs="Times New Roman"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1843" w:type="dxa"/>
            <w:vAlign w:val="bottom"/>
          </w:tcPr>
          <w:p w14:paraId="5E673B1A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D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c</w:t>
            </w:r>
          </w:p>
        </w:tc>
        <w:tc>
          <w:tcPr>
            <w:tcW w:w="1559" w:type="dxa"/>
            <w:vAlign w:val="bottom"/>
          </w:tcPr>
          <w:p w14:paraId="39533B9F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D</w:t>
            </w:r>
          </w:p>
        </w:tc>
        <w:tc>
          <w:tcPr>
            <w:tcW w:w="992" w:type="dxa"/>
            <w:vAlign w:val="bottom"/>
          </w:tcPr>
          <w:p w14:paraId="4923212C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2034" w:type="dxa"/>
            <w:vAlign w:val="bottom"/>
          </w:tcPr>
          <w:p w14:paraId="63BC69BA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</w:tr>
      <w:tr w:rsidR="004027F6" w14:paraId="72EE72F1" w14:textId="77777777" w:rsidTr="0039098B">
        <w:trPr>
          <w:trHeight w:val="278"/>
        </w:trPr>
        <w:tc>
          <w:tcPr>
            <w:tcW w:w="1838" w:type="dxa"/>
            <w:noWrap/>
          </w:tcPr>
          <w:p w14:paraId="465236FA" w14:textId="77777777" w:rsidR="004027F6" w:rsidRDefault="004027F6" w:rsidP="0039098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H185A</w:t>
            </w:r>
          </w:p>
        </w:tc>
        <w:tc>
          <w:tcPr>
            <w:tcW w:w="1843" w:type="dxa"/>
            <w:vAlign w:val="bottom"/>
          </w:tcPr>
          <w:p w14:paraId="5B13EFEF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1559" w:type="dxa"/>
            <w:vAlign w:val="bottom"/>
          </w:tcPr>
          <w:p w14:paraId="26E878DF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992" w:type="dxa"/>
            <w:vAlign w:val="bottom"/>
          </w:tcPr>
          <w:p w14:paraId="3F71BCB5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2034" w:type="dxa"/>
            <w:vAlign w:val="bottom"/>
          </w:tcPr>
          <w:p w14:paraId="0961405A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</w:tr>
      <w:tr w:rsidR="004027F6" w14:paraId="47BC59A1" w14:textId="77777777" w:rsidTr="0039098B">
        <w:trPr>
          <w:trHeight w:val="278"/>
        </w:trPr>
        <w:tc>
          <w:tcPr>
            <w:tcW w:w="1838" w:type="dxa"/>
            <w:noWrap/>
          </w:tcPr>
          <w:p w14:paraId="40BC74DF" w14:textId="77777777" w:rsidR="004027F6" w:rsidRDefault="004027F6" w:rsidP="0039098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D187A</w:t>
            </w:r>
          </w:p>
        </w:tc>
        <w:tc>
          <w:tcPr>
            <w:tcW w:w="1843" w:type="dxa"/>
            <w:vAlign w:val="bottom"/>
          </w:tcPr>
          <w:p w14:paraId="18DC6974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12.34±2.56</w:t>
            </w:r>
          </w:p>
        </w:tc>
        <w:tc>
          <w:tcPr>
            <w:tcW w:w="1559" w:type="dxa"/>
            <w:vAlign w:val="bottom"/>
          </w:tcPr>
          <w:p w14:paraId="5AC643D5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0.59±0.03</w:t>
            </w:r>
          </w:p>
        </w:tc>
        <w:tc>
          <w:tcPr>
            <w:tcW w:w="992" w:type="dxa"/>
            <w:vAlign w:val="bottom"/>
          </w:tcPr>
          <w:p w14:paraId="0325212B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2034" w:type="dxa"/>
            <w:vAlign w:val="bottom"/>
          </w:tcPr>
          <w:p w14:paraId="4276197B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0.0008</w:t>
            </w:r>
          </w:p>
        </w:tc>
      </w:tr>
      <w:tr w:rsidR="004027F6" w14:paraId="6A3E3E93" w14:textId="77777777" w:rsidTr="0039098B">
        <w:trPr>
          <w:trHeight w:val="278"/>
        </w:trPr>
        <w:tc>
          <w:tcPr>
            <w:tcW w:w="1838" w:type="dxa"/>
            <w:noWrap/>
          </w:tcPr>
          <w:p w14:paraId="1FC74D15" w14:textId="77777777" w:rsidR="004027F6" w:rsidRDefault="004027F6" w:rsidP="0039098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D276A</w:t>
            </w:r>
          </w:p>
        </w:tc>
        <w:tc>
          <w:tcPr>
            <w:tcW w:w="1843" w:type="dxa"/>
            <w:vAlign w:val="bottom"/>
          </w:tcPr>
          <w:p w14:paraId="3BE4DF11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127.10±50.95</w:t>
            </w:r>
          </w:p>
        </w:tc>
        <w:tc>
          <w:tcPr>
            <w:tcW w:w="1559" w:type="dxa"/>
            <w:vAlign w:val="bottom"/>
          </w:tcPr>
          <w:p w14:paraId="564E711B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2.42±0.52</w:t>
            </w:r>
          </w:p>
        </w:tc>
        <w:tc>
          <w:tcPr>
            <w:tcW w:w="992" w:type="dxa"/>
            <w:vAlign w:val="bottom"/>
          </w:tcPr>
          <w:p w14:paraId="1A560229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2034" w:type="dxa"/>
            <w:vAlign w:val="bottom"/>
          </w:tcPr>
          <w:p w14:paraId="709DA134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0.0003</w:t>
            </w:r>
          </w:p>
        </w:tc>
      </w:tr>
      <w:tr w:rsidR="004027F6" w14:paraId="32469F32" w14:textId="77777777" w:rsidTr="0039098B">
        <w:trPr>
          <w:trHeight w:val="278"/>
        </w:trPr>
        <w:tc>
          <w:tcPr>
            <w:tcW w:w="1838" w:type="dxa"/>
            <w:noWrap/>
          </w:tcPr>
          <w:p w14:paraId="70F382D0" w14:textId="77777777" w:rsidR="004027F6" w:rsidRDefault="004027F6" w:rsidP="0039098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D278A</w:t>
            </w:r>
          </w:p>
        </w:tc>
        <w:tc>
          <w:tcPr>
            <w:tcW w:w="1843" w:type="dxa"/>
            <w:vAlign w:val="bottom"/>
          </w:tcPr>
          <w:p w14:paraId="48EE579A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1559" w:type="dxa"/>
            <w:vAlign w:val="bottom"/>
          </w:tcPr>
          <w:p w14:paraId="7AA39A77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992" w:type="dxa"/>
            <w:vAlign w:val="bottom"/>
          </w:tcPr>
          <w:p w14:paraId="7169BA2B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2034" w:type="dxa"/>
            <w:vAlign w:val="bottom"/>
          </w:tcPr>
          <w:p w14:paraId="0017F60A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</w:tr>
      <w:tr w:rsidR="004027F6" w14:paraId="37C02E2D" w14:textId="77777777" w:rsidTr="0039098B">
        <w:trPr>
          <w:trHeight w:val="278"/>
        </w:trPr>
        <w:tc>
          <w:tcPr>
            <w:tcW w:w="1838" w:type="dxa"/>
            <w:noWrap/>
          </w:tcPr>
          <w:p w14:paraId="5A561888" w14:textId="77777777" w:rsidR="004027F6" w:rsidRDefault="004027F6" w:rsidP="0039098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N199A</w:t>
            </w:r>
          </w:p>
        </w:tc>
        <w:tc>
          <w:tcPr>
            <w:tcW w:w="1843" w:type="dxa"/>
            <w:vAlign w:val="bottom"/>
          </w:tcPr>
          <w:p w14:paraId="33F7F8F1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1559" w:type="dxa"/>
            <w:vAlign w:val="bottom"/>
          </w:tcPr>
          <w:p w14:paraId="4B15FFBB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992" w:type="dxa"/>
            <w:vAlign w:val="bottom"/>
          </w:tcPr>
          <w:p w14:paraId="26007C08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2034" w:type="dxa"/>
            <w:vAlign w:val="bottom"/>
          </w:tcPr>
          <w:p w14:paraId="7BA3033D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</w:tr>
      <w:tr w:rsidR="004027F6" w14:paraId="6B478C0C" w14:textId="77777777" w:rsidTr="0039098B">
        <w:trPr>
          <w:trHeight w:val="278"/>
        </w:trPr>
        <w:tc>
          <w:tcPr>
            <w:tcW w:w="1838" w:type="dxa"/>
            <w:noWrap/>
          </w:tcPr>
          <w:p w14:paraId="62B8474B" w14:textId="77777777" w:rsidR="004027F6" w:rsidRDefault="004027F6" w:rsidP="0039098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S289A</w:t>
            </w:r>
          </w:p>
        </w:tc>
        <w:tc>
          <w:tcPr>
            <w:tcW w:w="1843" w:type="dxa"/>
            <w:vAlign w:val="bottom"/>
          </w:tcPr>
          <w:p w14:paraId="5293E502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15.45±1.51</w:t>
            </w:r>
          </w:p>
        </w:tc>
        <w:tc>
          <w:tcPr>
            <w:tcW w:w="1559" w:type="dxa"/>
            <w:vAlign w:val="bottom"/>
          </w:tcPr>
          <w:p w14:paraId="0EC552A0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4.27±0.99</w:t>
            </w:r>
          </w:p>
        </w:tc>
        <w:tc>
          <w:tcPr>
            <w:tcW w:w="992" w:type="dxa"/>
            <w:vAlign w:val="bottom"/>
          </w:tcPr>
          <w:p w14:paraId="42FF6FE2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</w:t>
            </w:r>
          </w:p>
        </w:tc>
        <w:tc>
          <w:tcPr>
            <w:tcW w:w="2034" w:type="dxa"/>
            <w:vAlign w:val="bottom"/>
          </w:tcPr>
          <w:p w14:paraId="5C740DF0" w14:textId="77777777" w:rsidR="004027F6" w:rsidRDefault="004027F6" w:rsidP="0039098B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0.0043</w:t>
            </w:r>
          </w:p>
        </w:tc>
      </w:tr>
      <w:tr w:rsidR="004027F6" w14:paraId="11694E79" w14:textId="77777777" w:rsidTr="0039098B">
        <w:trPr>
          <w:trHeight w:val="278"/>
        </w:trPr>
        <w:tc>
          <w:tcPr>
            <w:tcW w:w="1838" w:type="dxa"/>
            <w:noWrap/>
          </w:tcPr>
          <w:p w14:paraId="32D49CB9" w14:textId="77777777" w:rsidR="004027F6" w:rsidRDefault="004027F6" w:rsidP="0039098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E320A</w:t>
            </w:r>
          </w:p>
        </w:tc>
        <w:tc>
          <w:tcPr>
            <w:tcW w:w="1843" w:type="dxa"/>
            <w:vAlign w:val="bottom"/>
          </w:tcPr>
          <w:p w14:paraId="218D427F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ND</w:t>
            </w:r>
          </w:p>
        </w:tc>
        <w:tc>
          <w:tcPr>
            <w:tcW w:w="1559" w:type="dxa"/>
            <w:vAlign w:val="bottom"/>
          </w:tcPr>
          <w:p w14:paraId="433CBB15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ND</w:t>
            </w:r>
          </w:p>
        </w:tc>
        <w:tc>
          <w:tcPr>
            <w:tcW w:w="992" w:type="dxa"/>
            <w:vAlign w:val="bottom"/>
          </w:tcPr>
          <w:p w14:paraId="0BE1F045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ND</w:t>
            </w:r>
          </w:p>
        </w:tc>
        <w:tc>
          <w:tcPr>
            <w:tcW w:w="2034" w:type="dxa"/>
            <w:vAlign w:val="bottom"/>
          </w:tcPr>
          <w:p w14:paraId="75CB4029" w14:textId="77777777" w:rsidR="004027F6" w:rsidRDefault="004027F6" w:rsidP="0039098B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ND</w:t>
            </w:r>
          </w:p>
        </w:tc>
      </w:tr>
    </w:tbl>
    <w:p w14:paraId="0FF428E3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>wild type MetCaCb.</w:t>
      </w:r>
    </w:p>
    <w:p w14:paraId="24D15765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ascii="Times New Roman" w:hAnsi="Times New Roman" w:cs="Times New Roman"/>
          <w:sz w:val="24"/>
        </w:rPr>
        <w:t xml:space="preserve">activity of all the MetCaCb variants were measured with the standard metformin hydrolase activity assays. </w:t>
      </w:r>
    </w:p>
    <w:p w14:paraId="0E1289BF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vertAlign w:val="superscript"/>
        </w:rPr>
        <w:t>c</w:t>
      </w:r>
      <w:r>
        <w:rPr>
          <w:rFonts w:ascii="Times New Roman" w:hAnsi="Times New Roman" w:cs="Times New Roman"/>
          <w:sz w:val="24"/>
        </w:rPr>
        <w:t>no detectable activity was observed.</w:t>
      </w:r>
    </w:p>
    <w:p w14:paraId="783B25DF" w14:textId="77777777" w:rsidR="004027F6" w:rsidRDefault="004027F6" w:rsidP="004027F6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028D2C7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E</w:t>
      </w:r>
      <w:r>
        <w:rPr>
          <w:rFonts w:ascii="Times New Roman" w:hAnsi="Times New Roman" w:cs="Times New Roman"/>
          <w:b/>
          <w:bCs/>
          <w:sz w:val="24"/>
        </w:rPr>
        <w:t>xtended Data Table 2. X-ray diffraction data collection and refinement statistics</w:t>
      </w:r>
    </w:p>
    <w:tbl>
      <w:tblPr>
        <w:tblW w:w="0" w:type="auto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2969"/>
        <w:gridCol w:w="2560"/>
      </w:tblGrid>
      <w:tr w:rsidR="004027F6" w14:paraId="77107103" w14:textId="77777777" w:rsidTr="0039098B">
        <w:tc>
          <w:tcPr>
            <w:tcW w:w="2969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</w:tcPr>
          <w:p w14:paraId="092ACC07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</w:tcPr>
          <w:p w14:paraId="49E1D0B4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MetCaCb</w:t>
            </w:r>
          </w:p>
        </w:tc>
      </w:tr>
      <w:tr w:rsidR="004027F6" w14:paraId="6385A8CD" w14:textId="77777777" w:rsidTr="0039098B">
        <w:tc>
          <w:tcPr>
            <w:tcW w:w="2969" w:type="dxa"/>
            <w:tcBorders>
              <w:top w:val="single" w:sz="6" w:space="0" w:color="008000"/>
              <w:left w:val="nil"/>
              <w:bottom w:val="nil"/>
              <w:right w:val="nil"/>
            </w:tcBorders>
          </w:tcPr>
          <w:p w14:paraId="4CCC884F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Data collection</w:t>
            </w:r>
          </w:p>
        </w:tc>
        <w:tc>
          <w:tcPr>
            <w:tcW w:w="2560" w:type="dxa"/>
            <w:tcBorders>
              <w:top w:val="single" w:sz="6" w:space="0" w:color="008000"/>
              <w:left w:val="nil"/>
              <w:bottom w:val="nil"/>
              <w:right w:val="nil"/>
            </w:tcBorders>
          </w:tcPr>
          <w:p w14:paraId="5D96213A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4027F6" w14:paraId="32DF742B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19A9AE8C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Space group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1D99DDD2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vertAlign w:val="subscript"/>
              </w:rPr>
              <w:t>1</w:t>
            </w:r>
          </w:p>
        </w:tc>
      </w:tr>
      <w:tr w:rsidR="004027F6" w14:paraId="3AED21CF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417855E9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Cell dimensions</w:t>
            </w:r>
            <w:r>
              <w:rPr>
                <w:rFonts w:ascii="Symbol" w:eastAsia="SimSun" w:hAnsi="Symbol" w:cs="Times New Roman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40849FA4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4027F6" w14:paraId="33B2AE27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3636C3C3" w14:textId="77777777" w:rsidR="004027F6" w:rsidRDefault="004027F6" w:rsidP="0039098B">
            <w:pPr>
              <w:widowControl/>
              <w:jc w:val="left"/>
              <w:rPr>
                <w:rFonts w:ascii="Wingdings" w:eastAsia="SimSun" w:hAnsi="Wingdings" w:cs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(Å)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6E00E734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90.43, 152.52, 173.57</w:t>
            </w:r>
          </w:p>
        </w:tc>
      </w:tr>
      <w:tr w:rsidR="004027F6" w14:paraId="3D62BE77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68CFD62C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Symbol" w:eastAsia="SimSun" w:hAnsi="Symbol" w:cs="Times New Roman"/>
                <w:kern w:val="0"/>
                <w:sz w:val="20"/>
                <w:szCs w:val="20"/>
              </w:rPr>
              <w:t xml:space="preserve">    a, b, g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(</w:t>
            </w:r>
            <w:r>
              <w:rPr>
                <w:rFonts w:ascii="Symbol" w:eastAsia="SimSun" w:hAnsi="Symbol" w:cs="Times New Roman"/>
                <w:kern w:val="0"/>
                <w:sz w:val="20"/>
                <w:szCs w:val="20"/>
              </w:rPr>
              <w:t>°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0858452F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90, 90, 90</w:t>
            </w:r>
          </w:p>
        </w:tc>
      </w:tr>
      <w:tr w:rsidR="004027F6" w14:paraId="7881031F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1031C362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Resolution (Å)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60214C82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9.47-1.84 (1.88-1.84)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4027F6" w14:paraId="04E499AC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0861ABAF" w14:textId="77777777" w:rsidR="004027F6" w:rsidRPr="00235F50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vertAlign w:val="subscript"/>
              </w:rPr>
              <w:t>merge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26040FF3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0.119 (0.443)</w:t>
            </w:r>
          </w:p>
        </w:tc>
      </w:tr>
      <w:tr w:rsidR="004027F6" w14:paraId="63471F7F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50E81E65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0"/>
                <w:szCs w:val="20"/>
              </w:rPr>
              <w:t xml:space="preserve">I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/ </w:t>
            </w:r>
            <w:r>
              <w:rPr>
                <w:rFonts w:ascii="Symbol" w:eastAsia="SimSun" w:hAnsi="Symbol" w:cs="Times New Roman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0"/>
                <w:szCs w:val="20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73E2EA65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12.7 (3.5)</w:t>
            </w:r>
          </w:p>
        </w:tc>
      </w:tr>
      <w:tr w:rsidR="004027F6" w14:paraId="00F2B75E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3A904040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Completeness (%)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4AFDAD6B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100 (99.4)</w:t>
            </w:r>
          </w:p>
        </w:tc>
      </w:tr>
      <w:tr w:rsidR="004027F6" w14:paraId="7D48F601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7A714E49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Redundancy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67D54F1D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10.0 (5.7)</w:t>
            </w:r>
          </w:p>
        </w:tc>
      </w:tr>
      <w:tr w:rsidR="004027F6" w14:paraId="261A4391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731288D5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291858FA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4027F6" w14:paraId="0C7A611E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589ED5DC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Refinement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607F3E00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4027F6" w14:paraId="79B7663E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4DEC6A94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Resolution (Å)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01C18FD4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9.47-1.84</w:t>
            </w:r>
          </w:p>
        </w:tc>
      </w:tr>
      <w:tr w:rsidR="004027F6" w14:paraId="202E2F0A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0BDA5B81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No. reflections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52F51B89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05966</w:t>
            </w:r>
          </w:p>
        </w:tc>
      </w:tr>
      <w:tr w:rsidR="004027F6" w14:paraId="285F7A64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26CF4510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vertAlign w:val="subscript"/>
              </w:rPr>
              <w:t>work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/ 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vertAlign w:val="subscript"/>
              </w:rPr>
              <w:t>free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789933A7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.153/0.182</w:t>
            </w:r>
          </w:p>
        </w:tc>
      </w:tr>
      <w:tr w:rsidR="004027F6" w14:paraId="3E732E47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71E71761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No. atoms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4978E843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4027F6" w14:paraId="7733CE2C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63C32EC3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 Protein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51E5C7EE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5355</w:t>
            </w:r>
          </w:p>
        </w:tc>
      </w:tr>
      <w:tr w:rsidR="004027F6" w14:paraId="6B259CEE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19797096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 Ligand/ion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62E0F50B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4027F6" w14:paraId="47BE4BB0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1D0252EB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 Water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7D33CFF8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576</w:t>
            </w:r>
          </w:p>
        </w:tc>
      </w:tr>
      <w:tr w:rsidR="004027F6" w14:paraId="645ECE6F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6A6A7CAC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-factors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123DB53E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</w:p>
        </w:tc>
      </w:tr>
      <w:tr w:rsidR="004027F6" w14:paraId="65A7805E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24225A08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 Protein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54E4B959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4.31</w:t>
            </w:r>
          </w:p>
        </w:tc>
      </w:tr>
      <w:tr w:rsidR="004027F6" w14:paraId="39F64F10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65F48BB5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 Ligand/ion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71A09EBB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9.80</w:t>
            </w:r>
          </w:p>
        </w:tc>
      </w:tr>
      <w:tr w:rsidR="004027F6" w14:paraId="2FEE8B81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3943FEA4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 Water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008CADA7" w14:textId="77777777" w:rsidR="004027F6" w:rsidRPr="008E2DBF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2.91</w:t>
            </w:r>
          </w:p>
        </w:tc>
      </w:tr>
      <w:tr w:rsidR="004027F6" w14:paraId="5D9B4AE6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6D6A914E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R.m.s. deviations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2C554094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4027F6" w14:paraId="5405828C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2995514B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 Bond lengths (Å)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605C67C3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.02</w:t>
            </w:r>
          </w:p>
        </w:tc>
      </w:tr>
      <w:tr w:rsidR="004027F6" w14:paraId="5942FD54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726E2579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 Bond angles (</w:t>
            </w:r>
            <w:r>
              <w:rPr>
                <w:rFonts w:ascii="Symbol" w:eastAsia="SimSun" w:hAnsi="Symbol" w:cs="Times New Roman"/>
                <w:kern w:val="0"/>
                <w:sz w:val="20"/>
                <w:szCs w:val="20"/>
              </w:rPr>
              <w:t>°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06A09363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.48</w:t>
            </w:r>
          </w:p>
        </w:tc>
      </w:tr>
      <w:tr w:rsidR="004027F6" w14:paraId="10BD18C3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79FD5A7A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amachandran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0784E7CB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4027F6" w14:paraId="72AABE0C" w14:textId="77777777" w:rsidTr="0039098B"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</w:tcPr>
          <w:p w14:paraId="416BA54A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Favoured (%)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</w:tcPr>
          <w:p w14:paraId="59B0E76A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97.42</w:t>
            </w:r>
          </w:p>
        </w:tc>
      </w:tr>
      <w:tr w:rsidR="004027F6" w14:paraId="67F0D5A5" w14:textId="77777777" w:rsidTr="0039098B">
        <w:tc>
          <w:tcPr>
            <w:tcW w:w="2969" w:type="dxa"/>
            <w:tcBorders>
              <w:top w:val="nil"/>
              <w:left w:val="nil"/>
              <w:bottom w:val="single" w:sz="12" w:space="0" w:color="008000"/>
              <w:right w:val="nil"/>
            </w:tcBorders>
          </w:tcPr>
          <w:p w14:paraId="1B49CBD2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 Outliers (%)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008000"/>
              <w:right w:val="nil"/>
            </w:tcBorders>
          </w:tcPr>
          <w:p w14:paraId="791CFBB2" w14:textId="77777777" w:rsidR="004027F6" w:rsidRDefault="004027F6" w:rsidP="0039098B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.00</w:t>
            </w:r>
          </w:p>
        </w:tc>
      </w:tr>
    </w:tbl>
    <w:p w14:paraId="1D41100F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>Values in parentheses are for highest-resolution shell</w:t>
      </w:r>
      <w:r>
        <w:rPr>
          <w:rFonts w:ascii="Times New Roman" w:hAnsi="Times New Roman" w:cs="Times New Roman" w:hint="eastAsia"/>
          <w:sz w:val="24"/>
        </w:rPr>
        <w:t>.</w:t>
      </w:r>
    </w:p>
    <w:p w14:paraId="6411BF40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</w:p>
    <w:p w14:paraId="17E2F61C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</w:p>
    <w:p w14:paraId="79084D4F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</w:p>
    <w:p w14:paraId="4E8AD84B" w14:textId="77777777" w:rsidR="004027F6" w:rsidRDefault="004027F6" w:rsidP="004027F6">
      <w:pPr>
        <w:spacing w:line="480" w:lineRule="auto"/>
        <w:rPr>
          <w:rFonts w:ascii="Times New Roman" w:hAnsi="Times New Roman" w:cs="Times New Roman"/>
          <w:sz w:val="24"/>
        </w:rPr>
      </w:pPr>
    </w:p>
    <w:p w14:paraId="3F98942E" w14:textId="77777777" w:rsidR="004027F6" w:rsidRDefault="004027F6" w:rsidP="004027F6"/>
    <w:p w14:paraId="4F023ADA" w14:textId="77777777" w:rsidR="00755780" w:rsidRDefault="00755780"/>
    <w:sectPr w:rsidR="00755780" w:rsidSect="00F728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7F6"/>
    <w:rsid w:val="004027F6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1EC05"/>
  <w15:chartTrackingRefBased/>
  <w15:docId w15:val="{BD6231C3-2255-4481-934C-009F06D8E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7F6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4027F6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912</Words>
  <Characters>5203</Characters>
  <Application>Microsoft Office Word</Application>
  <DocSecurity>0</DocSecurity>
  <Lines>43</Lines>
  <Paragraphs>12</Paragraphs>
  <ScaleCrop>false</ScaleCrop>
  <Company>Springer Nature</Company>
  <LinksUpToDate>false</LinksUpToDate>
  <CharactersWithSpaces>6103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2024-01-31T02:10:00Z</dcterms:created>
  <dcterms:modified xsi:type="dcterms:W3CDTF">2024-01-31T02:10:00Z</dcterms:modified>
</cp:coreProperties>
</file>