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46F" w:rsidRDefault="007E646F" w:rsidP="007E646F">
      <w:pP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Impact of covariate model building methods on their clinical relevance evaluation in population pharmacokinetic analyses: comparison of the full model, stepwise covariate model (SCM) and SCM+ approaches </w:t>
      </w:r>
    </w:p>
    <w:p w:rsidR="007E646F" w:rsidRPr="009423D3" w:rsidRDefault="007E646F" w:rsidP="007E646F">
      <w:pPr>
        <w:jc w:val="both"/>
        <w:rPr>
          <w:rFonts w:ascii="Times New Roman" w:eastAsia="Times New Roman" w:hAnsi="Times New Roman" w:cs="Times New Roman"/>
          <w:vertAlign w:val="subscript"/>
          <w:lang w:val="fr-FR"/>
        </w:rPr>
      </w:pPr>
      <w:r w:rsidRPr="007E646F">
        <w:rPr>
          <w:rFonts w:ascii="Times New Roman" w:eastAsia="Times New Roman" w:hAnsi="Times New Roman" w:cs="Times New Roman"/>
          <w:sz w:val="20"/>
          <w:szCs w:val="20"/>
          <w:lang w:val="fr-FR"/>
        </w:rPr>
        <w:br/>
      </w:r>
      <w:r w:rsidRPr="009423D3">
        <w:rPr>
          <w:rFonts w:ascii="Times New Roman" w:eastAsia="Times New Roman" w:hAnsi="Times New Roman" w:cs="Times New Roman"/>
          <w:lang w:val="fr-FR"/>
        </w:rPr>
        <w:t>Morgane Philipp</w:t>
      </w:r>
      <w:r w:rsidRPr="009423D3">
        <w:rPr>
          <w:rFonts w:ascii="Times New Roman" w:eastAsia="Times New Roman" w:hAnsi="Times New Roman" w:cs="Times New Roman"/>
          <w:vertAlign w:val="superscript"/>
          <w:lang w:val="fr-FR"/>
        </w:rPr>
        <w:t>@,1,2</w:t>
      </w:r>
      <w:r w:rsidRPr="009423D3">
        <w:rPr>
          <w:rFonts w:ascii="Times New Roman" w:eastAsia="Times New Roman" w:hAnsi="Times New Roman" w:cs="Times New Roman"/>
          <w:lang w:val="fr-FR"/>
        </w:rPr>
        <w:t xml:space="preserve">, </w:t>
      </w:r>
      <w:hyperlink r:id="rId6">
        <w:r w:rsidRPr="00534DF5">
          <w:rPr>
            <w:rFonts w:ascii="Times New Roman" w:eastAsia="Times New Roman" w:hAnsi="Times New Roman" w:cs="Times New Roman"/>
            <w:lang w:val="fr-FR"/>
          </w:rPr>
          <w:t>Simon Buatois</w:t>
        </w:r>
      </w:hyperlink>
      <w:r w:rsidRPr="009423D3">
        <w:rPr>
          <w:rFonts w:ascii="Times New Roman" w:eastAsia="Times New Roman" w:hAnsi="Times New Roman" w:cs="Times New Roman"/>
          <w:vertAlign w:val="superscript"/>
          <w:lang w:val="fr-FR"/>
        </w:rPr>
        <w:t>3</w:t>
      </w:r>
      <w:r w:rsidRPr="009423D3">
        <w:rPr>
          <w:rFonts w:ascii="Times New Roman" w:eastAsia="Times New Roman" w:hAnsi="Times New Roman" w:cs="Times New Roman"/>
          <w:lang w:val="fr-FR"/>
        </w:rPr>
        <w:t xml:space="preserve">, </w:t>
      </w:r>
      <w:hyperlink r:id="rId7">
        <w:r w:rsidRPr="00534DF5">
          <w:rPr>
            <w:rFonts w:ascii="Times New Roman" w:eastAsia="Times New Roman" w:hAnsi="Times New Roman" w:cs="Times New Roman"/>
            <w:lang w:val="fr-FR"/>
          </w:rPr>
          <w:t>Sylvie Retout</w:t>
        </w:r>
      </w:hyperlink>
      <w:r w:rsidRPr="009423D3">
        <w:rPr>
          <w:rFonts w:ascii="Times New Roman" w:eastAsia="Times New Roman" w:hAnsi="Times New Roman" w:cs="Times New Roman"/>
          <w:vertAlign w:val="superscript"/>
          <w:lang w:val="fr-FR"/>
        </w:rPr>
        <w:t>2,3</w:t>
      </w:r>
      <w:r w:rsidRPr="009423D3">
        <w:rPr>
          <w:rFonts w:ascii="Times New Roman" w:eastAsia="Times New Roman" w:hAnsi="Times New Roman" w:cs="Times New Roman"/>
          <w:lang w:val="fr-FR"/>
        </w:rPr>
        <w:t>, France Mentré</w:t>
      </w:r>
      <w:r w:rsidRPr="009423D3">
        <w:rPr>
          <w:rFonts w:ascii="Times New Roman" w:eastAsia="Times New Roman" w:hAnsi="Times New Roman" w:cs="Times New Roman"/>
          <w:vertAlign w:val="superscript"/>
          <w:lang w:val="fr-FR"/>
        </w:rPr>
        <w:t>1</w:t>
      </w:r>
    </w:p>
    <w:p w:rsidR="007E646F" w:rsidRPr="009423D3" w:rsidRDefault="007E646F" w:rsidP="007E646F">
      <w:pPr>
        <w:jc w:val="both"/>
        <w:rPr>
          <w:rFonts w:ascii="Times New Roman" w:eastAsia="Times New Roman" w:hAnsi="Times New Roman" w:cs="Times New Roman"/>
          <w:b/>
          <w:lang w:val="fr-FR"/>
        </w:rPr>
      </w:pPr>
    </w:p>
    <w:p w:rsidR="007E646F" w:rsidRDefault="007E646F" w:rsidP="007E646F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vertAlign w:val="superscript"/>
        </w:rPr>
        <w:t xml:space="preserve">@ </w:t>
      </w:r>
      <w:hyperlink r:id="rId8">
        <w:r>
          <w:rPr>
            <w:rFonts w:ascii="Times New Roman" w:eastAsia="Times New Roman" w:hAnsi="Times New Roman" w:cs="Times New Roman"/>
            <w:color w:val="1155CC"/>
            <w:u w:val="single"/>
          </w:rPr>
          <w:t>morgane.philipp@inserm.fr</w:t>
        </w:r>
      </w:hyperlink>
      <w:r>
        <w:rPr>
          <w:rFonts w:ascii="Times New Roman" w:eastAsia="Times New Roman" w:hAnsi="Times New Roman" w:cs="Times New Roman"/>
        </w:rPr>
        <w:t xml:space="preserve"> or </w:t>
      </w:r>
      <w:hyperlink r:id="rId9">
        <w:r>
          <w:rPr>
            <w:rFonts w:ascii="Times New Roman" w:eastAsia="Times New Roman" w:hAnsi="Times New Roman" w:cs="Times New Roman"/>
            <w:color w:val="1155CC"/>
            <w:u w:val="single"/>
          </w:rPr>
          <w:t>morgane.philipp@roche.com</w:t>
        </w:r>
      </w:hyperlink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  <w:color w:val="212121"/>
          <w:sz w:val="23"/>
          <w:szCs w:val="23"/>
        </w:rPr>
        <w:t>01 57 27 74 43</w:t>
      </w:r>
    </w:p>
    <w:p w:rsidR="007E646F" w:rsidRPr="009423D3" w:rsidRDefault="007E646F" w:rsidP="007E646F">
      <w:pPr>
        <w:widowControl w:val="0"/>
        <w:rPr>
          <w:rFonts w:ascii="Times New Roman" w:eastAsia="Times New Roman" w:hAnsi="Times New Roman" w:cs="Times New Roman"/>
          <w:lang w:val="fr-FR"/>
        </w:rPr>
      </w:pPr>
      <w:r w:rsidRPr="009423D3">
        <w:rPr>
          <w:rFonts w:ascii="Times New Roman" w:eastAsia="Times New Roman" w:hAnsi="Times New Roman" w:cs="Times New Roman"/>
          <w:vertAlign w:val="superscript"/>
          <w:lang w:val="fr-FR"/>
        </w:rPr>
        <w:t xml:space="preserve">1 </w:t>
      </w:r>
      <w:r w:rsidRPr="009423D3">
        <w:rPr>
          <w:rFonts w:ascii="Times New Roman" w:eastAsia="Times New Roman" w:hAnsi="Times New Roman" w:cs="Times New Roman"/>
          <w:lang w:val="fr-FR"/>
        </w:rPr>
        <w:t>Université Paris Cité, INSERM, IAME, UMR 1137, Paris, France</w:t>
      </w:r>
    </w:p>
    <w:p w:rsidR="007E646F" w:rsidRPr="009423D3" w:rsidRDefault="007E646F" w:rsidP="007E646F">
      <w:pPr>
        <w:widowControl w:val="0"/>
        <w:rPr>
          <w:rFonts w:ascii="Times New Roman" w:eastAsia="Times New Roman" w:hAnsi="Times New Roman" w:cs="Times New Roman"/>
          <w:lang w:val="fr-FR"/>
        </w:rPr>
      </w:pPr>
      <w:r w:rsidRPr="009423D3">
        <w:rPr>
          <w:rFonts w:ascii="Times New Roman" w:eastAsia="Times New Roman" w:hAnsi="Times New Roman" w:cs="Times New Roman"/>
          <w:vertAlign w:val="superscript"/>
          <w:lang w:val="fr-FR"/>
        </w:rPr>
        <w:t xml:space="preserve">2 </w:t>
      </w:r>
      <w:r w:rsidRPr="009423D3">
        <w:rPr>
          <w:rFonts w:ascii="Times New Roman" w:eastAsia="Times New Roman" w:hAnsi="Times New Roman" w:cs="Times New Roman"/>
          <w:lang w:val="fr-FR"/>
        </w:rPr>
        <w:t>Institut Roche, Boulogne-Billancourt, France</w:t>
      </w:r>
    </w:p>
    <w:p w:rsidR="007E646F" w:rsidRPr="007E646F" w:rsidRDefault="007E646F" w:rsidP="007E646F">
      <w:pPr>
        <w:widowControl w:val="0"/>
        <w:rPr>
          <w:rFonts w:ascii="Times New Roman" w:eastAsia="Times New Roman" w:hAnsi="Times New Roman" w:cs="Times New Roman"/>
          <w:lang w:val="fr-FR"/>
        </w:rPr>
      </w:pPr>
      <w:r w:rsidRPr="007E646F">
        <w:rPr>
          <w:rFonts w:ascii="Times New Roman" w:eastAsia="Times New Roman" w:hAnsi="Times New Roman" w:cs="Times New Roman"/>
          <w:vertAlign w:val="superscript"/>
          <w:lang w:val="fr-FR"/>
        </w:rPr>
        <w:t xml:space="preserve">3 </w:t>
      </w:r>
      <w:r w:rsidRPr="007E646F">
        <w:rPr>
          <w:rFonts w:ascii="Times New Roman" w:eastAsia="Times New Roman" w:hAnsi="Times New Roman" w:cs="Times New Roman"/>
          <w:lang w:val="fr-FR"/>
        </w:rPr>
        <w:t xml:space="preserve">Roche Pharma </w:t>
      </w:r>
      <w:proofErr w:type="spellStart"/>
      <w:r w:rsidRPr="007E646F">
        <w:rPr>
          <w:rFonts w:ascii="Times New Roman" w:eastAsia="Times New Roman" w:hAnsi="Times New Roman" w:cs="Times New Roman"/>
          <w:lang w:val="fr-FR"/>
        </w:rPr>
        <w:t>Research</w:t>
      </w:r>
      <w:proofErr w:type="spellEnd"/>
      <w:r w:rsidRPr="007E646F">
        <w:rPr>
          <w:rFonts w:ascii="Times New Roman" w:eastAsia="Times New Roman" w:hAnsi="Times New Roman" w:cs="Times New Roman"/>
          <w:lang w:val="fr-FR"/>
        </w:rPr>
        <w:t xml:space="preserve"> and </w:t>
      </w:r>
      <w:proofErr w:type="spellStart"/>
      <w:r w:rsidRPr="007E646F">
        <w:rPr>
          <w:rFonts w:ascii="Times New Roman" w:eastAsia="Times New Roman" w:hAnsi="Times New Roman" w:cs="Times New Roman"/>
          <w:lang w:val="fr-FR"/>
        </w:rPr>
        <w:t>Early</w:t>
      </w:r>
      <w:proofErr w:type="spellEnd"/>
      <w:r w:rsidRPr="007E646F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7E646F">
        <w:rPr>
          <w:rFonts w:ascii="Times New Roman" w:eastAsia="Times New Roman" w:hAnsi="Times New Roman" w:cs="Times New Roman"/>
          <w:lang w:val="fr-FR"/>
        </w:rPr>
        <w:t>Development</w:t>
      </w:r>
      <w:proofErr w:type="spellEnd"/>
      <w:r w:rsidRPr="007E646F">
        <w:rPr>
          <w:rFonts w:ascii="Times New Roman" w:eastAsia="Times New Roman" w:hAnsi="Times New Roman" w:cs="Times New Roman"/>
          <w:lang w:val="fr-FR"/>
        </w:rPr>
        <w:t xml:space="preserve">, Pharmaceutical Sciences, Roche Innovation Center Basel, </w:t>
      </w:r>
      <w:proofErr w:type="spellStart"/>
      <w:r w:rsidRPr="007E646F">
        <w:rPr>
          <w:rFonts w:ascii="Times New Roman" w:eastAsia="Times New Roman" w:hAnsi="Times New Roman" w:cs="Times New Roman"/>
          <w:lang w:val="fr-FR"/>
        </w:rPr>
        <w:t>Switzerland</w:t>
      </w:r>
      <w:proofErr w:type="spellEnd"/>
    </w:p>
    <w:p w:rsidR="007E646F" w:rsidRPr="007E646F" w:rsidRDefault="007E646F" w:rsidP="007E646F">
      <w:pPr>
        <w:widowControl w:val="0"/>
        <w:rPr>
          <w:rFonts w:ascii="Times New Roman" w:eastAsia="Times New Roman" w:hAnsi="Times New Roman" w:cs="Times New Roman"/>
          <w:lang w:val="fr-FR"/>
        </w:rPr>
      </w:pPr>
    </w:p>
    <w:p w:rsidR="007E646F" w:rsidRPr="009423D3" w:rsidRDefault="007E646F" w:rsidP="007E646F">
      <w:pPr>
        <w:jc w:val="both"/>
        <w:rPr>
          <w:rFonts w:ascii="Times New Roman" w:eastAsia="Times New Roman" w:hAnsi="Times New Roman" w:cs="Times New Roman"/>
          <w:lang w:val="fr-FR"/>
        </w:rPr>
      </w:pPr>
      <w:r w:rsidRPr="009423D3">
        <w:rPr>
          <w:rFonts w:ascii="Times New Roman" w:eastAsia="Times New Roman" w:hAnsi="Times New Roman" w:cs="Times New Roman"/>
          <w:lang w:val="fr-FR"/>
        </w:rPr>
        <w:t>ORCID:</w:t>
      </w:r>
    </w:p>
    <w:p w:rsidR="007E646F" w:rsidRPr="009423D3" w:rsidRDefault="007E646F" w:rsidP="007E646F">
      <w:pPr>
        <w:jc w:val="both"/>
        <w:rPr>
          <w:rFonts w:ascii="Times New Roman" w:eastAsia="Times New Roman" w:hAnsi="Times New Roman" w:cs="Times New Roman"/>
          <w:lang w:val="fr-FR"/>
        </w:rPr>
      </w:pPr>
      <w:r w:rsidRPr="009423D3">
        <w:rPr>
          <w:rFonts w:ascii="Times New Roman" w:eastAsia="Times New Roman" w:hAnsi="Times New Roman" w:cs="Times New Roman"/>
          <w:lang w:val="fr-FR"/>
        </w:rPr>
        <w:t xml:space="preserve">Morgane </w:t>
      </w:r>
      <w:proofErr w:type="spellStart"/>
      <w:r w:rsidRPr="009423D3">
        <w:rPr>
          <w:rFonts w:ascii="Times New Roman" w:eastAsia="Times New Roman" w:hAnsi="Times New Roman" w:cs="Times New Roman"/>
          <w:lang w:val="fr-FR"/>
        </w:rPr>
        <w:t>Philipp</w:t>
      </w:r>
      <w:proofErr w:type="spellEnd"/>
      <w:r w:rsidRPr="009423D3">
        <w:rPr>
          <w:rFonts w:ascii="Times New Roman" w:eastAsia="Times New Roman" w:hAnsi="Times New Roman" w:cs="Times New Roman"/>
          <w:lang w:val="fr-FR"/>
        </w:rPr>
        <w:t xml:space="preserve">: </w:t>
      </w:r>
      <w:hyperlink r:id="rId10">
        <w:r w:rsidRPr="009423D3">
          <w:rPr>
            <w:rFonts w:ascii="Times New Roman" w:eastAsia="Times New Roman" w:hAnsi="Times New Roman" w:cs="Times New Roman"/>
            <w:color w:val="1155CC"/>
            <w:u w:val="single"/>
            <w:lang w:val="fr-FR"/>
          </w:rPr>
          <w:t>https://orcid.org/0000-0001-9827-316X</w:t>
        </w:r>
      </w:hyperlink>
    </w:p>
    <w:p w:rsidR="007E646F" w:rsidRPr="009423D3" w:rsidRDefault="007E646F" w:rsidP="007E646F">
      <w:pPr>
        <w:jc w:val="both"/>
        <w:rPr>
          <w:rFonts w:ascii="Times New Roman" w:eastAsia="Times New Roman" w:hAnsi="Times New Roman" w:cs="Times New Roman"/>
          <w:lang w:val="fr-FR"/>
        </w:rPr>
      </w:pPr>
      <w:hyperlink r:id="rId11">
        <w:r w:rsidRPr="00534DF5">
          <w:rPr>
            <w:rFonts w:ascii="Times New Roman" w:eastAsia="Times New Roman" w:hAnsi="Times New Roman" w:cs="Times New Roman"/>
            <w:lang w:val="fr-FR"/>
          </w:rPr>
          <w:t>Simon Buatois</w:t>
        </w:r>
      </w:hyperlink>
      <w:r w:rsidRPr="009423D3">
        <w:rPr>
          <w:rFonts w:ascii="Times New Roman" w:eastAsia="Times New Roman" w:hAnsi="Times New Roman" w:cs="Times New Roman"/>
          <w:lang w:val="fr-FR"/>
        </w:rPr>
        <w:t xml:space="preserve">: </w:t>
      </w:r>
      <w:hyperlink r:id="rId12">
        <w:r w:rsidRPr="009423D3">
          <w:rPr>
            <w:rFonts w:ascii="Times New Roman" w:eastAsia="Times New Roman" w:hAnsi="Times New Roman" w:cs="Times New Roman"/>
            <w:color w:val="1155CC"/>
            <w:u w:val="single"/>
            <w:lang w:val="fr-FR"/>
          </w:rPr>
          <w:t>https://orcid.org/0000-0002-1472-5366</w:t>
        </w:r>
      </w:hyperlink>
    </w:p>
    <w:p w:rsidR="007E646F" w:rsidRPr="009423D3" w:rsidRDefault="007E646F" w:rsidP="007E646F">
      <w:pPr>
        <w:jc w:val="both"/>
        <w:rPr>
          <w:rFonts w:ascii="Times New Roman" w:eastAsia="Times New Roman" w:hAnsi="Times New Roman" w:cs="Times New Roman"/>
          <w:lang w:val="fr-FR"/>
        </w:rPr>
      </w:pPr>
      <w:hyperlink r:id="rId13">
        <w:r w:rsidRPr="00534DF5">
          <w:rPr>
            <w:rFonts w:ascii="Times New Roman" w:eastAsia="Times New Roman" w:hAnsi="Times New Roman" w:cs="Times New Roman"/>
            <w:lang w:val="fr-FR"/>
          </w:rPr>
          <w:t>Sylvie Retout</w:t>
        </w:r>
      </w:hyperlink>
      <w:r w:rsidRPr="009423D3">
        <w:rPr>
          <w:rFonts w:ascii="Times New Roman" w:eastAsia="Times New Roman" w:hAnsi="Times New Roman" w:cs="Times New Roman"/>
          <w:lang w:val="fr-FR"/>
        </w:rPr>
        <w:t xml:space="preserve">: </w:t>
      </w:r>
      <w:hyperlink r:id="rId14">
        <w:r w:rsidRPr="009423D3">
          <w:rPr>
            <w:rFonts w:ascii="Times New Roman" w:eastAsia="Times New Roman" w:hAnsi="Times New Roman" w:cs="Times New Roman"/>
            <w:color w:val="1155CC"/>
            <w:u w:val="single"/>
            <w:lang w:val="fr-FR"/>
          </w:rPr>
          <w:t>https://orcid.org/0000-0003-4867-8438</w:t>
        </w:r>
      </w:hyperlink>
    </w:p>
    <w:p w:rsidR="007E646F" w:rsidRPr="00F7420D" w:rsidRDefault="007E646F" w:rsidP="007E646F">
      <w:pPr>
        <w:jc w:val="both"/>
        <w:rPr>
          <w:rFonts w:ascii="Times New Roman" w:eastAsia="Times New Roman" w:hAnsi="Times New Roman" w:cs="Times New Roman"/>
          <w:color w:val="1155CC"/>
          <w:u w:val="single"/>
          <w:lang w:val="fr-FR"/>
        </w:rPr>
      </w:pPr>
      <w:r w:rsidRPr="009423D3">
        <w:rPr>
          <w:rFonts w:ascii="Times New Roman" w:eastAsia="Times New Roman" w:hAnsi="Times New Roman" w:cs="Times New Roman"/>
          <w:lang w:val="fr-FR"/>
        </w:rPr>
        <w:t xml:space="preserve">France </w:t>
      </w:r>
      <w:proofErr w:type="spellStart"/>
      <w:r w:rsidRPr="009423D3">
        <w:rPr>
          <w:rFonts w:ascii="Times New Roman" w:eastAsia="Times New Roman" w:hAnsi="Times New Roman" w:cs="Times New Roman"/>
          <w:lang w:val="fr-FR"/>
        </w:rPr>
        <w:t>Mentré</w:t>
      </w:r>
      <w:proofErr w:type="spellEnd"/>
      <w:r w:rsidRPr="009423D3">
        <w:rPr>
          <w:rFonts w:ascii="Times New Roman" w:eastAsia="Times New Roman" w:hAnsi="Times New Roman" w:cs="Times New Roman"/>
          <w:lang w:val="fr-FR"/>
        </w:rPr>
        <w:t xml:space="preserve">: </w:t>
      </w:r>
      <w:hyperlink r:id="rId15">
        <w:r w:rsidRPr="009423D3">
          <w:rPr>
            <w:rFonts w:ascii="Times New Roman" w:eastAsia="Times New Roman" w:hAnsi="Times New Roman" w:cs="Times New Roman"/>
            <w:color w:val="1155CC"/>
            <w:u w:val="single"/>
            <w:lang w:val="fr-FR"/>
          </w:rPr>
          <w:t>https://orcid.org/0000-0002-7045-1275</w:t>
        </w:r>
      </w:hyperlink>
      <w:bookmarkStart w:id="0" w:name="_235to8px5dfm" w:colFirst="0" w:colLast="0"/>
      <w:bookmarkEnd w:id="0"/>
    </w:p>
    <w:p w:rsidR="007E646F" w:rsidRPr="007E646F" w:rsidRDefault="007E646F" w:rsidP="007E646F">
      <w:pPr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>
        <w:rPr>
          <w:lang w:val="fr-FR"/>
        </w:rPr>
        <w:br w:type="page"/>
      </w:r>
      <w:bookmarkStart w:id="1" w:name="_GoBack"/>
      <w:bookmarkEnd w:id="1"/>
    </w:p>
    <w:p w:rsidR="00173692" w:rsidRDefault="00C20ABE" w:rsidP="00F21B2E">
      <w:pPr>
        <w:pStyle w:val="Heading1"/>
        <w:jc w:val="center"/>
      </w:pPr>
      <w:r>
        <w:lastRenderedPageBreak/>
        <w:t>SUPPLEMENTARY FILES</w:t>
      </w:r>
      <w:bookmarkStart w:id="2" w:name="_mmfli27h65vj" w:colFirst="0" w:colLast="0"/>
      <w:bookmarkEnd w:id="2"/>
    </w:p>
    <w:p w:rsidR="00F21B2E" w:rsidRPr="00F21B2E" w:rsidRDefault="00F21B2E" w:rsidP="00F21B2E"/>
    <w:p w:rsidR="00173692" w:rsidRDefault="00C20ABE">
      <w:pPr>
        <w:pStyle w:val="Heading2"/>
      </w:pPr>
      <w:bookmarkStart w:id="3" w:name="_j63w9biu1udp" w:colFirst="0" w:colLast="0"/>
      <w:bookmarkEnd w:id="3"/>
      <w:r>
        <w:t xml:space="preserve">Supplementary File 1 </w:t>
      </w:r>
    </w:p>
    <w:p w:rsidR="00173692" w:rsidRDefault="00173692"/>
    <w:p w:rsidR="00173692" w:rsidRDefault="00C20ABE">
      <w:pPr>
        <w:jc w:val="center"/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Table S1.1 Characteristics of the clinical studies used for the population PK model development of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Retout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et al. (2020) </w:t>
      </w:r>
      <w:hyperlink r:id="rId16">
        <w:r>
          <w:rPr>
            <w:rFonts w:ascii="Times New Roman" w:eastAsia="Times New Roman" w:hAnsi="Times New Roman" w:cs="Times New Roman"/>
            <w:b/>
            <w:sz w:val="20"/>
            <w:szCs w:val="20"/>
          </w:rPr>
          <w:t>[28]</w:t>
        </w:r>
      </w:hyperlink>
    </w:p>
    <w:p w:rsidR="00173692" w:rsidRDefault="00173692">
      <w:pPr>
        <w:widowControl w:val="0"/>
      </w:pPr>
    </w:p>
    <w:tbl>
      <w:tblPr>
        <w:tblStyle w:val="a1"/>
        <w:tblW w:w="10440" w:type="dxa"/>
        <w:tblInd w:w="-345" w:type="dxa"/>
        <w:tblBorders>
          <w:top w:val="single" w:sz="8" w:space="0" w:color="9E9E9E"/>
          <w:left w:val="single" w:sz="8" w:space="0" w:color="9E9E9E"/>
          <w:bottom w:val="single" w:sz="8" w:space="0" w:color="9E9E9E"/>
          <w:right w:val="single" w:sz="8" w:space="0" w:color="9E9E9E"/>
          <w:insideH w:val="single" w:sz="8" w:space="0" w:color="9E9E9E"/>
          <w:insideV w:val="single" w:sz="8" w:space="0" w:color="9E9E9E"/>
        </w:tblBorders>
        <w:tblLayout w:type="fixed"/>
        <w:tblLook w:val="0600" w:firstRow="0" w:lastRow="0" w:firstColumn="0" w:lastColumn="0" w:noHBand="1" w:noVBand="1"/>
      </w:tblPr>
      <w:tblGrid>
        <w:gridCol w:w="1500"/>
        <w:gridCol w:w="1788"/>
        <w:gridCol w:w="1788"/>
        <w:gridCol w:w="1788"/>
        <w:gridCol w:w="1788"/>
        <w:gridCol w:w="1788"/>
      </w:tblGrid>
      <w:tr w:rsidR="00173692">
        <w:trPr>
          <w:trHeight w:val="570"/>
        </w:trPr>
        <w:tc>
          <w:tcPr>
            <w:tcW w:w="1500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17369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2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Phase III study HAVEN 1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2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Phase III study HAVEN 2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2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Phase III study HAVEN 3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2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Phase III study HAVEN 4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2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Phase I/II study </w:t>
            </w:r>
          </w:p>
        </w:tc>
      </w:tr>
      <w:tr w:rsidR="00173692">
        <w:trPr>
          <w:trHeight w:val="1046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2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Patients type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Adult and adolescent people with hemophilia A</w:t>
            </w:r>
            <w:r>
              <w:rPr>
                <w:rFonts w:ascii="Gungsuh" w:eastAsia="Gungsuh" w:hAnsi="Gungsuh" w:cs="Gungsuh"/>
                <w:sz w:val="20"/>
                <w:szCs w:val="20"/>
              </w:rPr>
              <w:t xml:space="preserve"> (age ≥ 12 years) with FVIII inhibitors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Pediatric people with hemophilia A</w:t>
            </w:r>
          </w:p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(age &lt; 12 years</w:t>
            </w:r>
          </w:p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or 12–17 years</w:t>
            </w:r>
          </w:p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and &lt; 40 kg) with</w:t>
            </w:r>
          </w:p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FVIII inhibitors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Adult and adolescent people with hemophilia A</w:t>
            </w:r>
            <w:r>
              <w:rPr>
                <w:rFonts w:ascii="Gungsuh" w:eastAsia="Gungsuh" w:hAnsi="Gungsuh" w:cs="Gungsuh"/>
                <w:sz w:val="20"/>
                <w:szCs w:val="20"/>
              </w:rPr>
              <w:t xml:space="preserve"> (age ≥ 12 years) without</w:t>
            </w:r>
          </w:p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FVIII inhibitors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People with</w:t>
            </w:r>
          </w:p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hemophilia A</w:t>
            </w:r>
          </w:p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with or without FVIII</w:t>
            </w:r>
          </w:p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inhibitors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People with</w:t>
            </w:r>
          </w:p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hemophilia A with or without FVIII inhibitors</w:t>
            </w:r>
          </w:p>
        </w:tc>
      </w:tr>
      <w:tr w:rsidR="00173692">
        <w:trPr>
          <w:trHeight w:val="733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2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Number of patients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112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Arm A &amp; 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99</w:t>
            </w:r>
          </w:p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Arm B &amp; 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49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Run-in part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7</w:t>
            </w:r>
          </w:p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Expansion part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41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Cohort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6</w:t>
            </w:r>
          </w:p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Cohort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6</w:t>
            </w:r>
          </w:p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Cohort 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 6</w:t>
            </w:r>
          </w:p>
        </w:tc>
      </w:tr>
      <w:tr w:rsidR="00173692">
        <w:trPr>
          <w:trHeight w:val="2783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2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Subcutaneous dosing regimen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mg/kg every week for</w:t>
            </w:r>
          </w:p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weeks followed by</w:t>
            </w:r>
          </w:p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 mg/kg every week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mg/kg every week for</w:t>
            </w:r>
          </w:p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 weeks followed by</w:t>
            </w:r>
          </w:p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1.5 mg/kg every week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Arm A &amp; 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mg/kg every week for 4 weeks followed by 1.5 mg/kg every week</w:t>
            </w:r>
          </w:p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Arm B &amp; 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3 mg/kg every week</w:t>
            </w:r>
          </w:p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 4 weeks followed by 3 mg/kg every 2 weeks 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Run-in part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 mg/kg every 4 weeks</w:t>
            </w:r>
          </w:p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Expansion part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mg/kg every week for 4 weeks</w:t>
            </w:r>
          </w:p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followed by 6 mg/kg every 4 weeks</w:t>
            </w:r>
          </w:p>
          <w:p w:rsidR="00173692" w:rsidRDefault="0017369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Cohort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 mg/kg followed by 0.3 mg/kg every week</w:t>
            </w:r>
          </w:p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Cohort 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mg/kg followed by 1 mg/kg every week</w:t>
            </w:r>
          </w:p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Cohort 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</w:p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 mg/kg every week</w:t>
            </w:r>
          </w:p>
        </w:tc>
      </w:tr>
      <w:tr w:rsidR="00173692">
        <w:trPr>
          <w:trHeight w:val="476"/>
        </w:trPr>
        <w:tc>
          <w:tcPr>
            <w:tcW w:w="1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2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Number of PK samples per patient (median [min–max])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 [4–17]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 [7–17]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Arm A &amp; D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11 [6–14]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Arm B &amp; 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11 [1–14]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Run-in part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25 [25–26]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Expansion part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</w:t>
            </w:r>
          </w:p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 [7–9]</w:t>
            </w:r>
          </w:p>
        </w:tc>
        <w:tc>
          <w:tcPr>
            <w:tcW w:w="17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Cohort 1: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65 [64–71]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Cohort 2: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58 [21–62]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Cohort 3: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52 [30–61]</w:t>
            </w:r>
          </w:p>
        </w:tc>
      </w:tr>
    </w:tbl>
    <w:p w:rsidR="00173692" w:rsidRDefault="00C20ABE">
      <w:pPr>
        <w:jc w:val="both"/>
      </w:pPr>
      <w:r>
        <w:br w:type="page"/>
      </w:r>
    </w:p>
    <w:p w:rsidR="00173692" w:rsidRDefault="00C20AB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Table S1.2 Summary of the covariates distribution of the 389 patients included in the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emicizumab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population PK database used by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Retout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et al. (2020) </w:t>
      </w:r>
      <w:hyperlink r:id="rId17">
        <w:r>
          <w:rPr>
            <w:rFonts w:ascii="Times New Roman" w:eastAsia="Times New Roman" w:hAnsi="Times New Roman" w:cs="Times New Roman"/>
            <w:b/>
            <w:sz w:val="20"/>
            <w:szCs w:val="20"/>
          </w:rPr>
          <w:t>[28]</w:t>
        </w:r>
      </w:hyperlink>
    </w:p>
    <w:p w:rsidR="00173692" w:rsidRDefault="00173692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2"/>
        <w:tblW w:w="915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633"/>
        <w:gridCol w:w="2632"/>
        <w:gridCol w:w="3885"/>
      </w:tblGrid>
      <w:tr w:rsidR="00173692" w:rsidTr="001F43FB">
        <w:trPr>
          <w:trHeight w:val="20"/>
          <w:jc w:val="center"/>
        </w:trPr>
        <w:tc>
          <w:tcPr>
            <w:tcW w:w="5264" w:type="dxa"/>
            <w:gridSpan w:val="2"/>
            <w:shd w:val="clear" w:color="auto" w:fill="F3F3F3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Continuous covariate</w:t>
            </w:r>
          </w:p>
        </w:tc>
        <w:tc>
          <w:tcPr>
            <w:tcW w:w="3885" w:type="dxa"/>
            <w:shd w:val="clear" w:color="auto" w:fill="F3F3F3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Median [min–max]</w:t>
            </w:r>
          </w:p>
        </w:tc>
      </w:tr>
      <w:tr w:rsidR="00173692" w:rsidTr="001F43FB">
        <w:trPr>
          <w:trHeight w:val="20"/>
          <w:jc w:val="center"/>
        </w:trPr>
        <w:tc>
          <w:tcPr>
            <w:tcW w:w="5264" w:type="dxa"/>
            <w:gridSpan w:val="2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Age (years) </w:t>
            </w:r>
          </w:p>
        </w:tc>
        <w:tc>
          <w:tcPr>
            <w:tcW w:w="388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30.0 [1.22 - 77.00]</w:t>
            </w:r>
          </w:p>
        </w:tc>
      </w:tr>
      <w:tr w:rsidR="00173692" w:rsidTr="001F43FB">
        <w:trPr>
          <w:trHeight w:val="20"/>
          <w:jc w:val="center"/>
        </w:trPr>
        <w:tc>
          <w:tcPr>
            <w:tcW w:w="5264" w:type="dxa"/>
            <w:gridSpan w:val="2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Body weight (kg)</w:t>
            </w:r>
          </w:p>
        </w:tc>
        <w:tc>
          <w:tcPr>
            <w:tcW w:w="388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69.1 [9.50–156]</w:t>
            </w:r>
          </w:p>
        </w:tc>
      </w:tr>
      <w:tr w:rsidR="00173692" w:rsidTr="001F43FB">
        <w:trPr>
          <w:trHeight w:val="20"/>
          <w:jc w:val="center"/>
        </w:trPr>
        <w:tc>
          <w:tcPr>
            <w:tcW w:w="5264" w:type="dxa"/>
            <w:gridSpan w:val="2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Albumin (g/L)</w:t>
            </w:r>
          </w:p>
        </w:tc>
        <w:tc>
          <w:tcPr>
            <w:tcW w:w="388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45.0 [33.0–56.6]</w:t>
            </w:r>
          </w:p>
        </w:tc>
      </w:tr>
      <w:tr w:rsidR="00173692" w:rsidTr="001F43FB">
        <w:trPr>
          <w:trHeight w:val="20"/>
          <w:jc w:val="center"/>
        </w:trPr>
        <w:tc>
          <w:tcPr>
            <w:tcW w:w="5264" w:type="dxa"/>
            <w:gridSpan w:val="2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Aspartate aminotransferase (U/L)</w:t>
            </w:r>
          </w:p>
        </w:tc>
        <w:tc>
          <w:tcPr>
            <w:tcW w:w="388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23.0 [11.0–91.0]</w:t>
            </w:r>
          </w:p>
        </w:tc>
      </w:tr>
      <w:tr w:rsidR="00173692" w:rsidTr="001F43FB">
        <w:trPr>
          <w:trHeight w:val="20"/>
          <w:jc w:val="center"/>
        </w:trPr>
        <w:tc>
          <w:tcPr>
            <w:tcW w:w="5264" w:type="dxa"/>
            <w:gridSpan w:val="2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Bilirubin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μmol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/L)</w:t>
            </w:r>
          </w:p>
        </w:tc>
        <w:tc>
          <w:tcPr>
            <w:tcW w:w="388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10.5 [0.33–46.0]</w:t>
            </w:r>
          </w:p>
        </w:tc>
      </w:tr>
      <w:tr w:rsidR="00173692" w:rsidTr="001F43FB">
        <w:trPr>
          <w:trHeight w:val="20"/>
          <w:jc w:val="center"/>
        </w:trPr>
        <w:tc>
          <w:tcPr>
            <w:tcW w:w="2632" w:type="dxa"/>
            <w:shd w:val="clear" w:color="auto" w:fill="F3F3F3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Categorical covariate</w:t>
            </w:r>
          </w:p>
        </w:tc>
        <w:tc>
          <w:tcPr>
            <w:tcW w:w="2632" w:type="dxa"/>
            <w:shd w:val="clear" w:color="auto" w:fill="F3F3F3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Category</w:t>
            </w:r>
          </w:p>
        </w:tc>
        <w:tc>
          <w:tcPr>
            <w:tcW w:w="3885" w:type="dxa"/>
            <w:shd w:val="clear" w:color="auto" w:fill="F3F3F3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 [%]</w:t>
            </w:r>
          </w:p>
        </w:tc>
      </w:tr>
      <w:tr w:rsidR="00173692" w:rsidTr="001F43FB">
        <w:trPr>
          <w:trHeight w:val="20"/>
          <w:jc w:val="center"/>
        </w:trPr>
        <w:tc>
          <w:tcPr>
            <w:tcW w:w="263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Status</w:t>
            </w:r>
          </w:p>
        </w:tc>
        <w:tc>
          <w:tcPr>
            <w:tcW w:w="26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Non-inhibitor (REF)</w:t>
            </w:r>
          </w:p>
        </w:tc>
        <w:tc>
          <w:tcPr>
            <w:tcW w:w="388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195 [50%]</w:t>
            </w:r>
          </w:p>
        </w:tc>
      </w:tr>
      <w:tr w:rsidR="00173692" w:rsidTr="001F43FB">
        <w:trPr>
          <w:trHeight w:val="20"/>
          <w:jc w:val="center"/>
        </w:trPr>
        <w:tc>
          <w:tcPr>
            <w:tcW w:w="263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17369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FVII inhibitor </w:t>
            </w:r>
          </w:p>
        </w:tc>
        <w:tc>
          <w:tcPr>
            <w:tcW w:w="388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192 [50%]</w:t>
            </w:r>
          </w:p>
        </w:tc>
      </w:tr>
      <w:tr w:rsidR="00173692" w:rsidTr="001F43FB">
        <w:trPr>
          <w:trHeight w:val="20"/>
          <w:jc w:val="center"/>
        </w:trPr>
        <w:tc>
          <w:tcPr>
            <w:tcW w:w="2632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Race</w:t>
            </w:r>
          </w:p>
        </w:tc>
        <w:tc>
          <w:tcPr>
            <w:tcW w:w="2632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White/Caucasian (REF)</w:t>
            </w:r>
          </w:p>
        </w:tc>
        <w:tc>
          <w:tcPr>
            <w:tcW w:w="388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242 [63%]</w:t>
            </w:r>
          </w:p>
        </w:tc>
      </w:tr>
      <w:tr w:rsidR="00173692" w:rsidTr="001F43FB">
        <w:trPr>
          <w:trHeight w:val="20"/>
          <w:jc w:val="center"/>
        </w:trPr>
        <w:tc>
          <w:tcPr>
            <w:tcW w:w="263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17369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2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Black</w:t>
            </w:r>
          </w:p>
        </w:tc>
        <w:tc>
          <w:tcPr>
            <w:tcW w:w="388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31 [8%]</w:t>
            </w:r>
          </w:p>
        </w:tc>
      </w:tr>
      <w:tr w:rsidR="00173692" w:rsidTr="001F43FB">
        <w:trPr>
          <w:trHeight w:val="20"/>
          <w:jc w:val="center"/>
        </w:trPr>
        <w:tc>
          <w:tcPr>
            <w:tcW w:w="263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17369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2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Asian, including Japanese</w:t>
            </w:r>
          </w:p>
        </w:tc>
        <w:tc>
          <w:tcPr>
            <w:tcW w:w="388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89 [23%]</w:t>
            </w:r>
          </w:p>
        </w:tc>
      </w:tr>
      <w:tr w:rsidR="00173692" w:rsidTr="001F43FB">
        <w:trPr>
          <w:trHeight w:val="20"/>
          <w:jc w:val="center"/>
        </w:trPr>
        <w:tc>
          <w:tcPr>
            <w:tcW w:w="2632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17369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32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 or unknown</w:t>
            </w:r>
          </w:p>
        </w:tc>
        <w:tc>
          <w:tcPr>
            <w:tcW w:w="388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 [6%]</w:t>
            </w:r>
          </w:p>
        </w:tc>
      </w:tr>
    </w:tbl>
    <w:p w:rsidR="00173692" w:rsidRDefault="00C20AB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0"/>
          <w:szCs w:val="20"/>
        </w:rPr>
      </w:pPr>
      <w:r>
        <w:br w:type="page"/>
      </w:r>
    </w:p>
    <w:p w:rsidR="00173692" w:rsidRDefault="00C20AB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Fig. S1.1 Simulated individual </w:t>
      </w:r>
      <w:proofErr w:type="spellStart"/>
      <w:r>
        <w:rPr>
          <w:rFonts w:ascii="Times New Roman" w:eastAsia="Times New Roman" w:hAnsi="Times New Roman" w:cs="Times New Roman"/>
          <w:b/>
          <w:sz w:val="20"/>
          <w:szCs w:val="20"/>
        </w:rPr>
        <w:t>emicizumab</w:t>
      </w:r>
      <w:proofErr w:type="spell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concentration of the dataset n°1 with the base model (left) and of the dataset n°1 with the covariate model (right); the different colors highlight the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5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clinical studies</w:t>
      </w:r>
    </w:p>
    <w:p w:rsidR="00173692" w:rsidRDefault="00173692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73692" w:rsidRDefault="00C20A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val="fr-FR"/>
        </w:rPr>
        <w:drawing>
          <wp:inline distT="114300" distB="114300" distL="114300" distR="114300">
            <wp:extent cx="5943600" cy="3009900"/>
            <wp:effectExtent l="0" t="0" r="0" b="0"/>
            <wp:docPr id="3" name="image1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99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73692" w:rsidRDefault="00173692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73692" w:rsidRDefault="00C20AB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Fig. S1.2 Covariates correlation matrix; body weight (BW), age (AGE), albumin (ALB), aspartate aminotransferase (AST),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total bilirubin (BILI), patient status (STAT), race (RACE)</w:t>
      </w:r>
    </w:p>
    <w:p w:rsidR="00173692" w:rsidRDefault="00173692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21B2E" w:rsidRDefault="00C20ABE" w:rsidP="001F43F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FF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val="fr-FR"/>
        </w:rPr>
        <w:drawing>
          <wp:inline distT="114300" distB="114300" distL="114300" distR="114300">
            <wp:extent cx="3838575" cy="3590925"/>
            <wp:effectExtent l="0" t="0" r="0" b="0"/>
            <wp:docPr id="4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9"/>
                    <a:srcRect l="22275" t="11854" r="13141"/>
                    <a:stretch>
                      <a:fillRect/>
                    </a:stretch>
                  </pic:blipFill>
                  <pic:spPr>
                    <a:xfrm>
                      <a:off x="0" y="0"/>
                      <a:ext cx="3838575" cy="35909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4" w:name="_crhqbmtbw0u" w:colFirst="0" w:colLast="0"/>
      <w:bookmarkEnd w:id="4"/>
      <w:r w:rsidR="00F21B2E">
        <w:rPr>
          <w:rFonts w:ascii="Times New Roman" w:eastAsia="Times New Roman" w:hAnsi="Times New Roman" w:cs="Times New Roman"/>
          <w:color w:val="0000FF"/>
          <w:sz w:val="20"/>
          <w:szCs w:val="20"/>
        </w:rPr>
        <w:br w:type="page"/>
      </w:r>
    </w:p>
    <w:p w:rsidR="00173692" w:rsidRDefault="00C20AB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Table S1.3 Single decisions based on the conclusions made on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or more covariate ratios; the 5 possible decisions about the covariate clinical relevance are the following: relevant (R), non-relevant significant (NRS), non-relevant non-significant (NRNS), insufficient information significant (IIS), insufficient information non-significant (IINS)</w:t>
      </w:r>
    </w:p>
    <w:p w:rsidR="00173692" w:rsidRDefault="00173692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3"/>
        <w:tblW w:w="7380" w:type="dxa"/>
        <w:jc w:val="center"/>
        <w:tblBorders>
          <w:top w:val="single" w:sz="8" w:space="0" w:color="9E9E9E"/>
          <w:left w:val="single" w:sz="8" w:space="0" w:color="9E9E9E"/>
          <w:bottom w:val="single" w:sz="8" w:space="0" w:color="9E9E9E"/>
          <w:right w:val="single" w:sz="8" w:space="0" w:color="9E9E9E"/>
          <w:insideH w:val="single" w:sz="8" w:space="0" w:color="9E9E9E"/>
          <w:insideV w:val="single" w:sz="8" w:space="0" w:color="9E9E9E"/>
        </w:tblBorders>
        <w:tblLayout w:type="fixed"/>
        <w:tblLook w:val="0600" w:firstRow="0" w:lastRow="0" w:firstColumn="0" w:lastColumn="0" w:noHBand="1" w:noVBand="1"/>
      </w:tblPr>
      <w:tblGrid>
        <w:gridCol w:w="5625"/>
        <w:gridCol w:w="1755"/>
      </w:tblGrid>
      <w:tr w:rsidR="00173692" w:rsidTr="001F43FB">
        <w:trPr>
          <w:trHeight w:val="20"/>
          <w:jc w:val="center"/>
        </w:trPr>
        <w:tc>
          <w:tcPr>
            <w:tcW w:w="5625" w:type="dxa"/>
            <w:shd w:val="clear" w:color="auto" w:fill="F3F3F3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Case</w:t>
            </w:r>
          </w:p>
        </w:tc>
        <w:tc>
          <w:tcPr>
            <w:tcW w:w="1755" w:type="dxa"/>
            <w:shd w:val="clear" w:color="auto" w:fill="F3F3F3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Decision</w:t>
            </w:r>
          </w:p>
        </w:tc>
      </w:tr>
      <w:tr w:rsidR="00173692" w:rsidTr="001F43FB">
        <w:trPr>
          <w:trHeight w:val="20"/>
          <w:jc w:val="center"/>
        </w:trPr>
        <w:tc>
          <w:tcPr>
            <w:tcW w:w="562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A86E8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color w:val="93C47D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&amp; … &amp; {</w:t>
            </w:r>
            <w:r>
              <w:rPr>
                <w:rFonts w:ascii="Times New Roman" w:eastAsia="Times New Roman" w:hAnsi="Times New Roman" w:cs="Times New Roman"/>
                <w:color w:val="4A86E8"/>
                <w:sz w:val="20"/>
                <w:szCs w:val="20"/>
              </w:rPr>
              <w:t>R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|</w:t>
            </w:r>
            <w:r>
              <w:rPr>
                <w:rFonts w:ascii="Times New Roman" w:eastAsia="Times New Roman" w:hAnsi="Times New Roman" w:cs="Times New Roman"/>
                <w:color w:val="38761D"/>
                <w:sz w:val="20"/>
                <w:szCs w:val="20"/>
              </w:rPr>
              <w:t>NRS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|</w:t>
            </w:r>
            <w:r>
              <w:rPr>
                <w:rFonts w:ascii="Times New Roman" w:eastAsia="Times New Roman" w:hAnsi="Times New Roman" w:cs="Times New Roman"/>
                <w:color w:val="93C47D"/>
                <w:sz w:val="20"/>
                <w:szCs w:val="20"/>
              </w:rPr>
              <w:t>NRNS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|</w:t>
            </w: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IIS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|</w:t>
            </w:r>
            <w:r>
              <w:rPr>
                <w:rFonts w:ascii="Times New Roman" w:eastAsia="Times New Roman" w:hAnsi="Times New Roman" w:cs="Times New Roman"/>
                <w:color w:val="CCCCCC"/>
                <w:sz w:val="20"/>
                <w:szCs w:val="20"/>
              </w:rPr>
              <w:t>IINS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} &amp; …</w:t>
            </w:r>
          </w:p>
        </w:tc>
        <w:tc>
          <w:tcPr>
            <w:tcW w:w="1755" w:type="dxa"/>
            <w:tcBorders>
              <w:right w:val="single" w:sz="8" w:space="0" w:color="9E9E9E"/>
            </w:tcBorders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4A86E8"/>
                <w:sz w:val="20"/>
                <w:szCs w:val="20"/>
              </w:rPr>
              <w:t>R</w:t>
            </w:r>
          </w:p>
        </w:tc>
      </w:tr>
      <w:tr w:rsidR="00173692" w:rsidTr="001F43FB">
        <w:trPr>
          <w:trHeight w:val="20"/>
          <w:jc w:val="center"/>
        </w:trPr>
        <w:tc>
          <w:tcPr>
            <w:tcW w:w="562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8761D"/>
                <w:sz w:val="20"/>
                <w:szCs w:val="20"/>
              </w:rPr>
              <w:t>NRS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&amp; … &amp; {</w:t>
            </w:r>
            <w:r>
              <w:rPr>
                <w:rFonts w:ascii="Times New Roman" w:eastAsia="Times New Roman" w:hAnsi="Times New Roman" w:cs="Times New Roman"/>
                <w:color w:val="38761D"/>
                <w:sz w:val="20"/>
                <w:szCs w:val="20"/>
              </w:rPr>
              <w:t>NRS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|</w:t>
            </w:r>
            <w:r>
              <w:rPr>
                <w:rFonts w:ascii="Times New Roman" w:eastAsia="Times New Roman" w:hAnsi="Times New Roman" w:cs="Times New Roman"/>
                <w:color w:val="93C47D"/>
                <w:sz w:val="20"/>
                <w:szCs w:val="20"/>
              </w:rPr>
              <w:t>NRNS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} &amp; …</w:t>
            </w:r>
          </w:p>
        </w:tc>
        <w:tc>
          <w:tcPr>
            <w:tcW w:w="175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8761D"/>
                <w:sz w:val="20"/>
                <w:szCs w:val="20"/>
              </w:rPr>
              <w:t>NRS</w:t>
            </w:r>
          </w:p>
        </w:tc>
      </w:tr>
      <w:tr w:rsidR="00173692" w:rsidTr="001F43FB">
        <w:trPr>
          <w:trHeight w:val="20"/>
          <w:jc w:val="center"/>
        </w:trPr>
        <w:tc>
          <w:tcPr>
            <w:tcW w:w="562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93C47D"/>
                <w:sz w:val="20"/>
                <w:szCs w:val="20"/>
              </w:rPr>
              <w:t xml:space="preserve">NRNS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&amp; … &amp; </w:t>
            </w:r>
            <w:r>
              <w:rPr>
                <w:rFonts w:ascii="Times New Roman" w:eastAsia="Times New Roman" w:hAnsi="Times New Roman" w:cs="Times New Roman"/>
                <w:color w:val="93C47D"/>
                <w:sz w:val="20"/>
                <w:szCs w:val="20"/>
              </w:rPr>
              <w:t xml:space="preserve">NRNS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&amp; …</w:t>
            </w:r>
          </w:p>
        </w:tc>
        <w:tc>
          <w:tcPr>
            <w:tcW w:w="175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38761D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93C47D"/>
                <w:sz w:val="20"/>
                <w:szCs w:val="20"/>
              </w:rPr>
              <w:t>NRNS</w:t>
            </w:r>
          </w:p>
        </w:tc>
      </w:tr>
      <w:tr w:rsidR="00173692" w:rsidTr="001F43FB">
        <w:trPr>
          <w:trHeight w:val="20"/>
          <w:jc w:val="center"/>
        </w:trPr>
        <w:tc>
          <w:tcPr>
            <w:tcW w:w="562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IIS</w:t>
            </w:r>
            <w:r>
              <w:rPr>
                <w:rFonts w:ascii="Times New Roman" w:eastAsia="Times New Roman" w:hAnsi="Times New Roman" w:cs="Times New Roman"/>
                <w:color w:val="93C47D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&amp; … &amp; {</w:t>
            </w:r>
            <w:r>
              <w:rPr>
                <w:rFonts w:ascii="Times New Roman" w:eastAsia="Times New Roman" w:hAnsi="Times New Roman" w:cs="Times New Roman"/>
                <w:color w:val="38761D"/>
                <w:sz w:val="20"/>
                <w:szCs w:val="20"/>
              </w:rPr>
              <w:t>NRS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|</w:t>
            </w:r>
            <w:r>
              <w:rPr>
                <w:rFonts w:ascii="Times New Roman" w:eastAsia="Times New Roman" w:hAnsi="Times New Roman" w:cs="Times New Roman"/>
                <w:color w:val="93C47D"/>
                <w:sz w:val="20"/>
                <w:szCs w:val="20"/>
              </w:rPr>
              <w:t>NRNS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|</w:t>
            </w: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IIS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|</w:t>
            </w:r>
            <w:r>
              <w:rPr>
                <w:rFonts w:ascii="Times New Roman" w:eastAsia="Times New Roman" w:hAnsi="Times New Roman" w:cs="Times New Roman"/>
                <w:color w:val="CCCCCC"/>
                <w:sz w:val="20"/>
                <w:szCs w:val="20"/>
              </w:rPr>
              <w:t>IINS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} &amp; …</w:t>
            </w:r>
          </w:p>
        </w:tc>
        <w:tc>
          <w:tcPr>
            <w:tcW w:w="175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>IIS</w:t>
            </w:r>
          </w:p>
        </w:tc>
      </w:tr>
      <w:tr w:rsidR="00173692" w:rsidTr="001F43FB">
        <w:trPr>
          <w:trHeight w:val="20"/>
          <w:jc w:val="center"/>
        </w:trPr>
        <w:tc>
          <w:tcPr>
            <w:tcW w:w="562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CCCCCC"/>
                <w:sz w:val="20"/>
                <w:szCs w:val="20"/>
              </w:rPr>
              <w:t xml:space="preserve">IINS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&amp; … &amp; {</w:t>
            </w:r>
            <w:r>
              <w:rPr>
                <w:rFonts w:ascii="Times New Roman" w:eastAsia="Times New Roman" w:hAnsi="Times New Roman" w:cs="Times New Roman"/>
                <w:color w:val="38761D"/>
                <w:sz w:val="20"/>
                <w:szCs w:val="20"/>
              </w:rPr>
              <w:t>NRS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|</w:t>
            </w:r>
            <w:r>
              <w:rPr>
                <w:rFonts w:ascii="Times New Roman" w:eastAsia="Times New Roman" w:hAnsi="Times New Roman" w:cs="Times New Roman"/>
                <w:color w:val="93C47D"/>
                <w:sz w:val="20"/>
                <w:szCs w:val="20"/>
              </w:rPr>
              <w:t>NRNS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|</w:t>
            </w:r>
            <w:r>
              <w:rPr>
                <w:rFonts w:ascii="Times New Roman" w:eastAsia="Times New Roman" w:hAnsi="Times New Roman" w:cs="Times New Roman"/>
                <w:color w:val="CCCCCC"/>
                <w:sz w:val="20"/>
                <w:szCs w:val="20"/>
              </w:rPr>
              <w:t>IINS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} &amp; …</w:t>
            </w:r>
          </w:p>
        </w:tc>
        <w:tc>
          <w:tcPr>
            <w:tcW w:w="1755" w:type="dxa"/>
            <w:tcMar>
              <w:top w:w="140" w:type="dxa"/>
              <w:left w:w="140" w:type="dxa"/>
              <w:bottom w:w="140" w:type="dxa"/>
              <w:right w:w="14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CCCCCC"/>
                <w:sz w:val="20"/>
                <w:szCs w:val="20"/>
              </w:rPr>
              <w:t>IINS</w:t>
            </w:r>
          </w:p>
        </w:tc>
      </w:tr>
    </w:tbl>
    <w:p w:rsidR="00173692" w:rsidRDefault="00C20ABE">
      <w:pPr>
        <w:pStyle w:val="Heading2"/>
        <w:rPr>
          <w:rFonts w:ascii="Arial" w:eastAsia="Arial" w:hAnsi="Arial" w:cs="Arial"/>
          <w:b w:val="0"/>
          <w:sz w:val="22"/>
          <w:szCs w:val="22"/>
        </w:rPr>
      </w:pPr>
      <w:bookmarkStart w:id="5" w:name="_ydaujrnoaj72" w:colFirst="0" w:colLast="0"/>
      <w:bookmarkEnd w:id="5"/>
      <w:r>
        <w:br w:type="page"/>
      </w:r>
    </w:p>
    <w:p w:rsidR="00173692" w:rsidRDefault="00C20ABE">
      <w:pPr>
        <w:pStyle w:val="Heading2"/>
        <w:rPr>
          <w:sz w:val="20"/>
          <w:szCs w:val="20"/>
        </w:rPr>
      </w:pPr>
      <w:bookmarkStart w:id="6" w:name="_zhkqpuzd79pp" w:colFirst="0" w:colLast="0"/>
      <w:bookmarkEnd w:id="6"/>
      <w:r>
        <w:lastRenderedPageBreak/>
        <w:t>Supplementary File 2</w:t>
      </w:r>
    </w:p>
    <w:p w:rsidR="00173692" w:rsidRDefault="00173692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173692" w:rsidRDefault="00C20AB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Fig. S2.1 Boxplots of REE (left) and EE (right) of estimated covariate parameters under the base (top) and covariate (bottom) model; the 5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, 25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, 50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, 75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and 95</w:t>
      </w:r>
      <w:r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th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percentiles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are displayed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on the boxplot</w:t>
      </w:r>
    </w:p>
    <w:p w:rsidR="00173692" w:rsidRDefault="00173692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73692" w:rsidRDefault="00C20ABE" w:rsidP="001F43FB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val="fr-FR"/>
        </w:rPr>
        <w:drawing>
          <wp:inline distT="114300" distB="114300" distL="114300" distR="114300">
            <wp:extent cx="5943600" cy="4292600"/>
            <wp:effectExtent l="0" t="0" r="0" b="0"/>
            <wp:docPr id="15" name="image1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 w:type="page"/>
      </w:r>
    </w:p>
    <w:p w:rsidR="00173692" w:rsidRPr="001F43FB" w:rsidRDefault="00C20AB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43F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Fig. S2.2 Boxplots of RSE (left) and SE (right) of estimated covariate parameters under the base (top) and covariate (bottom) model; red points indicate the empirical RSE and SE values; the 5</w:t>
      </w:r>
      <w:r w:rsidRPr="001F43FB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th</w:t>
      </w:r>
      <w:r w:rsidRPr="001F43FB">
        <w:rPr>
          <w:rFonts w:ascii="Times New Roman" w:eastAsia="Times New Roman" w:hAnsi="Times New Roman" w:cs="Times New Roman"/>
          <w:b/>
          <w:sz w:val="20"/>
          <w:szCs w:val="20"/>
        </w:rPr>
        <w:t>, 25</w:t>
      </w:r>
      <w:r w:rsidRPr="001F43FB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th</w:t>
      </w:r>
      <w:r w:rsidRPr="001F43FB">
        <w:rPr>
          <w:rFonts w:ascii="Times New Roman" w:eastAsia="Times New Roman" w:hAnsi="Times New Roman" w:cs="Times New Roman"/>
          <w:b/>
          <w:sz w:val="20"/>
          <w:szCs w:val="20"/>
        </w:rPr>
        <w:t>, 50</w:t>
      </w:r>
      <w:r w:rsidRPr="001F43FB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th</w:t>
      </w:r>
      <w:r w:rsidRPr="001F43FB">
        <w:rPr>
          <w:rFonts w:ascii="Times New Roman" w:eastAsia="Times New Roman" w:hAnsi="Times New Roman" w:cs="Times New Roman"/>
          <w:b/>
          <w:sz w:val="20"/>
          <w:szCs w:val="20"/>
        </w:rPr>
        <w:t>, 75</w:t>
      </w:r>
      <w:r w:rsidRPr="001F43FB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th</w:t>
      </w:r>
      <w:r w:rsidRPr="001F43FB">
        <w:rPr>
          <w:rFonts w:ascii="Times New Roman" w:eastAsia="Times New Roman" w:hAnsi="Times New Roman" w:cs="Times New Roman"/>
          <w:b/>
          <w:sz w:val="20"/>
          <w:szCs w:val="20"/>
        </w:rPr>
        <w:t xml:space="preserve"> and 95</w:t>
      </w:r>
      <w:r w:rsidRPr="001F43FB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th</w:t>
      </w:r>
      <w:r w:rsidRPr="001F43FB">
        <w:rPr>
          <w:rFonts w:ascii="Times New Roman" w:eastAsia="Times New Roman" w:hAnsi="Times New Roman" w:cs="Times New Roman"/>
          <w:b/>
          <w:sz w:val="20"/>
          <w:szCs w:val="20"/>
        </w:rPr>
        <w:t xml:space="preserve"> percentiles are displayed on the boxplot</w:t>
      </w:r>
    </w:p>
    <w:p w:rsidR="00173692" w:rsidRDefault="00173692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73692" w:rsidRDefault="00C20AB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val="fr-FR"/>
        </w:rPr>
        <w:drawing>
          <wp:inline distT="114300" distB="114300" distL="114300" distR="114300">
            <wp:extent cx="5943600" cy="4292600"/>
            <wp:effectExtent l="0" t="0" r="0" b="0"/>
            <wp:docPr id="1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 w:type="page"/>
      </w:r>
    </w:p>
    <w:p w:rsidR="00173692" w:rsidRDefault="00C20ABE">
      <w:pPr>
        <w:pStyle w:val="Heading2"/>
      </w:pPr>
      <w:bookmarkStart w:id="7" w:name="_r7tb78w7mr5v" w:colFirst="0" w:colLast="0"/>
      <w:bookmarkEnd w:id="7"/>
      <w:r>
        <w:lastRenderedPageBreak/>
        <w:t>Supplementary File 3</w:t>
      </w:r>
    </w:p>
    <w:p w:rsidR="00173692" w:rsidRDefault="00173692"/>
    <w:p w:rsidR="00173692" w:rsidRPr="001F43FB" w:rsidRDefault="00C20AB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43FB">
        <w:rPr>
          <w:rFonts w:ascii="Times New Roman" w:eastAsia="Times New Roman" w:hAnsi="Times New Roman" w:cs="Times New Roman"/>
          <w:b/>
          <w:sz w:val="20"/>
          <w:szCs w:val="20"/>
        </w:rPr>
        <w:t xml:space="preserve">Fig. S3.1 Boxplots of REE of P90 ratios of continuous covariates for simulated covariates were </w:t>
      </w:r>
      <m:oMath>
        <m:r>
          <m:rPr>
            <m:sty m:val="bi"/>
          </m:rPr>
          <w:rPr>
            <w:rFonts w:ascii="Cambria Math" w:hAnsi="Cambria Math"/>
          </w:rPr>
          <m:t>β≠</m:t>
        </m:r>
        <m:r>
          <m:rPr>
            <m:sty m:val="bi"/>
          </m:rPr>
          <w:rPr>
            <w:rFonts w:ascii="Cambria Math" w:eastAsia="Times New Roman" w:hAnsi="Cambria Math" w:cs="Times New Roman"/>
            <w:sz w:val="20"/>
            <w:szCs w:val="20"/>
          </w:rPr>
          <m:t>0</m:t>
        </m:r>
      </m:oMath>
      <w:r w:rsidRPr="001F43FB">
        <w:rPr>
          <w:rFonts w:ascii="Times New Roman" w:eastAsia="Times New Roman" w:hAnsi="Times New Roman" w:cs="Times New Roman"/>
          <w:b/>
          <w:sz w:val="20"/>
          <w:szCs w:val="20"/>
        </w:rPr>
        <w:t xml:space="preserve"> (left) and </w:t>
      </w:r>
      <m:oMath>
        <m:r>
          <m:rPr>
            <m:sty m:val="bi"/>
          </m:rPr>
          <w:rPr>
            <w:rFonts w:ascii="Cambria Math" w:hAnsi="Cambria Math"/>
          </w:rPr>
          <m:t>β</m:t>
        </m:r>
        <m:r>
          <m:rPr>
            <m:sty m:val="bi"/>
          </m:rPr>
          <w:rPr>
            <w:rFonts w:ascii="Cambria Math" w:eastAsia="Times New Roman" w:hAnsi="Cambria Math" w:cs="Times New Roman"/>
            <w:sz w:val="20"/>
            <w:szCs w:val="20"/>
          </w:rPr>
          <m:t>=0</m:t>
        </m:r>
      </m:oMath>
      <w:r w:rsidRPr="001F43FB">
        <w:rPr>
          <w:rFonts w:ascii="Times New Roman" w:eastAsia="Times New Roman" w:hAnsi="Times New Roman" w:cs="Times New Roman"/>
          <w:b/>
          <w:sz w:val="20"/>
          <w:szCs w:val="20"/>
        </w:rPr>
        <w:t xml:space="preserve"> (right) under the base (top) and covariate (bottom) model; the 5</w:t>
      </w:r>
      <w:r w:rsidRPr="001F43FB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th</w:t>
      </w:r>
      <w:r w:rsidRPr="001F43FB">
        <w:rPr>
          <w:rFonts w:ascii="Times New Roman" w:eastAsia="Times New Roman" w:hAnsi="Times New Roman" w:cs="Times New Roman"/>
          <w:b/>
          <w:sz w:val="20"/>
          <w:szCs w:val="20"/>
        </w:rPr>
        <w:t>, 25</w:t>
      </w:r>
      <w:r w:rsidRPr="001F43FB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th</w:t>
      </w:r>
      <w:r w:rsidRPr="001F43FB">
        <w:rPr>
          <w:rFonts w:ascii="Times New Roman" w:eastAsia="Times New Roman" w:hAnsi="Times New Roman" w:cs="Times New Roman"/>
          <w:b/>
          <w:sz w:val="20"/>
          <w:szCs w:val="20"/>
        </w:rPr>
        <w:t>, 50</w:t>
      </w:r>
      <w:r w:rsidRPr="001F43FB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th</w:t>
      </w:r>
      <w:r w:rsidRPr="001F43FB">
        <w:rPr>
          <w:rFonts w:ascii="Times New Roman" w:eastAsia="Times New Roman" w:hAnsi="Times New Roman" w:cs="Times New Roman"/>
          <w:b/>
          <w:sz w:val="20"/>
          <w:szCs w:val="20"/>
        </w:rPr>
        <w:t>, 75</w:t>
      </w:r>
      <w:r w:rsidRPr="001F43FB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th</w:t>
      </w:r>
      <w:r w:rsidRPr="001F43FB">
        <w:rPr>
          <w:rFonts w:ascii="Times New Roman" w:eastAsia="Times New Roman" w:hAnsi="Times New Roman" w:cs="Times New Roman"/>
          <w:b/>
          <w:sz w:val="20"/>
          <w:szCs w:val="20"/>
        </w:rPr>
        <w:t xml:space="preserve"> and 95</w:t>
      </w:r>
      <w:r w:rsidRPr="001F43FB">
        <w:rPr>
          <w:rFonts w:ascii="Times New Roman" w:eastAsia="Times New Roman" w:hAnsi="Times New Roman" w:cs="Times New Roman"/>
          <w:b/>
          <w:sz w:val="20"/>
          <w:szCs w:val="20"/>
          <w:vertAlign w:val="superscript"/>
        </w:rPr>
        <w:t>th</w:t>
      </w:r>
      <w:r w:rsidRPr="001F43FB">
        <w:rPr>
          <w:rFonts w:ascii="Times New Roman" w:eastAsia="Times New Roman" w:hAnsi="Times New Roman" w:cs="Times New Roman"/>
          <w:b/>
          <w:sz w:val="20"/>
          <w:szCs w:val="20"/>
        </w:rPr>
        <w:t xml:space="preserve"> percentiles are displayed on the boxplot</w:t>
      </w:r>
    </w:p>
    <w:p w:rsidR="00173692" w:rsidRDefault="00173692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73692" w:rsidRDefault="00C20ABE">
      <w:pPr>
        <w:jc w:val="both"/>
        <w:rPr>
          <w:rFonts w:ascii="Times New Roman" w:eastAsia="Times New Roman" w:hAnsi="Times New Roman" w:cs="Times New Roman"/>
          <w:color w:val="0000FF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FF"/>
          <w:sz w:val="20"/>
          <w:szCs w:val="20"/>
          <w:lang w:val="fr-FR"/>
        </w:rPr>
        <w:drawing>
          <wp:inline distT="114300" distB="114300" distL="114300" distR="114300">
            <wp:extent cx="5943600" cy="4292600"/>
            <wp:effectExtent l="0" t="0" r="0" b="0"/>
            <wp:docPr id="10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br w:type="page"/>
      </w:r>
    </w:p>
    <w:p w:rsidR="00173692" w:rsidRPr="001F43FB" w:rsidRDefault="00C20AB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F43F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Fig. S3.2 RRMSE of P90 ratios of continuous covariates for simulated covariates were </w:t>
      </w:r>
      <m:oMath>
        <m:r>
          <m:rPr>
            <m:sty m:val="bi"/>
          </m:rPr>
          <w:rPr>
            <w:rFonts w:ascii="Cambria Math" w:hAnsi="Cambria Math"/>
          </w:rPr>
          <m:t>β≠</m:t>
        </m:r>
        <m:r>
          <m:rPr>
            <m:sty m:val="bi"/>
          </m:rPr>
          <w:rPr>
            <w:rFonts w:ascii="Cambria Math" w:eastAsia="Times New Roman" w:hAnsi="Cambria Math" w:cs="Times New Roman"/>
            <w:sz w:val="20"/>
            <w:szCs w:val="20"/>
          </w:rPr>
          <m:t>0</m:t>
        </m:r>
      </m:oMath>
      <w:r w:rsidRPr="001F43FB">
        <w:rPr>
          <w:rFonts w:ascii="Times New Roman" w:eastAsia="Times New Roman" w:hAnsi="Times New Roman" w:cs="Times New Roman"/>
          <w:b/>
          <w:sz w:val="20"/>
          <w:szCs w:val="20"/>
        </w:rPr>
        <w:t xml:space="preserve"> (left) and </w:t>
      </w:r>
      <m:oMath>
        <m:r>
          <m:rPr>
            <m:sty m:val="bi"/>
          </m:rPr>
          <w:rPr>
            <w:rFonts w:ascii="Cambria Math" w:hAnsi="Cambria Math"/>
          </w:rPr>
          <m:t>β</m:t>
        </m:r>
        <m:r>
          <m:rPr>
            <m:sty m:val="bi"/>
          </m:rPr>
          <w:rPr>
            <w:rFonts w:ascii="Cambria Math" w:eastAsia="Times New Roman" w:hAnsi="Cambria Math" w:cs="Times New Roman"/>
            <w:sz w:val="20"/>
            <w:szCs w:val="20"/>
          </w:rPr>
          <m:t>=0</m:t>
        </m:r>
      </m:oMath>
      <w:r w:rsidRPr="001F43FB">
        <w:rPr>
          <w:rFonts w:ascii="Times New Roman" w:eastAsia="Times New Roman" w:hAnsi="Times New Roman" w:cs="Times New Roman"/>
          <w:b/>
          <w:sz w:val="20"/>
          <w:szCs w:val="20"/>
        </w:rPr>
        <w:t xml:space="preserve"> (right) under the base (top) and covariate (bottom) model</w:t>
      </w:r>
    </w:p>
    <w:p w:rsidR="00173692" w:rsidRDefault="00173692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21B2E" w:rsidRDefault="00C20ABE" w:rsidP="00F21B2E">
      <w:pPr>
        <w:jc w:val="center"/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val="fr-FR"/>
        </w:rPr>
        <w:drawing>
          <wp:inline distT="114300" distB="114300" distL="114300" distR="114300">
            <wp:extent cx="5943600" cy="4292600"/>
            <wp:effectExtent l="0" t="0" r="0" b="0"/>
            <wp:docPr id="9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8" w:name="_qb69u880rxfb" w:colFirst="0" w:colLast="0"/>
      <w:bookmarkEnd w:id="8"/>
    </w:p>
    <w:p w:rsidR="00F21B2E" w:rsidRPr="001F43FB" w:rsidRDefault="00C20ABE" w:rsidP="0061439B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br w:type="page"/>
      </w:r>
      <w:r w:rsidRPr="001F43FB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Fig. S3.3 Coverage rates of P90 ratios of continuous covariates for simulated covariates were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0"/>
            <w:szCs w:val="20"/>
          </w:rPr>
          <m:t>β</m:t>
        </m:r>
        <m:r>
          <m:rPr>
            <m:sty m:val="b"/>
          </m:rPr>
          <w:rPr>
            <w:rFonts w:ascii="Cambria Math" w:eastAsia="Times New Roman" w:hAnsi="Cambria Math" w:cs="Times New Roman"/>
            <w:sz w:val="20"/>
            <w:szCs w:val="20"/>
          </w:rPr>
          <m:t>≠0</m:t>
        </m:r>
      </m:oMath>
      <w:r w:rsidRPr="001F43FB">
        <w:rPr>
          <w:rFonts w:ascii="Times New Roman" w:eastAsia="Times New Roman" w:hAnsi="Times New Roman" w:cs="Times New Roman"/>
          <w:b/>
          <w:sz w:val="20"/>
          <w:szCs w:val="20"/>
        </w:rPr>
        <w:t xml:space="preserve"> (left) and </w:t>
      </w:r>
      <m:oMath>
        <m:r>
          <m:rPr>
            <m:sty m:val="bi"/>
          </m:rPr>
          <w:rPr>
            <w:rFonts w:ascii="Cambria Math" w:eastAsia="Times New Roman" w:hAnsi="Cambria Math" w:cs="Times New Roman"/>
            <w:sz w:val="20"/>
            <w:szCs w:val="20"/>
          </w:rPr>
          <m:t>β</m:t>
        </m:r>
        <m:r>
          <m:rPr>
            <m:sty m:val="b"/>
          </m:rPr>
          <w:rPr>
            <w:rFonts w:ascii="Cambria Math" w:eastAsia="Times New Roman" w:hAnsi="Cambria Math" w:cs="Times New Roman"/>
            <w:sz w:val="20"/>
            <w:szCs w:val="20"/>
          </w:rPr>
          <m:t>=0</m:t>
        </m:r>
      </m:oMath>
      <w:r w:rsidRPr="001F43FB">
        <w:rPr>
          <w:rFonts w:ascii="Times New Roman" w:eastAsia="Times New Roman" w:hAnsi="Times New Roman" w:cs="Times New Roman"/>
          <w:b/>
          <w:sz w:val="20"/>
          <w:szCs w:val="20"/>
        </w:rPr>
        <w:t xml:space="preserve"> (right) under the base (top) and covariate (bottom) model; the target range of [0.850, 0.938] is shaded in gray and the value of 0.900 is indicated by a dashed line</w:t>
      </w:r>
      <w:bookmarkStart w:id="9" w:name="_a58fjgrkn5p4" w:colFirst="0" w:colLast="0"/>
      <w:bookmarkEnd w:id="9"/>
    </w:p>
    <w:p w:rsidR="00F21B2E" w:rsidRPr="00534DF5" w:rsidRDefault="00F21B2E" w:rsidP="0061439B">
      <w:pPr>
        <w:jc w:val="center"/>
        <w:rPr>
          <w:b/>
          <w:color w:val="000000" w:themeColor="text1"/>
          <w:sz w:val="20"/>
          <w:szCs w:val="20"/>
        </w:rPr>
      </w:pPr>
    </w:p>
    <w:p w:rsidR="00173692" w:rsidRPr="0061439B" w:rsidRDefault="00C20ABE" w:rsidP="0061439B">
      <w:pPr>
        <w:jc w:val="center"/>
      </w:pPr>
      <w:r>
        <w:rPr>
          <w:b/>
          <w:noProof/>
          <w:color w:val="0000FF"/>
          <w:sz w:val="20"/>
          <w:szCs w:val="20"/>
          <w:lang w:val="fr-FR"/>
        </w:rPr>
        <w:drawing>
          <wp:inline distT="114300" distB="114300" distL="114300" distR="114300">
            <wp:extent cx="5943600" cy="4292600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92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bookmarkStart w:id="10" w:name="_cuk34wr88nge" w:colFirst="0" w:colLast="0"/>
      <w:bookmarkStart w:id="11" w:name="_pl4k538jlebb" w:colFirst="0" w:colLast="0"/>
      <w:bookmarkStart w:id="12" w:name="_kwuqb1b5ahtu" w:colFirst="0" w:colLast="0"/>
      <w:bookmarkEnd w:id="10"/>
      <w:bookmarkEnd w:id="11"/>
      <w:bookmarkEnd w:id="12"/>
      <w:r>
        <w:br w:type="page"/>
      </w:r>
    </w:p>
    <w:p w:rsidR="007F7B12" w:rsidRDefault="00C20ABE" w:rsidP="007F7B12">
      <w:pPr>
        <w:pStyle w:val="Heading2"/>
        <w:rPr>
          <w:sz w:val="20"/>
          <w:szCs w:val="20"/>
        </w:rPr>
      </w:pPr>
      <w:bookmarkStart w:id="13" w:name="_4xpgt63rds2p" w:colFirst="0" w:colLast="0"/>
      <w:bookmarkEnd w:id="13"/>
      <w:r>
        <w:lastRenderedPageBreak/>
        <w:t>Supplementary File 4</w:t>
      </w:r>
      <w:bookmarkStart w:id="14" w:name="_m6whgcpjp56r" w:colFirst="0" w:colLast="0"/>
      <w:bookmarkStart w:id="15" w:name="_y5uomgveigxm" w:colFirst="0" w:colLast="0"/>
      <w:bookmarkEnd w:id="14"/>
      <w:bookmarkEnd w:id="15"/>
    </w:p>
    <w:p w:rsidR="007F7B12" w:rsidRDefault="007F7B12" w:rsidP="007F7B12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73692" w:rsidRPr="007F7B12" w:rsidRDefault="00C20ABE" w:rsidP="007F7B12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7F7B12">
        <w:rPr>
          <w:rFonts w:ascii="Times New Roman" w:eastAsia="Times New Roman" w:hAnsi="Times New Roman" w:cs="Times New Roman"/>
          <w:b/>
          <w:sz w:val="20"/>
          <w:szCs w:val="20"/>
        </w:rPr>
        <w:t xml:space="preserve">Table S4.1 Parameter estimates (SE, </w:t>
      </w:r>
      <w:proofErr w:type="gramStart"/>
      <w:r w:rsidRPr="007F7B12">
        <w:rPr>
          <w:rFonts w:ascii="Times New Roman" w:eastAsia="Times New Roman" w:hAnsi="Times New Roman" w:cs="Times New Roman"/>
          <w:b/>
          <w:sz w:val="20"/>
          <w:szCs w:val="20"/>
        </w:rPr>
        <w:t>RSE%</w:t>
      </w:r>
      <w:proofErr w:type="gramEnd"/>
      <w:r w:rsidRPr="007F7B12">
        <w:rPr>
          <w:rFonts w:ascii="Times New Roman" w:eastAsia="Times New Roman" w:hAnsi="Times New Roman" w:cs="Times New Roman"/>
          <w:b/>
          <w:sz w:val="20"/>
          <w:szCs w:val="20"/>
        </w:rPr>
        <w:t>) obtained with the reference model (left), the full model (middle left), SCM (middle right) and SCM+ (right) by fitting the simulated dataset n°1 with the base model;</w:t>
      </w:r>
      <w:r w:rsidRPr="007F7B12">
        <w:rPr>
          <w:rFonts w:ascii="Times New Roman" w:eastAsia="Times New Roman" w:hAnsi="Times New Roman" w:cs="Times New Roman"/>
          <w:b/>
          <w:sz w:val="20"/>
          <w:szCs w:val="20"/>
        </w:rPr>
        <w:br/>
        <w:t>* indicates that SE and RSE were computed for the corresponding variance</w:t>
      </w:r>
    </w:p>
    <w:p w:rsidR="00173692" w:rsidRDefault="00173692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4"/>
        <w:tblW w:w="997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75"/>
        <w:gridCol w:w="2010"/>
        <w:gridCol w:w="2055"/>
        <w:gridCol w:w="2010"/>
        <w:gridCol w:w="2025"/>
      </w:tblGrid>
      <w:tr w:rsidR="00173692" w:rsidTr="0061439B">
        <w:trPr>
          <w:trHeight w:val="20"/>
          <w:tblHeader/>
          <w:jc w:val="center"/>
        </w:trPr>
        <w:tc>
          <w:tcPr>
            <w:tcW w:w="187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</w:tcBorders>
            <w:shd w:val="clear" w:color="auto" w:fill="F3F3F3"/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Parameters (units)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Ref model</w:t>
            </w:r>
          </w:p>
        </w:tc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Full model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SCM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SCM+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CL/F</m:t>
                  </m:r>
                </m:sub>
              </m:sSub>
            </m:oMath>
            <w:r w:rsidR="007F7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(L/day)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0.291 (0.005, 2%)</w:t>
            </w:r>
          </w:p>
        </w:tc>
        <w:tc>
          <w:tcPr>
            <w:tcW w:w="205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0.291 (0.008, 3%)</w:t>
            </w:r>
          </w:p>
        </w:tc>
        <w:tc>
          <w:tcPr>
            <w:tcW w:w="201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0.291 (0.005, 2%)</w:t>
            </w:r>
          </w:p>
        </w:tc>
        <w:tc>
          <w:tcPr>
            <w:tcW w:w="202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0.291 (0.005, 2%)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sz w:val="20"/>
                      <w:szCs w:val="20"/>
                    </w:rPr>
                    <m:t>V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/F</m:t>
                  </m:r>
                </m:sub>
              </m:sSub>
            </m:oMath>
            <w:r w:rsidR="007F7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(L)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11.275 (0.188, 2%)</w:t>
            </w:r>
          </w:p>
        </w:tc>
        <w:tc>
          <w:tcPr>
            <w:tcW w:w="205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11.253 (0.295, 3%)</w:t>
            </w:r>
          </w:p>
        </w:tc>
        <w:tc>
          <w:tcPr>
            <w:tcW w:w="201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11.294 (0.187, 2%)</w:t>
            </w:r>
          </w:p>
        </w:tc>
        <w:tc>
          <w:tcPr>
            <w:tcW w:w="202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11.294 (0.187, 2%)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Borders>
              <w:top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K</m:t>
                  </m:r>
                  <m:r>
                    <w:rPr>
                      <w:rFonts w:ascii="Cambria Math" w:eastAsia="Times New Roman" w:hAnsi="Times New Roman" w:cs="Times New Roman"/>
                      <w:sz w:val="20"/>
                      <w:szCs w:val="20"/>
                    </w:rPr>
                    <m:t>A</m:t>
                  </m:r>
                </m:sub>
              </m:sSub>
            </m:oMath>
            <w:r w:rsidR="007F7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(1/day)</w:t>
            </w:r>
          </w:p>
        </w:tc>
        <w:tc>
          <w:tcPr>
            <w:tcW w:w="2010" w:type="dxa"/>
            <w:tcBorders>
              <w:top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0.465 (0.040, 9%)</w:t>
            </w:r>
          </w:p>
        </w:tc>
        <w:tc>
          <w:tcPr>
            <w:tcW w:w="2055" w:type="dxa"/>
            <w:tcBorders>
              <w:top w:val="single" w:sz="8" w:space="0" w:color="333333"/>
              <w:bottom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0.478 (0.072, 15%)</w:t>
            </w:r>
          </w:p>
        </w:tc>
        <w:tc>
          <w:tcPr>
            <w:tcW w:w="2010" w:type="dxa"/>
            <w:tcBorders>
              <w:top w:val="single" w:sz="8" w:space="0" w:color="333333"/>
              <w:bottom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0.496 (0.048, 10%)</w:t>
            </w:r>
          </w:p>
        </w:tc>
        <w:tc>
          <w:tcPr>
            <w:tcW w:w="2025" w:type="dxa"/>
            <w:tcBorders>
              <w:top w:val="single" w:sz="8" w:space="0" w:color="333333"/>
              <w:bottom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0.496 (0.048, 10%)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CL/F,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B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W</m:t>
                    </m:r>
                  </m:sub>
                </m:sSub>
              </m:oMath>
            </m:oMathPara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0.996 (0.030, 3%)</w:t>
            </w:r>
          </w:p>
        </w:tc>
        <w:tc>
          <w:tcPr>
            <w:tcW w:w="205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0.921 (0.052, 6%)</w:t>
            </w:r>
          </w:p>
        </w:tc>
        <w:tc>
          <w:tcPr>
            <w:tcW w:w="201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0.986 (0.030, 3%)</w:t>
            </w:r>
          </w:p>
        </w:tc>
        <w:tc>
          <w:tcPr>
            <w:tcW w:w="202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0.984 (0.030, 3%)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V/F,BW</m:t>
                    </m:r>
                  </m:sub>
                </m:sSub>
              </m:oMath>
            </m:oMathPara>
          </w:p>
        </w:tc>
        <w:tc>
          <w:tcPr>
            <w:tcW w:w="2010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1.041 (0.029, 3%)</w:t>
            </w:r>
          </w:p>
        </w:tc>
        <w:tc>
          <w:tcPr>
            <w:tcW w:w="205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1.052 (0.056, 5%)</w:t>
            </w:r>
          </w:p>
        </w:tc>
        <w:tc>
          <w:tcPr>
            <w:tcW w:w="201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1.064 (0.030, 3%)</w:t>
            </w:r>
          </w:p>
        </w:tc>
        <w:tc>
          <w:tcPr>
            <w:tcW w:w="202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1.064 (0.030, 3%)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Borders>
              <w:top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CL/F,A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G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55" w:type="dxa"/>
            <w:tcBorders>
              <w:top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0.055 (0.033, 61%)</w:t>
            </w:r>
          </w:p>
        </w:tc>
        <w:tc>
          <w:tcPr>
            <w:tcW w:w="2010" w:type="dxa"/>
            <w:tcBorders>
              <w:top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25" w:type="dxa"/>
            <w:tcBorders>
              <w:top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CL/F,A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L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0.126 (0.163, 129%)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V/F,A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G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0.023 (0.038, 163%)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V/F,B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L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2010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55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-0.052 (0.055, 105%)</w:t>
            </w:r>
          </w:p>
        </w:tc>
        <w:tc>
          <w:tcPr>
            <w:tcW w:w="2010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25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Borders>
              <w:top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V/F,A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S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2010" w:type="dxa"/>
            <w:tcBorders>
              <w:top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55" w:type="dxa"/>
            <w:tcBorders>
              <w:top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-0.089 (0.035, 39%)</w:t>
            </w:r>
          </w:p>
        </w:tc>
        <w:tc>
          <w:tcPr>
            <w:tcW w:w="2010" w:type="dxa"/>
            <w:tcBorders>
              <w:top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25" w:type="dxa"/>
            <w:tcBorders>
              <w:top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Borders>
              <w:top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V/F,O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2010" w:type="dxa"/>
            <w:tcBorders>
              <w:top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55" w:type="dxa"/>
            <w:tcBorders>
              <w:top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-0.039 (0.070, 181%)</w:t>
            </w:r>
          </w:p>
        </w:tc>
        <w:tc>
          <w:tcPr>
            <w:tcW w:w="2010" w:type="dxa"/>
            <w:tcBorders>
              <w:top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25" w:type="dxa"/>
            <w:tcBorders>
              <w:top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CL/F,A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S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-0.043 (0.042, 98%)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CL/F,BI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L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-0.015 (0.030, 194%)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CL/F,B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L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2010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55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0.001 (0.012, 2313%)</w:t>
            </w:r>
          </w:p>
        </w:tc>
        <w:tc>
          <w:tcPr>
            <w:tcW w:w="2010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25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Borders>
              <w:top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CL/F,A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S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2010" w:type="dxa"/>
            <w:tcBorders>
              <w:top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55" w:type="dxa"/>
            <w:tcBorders>
              <w:top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-0.062 (0.038, 62%)</w:t>
            </w:r>
          </w:p>
        </w:tc>
        <w:tc>
          <w:tcPr>
            <w:tcW w:w="2010" w:type="dxa"/>
            <w:tcBorders>
              <w:top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25" w:type="dxa"/>
            <w:tcBorders>
              <w:top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Borders>
              <w:top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CL/F,O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2010" w:type="dxa"/>
            <w:tcBorders>
              <w:top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55" w:type="dxa"/>
            <w:tcBorders>
              <w:top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0.016 (0.057, 366%)</w:t>
            </w:r>
          </w:p>
        </w:tc>
        <w:tc>
          <w:tcPr>
            <w:tcW w:w="2010" w:type="dxa"/>
            <w:tcBorders>
              <w:top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25" w:type="dxa"/>
            <w:tcBorders>
              <w:top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CL/F,I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N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0.037 (0.037, 101%)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V/F,A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L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-0.059 (0.161, 271%)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V/F,I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N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0.072 (0.040, 55%)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KA,AGE</m:t>
                    </m:r>
                  </m:sub>
                </m:sSub>
              </m:oMath>
            </m:oMathPara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0.230 (0.082, 36%)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0.223 (0.079, 35%)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0.225 (0.079, 35%)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KA,I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N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0.057 (0.190, 335%)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L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/F</m:t>
                    </m:r>
                  </m:sub>
                </m:sSub>
              </m:oMath>
            </m:oMathPara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0.290 (0.007*, 8%*)</w:t>
            </w:r>
          </w:p>
        </w:tc>
        <w:tc>
          <w:tcPr>
            <w:tcW w:w="2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0.287 (0.007*, 8%*)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0.290 (0.007*, 8%*)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0.290 (0.007*, 8%*)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V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/F</m:t>
                    </m:r>
                  </m:sub>
                </m:sSub>
              </m:oMath>
            </m:oMathPara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0.285 (0.007*, 8%*) </w:t>
            </w:r>
          </w:p>
        </w:tc>
        <w:tc>
          <w:tcPr>
            <w:tcW w:w="205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0.280 (0.007*, 9%*)</w:t>
            </w:r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0.285 (0.007*, 8%*)</w:t>
            </w:r>
          </w:p>
        </w:tc>
        <w:tc>
          <w:tcPr>
            <w:tcW w:w="20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0.285 (0.007*, 8%*)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K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A</m:t>
                    </m:r>
                  </m:sub>
                </m:sSub>
              </m:oMath>
            </m:oMathPara>
          </w:p>
        </w:tc>
        <w:tc>
          <w:tcPr>
            <w:tcW w:w="201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0.651 (0.060*, 14%*)</w:t>
            </w:r>
          </w:p>
        </w:tc>
        <w:tc>
          <w:tcPr>
            <w:tcW w:w="2055" w:type="dxa"/>
            <w:tcBorders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0.637 (0.066*,16%*)</w:t>
            </w:r>
          </w:p>
        </w:tc>
        <w:tc>
          <w:tcPr>
            <w:tcW w:w="2010" w:type="dxa"/>
            <w:tcBorders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0.641 (0.062*, 15%*)</w:t>
            </w:r>
          </w:p>
        </w:tc>
        <w:tc>
          <w:tcPr>
            <w:tcW w:w="2025" w:type="dxa"/>
            <w:tcBorders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0.641 (0.062*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,15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Borders>
              <w:lef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 xml:space="preserve">a </m:t>
              </m:r>
            </m:oMath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fixed (μg/mL)</w:t>
            </w:r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0.025 (/, /)</w:t>
            </w:r>
          </w:p>
        </w:tc>
        <w:tc>
          <w:tcPr>
            <w:tcW w:w="205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0.025 (/, /)</w:t>
            </w:r>
          </w:p>
        </w:tc>
        <w:tc>
          <w:tcPr>
            <w:tcW w:w="201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0.025 (/, /)</w:t>
            </w:r>
          </w:p>
        </w:tc>
        <w:tc>
          <w:tcPr>
            <w:tcW w:w="202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0.025 (/, /)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75" w:type="dxa"/>
            <w:tcBorders>
              <w:lef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b</m:t>
                </m:r>
              </m:oMath>
            </m:oMathPara>
          </w:p>
        </w:tc>
        <w:tc>
          <w:tcPr>
            <w:tcW w:w="2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0.147 (0.002, 1%)</w:t>
            </w:r>
          </w:p>
        </w:tc>
        <w:tc>
          <w:tcPr>
            <w:tcW w:w="205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0.147 (0.002, 1%)</w:t>
            </w:r>
          </w:p>
        </w:tc>
        <w:tc>
          <w:tcPr>
            <w:tcW w:w="2010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0.147 (0.002, 1%)</w:t>
            </w:r>
          </w:p>
        </w:tc>
        <w:tc>
          <w:tcPr>
            <w:tcW w:w="202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0.147 (0.002, 1%)</w:t>
            </w:r>
          </w:p>
        </w:tc>
      </w:tr>
    </w:tbl>
    <w:p w:rsidR="00173692" w:rsidRDefault="00C20ABE" w:rsidP="0061439B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br w:type="page"/>
      </w:r>
    </w:p>
    <w:p w:rsidR="00173692" w:rsidRDefault="00C20AB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 xml:space="preserve">Table S4.2 Parameter estimates (SE,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RSE%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) obtained with the reference model (left), the full model (middle left), SCM (middle right) and SCM+ (right) by fitting the simulated dataset n°1 with the covariate model; </w:t>
      </w:r>
    </w:p>
    <w:p w:rsidR="00173692" w:rsidRDefault="00C20AB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* indicates that SE and RSE were computed for the corresponding variance</w:t>
      </w:r>
    </w:p>
    <w:p w:rsidR="00173692" w:rsidRDefault="00173692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5"/>
        <w:tblW w:w="99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2070"/>
        <w:gridCol w:w="2085"/>
        <w:gridCol w:w="1965"/>
        <w:gridCol w:w="1965"/>
      </w:tblGrid>
      <w:tr w:rsidR="00173692" w:rsidTr="0061439B">
        <w:trPr>
          <w:trHeight w:val="20"/>
          <w:tblHeader/>
          <w:jc w:val="center"/>
        </w:trPr>
        <w:tc>
          <w:tcPr>
            <w:tcW w:w="181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</w:tcBorders>
            <w:shd w:val="clear" w:color="auto" w:fill="F3F3F3"/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Parameters (units)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Ref model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Full model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SCM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SCM+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C</m:t>
                  </m:r>
                  <m:r>
                    <w:rPr>
                      <w:rFonts w:ascii="Cambria Math" w:eastAsia="Times New Roman" w:hAnsi="Times New Roman" w:cs="Times New Roman"/>
                      <w:sz w:val="20"/>
                      <w:szCs w:val="20"/>
                    </w:rPr>
                    <m:t>L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/F</m:t>
                  </m:r>
                </m:sub>
              </m:sSub>
            </m:oMath>
            <w:r w:rsidR="007F7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(L/day)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0.293 (0.005, 2%) </w:t>
            </w:r>
          </w:p>
        </w:tc>
        <w:tc>
          <w:tcPr>
            <w:tcW w:w="208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0.293 (0.007, 3%)</w:t>
            </w:r>
          </w:p>
        </w:tc>
        <w:tc>
          <w:tcPr>
            <w:tcW w:w="196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0.292 (0.005, 2%)</w:t>
            </w:r>
          </w:p>
        </w:tc>
        <w:tc>
          <w:tcPr>
            <w:tcW w:w="196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0.293 (0.005, 2%)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sz w:val="20"/>
                      <w:szCs w:val="20"/>
                    </w:rPr>
                    <m:t>V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/F</m:t>
                  </m:r>
                </m:sub>
              </m:sSub>
            </m:oMath>
            <w:r w:rsidR="007F7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(L)</w:t>
            </w:r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11.796 (0.226, 2%) </w:t>
            </w:r>
          </w:p>
        </w:tc>
        <w:tc>
          <w:tcPr>
            <w:tcW w:w="208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11.476 (0.287, 3%)</w:t>
            </w:r>
          </w:p>
        </w:tc>
        <w:tc>
          <w:tcPr>
            <w:tcW w:w="196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11.817 (0.225, 2%)</w:t>
            </w:r>
          </w:p>
        </w:tc>
        <w:tc>
          <w:tcPr>
            <w:tcW w:w="196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11.797 (0.225, 2%)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Borders>
              <w:top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μ</m:t>
                  </m:r>
                </m:e>
                <m:sub>
                  <m:r>
                    <w:rPr>
                      <w:rFonts w:ascii="Cambria Math" w:eastAsia="Times New Roman" w:hAnsi="Times New Roman" w:cs="Times New Roman"/>
                      <w:sz w:val="20"/>
                      <w:szCs w:val="20"/>
                    </w:rPr>
                    <m:t>K</m:t>
                  </m:r>
                  <m:r>
                    <w:rPr>
                      <w:rFonts w:ascii="Cambria Math" w:eastAsia="Times New Roman" w:hAnsi="Cambria Math" w:cs="Times New Roman"/>
                      <w:sz w:val="20"/>
                      <w:szCs w:val="20"/>
                    </w:rPr>
                    <m:t>A</m:t>
                  </m:r>
                </m:sub>
              </m:sSub>
            </m:oMath>
            <w:r w:rsidR="007F7B12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(1/day)</w:t>
            </w:r>
          </w:p>
        </w:tc>
        <w:tc>
          <w:tcPr>
            <w:tcW w:w="2070" w:type="dxa"/>
            <w:tcBorders>
              <w:top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0.471 (0.038, 8%)</w:t>
            </w:r>
          </w:p>
        </w:tc>
        <w:tc>
          <w:tcPr>
            <w:tcW w:w="2085" w:type="dxa"/>
            <w:tcBorders>
              <w:top w:val="single" w:sz="8" w:space="0" w:color="333333"/>
              <w:bottom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0.481 (0.072, 15%)</w:t>
            </w:r>
          </w:p>
        </w:tc>
        <w:tc>
          <w:tcPr>
            <w:tcW w:w="1965" w:type="dxa"/>
            <w:tcBorders>
              <w:top w:val="single" w:sz="8" w:space="0" w:color="333333"/>
              <w:bottom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0.500 (0.047, 9%)</w:t>
            </w:r>
          </w:p>
        </w:tc>
        <w:tc>
          <w:tcPr>
            <w:tcW w:w="1965" w:type="dxa"/>
            <w:tcBorders>
              <w:top w:val="single" w:sz="8" w:space="0" w:color="333333"/>
              <w:bottom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0.471 (0.038, 8%)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CL/F,B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W</m:t>
                    </m:r>
                  </m:sub>
                </m:sSub>
              </m:oMath>
            </m:oMathPara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0.810 (0.047, 6%)</w:t>
            </w:r>
          </w:p>
        </w:tc>
        <w:tc>
          <w:tcPr>
            <w:tcW w:w="208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0.788 (0.049, 6%)</w:t>
            </w:r>
          </w:p>
        </w:tc>
        <w:tc>
          <w:tcPr>
            <w:tcW w:w="196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0.810 (0.047, 6%)</w:t>
            </w:r>
          </w:p>
        </w:tc>
        <w:tc>
          <w:tcPr>
            <w:tcW w:w="196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0.807 (0.047, 6%)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V/F,B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W</m:t>
                    </m:r>
                  </m:sub>
                </m:sSub>
              </m:oMath>
            </m:oMathPara>
          </w:p>
        </w:tc>
        <w:tc>
          <w:tcPr>
            <w:tcW w:w="2070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0.841 (0.055, 7%)</w:t>
            </w:r>
          </w:p>
        </w:tc>
        <w:tc>
          <w:tcPr>
            <w:tcW w:w="208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0.857 (0.055, 6%)</w:t>
            </w:r>
          </w:p>
        </w:tc>
        <w:tc>
          <w:tcPr>
            <w:tcW w:w="196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0.846 (0.055, 6%)</w:t>
            </w:r>
          </w:p>
        </w:tc>
        <w:tc>
          <w:tcPr>
            <w:tcW w:w="196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0.840 (0.055, 6%)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Borders>
              <w:top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CL/F,A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G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0.161 (0.029, 18%)</w:t>
            </w:r>
          </w:p>
        </w:tc>
        <w:tc>
          <w:tcPr>
            <w:tcW w:w="2085" w:type="dxa"/>
            <w:tcBorders>
              <w:top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0.177 (0.031, 18%)</w:t>
            </w:r>
          </w:p>
        </w:tc>
        <w:tc>
          <w:tcPr>
            <w:tcW w:w="1965" w:type="dxa"/>
            <w:tcBorders>
              <w:top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0.153 (0.029, 19%)</w:t>
            </w:r>
          </w:p>
        </w:tc>
        <w:tc>
          <w:tcPr>
            <w:tcW w:w="1965" w:type="dxa"/>
            <w:tcBorders>
              <w:top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0.165 (0.029, 18%)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CL/F,A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L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-0.907 (0.152, 17%)</w:t>
            </w: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-0.846 (0.158, 19%)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-0.907 (0.152, 17%)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-0.909 (0.152, 17%)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V/F,A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G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0.132 (0.035, 26%)</w:t>
            </w: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0.160 (0.037, 23%)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0.144 (0.035, 24%)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0.134 (0.035, 26%)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V/F,B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L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2070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-0.240 (0.041, 17%)</w:t>
            </w:r>
          </w:p>
        </w:tc>
        <w:tc>
          <w:tcPr>
            <w:tcW w:w="2085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-0.245 (0.041, 17%)</w:t>
            </w:r>
          </w:p>
        </w:tc>
        <w:tc>
          <w:tcPr>
            <w:tcW w:w="1965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-0.239 (0.041, 17%)</w:t>
            </w:r>
          </w:p>
        </w:tc>
        <w:tc>
          <w:tcPr>
            <w:tcW w:w="1965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-0.240 (0.041, 17%)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Borders>
              <w:top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V/F,A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S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2070" w:type="dxa"/>
            <w:tcBorders>
              <w:top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-0.085 (0.033, 39%)</w:t>
            </w:r>
          </w:p>
        </w:tc>
        <w:tc>
          <w:tcPr>
            <w:tcW w:w="2085" w:type="dxa"/>
            <w:tcBorders>
              <w:top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-0.084 (0.033, 40%)</w:t>
            </w:r>
          </w:p>
        </w:tc>
        <w:tc>
          <w:tcPr>
            <w:tcW w:w="1965" w:type="dxa"/>
            <w:tcBorders>
              <w:top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-0.086 (0.033, 39%)</w:t>
            </w:r>
          </w:p>
        </w:tc>
        <w:tc>
          <w:tcPr>
            <w:tcW w:w="1965" w:type="dxa"/>
            <w:tcBorders>
              <w:top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-0.086 (0.033, 38%)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Borders>
              <w:top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V/F,O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2070" w:type="dxa"/>
            <w:tcBorders>
              <w:top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-0.040 (0.067, 166%)</w:t>
            </w:r>
          </w:p>
        </w:tc>
        <w:tc>
          <w:tcPr>
            <w:tcW w:w="2085" w:type="dxa"/>
            <w:tcBorders>
              <w:top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-0.037 (0.066, 179%)</w:t>
            </w:r>
          </w:p>
        </w:tc>
        <w:tc>
          <w:tcPr>
            <w:tcW w:w="1965" w:type="dxa"/>
            <w:tcBorders>
              <w:top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-0.040 (0.067, 166%)</w:t>
            </w:r>
          </w:p>
        </w:tc>
        <w:tc>
          <w:tcPr>
            <w:tcW w:w="1965" w:type="dxa"/>
            <w:tcBorders>
              <w:top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-0.040 (0.067, 168%)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CL/F,A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S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-0.040 (0.039, 98%)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CL/F,BI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L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-0.014 (0.027, 194%)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CL/F,B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L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K</m:t>
                    </m:r>
                  </m:sub>
                </m:sSub>
              </m:oMath>
            </m:oMathPara>
          </w:p>
        </w:tc>
        <w:tc>
          <w:tcPr>
            <w:tcW w:w="2070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85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0.001 (0.011, 24906%)</w:t>
            </w:r>
          </w:p>
        </w:tc>
        <w:tc>
          <w:tcPr>
            <w:tcW w:w="1965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965" w:type="dxa"/>
            <w:tcBorders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Borders>
              <w:top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CL/F,A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S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N</m:t>
                    </m:r>
                  </m:sub>
                </m:sSub>
              </m:oMath>
            </m:oMathPara>
          </w:p>
        </w:tc>
        <w:tc>
          <w:tcPr>
            <w:tcW w:w="2070" w:type="dxa"/>
            <w:tcBorders>
              <w:top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85" w:type="dxa"/>
            <w:tcBorders>
              <w:top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-0.059 (0.036, 62%)</w:t>
            </w:r>
          </w:p>
        </w:tc>
        <w:tc>
          <w:tcPr>
            <w:tcW w:w="1965" w:type="dxa"/>
            <w:tcBorders>
              <w:top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965" w:type="dxa"/>
            <w:tcBorders>
              <w:top w:val="single" w:sz="8" w:space="0" w:color="FFFFFF"/>
              <w:bottom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Borders>
              <w:top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CL/F,O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T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2070" w:type="dxa"/>
            <w:tcBorders>
              <w:top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85" w:type="dxa"/>
            <w:tcBorders>
              <w:top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0.016 (0.056, 359%)</w:t>
            </w:r>
          </w:p>
        </w:tc>
        <w:tc>
          <w:tcPr>
            <w:tcW w:w="1965" w:type="dxa"/>
            <w:tcBorders>
              <w:top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965" w:type="dxa"/>
            <w:tcBorders>
              <w:top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CL/F,I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N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0.033 (0.034, 104%)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V/F,A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L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B</m:t>
                    </m:r>
                  </m:sub>
                </m:sSub>
              </m:oMath>
            </m:oMathPara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-0.078 (0.171, 218%)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V/F,I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N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0.070 (0.037, 53%)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KA,A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G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0.229 (0.081, 35%)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0.214 (0.079, 37%)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β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KA,I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N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H</m:t>
                    </m:r>
                  </m:sub>
                </m:sSub>
              </m:oMath>
            </m:oMathPara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0.066 (0.190, 288%)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C</m:t>
                    </m:r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L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/F</m:t>
                    </m:r>
                  </m:sub>
                </m:sSub>
              </m:oMath>
            </m:oMathPara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0.275 (0.006*, 8%*)</w:t>
            </w: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0.273 (0.006*, 8%*) 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0.275 (0.006*, 8%*)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0.275 (0.006*, 8%*)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Times New Roman" w:cs="Times New Roman"/>
                        <w:sz w:val="20"/>
                        <w:szCs w:val="20"/>
                      </w:rPr>
                      <m:t>V</m:t>
                    </m:r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/F</m:t>
                    </m:r>
                  </m:sub>
                </m:sSub>
              </m:oMath>
            </m:oMathPara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0.267 (0.006*, 9%*)</w:t>
            </w:r>
          </w:p>
        </w:tc>
        <w:tc>
          <w:tcPr>
            <w:tcW w:w="20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0.266 (0.006*, 9%*) 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0.268 (0.006*, 8%*)</w:t>
            </w:r>
          </w:p>
        </w:tc>
        <w:tc>
          <w:tcPr>
            <w:tcW w:w="19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0.267 (0.006*, 9%*)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49595E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ω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0"/>
                        <w:szCs w:val="20"/>
                      </w:rPr>
                      <m:t>KA</m:t>
                    </m:r>
                  </m:sub>
                </m:sSub>
              </m:oMath>
            </m:oMathPara>
          </w:p>
        </w:tc>
        <w:tc>
          <w:tcPr>
            <w:tcW w:w="207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0.648 (0.061*,15%*)</w:t>
            </w:r>
          </w:p>
        </w:tc>
        <w:tc>
          <w:tcPr>
            <w:tcW w:w="2085" w:type="dxa"/>
            <w:tcBorders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0.631 (0.069*, 17%*)</w:t>
            </w:r>
          </w:p>
        </w:tc>
        <w:tc>
          <w:tcPr>
            <w:tcW w:w="1965" w:type="dxa"/>
            <w:tcBorders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0.636 (0.063*, 16%*)</w:t>
            </w:r>
          </w:p>
        </w:tc>
        <w:tc>
          <w:tcPr>
            <w:tcW w:w="1965" w:type="dxa"/>
            <w:tcBorders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0.648 (0.061*, 15%*)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Borders>
              <w:lef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eastAsia="Times New Roman" w:hAnsi="Cambria Math" w:cs="Times New Roman"/>
                  <w:sz w:val="20"/>
                  <w:szCs w:val="20"/>
                </w:rPr>
                <m:t>a</m:t>
              </m:r>
            </m:oMath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 fixed (μg/mL)</w:t>
            </w:r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0.025 (/, /)</w:t>
            </w:r>
          </w:p>
        </w:tc>
        <w:tc>
          <w:tcPr>
            <w:tcW w:w="208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0.025 (/, /)</w:t>
            </w:r>
          </w:p>
        </w:tc>
        <w:tc>
          <w:tcPr>
            <w:tcW w:w="196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0.025 (/, /)</w:t>
            </w:r>
          </w:p>
        </w:tc>
        <w:tc>
          <w:tcPr>
            <w:tcW w:w="196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0.025 (/, /)</w:t>
            </w:r>
          </w:p>
        </w:tc>
      </w:tr>
      <w:tr w:rsidR="007F7B12" w:rsidTr="0061439B">
        <w:trPr>
          <w:trHeight w:val="20"/>
          <w:jc w:val="center"/>
        </w:trPr>
        <w:tc>
          <w:tcPr>
            <w:tcW w:w="1815" w:type="dxa"/>
            <w:tcBorders>
              <w:lef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0"/>
                    <w:szCs w:val="20"/>
                  </w:rPr>
                  <m:t>b</m:t>
                </m:r>
              </m:oMath>
            </m:oMathPara>
          </w:p>
        </w:tc>
        <w:tc>
          <w:tcPr>
            <w:tcW w:w="2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0.147 (0.166, 1%)</w:t>
            </w:r>
          </w:p>
        </w:tc>
        <w:tc>
          <w:tcPr>
            <w:tcW w:w="208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0.147 (0.167, 1%)</w:t>
            </w:r>
          </w:p>
        </w:tc>
        <w:tc>
          <w:tcPr>
            <w:tcW w:w="196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0.147 (0.166, 1%)</w:t>
            </w:r>
          </w:p>
        </w:tc>
        <w:tc>
          <w:tcPr>
            <w:tcW w:w="1965" w:type="dxa"/>
            <w:tcBorders>
              <w:top w:val="single" w:sz="8" w:space="0" w:color="333333"/>
              <w:left w:val="single" w:sz="8" w:space="0" w:color="333333"/>
              <w:bottom w:val="single" w:sz="8" w:space="0" w:color="333333"/>
              <w:right w:val="single" w:sz="8" w:space="0" w:color="333333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F7B12" w:rsidRDefault="007F7B12" w:rsidP="007F7B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0.147 (0.166, 1%)</w:t>
            </w:r>
          </w:p>
        </w:tc>
      </w:tr>
    </w:tbl>
    <w:p w:rsidR="00173692" w:rsidRDefault="00C20AB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br w:type="page"/>
      </w:r>
    </w:p>
    <w:p w:rsidR="00173692" w:rsidRDefault="00C20ABE" w:rsidP="007F7B12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Fig. S4.1 Forest plots obtained with the reference model (up), the full model (middle up)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SCM (middle bottom) and SCM+ (bottom) by fitting the simulated dataset n°1 with the base model</w:t>
      </w:r>
      <w:r>
        <w:rPr>
          <w:noProof/>
          <w:lang w:val="fr-FR"/>
        </w:rPr>
        <w:drawing>
          <wp:anchor distT="114300" distB="114300" distL="114300" distR="114300" simplePos="0" relativeHeight="251658240" behindDoc="1" locked="0" layoutInCell="1" hidden="0" allowOverlap="1">
            <wp:simplePos x="0" y="0"/>
            <wp:positionH relativeFrom="column">
              <wp:posOffset>19051</wp:posOffset>
            </wp:positionH>
            <wp:positionV relativeFrom="paragraph">
              <wp:posOffset>400050</wp:posOffset>
            </wp:positionV>
            <wp:extent cx="6044184" cy="6437972"/>
            <wp:effectExtent l="0" t="0" r="0" b="0"/>
            <wp:wrapNone/>
            <wp:docPr id="8" name="image1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4184" cy="64379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73692" w:rsidRDefault="00C20AB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br w:type="page"/>
      </w:r>
    </w:p>
    <w:p w:rsidR="00173692" w:rsidRDefault="00C20ABE" w:rsidP="007F7B12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Fig. S4.2 Forest plots obtained with the reference model (up), the full model (middle up)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</w:rPr>
        <w:t>,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SCM (middle bottom) and SCM+ (bottom) by fitting the simulated dataset n°1 with the covariate model</w:t>
      </w:r>
      <w:r>
        <w:rPr>
          <w:noProof/>
          <w:lang w:val="fr-FR"/>
        </w:rPr>
        <w:drawing>
          <wp:anchor distT="114300" distB="114300" distL="114300" distR="114300" simplePos="0" relativeHeight="251659264" behindDoc="1" locked="0" layoutInCell="1" hidden="0" allowOverlap="1">
            <wp:simplePos x="0" y="0"/>
            <wp:positionH relativeFrom="column">
              <wp:posOffset>19051</wp:posOffset>
            </wp:positionH>
            <wp:positionV relativeFrom="paragraph">
              <wp:posOffset>409575</wp:posOffset>
            </wp:positionV>
            <wp:extent cx="6043613" cy="8435876"/>
            <wp:effectExtent l="0" t="0" r="0" b="0"/>
            <wp:wrapNone/>
            <wp:docPr id="1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43613" cy="843587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73692" w:rsidRDefault="00C20AB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br w:type="page"/>
      </w:r>
    </w:p>
    <w:p w:rsidR="00173692" w:rsidRDefault="00C20ABE">
      <w:pPr>
        <w:pStyle w:val="Heading2"/>
      </w:pPr>
      <w:bookmarkStart w:id="16" w:name="_onqe8ubyfxfb" w:colFirst="0" w:colLast="0"/>
      <w:bookmarkEnd w:id="16"/>
      <w:r>
        <w:lastRenderedPageBreak/>
        <w:t>Supplementary File 5</w:t>
      </w:r>
    </w:p>
    <w:p w:rsidR="00173692" w:rsidRDefault="00173692"/>
    <w:p w:rsidR="00173692" w:rsidRDefault="00C20AB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Table S5.1 Computational efficiency parameters obtained with the full model, SCM, SCM+ for the dataset n°1 simulated with the base and covariate models </w:t>
      </w:r>
    </w:p>
    <w:p w:rsidR="00173692" w:rsidRDefault="00173692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6"/>
        <w:tblW w:w="97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30"/>
        <w:gridCol w:w="1120"/>
        <w:gridCol w:w="1120"/>
        <w:gridCol w:w="1120"/>
        <w:gridCol w:w="1120"/>
        <w:gridCol w:w="1120"/>
        <w:gridCol w:w="1120"/>
      </w:tblGrid>
      <w:tr w:rsidR="00173692" w:rsidTr="0061439B">
        <w:trPr>
          <w:trHeight w:val="20"/>
        </w:trPr>
        <w:tc>
          <w:tcPr>
            <w:tcW w:w="303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17369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60" w:type="dxa"/>
            <w:gridSpan w:val="3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Base model</w:t>
            </w:r>
          </w:p>
        </w:tc>
        <w:tc>
          <w:tcPr>
            <w:tcW w:w="3360" w:type="dxa"/>
            <w:gridSpan w:val="3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Covariate model</w:t>
            </w:r>
          </w:p>
        </w:tc>
      </w:tr>
      <w:tr w:rsidR="00173692" w:rsidTr="0061439B">
        <w:trPr>
          <w:trHeight w:val="20"/>
        </w:trPr>
        <w:tc>
          <w:tcPr>
            <w:tcW w:w="3030" w:type="dxa"/>
            <w:tcBorders>
              <w:top w:val="single" w:sz="8" w:space="0" w:color="FFFFFF"/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17369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2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Full model</w:t>
            </w:r>
          </w:p>
        </w:tc>
        <w:tc>
          <w:tcPr>
            <w:tcW w:w="112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SCM</w:t>
            </w:r>
          </w:p>
        </w:tc>
        <w:tc>
          <w:tcPr>
            <w:tcW w:w="112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SCM+</w:t>
            </w:r>
          </w:p>
        </w:tc>
        <w:tc>
          <w:tcPr>
            <w:tcW w:w="112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Full model</w:t>
            </w:r>
          </w:p>
        </w:tc>
        <w:tc>
          <w:tcPr>
            <w:tcW w:w="112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SCM</w:t>
            </w:r>
          </w:p>
        </w:tc>
        <w:tc>
          <w:tcPr>
            <w:tcW w:w="112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SCM+</w:t>
            </w:r>
          </w:p>
        </w:tc>
      </w:tr>
      <w:tr w:rsidR="00173692" w:rsidTr="0061439B">
        <w:trPr>
          <w:trHeight w:val="20"/>
        </w:trPr>
        <w:tc>
          <w:tcPr>
            <w:tcW w:w="30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Total runtime (hours)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1.1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4.9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1.4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0.9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18.3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3.9</w:t>
            </w:r>
          </w:p>
        </w:tc>
      </w:tr>
      <w:tr w:rsidR="00173692" w:rsidTr="0061439B">
        <w:trPr>
          <w:trHeight w:val="20"/>
        </w:trPr>
        <w:tc>
          <w:tcPr>
            <w:tcW w:w="30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Number of NONMEM runs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53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105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81</w:t>
            </w:r>
          </w:p>
        </w:tc>
      </w:tr>
      <w:tr w:rsidR="00173692" w:rsidTr="0061439B">
        <w:trPr>
          <w:trHeight w:val="20"/>
        </w:trPr>
        <w:tc>
          <w:tcPr>
            <w:tcW w:w="30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Number of covariate-parameter relationships put aside from the set of investigated covariate-parameter relationships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173692" w:rsidTr="0061439B">
        <w:trPr>
          <w:trHeight w:val="20"/>
        </w:trPr>
        <w:tc>
          <w:tcPr>
            <w:tcW w:w="30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Number of objective function evaluations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13 804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24 526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23 371</w:t>
            </w:r>
          </w:p>
          <w:p w:rsidR="00173692" w:rsidRDefault="00173692">
            <w:pPr>
              <w:widowControl w:val="0"/>
              <w:spacing w:line="264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12 757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119 750</w:t>
            </w:r>
          </w:p>
        </w:tc>
        <w:tc>
          <w:tcPr>
            <w:tcW w:w="1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67 100</w:t>
            </w:r>
          </w:p>
        </w:tc>
      </w:tr>
    </w:tbl>
    <w:p w:rsidR="00173692" w:rsidRDefault="00173692"/>
    <w:p w:rsidR="00173692" w:rsidRDefault="00C20ABE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Table S5.2 Number of NONMEM runs executed with the full model, SCM and SCM+ across the 200 simulated dataset under the base and the covariate models </w:t>
      </w:r>
    </w:p>
    <w:p w:rsidR="00173692" w:rsidRDefault="00173692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Style w:val="a7"/>
        <w:tblW w:w="97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1130"/>
        <w:gridCol w:w="1130"/>
        <w:gridCol w:w="1130"/>
        <w:gridCol w:w="1130"/>
        <w:gridCol w:w="1130"/>
        <w:gridCol w:w="1130"/>
      </w:tblGrid>
      <w:tr w:rsidR="00173692" w:rsidTr="0061439B">
        <w:trPr>
          <w:trHeight w:val="20"/>
        </w:trPr>
        <w:tc>
          <w:tcPr>
            <w:tcW w:w="297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17369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3390" w:type="dxa"/>
            <w:gridSpan w:val="3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Base model</w:t>
            </w:r>
          </w:p>
        </w:tc>
        <w:tc>
          <w:tcPr>
            <w:tcW w:w="3390" w:type="dxa"/>
            <w:gridSpan w:val="3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Covariate model</w:t>
            </w:r>
          </w:p>
        </w:tc>
      </w:tr>
      <w:tr w:rsidR="00173692" w:rsidTr="0061439B">
        <w:trPr>
          <w:trHeight w:val="20"/>
        </w:trPr>
        <w:tc>
          <w:tcPr>
            <w:tcW w:w="2970" w:type="dxa"/>
            <w:tcBorders>
              <w:top w:val="single" w:sz="8" w:space="0" w:color="FFFFFF"/>
              <w:left w:val="single" w:sz="8" w:space="0" w:color="FFFFFF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17369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1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Full model</w:t>
            </w:r>
          </w:p>
        </w:tc>
        <w:tc>
          <w:tcPr>
            <w:tcW w:w="11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SCM</w:t>
            </w:r>
          </w:p>
        </w:tc>
        <w:tc>
          <w:tcPr>
            <w:tcW w:w="11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SCM+</w:t>
            </w:r>
          </w:p>
        </w:tc>
        <w:tc>
          <w:tcPr>
            <w:tcW w:w="11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Full model</w:t>
            </w:r>
          </w:p>
        </w:tc>
        <w:tc>
          <w:tcPr>
            <w:tcW w:w="11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SCM</w:t>
            </w:r>
          </w:p>
        </w:tc>
        <w:tc>
          <w:tcPr>
            <w:tcW w:w="113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SCM+</w:t>
            </w:r>
          </w:p>
        </w:tc>
      </w:tr>
      <w:tr w:rsidR="00173692" w:rsidTr="0061439B">
        <w:trPr>
          <w:trHeight w:val="20"/>
        </w:trPr>
        <w:tc>
          <w:tcPr>
            <w:tcW w:w="297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Number of NONMEM runs</w:t>
            </w:r>
          </w:p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Median (min - max)</w:t>
            </w:r>
          </w:p>
        </w:tc>
        <w:tc>
          <w:tcPr>
            <w:tcW w:w="1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53 </w:t>
            </w:r>
            <w:r>
              <w:rPr>
                <w:rFonts w:ascii="Times New Roman" w:eastAsia="Times New Roman" w:hAnsi="Times New Roman" w:cs="Times New Roman"/>
              </w:rPr>
              <w:br/>
              <w:t>(41 - 83)</w:t>
            </w:r>
          </w:p>
        </w:tc>
        <w:tc>
          <w:tcPr>
            <w:tcW w:w="1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43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(37 - 75) </w:t>
            </w:r>
          </w:p>
        </w:tc>
        <w:tc>
          <w:tcPr>
            <w:tcW w:w="1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</w:t>
            </w:r>
            <w:r>
              <w:rPr>
                <w:rFonts w:ascii="Times New Roman" w:eastAsia="Times New Roman" w:hAnsi="Times New Roman" w:cs="Times New Roman"/>
              </w:rPr>
              <w:br/>
              <w:t>(74 - 120)</w:t>
            </w:r>
          </w:p>
        </w:tc>
        <w:tc>
          <w:tcPr>
            <w:tcW w:w="1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69</w:t>
            </w:r>
            <w:r>
              <w:rPr>
                <w:rFonts w:ascii="Times New Roman" w:eastAsia="Times New Roman" w:hAnsi="Times New Roman" w:cs="Times New Roman"/>
              </w:rPr>
              <w:br/>
              <w:t>(52 - 98)</w:t>
            </w:r>
          </w:p>
        </w:tc>
      </w:tr>
      <w:tr w:rsidR="00173692" w:rsidTr="0061439B">
        <w:trPr>
          <w:trHeight w:val="20"/>
        </w:trPr>
        <w:tc>
          <w:tcPr>
            <w:tcW w:w="2970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Number of covariate-parameter relationships put aside from the set of investigated covariate-parameter relationships</w:t>
            </w:r>
          </w:p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Median (min-max)</w:t>
            </w:r>
          </w:p>
        </w:tc>
        <w:tc>
          <w:tcPr>
            <w:tcW w:w="1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</w:tc>
        <w:tc>
          <w:tcPr>
            <w:tcW w:w="1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</w:tc>
        <w:tc>
          <w:tcPr>
            <w:tcW w:w="1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</w:rPr>
              <w:br/>
              <w:t xml:space="preserve">(0 - 4) </w:t>
            </w:r>
          </w:p>
        </w:tc>
        <w:tc>
          <w:tcPr>
            <w:tcW w:w="1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</w:tc>
        <w:tc>
          <w:tcPr>
            <w:tcW w:w="1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/</w:t>
            </w:r>
          </w:p>
        </w:tc>
        <w:tc>
          <w:tcPr>
            <w:tcW w:w="11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73692" w:rsidRDefault="00C20ABE">
            <w:pPr>
              <w:widowControl w:val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</w:rPr>
              <w:br/>
              <w:t>(1 - 5)</w:t>
            </w:r>
          </w:p>
        </w:tc>
      </w:tr>
    </w:tbl>
    <w:p w:rsidR="00173692" w:rsidRDefault="00173692">
      <w:pPr>
        <w:rPr>
          <w:rFonts w:ascii="Times New Roman" w:eastAsia="Times New Roman" w:hAnsi="Times New Roman" w:cs="Times New Roman"/>
          <w:b/>
          <w:sz w:val="20"/>
          <w:szCs w:val="20"/>
        </w:rPr>
      </w:pPr>
    </w:p>
    <w:sectPr w:rsidR="00173692" w:rsidSect="00183F24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2240" w:h="15840"/>
      <w:pgMar w:top="1260" w:right="1440" w:bottom="1440" w:left="1440" w:header="0" w:footer="360" w:gutter="0"/>
      <w:pgNumType w:start="1"/>
      <w:cols w:space="720" w:equalWidth="0">
        <w:col w:w="9360" w:space="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95E" w:rsidRDefault="0049595E">
      <w:pPr>
        <w:spacing w:line="240" w:lineRule="auto"/>
      </w:pPr>
      <w:r>
        <w:separator/>
      </w:r>
    </w:p>
  </w:endnote>
  <w:endnote w:type="continuationSeparator" w:id="0">
    <w:p w:rsidR="0049595E" w:rsidRDefault="004959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ngsuh">
    <w:altName w:val="Times New Roman"/>
    <w:charset w:val="00"/>
    <w:family w:val="auto"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C73" w:rsidRDefault="00173C73">
    <w:pPr>
      <w:jc w:val="right"/>
    </w:pPr>
    <w:r>
      <w:rPr>
        <w:rFonts w:ascii="Times New Roman" w:eastAsia="Times New Roman" w:hAnsi="Times New Roman" w:cs="Times New Roman"/>
        <w:sz w:val="26"/>
        <w:szCs w:val="26"/>
      </w:rPr>
      <w:fldChar w:fldCharType="begin"/>
    </w:r>
    <w:r>
      <w:rPr>
        <w:rFonts w:ascii="Times New Roman" w:eastAsia="Times New Roman" w:hAnsi="Times New Roman" w:cs="Times New Roman"/>
        <w:sz w:val="26"/>
        <w:szCs w:val="26"/>
      </w:rPr>
      <w:instrText>PAGE</w:instrText>
    </w:r>
    <w:r>
      <w:rPr>
        <w:rFonts w:ascii="Times New Roman" w:eastAsia="Times New Roman" w:hAnsi="Times New Roman" w:cs="Times New Roman"/>
        <w:sz w:val="26"/>
        <w:szCs w:val="26"/>
      </w:rPr>
      <w:fldChar w:fldCharType="separate"/>
    </w:r>
    <w:r w:rsidR="007E646F">
      <w:rPr>
        <w:rFonts w:ascii="Times New Roman" w:eastAsia="Times New Roman" w:hAnsi="Times New Roman" w:cs="Times New Roman"/>
        <w:noProof/>
        <w:sz w:val="26"/>
        <w:szCs w:val="26"/>
      </w:rPr>
      <w:t>2</w:t>
    </w:r>
    <w:r>
      <w:rPr>
        <w:rFonts w:ascii="Times New Roman" w:eastAsia="Times New Roman" w:hAnsi="Times New Roman" w:cs="Times New Roman"/>
        <w:sz w:val="26"/>
        <w:szCs w:val="2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C73" w:rsidRDefault="00173C73">
    <w:pPr>
      <w:jc w:val="right"/>
      <w:rPr>
        <w:rFonts w:ascii="Times New Roman" w:eastAsia="Times New Roman" w:hAnsi="Times New Roman" w:cs="Times New Roman"/>
        <w:sz w:val="26"/>
        <w:szCs w:val="26"/>
      </w:rPr>
    </w:pPr>
    <w:r>
      <w:rPr>
        <w:rFonts w:ascii="Times New Roman" w:eastAsia="Times New Roman" w:hAnsi="Times New Roman" w:cs="Times New Roman"/>
        <w:sz w:val="26"/>
        <w:szCs w:val="26"/>
      </w:rPr>
      <w:fldChar w:fldCharType="begin"/>
    </w:r>
    <w:r>
      <w:rPr>
        <w:rFonts w:ascii="Times New Roman" w:eastAsia="Times New Roman" w:hAnsi="Times New Roman" w:cs="Times New Roman"/>
        <w:sz w:val="26"/>
        <w:szCs w:val="26"/>
      </w:rPr>
      <w:instrText>PAGE</w:instrText>
    </w:r>
    <w:r>
      <w:rPr>
        <w:rFonts w:ascii="Times New Roman" w:eastAsia="Times New Roman" w:hAnsi="Times New Roman" w:cs="Times New Roman"/>
        <w:sz w:val="26"/>
        <w:szCs w:val="26"/>
      </w:rPr>
      <w:fldChar w:fldCharType="separate"/>
    </w:r>
    <w:r w:rsidR="007E646F">
      <w:rPr>
        <w:rFonts w:ascii="Times New Roman" w:eastAsia="Times New Roman" w:hAnsi="Times New Roman" w:cs="Times New Roman"/>
        <w:noProof/>
        <w:sz w:val="26"/>
        <w:szCs w:val="26"/>
      </w:rPr>
      <w:t>1</w:t>
    </w:r>
    <w:r>
      <w:rPr>
        <w:rFonts w:ascii="Times New Roman" w:eastAsia="Times New Roman" w:hAnsi="Times New Roman" w:cs="Times New Roman"/>
        <w:sz w:val="26"/>
        <w:szCs w:val="2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C73" w:rsidRDefault="00173C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95E" w:rsidRDefault="0049595E">
      <w:pPr>
        <w:spacing w:line="240" w:lineRule="auto"/>
      </w:pPr>
      <w:r>
        <w:separator/>
      </w:r>
    </w:p>
  </w:footnote>
  <w:footnote w:type="continuationSeparator" w:id="0">
    <w:p w:rsidR="0049595E" w:rsidRDefault="004959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C73" w:rsidRDefault="00173C7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C73" w:rsidRDefault="00173C73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C73" w:rsidRDefault="00173C7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692"/>
    <w:rsid w:val="000A5E9E"/>
    <w:rsid w:val="000D5065"/>
    <w:rsid w:val="00173692"/>
    <w:rsid w:val="00173C73"/>
    <w:rsid w:val="00181FAF"/>
    <w:rsid w:val="00183F24"/>
    <w:rsid w:val="001B32F3"/>
    <w:rsid w:val="001F43FB"/>
    <w:rsid w:val="00213D78"/>
    <w:rsid w:val="00265A51"/>
    <w:rsid w:val="003D3D4C"/>
    <w:rsid w:val="00413902"/>
    <w:rsid w:val="004553F7"/>
    <w:rsid w:val="0049595E"/>
    <w:rsid w:val="00534DF5"/>
    <w:rsid w:val="006112D4"/>
    <w:rsid w:val="0061265B"/>
    <w:rsid w:val="0061439B"/>
    <w:rsid w:val="00665796"/>
    <w:rsid w:val="006C5372"/>
    <w:rsid w:val="007E646F"/>
    <w:rsid w:val="007F7B12"/>
    <w:rsid w:val="00857186"/>
    <w:rsid w:val="009423D3"/>
    <w:rsid w:val="009C7092"/>
    <w:rsid w:val="00AC5AC8"/>
    <w:rsid w:val="00C20ABE"/>
    <w:rsid w:val="00C512AC"/>
    <w:rsid w:val="00D840F1"/>
    <w:rsid w:val="00DE68FC"/>
    <w:rsid w:val="00E67E80"/>
    <w:rsid w:val="00F21B2E"/>
    <w:rsid w:val="00F3363F"/>
    <w:rsid w:val="00F7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CAB06"/>
  <w15:docId w15:val="{DECEEB24-29A7-4AA2-9396-42E4197223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jc w:val="both"/>
      <w:outlineLvl w:val="0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Heading2">
    <w:name w:val="heading 2"/>
    <w:basedOn w:val="Normal"/>
    <w:next w:val="Normal"/>
    <w:pPr>
      <w:keepNext/>
      <w:keepLines/>
      <w:jc w:val="both"/>
      <w:outlineLvl w:val="1"/>
    </w:pPr>
    <w:rPr>
      <w:rFonts w:ascii="Times New Roman" w:eastAsia="Times New Roman" w:hAnsi="Times New Roman" w:cs="Times New Roman"/>
      <w:b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jc w:val="both"/>
      <w:outlineLvl w:val="2"/>
    </w:pPr>
    <w:rPr>
      <w:rFonts w:ascii="Times New Roman" w:eastAsia="Times New Roman" w:hAnsi="Times New Roman" w:cs="Times New Roman"/>
      <w:b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 w:val="0"/>
        <w:i w:val="0"/>
      </w:rPr>
    </w:tblStylePr>
    <w:tblStylePr w:type="lastRow">
      <w:rPr>
        <w:b w:val="0"/>
        <w:i w:val="0"/>
      </w:rPr>
    </w:tblStylePr>
    <w:tblStylePr w:type="firstCol">
      <w:rPr>
        <w:b w:val="0"/>
        <w:i w:val="0"/>
      </w:rPr>
    </w:tblStylePr>
    <w:tblStylePr w:type="lastCol">
      <w:rPr>
        <w:b w:val="0"/>
        <w:i w:val="0"/>
      </w:rPr>
    </w:tblStylePr>
    <w:tblStylePr w:type="band1Vert">
      <w:rPr>
        <w:b w:val="0"/>
        <w:i w:val="0"/>
      </w:rPr>
    </w:tblStylePr>
    <w:tblStylePr w:type="band2Vert">
      <w:rPr>
        <w:b w:val="0"/>
        <w:i w:val="0"/>
      </w:rPr>
    </w:tblStylePr>
    <w:tblStylePr w:type="band1Horz">
      <w:rPr>
        <w:b w:val="0"/>
        <w:i w:val="0"/>
      </w:rPr>
    </w:tblStylePr>
    <w:tblStylePr w:type="band2Horz">
      <w:rPr>
        <w:b w:val="0"/>
        <w:i w:val="0"/>
      </w:rPr>
    </w:tblStylePr>
    <w:tblStylePr w:type="neCell">
      <w:rPr>
        <w:b w:val="0"/>
        <w:i w:val="0"/>
      </w:rPr>
    </w:tblStylePr>
    <w:tblStylePr w:type="nwCell">
      <w:rPr>
        <w:b w:val="0"/>
        <w:i w:val="0"/>
      </w:rPr>
    </w:tblStylePr>
    <w:tblStylePr w:type="seCell">
      <w:rPr>
        <w:b w:val="0"/>
        <w:i w:val="0"/>
      </w:rPr>
    </w:tblStylePr>
    <w:tblStylePr w:type="swCell">
      <w:rPr>
        <w:b w:val="0"/>
        <w:i w:val="0"/>
      </w:rPr>
    </w:tblStyle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Pr>
      <w:color w:val="000000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blStylePr w:type="firstRow">
      <w:rPr>
        <w:b w:val="0"/>
        <w:i w:val="0"/>
      </w:rPr>
    </w:tblStylePr>
    <w:tblStylePr w:type="lastRow">
      <w:rPr>
        <w:b w:val="0"/>
        <w:i w:val="0"/>
      </w:rPr>
    </w:tblStylePr>
    <w:tblStylePr w:type="firstCol">
      <w:rPr>
        <w:b w:val="0"/>
        <w:i w:val="0"/>
      </w:rPr>
    </w:tblStylePr>
    <w:tblStylePr w:type="lastCol">
      <w:rPr>
        <w:b w:val="0"/>
        <w:i w:val="0"/>
      </w:rPr>
    </w:tblStylePr>
    <w:tblStylePr w:type="band1Vert">
      <w:rPr>
        <w:b w:val="0"/>
        <w:i w:val="0"/>
      </w:rPr>
    </w:tblStylePr>
    <w:tblStylePr w:type="band2Vert">
      <w:rPr>
        <w:b w:val="0"/>
        <w:i w:val="0"/>
      </w:rPr>
    </w:tblStylePr>
    <w:tblStylePr w:type="band1Horz">
      <w:rPr>
        <w:b w:val="0"/>
        <w:i w:val="0"/>
      </w:rPr>
    </w:tblStylePr>
    <w:tblStylePr w:type="band2Horz">
      <w:rPr>
        <w:b w:val="0"/>
        <w:i w:val="0"/>
      </w:rPr>
    </w:tblStylePr>
    <w:tblStylePr w:type="neCell">
      <w:rPr>
        <w:b w:val="0"/>
        <w:i w:val="0"/>
      </w:rPr>
    </w:tblStylePr>
    <w:tblStylePr w:type="nwCell">
      <w:rPr>
        <w:b w:val="0"/>
        <w:i w:val="0"/>
      </w:rPr>
    </w:tblStylePr>
    <w:tblStylePr w:type="seCell">
      <w:rPr>
        <w:b w:val="0"/>
        <w:i w:val="0"/>
      </w:rPr>
    </w:tblStylePr>
    <w:tblStylePr w:type="swCell">
      <w:rPr>
        <w:b w:val="0"/>
        <w:i w:val="0"/>
      </w:rPr>
    </w:tblStyle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9423D3"/>
  </w:style>
  <w:style w:type="character" w:styleId="PlaceholderText">
    <w:name w:val="Placeholder Text"/>
    <w:basedOn w:val="DefaultParagraphFont"/>
    <w:uiPriority w:val="99"/>
    <w:semiHidden/>
    <w:rsid w:val="0061265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gane.philipp@inserm.fr" TargetMode="External"/><Relationship Id="rId13" Type="http://schemas.openxmlformats.org/officeDocument/2006/relationships/hyperlink" Target="mailto:sylvie.retout@roche.com" TargetMode="External"/><Relationship Id="rId18" Type="http://schemas.openxmlformats.org/officeDocument/2006/relationships/image" Target="media/image1.png"/><Relationship Id="rId26" Type="http://schemas.openxmlformats.org/officeDocument/2006/relationships/image" Target="media/image9.png"/><Relationship Id="rId3" Type="http://schemas.openxmlformats.org/officeDocument/2006/relationships/webSettings" Target="webSettings.xml"/><Relationship Id="rId21" Type="http://schemas.openxmlformats.org/officeDocument/2006/relationships/image" Target="media/image4.png"/><Relationship Id="rId34" Type="http://schemas.openxmlformats.org/officeDocument/2006/relationships/theme" Target="theme/theme1.xml"/><Relationship Id="rId7" Type="http://schemas.openxmlformats.org/officeDocument/2006/relationships/hyperlink" Target="mailto:sylvie.retout@roche.com" TargetMode="External"/><Relationship Id="rId12" Type="http://schemas.openxmlformats.org/officeDocument/2006/relationships/hyperlink" Target="https://orcid.org/0000-0002-1472-5366" TargetMode="External"/><Relationship Id="rId17" Type="http://schemas.openxmlformats.org/officeDocument/2006/relationships/hyperlink" Target="https://www.zotero.org/google-docs/?tyt6HW" TargetMode="External"/><Relationship Id="rId25" Type="http://schemas.openxmlformats.org/officeDocument/2006/relationships/image" Target="media/image8.png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www.zotero.org/google-docs/?WoSSeX" TargetMode="External"/><Relationship Id="rId20" Type="http://schemas.openxmlformats.org/officeDocument/2006/relationships/image" Target="media/image3.png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simon.buatois@roche.com" TargetMode="External"/><Relationship Id="rId11" Type="http://schemas.openxmlformats.org/officeDocument/2006/relationships/hyperlink" Target="mailto:simon.buatois@roche.com" TargetMode="External"/><Relationship Id="rId24" Type="http://schemas.openxmlformats.org/officeDocument/2006/relationships/image" Target="media/image7.png"/><Relationship Id="rId32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hyperlink" Target="https://orcid.org/0000-0002-7045-1275" TargetMode="External"/><Relationship Id="rId23" Type="http://schemas.openxmlformats.org/officeDocument/2006/relationships/image" Target="media/image6.png"/><Relationship Id="rId28" Type="http://schemas.openxmlformats.org/officeDocument/2006/relationships/header" Target="header2.xml"/><Relationship Id="rId10" Type="http://schemas.openxmlformats.org/officeDocument/2006/relationships/hyperlink" Target="https://orcid.org/0000-0001-9827-316X" TargetMode="External"/><Relationship Id="rId19" Type="http://schemas.openxmlformats.org/officeDocument/2006/relationships/image" Target="media/image2.png"/><Relationship Id="rId31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mailto:morgane.philipp@roche.com" TargetMode="External"/><Relationship Id="rId14" Type="http://schemas.openxmlformats.org/officeDocument/2006/relationships/hyperlink" Target="https://orcid.org/0000-0003-4867-8438" TargetMode="External"/><Relationship Id="rId22" Type="http://schemas.openxmlformats.org/officeDocument/2006/relationships/image" Target="media/image5.png"/><Relationship Id="rId27" Type="http://schemas.openxmlformats.org/officeDocument/2006/relationships/header" Target="header1.xml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17</Pages>
  <Words>1782</Words>
  <Characters>9804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F. Hoffmann-La Roche, Ltd.</Company>
  <LinksUpToDate>false</LinksUpToDate>
  <CharactersWithSpaces>11563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PHILIPP, Morgane {MWFQ~Paris}</dc:creator>
  <cp:lastModifiedBy>PHILIPP, Morgane {MWFQ~Paris}</cp:lastModifiedBy>
  <cp:revision>26</cp:revision>
  <dcterms:created xsi:type="dcterms:W3CDTF">2023-11-22T10:45:00Z</dcterms:created>
  <dcterms:modified xsi:type="dcterms:W3CDTF">2023-11-23T15:02:00Z</dcterms:modified>
</cp:coreProperties>
</file>