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240" w:hanging="240" w:hangingChars="1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S4.</w:t>
      </w:r>
      <w:r>
        <w:rPr>
          <w:rFonts w:ascii="Times New Roman" w:hAnsi="Times New Roman" w:cs="Times New Roman"/>
          <w:sz w:val="24"/>
        </w:rPr>
        <w:t xml:space="preserve"> Comparison of miR-221-3p expression according to patients’ characteristics </w:t>
      </w:r>
    </w:p>
    <w:tbl>
      <w:tblPr>
        <w:tblStyle w:val="4"/>
        <w:tblW w:w="1063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851"/>
        <w:gridCol w:w="2126"/>
        <w:gridCol w:w="851"/>
        <w:gridCol w:w="1842"/>
        <w:gridCol w:w="851"/>
        <w:gridCol w:w="24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Pathological characteristics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Cases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(n)</w:t>
            </w:r>
          </w:p>
        </w:tc>
        <w:tc>
          <w:tcPr>
            <w:tcW w:w="2126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miR-221-3p in Paired Noncancerous Tissues (×10</w:t>
            </w:r>
            <w:r>
              <w:rPr>
                <w:rFonts w:ascii="Times New Roman" w:hAnsi="Times New Roman" w:eastAsia="宋体" w:cs="Times New Roman"/>
                <w:kern w:val="0"/>
                <w:sz w:val="24"/>
                <w:vertAlign w:val="superscript"/>
                <w:lang w:bidi="ar"/>
              </w:rPr>
              <w:t>-2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P value</w:t>
            </w:r>
          </w:p>
        </w:tc>
        <w:tc>
          <w:tcPr>
            <w:tcW w:w="184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miR-221-3p in LC Tissues (×10</w:t>
            </w:r>
            <w:r>
              <w:rPr>
                <w:rFonts w:ascii="Times New Roman" w:hAnsi="Times New Roman" w:eastAsia="宋体" w:cs="Times New Roman"/>
                <w:kern w:val="0"/>
                <w:sz w:val="24"/>
                <w:vertAlign w:val="superscript"/>
                <w:lang w:bidi="ar"/>
              </w:rPr>
              <w:t>-2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)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P value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P value between Paired Noncancerous Tissues and LC Tissues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Total</w:t>
            </w:r>
          </w:p>
        </w:tc>
        <w:tc>
          <w:tcPr>
            <w:tcW w:w="8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20</w:t>
            </w:r>
          </w:p>
        </w:tc>
        <w:tc>
          <w:tcPr>
            <w:tcW w:w="212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0.34±0.88</w:t>
            </w:r>
          </w:p>
        </w:tc>
        <w:tc>
          <w:tcPr>
            <w:tcW w:w="8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2.10±3.66</w:t>
            </w:r>
          </w:p>
        </w:tc>
        <w:tc>
          <w:tcPr>
            <w:tcW w:w="8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0.044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Gender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0.507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0.099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Male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0.48±1.22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0.74±1.31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0.643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Female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10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0.21±0.3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3.45±4.74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0.045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Age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0.316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0.754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&lt;65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0.09±0.09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2.42±4.57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0.172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≥65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0.51±1.12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1.88±3.11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0.165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Location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0.702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0.296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Left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6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0.12±0.08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0.64±0.96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0.215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Right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0.17±0.29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2.41±3.89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0.032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T stage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0.631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lang w:bidi="ar"/>
              </w:rPr>
              <w:t xml:space="preserve">0.008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8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0.12±0.09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4.91±4.60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0.011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2/3/4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0.18±0.32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0.21±0.22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0.781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Lymph node metastasis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0.214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0.554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9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0.09±0.07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3.11±4.09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0.041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0.24±0.36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1.88±4.00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0.302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Metastasis status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0.082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0.072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16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0.14±0.24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2.54±3.99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0.023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0.26 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0.61 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TNM stage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0.097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0.763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Ⅰ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Ⅱ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0.09±0.06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2.38±3.73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0.045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Ⅲ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Ⅳ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7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0.26±0.35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1.82±4.03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0.328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b/>
                <w:kern w:val="0"/>
                <w:sz w:val="24"/>
                <w:lang w:bidi="ar"/>
              </w:rPr>
              <w:t>Tumor grading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vertAlign w:val="superscript"/>
                <w:lang w:bidi="ar"/>
              </w:rPr>
              <w:t>*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0.724 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0.990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0.10±0.10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1.90±2.57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0.427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0.18±0.30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1.94±4.15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0.198 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 No pathological grading of 1.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Data were presented as means ± Standard deviation (SD).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CF2"/>
    <w:rsid w:val="002171D3"/>
    <w:rsid w:val="00235690"/>
    <w:rsid w:val="002A2971"/>
    <w:rsid w:val="003D4D66"/>
    <w:rsid w:val="00526CCF"/>
    <w:rsid w:val="00626ADE"/>
    <w:rsid w:val="006B6D31"/>
    <w:rsid w:val="00786B42"/>
    <w:rsid w:val="007C7145"/>
    <w:rsid w:val="00913CF2"/>
    <w:rsid w:val="00A52FB9"/>
    <w:rsid w:val="00B44C2F"/>
    <w:rsid w:val="00C02E3D"/>
    <w:rsid w:val="00C364A6"/>
    <w:rsid w:val="00D722B8"/>
    <w:rsid w:val="00E35006"/>
    <w:rsid w:val="00F255C6"/>
    <w:rsid w:val="06FB1B7A"/>
    <w:rsid w:val="7EA0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198</Words>
  <Characters>1129</Characters>
  <Lines>9</Lines>
  <Paragraphs>2</Paragraphs>
  <TotalTime>12</TotalTime>
  <ScaleCrop>false</ScaleCrop>
  <LinksUpToDate>false</LinksUpToDate>
  <CharactersWithSpaces>1325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2019-11-02T11:52:00Z</dcterms:created>
  <dc:creator>181</dc:creator>
  <cp:lastModifiedBy>倪nlw</cp:lastModifiedBy>
  <dcterms:modified xsi:type="dcterms:W3CDTF">2020-06-15T01:57:25Z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