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A4018" w14:textId="77777777" w:rsidR="00E30A62" w:rsidRPr="00887B3C" w:rsidRDefault="00E30A62" w:rsidP="00E30A62">
      <w:pPr>
        <w:rPr>
          <w:b/>
          <w:sz w:val="32"/>
          <w:szCs w:val="32"/>
        </w:rPr>
      </w:pPr>
      <w:r w:rsidRPr="00887B3C">
        <w:rPr>
          <w:b/>
          <w:sz w:val="32"/>
          <w:szCs w:val="32"/>
        </w:rPr>
        <w:t>Supplem</w:t>
      </w:r>
      <w:r>
        <w:rPr>
          <w:b/>
          <w:sz w:val="32"/>
          <w:szCs w:val="32"/>
        </w:rPr>
        <w:t>e</w:t>
      </w:r>
      <w:r w:rsidRPr="00887B3C">
        <w:rPr>
          <w:b/>
          <w:sz w:val="32"/>
          <w:szCs w:val="32"/>
        </w:rPr>
        <w:t>ntary M</w:t>
      </w:r>
      <w:r>
        <w:rPr>
          <w:b/>
          <w:sz w:val="32"/>
          <w:szCs w:val="32"/>
        </w:rPr>
        <w:t>a</w:t>
      </w:r>
      <w:r w:rsidRPr="00887B3C">
        <w:rPr>
          <w:b/>
          <w:sz w:val="32"/>
          <w:szCs w:val="32"/>
        </w:rPr>
        <w:t>terial</w:t>
      </w:r>
    </w:p>
    <w:p w14:paraId="6469DCE4" w14:textId="77777777" w:rsidR="00E30A62" w:rsidRDefault="00E30A62" w:rsidP="00E30A62">
      <w:pPr>
        <w:ind w:left="720" w:hanging="720"/>
        <w:jc w:val="both"/>
        <w:rPr>
          <w:rFonts w:ascii="Arial" w:hAnsi="Arial" w:cs="Arial"/>
          <w:sz w:val="20"/>
          <w:szCs w:val="20"/>
        </w:rPr>
      </w:pPr>
    </w:p>
    <w:p w14:paraId="4C4C008D" w14:textId="77777777" w:rsidR="00E30A62" w:rsidRPr="000A799B" w:rsidRDefault="00E30A62" w:rsidP="00E30A62">
      <w:pPr>
        <w:spacing w:line="360" w:lineRule="auto"/>
        <w:jc w:val="both"/>
        <w:rPr>
          <w:b/>
        </w:rPr>
      </w:pPr>
      <w:r w:rsidRPr="000A799B">
        <w:rPr>
          <w:b/>
        </w:rPr>
        <w:t>Determination of purity and thermal stability of mAb-SCR by DLS and nanoDSF</w:t>
      </w:r>
    </w:p>
    <w:p w14:paraId="1ABE0661" w14:textId="77777777" w:rsidR="00E30A62" w:rsidRDefault="00E30A62" w:rsidP="00E30A62">
      <w:pPr>
        <w:spacing w:line="360" w:lineRule="auto"/>
        <w:jc w:val="both"/>
      </w:pPr>
      <w:r>
        <w:t>Purity and thermal stability of in-house produced mAb-SCR constructs were assessed by 2bind GmbH, Regensburg, Germany. For this, dynamic light scattering (DLS) and nano-differential scanning fluorimetry (nanoDSF) were performed. In brief, a Prometheus Panta device (NanoTemper Technologies) was used to perform a multi-parameter stability characterization of mAb-SCR samples. DLS experiments for size analysis were performed at 20°C. To determine folding and aggregation parameters by nanoDSF samples were heated up from 20°C to 95°C with a heating speed of 1°C/min. Thermal protein unfolding was measured by a spectral shift in the fluorescence emission profile of the tryptophan and tyrosine residues, measured at 350 nm. The macroaggregation of the target protein was monitored by light backscatter using the Prometheus NT.48 back-reflection optics.</w:t>
      </w:r>
    </w:p>
    <w:p w14:paraId="070772F6" w14:textId="77777777" w:rsidR="00E30A62" w:rsidRPr="00026884" w:rsidRDefault="00E30A62" w:rsidP="00E30A62">
      <w:pPr>
        <w:spacing w:line="360" w:lineRule="auto"/>
        <w:jc w:val="both"/>
      </w:pPr>
      <w:r w:rsidRPr="00FE6A55">
        <w:t>In-house produced and purified antibodies were assessed for their quali</w:t>
      </w:r>
      <w:r>
        <w:t xml:space="preserve">ty and stability </w:t>
      </w:r>
      <w:r w:rsidRPr="00FE6A55">
        <w:t xml:space="preserve">by </w:t>
      </w:r>
      <w:r>
        <w:t>DLS</w:t>
      </w:r>
      <w:r w:rsidRPr="00FE6A55">
        <w:t xml:space="preserve"> and </w:t>
      </w:r>
      <w:r>
        <w:t>nanoDSF. RTX</w:t>
      </w:r>
      <w:r w:rsidRPr="00FE6A55">
        <w:t>-SCR1920</w:t>
      </w:r>
      <w:r>
        <w:t xml:space="preserve"> (</w:t>
      </w:r>
      <w:r w:rsidRPr="000A799B">
        <w:rPr>
          <w:b/>
        </w:rPr>
        <w:t>S</w:t>
      </w:r>
      <w:r>
        <w:rPr>
          <w:b/>
        </w:rPr>
        <w:t>u</w:t>
      </w:r>
      <w:r w:rsidRPr="000A799B">
        <w:rPr>
          <w:b/>
        </w:rPr>
        <w:t>ppl</w:t>
      </w:r>
      <w:r>
        <w:t xml:space="preserve">. </w:t>
      </w:r>
      <w:r w:rsidRPr="00E91C6B">
        <w:rPr>
          <w:b/>
        </w:rPr>
        <w:t>Fig.</w:t>
      </w:r>
      <w:r>
        <w:rPr>
          <w:b/>
        </w:rPr>
        <w:t>1A</w:t>
      </w:r>
      <w:r>
        <w:t xml:space="preserve">) </w:t>
      </w:r>
      <w:r w:rsidRPr="00FE6A55">
        <w:t>and OBI-SCR1920</w:t>
      </w:r>
      <w:r>
        <w:t xml:space="preserve"> (</w:t>
      </w:r>
      <w:r w:rsidRPr="000A799B">
        <w:rPr>
          <w:b/>
        </w:rPr>
        <w:t>S</w:t>
      </w:r>
      <w:r>
        <w:rPr>
          <w:b/>
        </w:rPr>
        <w:t>u</w:t>
      </w:r>
      <w:r w:rsidRPr="000A799B">
        <w:rPr>
          <w:b/>
        </w:rPr>
        <w:t>ppl</w:t>
      </w:r>
      <w:r>
        <w:t xml:space="preserve">. </w:t>
      </w:r>
      <w:r w:rsidRPr="00E91C6B">
        <w:rPr>
          <w:b/>
        </w:rPr>
        <w:t>Fig.</w:t>
      </w:r>
      <w:r>
        <w:rPr>
          <w:b/>
        </w:rPr>
        <w:t>1</w:t>
      </w:r>
      <w:r w:rsidRPr="008A2AEE">
        <w:rPr>
          <w:b/>
        </w:rPr>
        <w:t>B</w:t>
      </w:r>
      <w:r>
        <w:t xml:space="preserve">) </w:t>
      </w:r>
      <w:r w:rsidRPr="00FE6A55">
        <w:t>were tested in th</w:t>
      </w:r>
      <w:r>
        <w:t>ree different buffer conditions. T</w:t>
      </w:r>
      <w:r w:rsidRPr="00FE6A55">
        <w:t>he unformulated sample in Tris-</w:t>
      </w:r>
      <w:r>
        <w:t xml:space="preserve">Gly-HCl elution buffer (pH 6.5; </w:t>
      </w:r>
      <w:r w:rsidRPr="008A2AEE">
        <w:rPr>
          <w:b/>
        </w:rPr>
        <w:t>blue lines in</w:t>
      </w:r>
      <w:r>
        <w:rPr>
          <w:b/>
        </w:rPr>
        <w:t xml:space="preserve"> Suppl.</w:t>
      </w:r>
      <w:r w:rsidRPr="008A2AEE">
        <w:rPr>
          <w:b/>
        </w:rPr>
        <w:t xml:space="preserve"> Fig</w:t>
      </w:r>
      <w:r>
        <w:rPr>
          <w:b/>
        </w:rPr>
        <w:t>.</w:t>
      </w:r>
      <w:r w:rsidRPr="008A2AEE">
        <w:rPr>
          <w:b/>
        </w:rPr>
        <w:t xml:space="preserve"> </w:t>
      </w:r>
      <w:r>
        <w:rPr>
          <w:b/>
        </w:rPr>
        <w:t>1</w:t>
      </w:r>
      <w:r>
        <w:t>) was compared against a sample in elution buffer with 1</w:t>
      </w:r>
      <w:r w:rsidRPr="00FE6A55">
        <w:t>:1</w:t>
      </w:r>
      <w:r>
        <w:t>,</w:t>
      </w:r>
      <w:r w:rsidRPr="00FE6A55">
        <w:t>2</w:t>
      </w:r>
      <w:r>
        <w:t>00 Trehalose, 10 mM L-His, 0.05</w:t>
      </w:r>
      <w:r w:rsidRPr="00FE6A55">
        <w:t xml:space="preserve">% (w/v) Kolliphor P188 </w:t>
      </w:r>
      <w:r>
        <w:t>(</w:t>
      </w:r>
      <w:r w:rsidRPr="008A2AEE">
        <w:rPr>
          <w:b/>
        </w:rPr>
        <w:t>red lines</w:t>
      </w:r>
      <w:r>
        <w:t xml:space="preserve">) </w:t>
      </w:r>
      <w:r w:rsidRPr="00FE6A55">
        <w:t>or as a third option elution buffer with</w:t>
      </w:r>
      <w:r>
        <w:t xml:space="preserve"> </w:t>
      </w:r>
      <w:r w:rsidRPr="00FE6A55">
        <w:t>1:1</w:t>
      </w:r>
      <w:r>
        <w:t>,</w:t>
      </w:r>
      <w:r w:rsidRPr="00FE6A55">
        <w:t>2</w:t>
      </w:r>
      <w:r>
        <w:t>00 Trehalose, 20 mM L-His, 0.05</w:t>
      </w:r>
      <w:r w:rsidRPr="00FE6A55">
        <w:t>% (w/v) Kolliphor P188</w:t>
      </w:r>
      <w:r>
        <w:t xml:space="preserve"> (</w:t>
      </w:r>
      <w:r>
        <w:rPr>
          <w:b/>
        </w:rPr>
        <w:t>green lines</w:t>
      </w:r>
      <w:r>
        <w:t>)</w:t>
      </w:r>
      <w:r w:rsidRPr="00FE6A55">
        <w:t xml:space="preserve">. DLS analyses showed that in-house produced antibodies </w:t>
      </w:r>
      <w:r>
        <w:t>were</w:t>
      </w:r>
      <w:r w:rsidRPr="00FE6A55">
        <w:t xml:space="preserve"> of acceptable</w:t>
      </w:r>
      <w:r>
        <w:t xml:space="preserve"> and sufficient</w:t>
      </w:r>
      <w:r w:rsidRPr="00FE6A55">
        <w:t xml:space="preserve"> purity. This was indicated by the sharp peaks of DLS measurement curves. </w:t>
      </w:r>
      <w:r>
        <w:t xml:space="preserve">Mean </w:t>
      </w:r>
      <w:r w:rsidRPr="00FE6A55">
        <w:t>hydro</w:t>
      </w:r>
      <w:r>
        <w:t>dynamic</w:t>
      </w:r>
      <w:r w:rsidRPr="00FE6A55">
        <w:t xml:space="preserve"> radi</w:t>
      </w:r>
      <w:r>
        <w:t>i</w:t>
      </w:r>
      <w:r w:rsidRPr="00FE6A55">
        <w:t xml:space="preserve"> b</w:t>
      </w:r>
      <w:r>
        <w:t>etween 5.93 to 6.97 nm for RTX</w:t>
      </w:r>
      <w:r w:rsidRPr="00FE6A55">
        <w:t>-SCR1920 sampl</w:t>
      </w:r>
      <w:r>
        <w:t>es (</w:t>
      </w:r>
      <w:r w:rsidRPr="000A799B">
        <w:rPr>
          <w:b/>
        </w:rPr>
        <w:t>S</w:t>
      </w:r>
      <w:r>
        <w:rPr>
          <w:b/>
        </w:rPr>
        <w:t>u</w:t>
      </w:r>
      <w:r w:rsidRPr="000A799B">
        <w:rPr>
          <w:b/>
        </w:rPr>
        <w:t>ppl</w:t>
      </w:r>
      <w:r>
        <w:t xml:space="preserve">. </w:t>
      </w:r>
      <w:r w:rsidRPr="00E91C6B">
        <w:rPr>
          <w:b/>
        </w:rPr>
        <w:t>Fig.</w:t>
      </w:r>
      <w:r>
        <w:rPr>
          <w:b/>
        </w:rPr>
        <w:t>1A</w:t>
      </w:r>
      <w:r>
        <w:t>) and 6.00 to 6.36 nm for OBI</w:t>
      </w:r>
      <w:r w:rsidRPr="00FE6A55">
        <w:t>-SCR1920 samples</w:t>
      </w:r>
      <w:r>
        <w:t xml:space="preserve"> (</w:t>
      </w:r>
      <w:r w:rsidRPr="000A799B">
        <w:rPr>
          <w:b/>
        </w:rPr>
        <w:t>Suppl</w:t>
      </w:r>
      <w:r>
        <w:t xml:space="preserve">. </w:t>
      </w:r>
      <w:r w:rsidRPr="00E91C6B">
        <w:rPr>
          <w:b/>
        </w:rPr>
        <w:t xml:space="preserve">Fig. </w:t>
      </w:r>
      <w:r>
        <w:rPr>
          <w:b/>
        </w:rPr>
        <w:t>1</w:t>
      </w:r>
      <w:r w:rsidRPr="00E91C6B">
        <w:rPr>
          <w:b/>
        </w:rPr>
        <w:t>B</w:t>
      </w:r>
      <w:r>
        <w:t>)</w:t>
      </w:r>
      <w:r w:rsidRPr="00FE6A55">
        <w:t xml:space="preserve"> w</w:t>
      </w:r>
      <w:r>
        <w:t>ere</w:t>
      </w:r>
      <w:r w:rsidRPr="00FE6A55">
        <w:t xml:space="preserve"> measured. Additional species between 100 to 10,000 nm were observed for both antibodies in all three formulation buffers. </w:t>
      </w:r>
      <w:r w:rsidRPr="00026884">
        <w:t xml:space="preserve">These higher molecular weight species </w:t>
      </w:r>
      <w:r>
        <w:t>were</w:t>
      </w:r>
      <w:r w:rsidRPr="00026884">
        <w:t xml:space="preserve"> of low abundance and therefore neglectable.</w:t>
      </w:r>
    </w:p>
    <w:p w14:paraId="43D1F1ED" w14:textId="77777777" w:rsidR="00E30A62" w:rsidRDefault="00E30A62" w:rsidP="00E30A62">
      <w:pPr>
        <w:spacing w:line="360" w:lineRule="auto"/>
        <w:jc w:val="both"/>
      </w:pPr>
      <w:r w:rsidRPr="00FE6A55">
        <w:t xml:space="preserve">Further, </w:t>
      </w:r>
      <w:r>
        <w:t>the turbidity signal determined by nanoDSF back-scatter measurements at rising temperatures served as indicator for microaggregation of the sample. One aggregation transition was observed between around 70°C and 80°C</w:t>
      </w:r>
      <w:r w:rsidDel="009B6E11">
        <w:t xml:space="preserve"> </w:t>
      </w:r>
      <w:r>
        <w:t>for all tested samples (</w:t>
      </w:r>
      <w:r w:rsidRPr="00334FF0">
        <w:rPr>
          <w:b/>
        </w:rPr>
        <w:t>Suppl</w:t>
      </w:r>
      <w:r>
        <w:t xml:space="preserve">. </w:t>
      </w:r>
      <w:r w:rsidRPr="00E91C6B">
        <w:rPr>
          <w:b/>
        </w:rPr>
        <w:t xml:space="preserve">Fig. </w:t>
      </w:r>
      <w:r>
        <w:rPr>
          <w:b/>
        </w:rPr>
        <w:t>2A</w:t>
      </w:r>
      <w:r>
        <w:t>). N</w:t>
      </w:r>
      <w:r w:rsidRPr="00FE6A55">
        <w:t>anoDSF results showed the typical biphasic thermal melting transition of antibodies with two major unfolding events that correspond</w:t>
      </w:r>
      <w:r>
        <w:t>ed</w:t>
      </w:r>
      <w:r w:rsidRPr="00FE6A55">
        <w:t xml:space="preserve"> most likely to the unfolding of individual antibody domains. One unfolding event for the C</w:t>
      </w:r>
      <w:r w:rsidRPr="00F042C9">
        <w:rPr>
          <w:vertAlign w:val="subscript"/>
        </w:rPr>
        <w:t>H</w:t>
      </w:r>
      <w:r w:rsidRPr="00FE6A55">
        <w:t>2 domain and the second for the C</w:t>
      </w:r>
      <w:r w:rsidRPr="00F042C9">
        <w:rPr>
          <w:vertAlign w:val="subscript"/>
        </w:rPr>
        <w:t>H</w:t>
      </w:r>
      <w:r w:rsidRPr="00FE6A55">
        <w:t>3 and Fab domain</w:t>
      </w:r>
      <w:r>
        <w:t xml:space="preserve">s (see subgraphs “Thermal melting, first derivative” in the </w:t>
      </w:r>
      <w:r w:rsidRPr="00A736D7">
        <w:rPr>
          <w:b/>
        </w:rPr>
        <w:t>Suppl. Fig. 2A</w:t>
      </w:r>
      <w:r>
        <w:t>)</w:t>
      </w:r>
      <w:r w:rsidRPr="00FE6A55">
        <w:t xml:space="preserve">. </w:t>
      </w:r>
    </w:p>
    <w:p w14:paraId="683AF187" w14:textId="77777777" w:rsidR="00E30A62" w:rsidRDefault="00E30A62" w:rsidP="00E30A62">
      <w:pPr>
        <w:spacing w:line="360" w:lineRule="auto"/>
        <w:jc w:val="both"/>
      </w:pPr>
      <w:r>
        <w:t>The thermal inflection points (T-IP) represent the temperatures at which approximately 50% of the sample/domain are unfolded. For RTX-SCR19</w:t>
      </w:r>
      <w:r w:rsidRPr="00FE6A55">
        <w:t>20 two unfolding transitions we</w:t>
      </w:r>
      <w:r>
        <w:t>re observed between 73.48-</w:t>
      </w:r>
      <w:r>
        <w:lastRenderedPageBreak/>
        <w:t>73.78°C and 78.57-80.73°C (</w:t>
      </w:r>
      <w:r w:rsidRPr="00334FF0">
        <w:rPr>
          <w:b/>
        </w:rPr>
        <w:t>Suppl</w:t>
      </w:r>
      <w:r>
        <w:t xml:space="preserve">. </w:t>
      </w:r>
      <w:r w:rsidRPr="00E91C6B">
        <w:rPr>
          <w:b/>
        </w:rPr>
        <w:t xml:space="preserve">Fig. </w:t>
      </w:r>
      <w:r>
        <w:rPr>
          <w:b/>
        </w:rPr>
        <w:t>2A</w:t>
      </w:r>
      <w:r>
        <w:t>). For OBI-SCR19</w:t>
      </w:r>
      <w:r w:rsidRPr="00FE6A55">
        <w:t>20 one broad unfolding transition w</w:t>
      </w:r>
      <w:r>
        <w:t>as observed between 76.40-76.51</w:t>
      </w:r>
      <w:r w:rsidRPr="00FE6A55">
        <w:t>°C for samples 1 and 2 and two unfolding transitions were observed fo</w:t>
      </w:r>
      <w:r>
        <w:t>r sample 3 (74.45</w:t>
      </w:r>
      <w:r w:rsidRPr="00FE6A55">
        <w:t>°C and 79.41°C</w:t>
      </w:r>
      <w:r>
        <w:t>;</w:t>
      </w:r>
      <w:r w:rsidRPr="0063656F">
        <w:t xml:space="preserve"> </w:t>
      </w:r>
      <w:r>
        <w:t>(</w:t>
      </w:r>
      <w:r w:rsidRPr="00334FF0">
        <w:rPr>
          <w:b/>
        </w:rPr>
        <w:t>Suppl</w:t>
      </w:r>
      <w:r>
        <w:t xml:space="preserve">. </w:t>
      </w:r>
      <w:r w:rsidRPr="00E91C6B">
        <w:rPr>
          <w:b/>
        </w:rPr>
        <w:t xml:space="preserve">Fig. </w:t>
      </w:r>
      <w:r>
        <w:rPr>
          <w:b/>
        </w:rPr>
        <w:t>2B</w:t>
      </w:r>
      <w:r w:rsidRPr="00FE6A55">
        <w:t>)</w:t>
      </w:r>
      <w:r>
        <w:t>)</w:t>
      </w:r>
      <w:r w:rsidRPr="00FE6A55">
        <w:t xml:space="preserve">. </w:t>
      </w:r>
      <w:r w:rsidRPr="00026884">
        <w:t xml:space="preserve">This difference in sample 3 </w:t>
      </w:r>
      <w:r>
        <w:t xml:space="preserve">was associated </w:t>
      </w:r>
      <w:r w:rsidRPr="00026884">
        <w:t>to</w:t>
      </w:r>
      <w:r>
        <w:t xml:space="preserve"> the higher concentration of this sample</w:t>
      </w:r>
      <w:r w:rsidRPr="00026884">
        <w:t>.</w:t>
      </w:r>
      <w:r>
        <w:t xml:space="preserve"> The signal-to-noise level of all unfolding transitions sufficiently low and the unfolding transition temperatures could be determined with high accuracy. The unfolding inflection point values were similar for the three tested buffer conditions.</w:t>
      </w:r>
    </w:p>
    <w:p w14:paraId="3850BF7B" w14:textId="77777777" w:rsidR="00E30A62" w:rsidRDefault="00E30A62" w:rsidP="00E30A62">
      <w:pPr>
        <w:jc w:val="both"/>
        <w:rPr>
          <w:rFonts w:ascii="Arial" w:hAnsi="Arial" w:cs="Arial"/>
          <w:sz w:val="20"/>
          <w:szCs w:val="20"/>
        </w:rPr>
      </w:pPr>
    </w:p>
    <w:p w14:paraId="0CCE99B1" w14:textId="77777777" w:rsidR="00E30A62" w:rsidRPr="009E4B5D" w:rsidRDefault="00E30A62" w:rsidP="00E30A62">
      <w:pPr>
        <w:spacing w:line="360" w:lineRule="auto"/>
        <w:jc w:val="both"/>
        <w:rPr>
          <w:b/>
        </w:rPr>
      </w:pPr>
      <w:r w:rsidRPr="009E4B5D">
        <w:rPr>
          <w:b/>
        </w:rPr>
        <w:t>Antigen binding capacity of SCR-fusion constructs is not impaired compared to the parental antibody</w:t>
      </w:r>
    </w:p>
    <w:p w14:paraId="6CEAE421" w14:textId="77777777" w:rsidR="00E30A62" w:rsidRDefault="00E30A62" w:rsidP="00E30A62">
      <w:pPr>
        <w:spacing w:line="360" w:lineRule="auto"/>
        <w:jc w:val="both"/>
      </w:pPr>
      <w:r w:rsidRPr="009E4B5D">
        <w:t>The CD20 binding capacity of RTX-SCR constructs was tested on 2x10</w:t>
      </w:r>
      <w:r w:rsidRPr="009E4B5D">
        <w:rPr>
          <w:vertAlign w:val="superscript"/>
        </w:rPr>
        <w:t>5</w:t>
      </w:r>
      <w:r w:rsidRPr="009E4B5D">
        <w:t xml:space="preserve"> CLL PBMCs</w:t>
      </w:r>
      <w:r>
        <w:t xml:space="preserve"> of three different patients</w:t>
      </w:r>
      <w:r w:rsidRPr="009E4B5D">
        <w:t xml:space="preserve">. The samples were treated with 5 μg RTX clinic, RTX in-house, RTX-SCR1920 or RTX-SCR1112 and incubated for 30 min at 4°C. After washing, the surface bound RTX was detected with a polyclonal rabbit anti-human IgG-FITC </w:t>
      </w:r>
      <w:r>
        <w:t xml:space="preserve">(Agilent Technologies) </w:t>
      </w:r>
      <w:r w:rsidRPr="009E4B5D">
        <w:t>conjugated secondary antibody (incubation 30 min, 4°C). The mean fluorescence intensity (MFI) of the FITC-positive po</w:t>
      </w:r>
      <w:r w:rsidRPr="00831A86">
        <w:t>pulation was determined by flow-</w:t>
      </w:r>
      <w:r w:rsidRPr="009E4B5D">
        <w:t>cytometry.</w:t>
      </w:r>
    </w:p>
    <w:p w14:paraId="0A3EB51C" w14:textId="77777777" w:rsidR="00E30A62" w:rsidRDefault="00E30A62" w:rsidP="00E30A62">
      <w:pPr>
        <w:spacing w:line="360" w:lineRule="auto"/>
        <w:jc w:val="both"/>
      </w:pPr>
      <w:r w:rsidRPr="00300082">
        <w:t>As patients differ in their CD20 surface expression, the MFIs varied between the three tested PBMC samples. The mean and SD were calculated and the statistical significance was analyzed by ordinary one-way ANOVA and a subsequent Tukey’s multi</w:t>
      </w:r>
      <w:r>
        <w:t>ple comparisons test (</w:t>
      </w:r>
      <w:r w:rsidRPr="009E4B5D">
        <w:rPr>
          <w:b/>
        </w:rPr>
        <w:t>Suppl. Fig. 3</w:t>
      </w:r>
      <w:r w:rsidRPr="00300082">
        <w:t>). The antigen binding capacity did not differ significantly between the clinically used RTX, the in-house produced RTX, RTX-SCR1920 and RTX-SCR1112. Therefore, different binding capacities can be excluded as a reason for different target cell lysis capacities.</w:t>
      </w:r>
    </w:p>
    <w:p w14:paraId="22B6B509" w14:textId="77777777" w:rsidR="00E30A62" w:rsidRDefault="00E30A62" w:rsidP="00E30A62">
      <w:pPr>
        <w:spacing w:line="360" w:lineRule="auto"/>
        <w:jc w:val="both"/>
      </w:pPr>
    </w:p>
    <w:p w14:paraId="564BE725" w14:textId="77777777" w:rsidR="00E30A62" w:rsidRPr="002C28D1" w:rsidRDefault="00E30A62" w:rsidP="00E30A62">
      <w:pPr>
        <w:spacing w:line="360" w:lineRule="auto"/>
        <w:jc w:val="both"/>
        <w:rPr>
          <w:b/>
        </w:rPr>
      </w:pPr>
      <w:r w:rsidRPr="002C28D1">
        <w:rPr>
          <w:b/>
        </w:rPr>
        <w:t xml:space="preserve">Verification of </w:t>
      </w:r>
      <w:r w:rsidRPr="002C28D1">
        <w:rPr>
          <w:b/>
          <w:i/>
        </w:rPr>
        <w:t>in vitro</w:t>
      </w:r>
      <w:r w:rsidRPr="002C28D1">
        <w:rPr>
          <w:b/>
        </w:rPr>
        <w:t xml:space="preserve"> NK cell depletion in CLL PBMCs by flow-cytometry</w:t>
      </w:r>
    </w:p>
    <w:p w14:paraId="38EF5E38" w14:textId="77777777" w:rsidR="00E30A62" w:rsidRDefault="00E30A62" w:rsidP="00E30A62">
      <w:pPr>
        <w:spacing w:line="360" w:lineRule="auto"/>
        <w:jc w:val="both"/>
      </w:pPr>
      <w:r>
        <w:t>The depletion of NK cells from CLL PBMCs was confirmed by staining PBMCs pre and post depletion with BD multitest CD3 FITC / CD16 PE + CD56 PE / CD45 PerCP / CD19 APC according to manufacturer’s recommendations (BD Biosciences).</w:t>
      </w:r>
    </w:p>
    <w:p w14:paraId="51FE53C6" w14:textId="77777777" w:rsidR="00E30A62" w:rsidRPr="002C28D1" w:rsidRDefault="00E30A62" w:rsidP="00E30A62">
      <w:pPr>
        <w:spacing w:line="360" w:lineRule="auto"/>
        <w:jc w:val="both"/>
      </w:pPr>
      <w:r>
        <w:t xml:space="preserve">CD16+CD56+ PE-stained cells were quantified and compared. </w:t>
      </w:r>
      <w:r w:rsidRPr="002C28D1">
        <w:rPr>
          <w:b/>
        </w:rPr>
        <w:t>Suppl. Fig. 4</w:t>
      </w:r>
      <w:r>
        <w:rPr>
          <w:b/>
        </w:rPr>
        <w:t xml:space="preserve"> </w:t>
      </w:r>
      <w:r w:rsidRPr="00816DC1">
        <w:t>shows a representative sample of a patient.</w:t>
      </w:r>
      <w:r>
        <w:t xml:space="preserve"> The proportion of NK cells decreased from 11.3% of the overall lymphocyte count before treatment to 0.52% after NK depletion, corresponding to a decreased NK cell count of approximately 95%. </w:t>
      </w:r>
    </w:p>
    <w:p w14:paraId="0174B2C6" w14:textId="77777777" w:rsidR="00833D74" w:rsidRDefault="00833D74"/>
    <w:sectPr w:rsidR="00833D74" w:rsidSect="00C1009C">
      <w:footerReference w:type="default" r:id="rId4"/>
      <w:pgSz w:w="12240" w:h="15840"/>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6055787"/>
      <w:docPartObj>
        <w:docPartGallery w:val="Page Numbers (Bottom of Page)"/>
        <w:docPartUnique/>
      </w:docPartObj>
    </w:sdtPr>
    <w:sdtEndPr/>
    <w:sdtContent>
      <w:p w14:paraId="24E0AD12" w14:textId="77777777" w:rsidR="00E15F53" w:rsidRDefault="00E30A62">
        <w:pPr>
          <w:pStyle w:val="Footer"/>
          <w:jc w:val="right"/>
        </w:pPr>
        <w:r>
          <w:fldChar w:fldCharType="begin"/>
        </w:r>
        <w:r>
          <w:instrText>PAGE   \* MERGEFORMAT</w:instrText>
        </w:r>
        <w:r>
          <w:fldChar w:fldCharType="separate"/>
        </w:r>
        <w:r w:rsidRPr="00800863">
          <w:rPr>
            <w:noProof/>
            <w:lang w:val="de-DE"/>
          </w:rPr>
          <w:t>1</w:t>
        </w:r>
        <w:r>
          <w:fldChar w:fldCharType="end"/>
        </w:r>
      </w:p>
    </w:sdtContent>
  </w:sdt>
  <w:p w14:paraId="5A5C52B8" w14:textId="77777777" w:rsidR="00E15F53" w:rsidRDefault="00E30A62">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62"/>
    <w:rsid w:val="001942F0"/>
    <w:rsid w:val="002C0857"/>
    <w:rsid w:val="003F01F8"/>
    <w:rsid w:val="00833D74"/>
    <w:rsid w:val="00884728"/>
    <w:rsid w:val="008E2845"/>
    <w:rsid w:val="00D00B5E"/>
    <w:rsid w:val="00E30A62"/>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E461"/>
  <w15:chartTrackingRefBased/>
  <w15:docId w15:val="{C19C6078-E450-47F5-8B99-17C5E0F9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0A62"/>
    <w:pPr>
      <w:tabs>
        <w:tab w:val="center" w:pos="4703"/>
        <w:tab w:val="right" w:pos="9406"/>
      </w:tabs>
      <w:spacing w:after="0" w:line="240" w:lineRule="auto"/>
    </w:pPr>
  </w:style>
  <w:style w:type="character" w:customStyle="1" w:styleId="FooterChar">
    <w:name w:val="Footer Char"/>
    <w:basedOn w:val="DefaultParagraphFont"/>
    <w:link w:val="Footer"/>
    <w:uiPriority w:val="99"/>
    <w:rsid w:val="00E30A62"/>
  </w:style>
  <w:style w:type="character" w:styleId="LineNumber">
    <w:name w:val="line number"/>
    <w:basedOn w:val="DefaultParagraphFont"/>
    <w:uiPriority w:val="99"/>
    <w:semiHidden/>
    <w:unhideWhenUsed/>
    <w:rsid w:val="00E3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4407</Characters>
  <Application>Microsoft Office Word</Application>
  <DocSecurity>0</DocSecurity>
  <Lines>36</Lines>
  <Paragraphs>10</Paragraphs>
  <ScaleCrop>false</ScaleCrop>
  <Company>Springer Nature</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2023-11-29T17:02:00Z</dcterms:created>
  <dcterms:modified xsi:type="dcterms:W3CDTF">2023-11-29T17:02:00Z</dcterms:modified>
</cp:coreProperties>
</file>