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2D8EFF" w14:textId="77777777" w:rsidR="00221A66" w:rsidRDefault="00000000">
      <w:pPr>
        <w:pStyle w:val="Heading1"/>
        <w:rPr>
          <w:b w:val="0"/>
        </w:rPr>
      </w:pPr>
      <w:bookmarkStart w:id="0" w:name="_58d0sw6u6jt9" w:colFirst="0" w:colLast="0"/>
      <w:bookmarkEnd w:id="0"/>
      <w:r>
        <w:t>ADDITIONAL INFORMATION</w:t>
      </w:r>
    </w:p>
    <w:p w14:paraId="3AD3A581" w14:textId="77777777" w:rsidR="00221A66" w:rsidRDefault="00000000">
      <w:pPr>
        <w:rPr>
          <w:b w:val="0"/>
        </w:rPr>
      </w:pPr>
      <w:r>
        <w:rPr>
          <w:b w:val="0"/>
          <w:noProof/>
        </w:rPr>
        <w:drawing>
          <wp:inline distT="114300" distB="114300" distL="114300" distR="114300" wp14:anchorId="35115983" wp14:editId="75A3CD0E">
            <wp:extent cx="5943600" cy="5207000"/>
            <wp:effectExtent l="0" t="0" r="0" b="0"/>
            <wp:docPr id="8"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6"/>
                    <a:srcRect/>
                    <a:stretch>
                      <a:fillRect/>
                    </a:stretch>
                  </pic:blipFill>
                  <pic:spPr>
                    <a:xfrm>
                      <a:off x="0" y="0"/>
                      <a:ext cx="5943600" cy="5207000"/>
                    </a:xfrm>
                    <a:prstGeom prst="rect">
                      <a:avLst/>
                    </a:prstGeom>
                    <a:ln/>
                  </pic:spPr>
                </pic:pic>
              </a:graphicData>
            </a:graphic>
          </wp:inline>
        </w:drawing>
      </w:r>
    </w:p>
    <w:p w14:paraId="648109AC" w14:textId="77777777" w:rsidR="00221A66" w:rsidRDefault="00000000">
      <w:pPr>
        <w:rPr>
          <w:b w:val="0"/>
        </w:rPr>
      </w:pPr>
      <w:r>
        <w:t xml:space="preserve">Extended Data Fig. 1 | Motoneuron firing is robust to parameter changes after a lesion. a-c, </w:t>
      </w:r>
      <w:r>
        <w:rPr>
          <w:b w:val="0"/>
        </w:rPr>
        <w:t xml:space="preserve">Changes up to </w:t>
      </w:r>
      <m:oMath>
        <m:r>
          <m:rPr>
            <m:sty m:val="bi"/>
          </m:rPr>
          <w:rPr>
            <w:rFonts w:ascii="Cambria Math" w:eastAsia="Cambria Math" w:hAnsi="Cambria Math" w:cs="Cambria Math"/>
          </w:rPr>
          <m:t>±10%</m:t>
        </m:r>
      </m:oMath>
      <w:r>
        <w:t xml:space="preserve"> </w:t>
      </w:r>
      <w:r>
        <w:rPr>
          <w:b w:val="0"/>
        </w:rPr>
        <w:t>in key parameters of the model (mean synaptic weight from residual supraspinal fibers to motoneurons (</w:t>
      </w:r>
      <w:r>
        <w:t>a</w:t>
      </w:r>
      <w:r>
        <w:rPr>
          <w:b w:val="0"/>
        </w:rPr>
        <w:t>)</w:t>
      </w:r>
      <w:r>
        <w:t xml:space="preserve">, </w:t>
      </w:r>
      <w:r>
        <w:rPr>
          <w:b w:val="0"/>
        </w:rPr>
        <w:t>mean synaptic weight from sensory fibers to motoneurons</w:t>
      </w:r>
      <w:r>
        <w:t xml:space="preserve"> </w:t>
      </w:r>
      <w:r>
        <w:rPr>
          <w:b w:val="0"/>
        </w:rPr>
        <w:t>(</w:t>
      </w:r>
      <w:r>
        <w:t>b</w:t>
      </w:r>
      <w:r>
        <w:rPr>
          <w:b w:val="0"/>
        </w:rPr>
        <w:t>) and the conductivity of the N-type Ca2+ ion channel (</w:t>
      </w:r>
      <w:r>
        <w:t>c</w:t>
      </w:r>
      <w:r>
        <w:rPr>
          <w:b w:val="0"/>
        </w:rPr>
        <w:t xml:space="preserve">)) do not produce dramatic changes in motoneuron firing rate, thereby indicating that the model is robust to changes in key parameters. </w:t>
      </w:r>
      <w:r>
        <w:t xml:space="preserve">d, </w:t>
      </w:r>
      <w:r>
        <w:rPr>
          <w:b w:val="0"/>
        </w:rPr>
        <w:t xml:space="preserve">Normalized ISI probability distribution for the different modifications of the key parameters in </w:t>
      </w:r>
      <w:r>
        <w:t>a-c</w:t>
      </w:r>
      <w:r>
        <w:rPr>
          <w:b w:val="0"/>
        </w:rPr>
        <w:t>. The transformation of subthreshold SCS-pulses in suprathreshold events do not depend on the fine tuning of these parameters.</w:t>
      </w:r>
    </w:p>
    <w:p w14:paraId="455CF416" w14:textId="77777777" w:rsidR="00221A66" w:rsidRDefault="00000000">
      <w:r>
        <w:rPr>
          <w:b w:val="0"/>
          <w:noProof/>
        </w:rPr>
        <w:lastRenderedPageBreak/>
        <w:drawing>
          <wp:inline distT="114300" distB="114300" distL="114300" distR="114300" wp14:anchorId="27FE8374" wp14:editId="6A05CC3C">
            <wp:extent cx="5943600" cy="6997700"/>
            <wp:effectExtent l="0" t="0" r="0" b="0"/>
            <wp:docPr id="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5943600" cy="6997700"/>
                    </a:xfrm>
                    <a:prstGeom prst="rect">
                      <a:avLst/>
                    </a:prstGeom>
                    <a:ln/>
                  </pic:spPr>
                </pic:pic>
              </a:graphicData>
            </a:graphic>
          </wp:inline>
        </w:drawing>
      </w:r>
      <w:r>
        <w:t xml:space="preserve">Extended Data Fig. 2 | Motoneuron ion channel dynamics in our biophysical model. a, </w:t>
      </w:r>
      <w:r>
        <w:rPr>
          <w:b w:val="0"/>
        </w:rPr>
        <w:t xml:space="preserve">Ion currents of a single motoneuron in response to different SCS frequencies (same amplitude, 50%) along with the motoneuron membrane potential during concurrent innervation of residual supraspinal inputs (gray). Ionic currents: L-type Ca2+ (Ical), Ca2+-activated K (Ikca), delayed rectifier K+ (Ikrect), N-type Ca2+ (Ican), and nonlinear fast Na+ (Ina). At low stimulation frequencies (&lt;19 Hz), motoneurons generate action potentials with concurrent supraspinal input </w:t>
      </w:r>
      <w:r>
        <w:rPr>
          <w:b w:val="0"/>
        </w:rPr>
        <w:lastRenderedPageBreak/>
        <w:t xml:space="preserve">for each stimulation pulse. At higher frequencies, motoneurons skip some stimulation pulses due to N-type Ca2+ slow time dynamics. </w:t>
      </w:r>
      <w:r>
        <w:t>b</w:t>
      </w:r>
      <w:r>
        <w:rPr>
          <w:b w:val="0"/>
        </w:rPr>
        <w:t xml:space="preserve">, Ion currents of the same motoneuron at 45 Hz SCS (50% amplitude) for different conductances of the N-type Ca2+ ion channel. Setting the conductance close to 0 relaxes N-type Ca2+ dynamics constraints. Consequently, less rectifier K+ ions leave the membrane to stabilize the motoneuron membrane potential, leading to a shorter refractory period in the overall motoneuron membrane and producing more action potentials following each stimulation pulse. </w:t>
      </w:r>
      <w:r>
        <w:t>c</w:t>
      </w:r>
      <w:r>
        <w:rPr>
          <w:b w:val="0"/>
        </w:rPr>
        <w:t xml:space="preserve">, Ion current of the N-type Ca2+ ion channel varying its conductance and its resulting membrane potential. When membrane dynamics allow the entrance of N-type Ca2+ ions, a cascade of Ca2+-activated K ions respond proportionally to counteract this entrance, leading to exaggerated refractory periods in the motoneuron membrane. Arrows indicate stimulation pulses. </w:t>
      </w:r>
    </w:p>
    <w:p w14:paraId="1A0CB95A" w14:textId="77777777" w:rsidR="00221A66" w:rsidRDefault="00221A66"/>
    <w:p w14:paraId="752F5E80" w14:textId="77777777" w:rsidR="00221A66" w:rsidRDefault="00000000">
      <w:pPr>
        <w:pStyle w:val="Heading3"/>
      </w:pPr>
      <w:bookmarkStart w:id="1" w:name="_a23jcrysdp5s" w:colFirst="0" w:colLast="0"/>
      <w:bookmarkEnd w:id="1"/>
      <w:r>
        <w:rPr>
          <w:noProof/>
        </w:rPr>
        <w:lastRenderedPageBreak/>
        <w:drawing>
          <wp:inline distT="114300" distB="114300" distL="114300" distR="114300" wp14:anchorId="7B79047E" wp14:editId="6CAE48C9">
            <wp:extent cx="5943600" cy="3556000"/>
            <wp:effectExtent l="0" t="0" r="0" b="0"/>
            <wp:docPr id="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5943600" cy="3556000"/>
                    </a:xfrm>
                    <a:prstGeom prst="rect">
                      <a:avLst/>
                    </a:prstGeom>
                    <a:ln/>
                  </pic:spPr>
                </pic:pic>
              </a:graphicData>
            </a:graphic>
          </wp:inline>
        </w:drawing>
      </w:r>
      <w:r>
        <w:t xml:space="preserve">Extended Data Fig. 3 | Motoneuron firing rate increases non-monotonically with SCS frequency. a, </w:t>
      </w:r>
      <w:r>
        <w:rPr>
          <w:b w:val="0"/>
        </w:rPr>
        <w:t xml:space="preserve">Normalized ISI probability distribution of a motoneuron pool prior to the lesion (i.e., without SCS) showing no peaks at integer numbers. For comparison purposes with panel </w:t>
      </w:r>
      <w:r>
        <w:t>b</w:t>
      </w:r>
      <w:r>
        <w:rPr>
          <w:b w:val="0"/>
        </w:rPr>
        <w:t xml:space="preserve">, the time is set in SCS pulses units with a stimulation frequency of 45 Hz. </w:t>
      </w:r>
      <w:r>
        <w:t xml:space="preserve">b, </w:t>
      </w:r>
      <w:r>
        <w:rPr>
          <w:b w:val="0"/>
        </w:rPr>
        <w:t xml:space="preserve">Normalized ISI probability distribution of the same motoneuron pool during SCS alone (45 Hz, 50% amplitude). Spikes reliably follow SCS pulses. </w:t>
      </w:r>
      <w:r>
        <w:t>c,</w:t>
      </w:r>
      <w:r>
        <w:rPr>
          <w:b w:val="0"/>
        </w:rPr>
        <w:t xml:space="preserve"> Firing rates of a pool of motoneurons as a function of SCS frequencies (constant 60% amplitude). Motoneurons are concurrently receiving excitatory inputs from residual supraspinal fibers. </w:t>
      </w:r>
      <w:r>
        <w:t>d-g,</w:t>
      </w:r>
      <w:r>
        <w:rPr>
          <w:b w:val="0"/>
        </w:rPr>
        <w:t xml:space="preserve"> Normalized ISI probability distribution of a motoneuron pool in SCS pulses units for different SCS frequencies: 19 (</w:t>
      </w:r>
      <w:r>
        <w:t>d</w:t>
      </w:r>
      <w:r>
        <w:rPr>
          <w:b w:val="0"/>
        </w:rPr>
        <w:t>), 29 (</w:t>
      </w:r>
      <w:r>
        <w:t>e</w:t>
      </w:r>
      <w:r>
        <w:rPr>
          <w:b w:val="0"/>
        </w:rPr>
        <w:t>), 45 (</w:t>
      </w:r>
      <w:r>
        <w:t>f</w:t>
      </w:r>
      <w:r>
        <w:rPr>
          <w:b w:val="0"/>
        </w:rPr>
        <w:t>) and 60 (</w:t>
      </w:r>
      <w:r>
        <w:t>g</w:t>
      </w:r>
      <w:r>
        <w:rPr>
          <w:b w:val="0"/>
        </w:rPr>
        <w:t xml:space="preserve">) Hz (note arrows in </w:t>
      </w:r>
      <w:r>
        <w:t>c</w:t>
      </w:r>
      <w:r>
        <w:rPr>
          <w:b w:val="0"/>
        </w:rPr>
        <w:t>). The different peaks in the normalized ISI probability distribution are a consequence of transforming SCS pulses into action potentials in the motoneuron membrane. In general, motoneuron firing rate increases with SCS frequency (</w:t>
      </w:r>
      <w:r>
        <w:t>c</w:t>
      </w:r>
      <w:r>
        <w:rPr>
          <w:b w:val="0"/>
        </w:rPr>
        <w:t xml:space="preserve">). However, when motoneurons are unable to produce an action potential for each SCS pulse, the firing rate drops (see arrows </w:t>
      </w:r>
      <w:r>
        <w:t>e</w:t>
      </w:r>
      <w:r>
        <w:rPr>
          <w:b w:val="0"/>
        </w:rPr>
        <w:t xml:space="preserve"> and </w:t>
      </w:r>
      <w:r>
        <w:t>g</w:t>
      </w:r>
      <w:r>
        <w:rPr>
          <w:b w:val="0"/>
        </w:rPr>
        <w:t xml:space="preserve"> in panel </w:t>
      </w:r>
      <w:r>
        <w:t>c</w:t>
      </w:r>
      <w:r>
        <w:rPr>
          <w:b w:val="0"/>
        </w:rPr>
        <w:t xml:space="preserve">). Given the membrane dynamics, following an action potential, there is a refractory period that sets the ISI greater than the interpulse interval (IPI) and motoneurons skip SCS pulses. This skipping effectively decreases the firing rate of the motoneuron pool. Hence, in the local maximum marked with the </w:t>
      </w:r>
      <w:r>
        <w:t>d</w:t>
      </w:r>
      <w:r>
        <w:rPr>
          <w:b w:val="0"/>
        </w:rPr>
        <w:t xml:space="preserve"> arrow, the ISI is the same as the IPI (</w:t>
      </w:r>
      <w:r>
        <w:t>d</w:t>
      </w:r>
      <w:r>
        <w:rPr>
          <w:b w:val="0"/>
        </w:rPr>
        <w:t>) (i.e., all SCS pulses trigger an action potential) while the minimum coincides where almost all motoneurons skip one pulse (</w:t>
      </w:r>
      <w:r>
        <w:t>e</w:t>
      </w:r>
      <w:r>
        <w:rPr>
          <w:b w:val="0"/>
        </w:rPr>
        <w:t>). However, the IPI decreases with higher SCS frequencies, producing an increase in firing rate between point (</w:t>
      </w:r>
      <w:r>
        <w:t>e</w:t>
      </w:r>
      <w:r>
        <w:rPr>
          <w:b w:val="0"/>
        </w:rPr>
        <w:t>) and (</w:t>
      </w:r>
      <w:r>
        <w:t>g</w:t>
      </w:r>
      <w:r>
        <w:rPr>
          <w:b w:val="0"/>
        </w:rPr>
        <w:t>). There is another local maximum in firing rate when motoneurons skip two SCS pulses (</w:t>
      </w:r>
      <w:r>
        <w:t>f</w:t>
      </w:r>
      <w:r>
        <w:rPr>
          <w:b w:val="0"/>
        </w:rPr>
        <w:t>), while again the minimum coincides where most motoneurons skip two pulses (</w:t>
      </w:r>
      <w:r>
        <w:t>g</w:t>
      </w:r>
      <w:r>
        <w:rPr>
          <w:b w:val="0"/>
        </w:rPr>
        <w:t>). Finally, at increasing SCS frequencies, the firing rate of the pool increases consequently.</w:t>
      </w:r>
      <w:r>
        <w:br w:type="page"/>
      </w:r>
    </w:p>
    <w:p w14:paraId="3549462B" w14:textId="77777777" w:rsidR="00221A66" w:rsidRDefault="00000000">
      <w:r>
        <w:rPr>
          <w:noProof/>
        </w:rPr>
        <w:lastRenderedPageBreak/>
        <w:drawing>
          <wp:inline distT="114300" distB="114300" distL="114300" distR="114300" wp14:anchorId="752B4053" wp14:editId="174FB35B">
            <wp:extent cx="5943600" cy="3162300"/>
            <wp:effectExtent l="0" t="0" r="0" b="0"/>
            <wp:docPr id="1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5943600" cy="3162300"/>
                    </a:xfrm>
                    <a:prstGeom prst="rect">
                      <a:avLst/>
                    </a:prstGeom>
                    <a:ln/>
                  </pic:spPr>
                </pic:pic>
              </a:graphicData>
            </a:graphic>
          </wp:inline>
        </w:drawing>
      </w:r>
    </w:p>
    <w:p w14:paraId="5715A83A" w14:textId="77777777" w:rsidR="00221A66" w:rsidRDefault="00000000">
      <w:r>
        <w:t>Extended Data Fig. 4 | Simulations of SCS parameter regimes in an isometric task. a</w:t>
      </w:r>
      <w:r>
        <w:rPr>
          <w:b w:val="0"/>
        </w:rPr>
        <w:t xml:space="preserve">, Simulation of a pool of motoneuron pool during a maximum voluntary contraction task during phasic activation of supraspinal fibers (2 seconds active, 2 seconds inactive). Traces represent the normalized force (top), motoneuron pool firing rate (middle), supraspinal input count (bottom) in a pre- (gray) and postlesion (black) system. </w:t>
      </w:r>
      <w:r>
        <w:t>b</w:t>
      </w:r>
      <w:r>
        <w:rPr>
          <w:b w:val="0"/>
        </w:rPr>
        <w:t xml:space="preserve">, Same as </w:t>
      </w:r>
      <w:r>
        <w:t>c</w:t>
      </w:r>
      <w:r>
        <w:rPr>
          <w:b w:val="0"/>
        </w:rPr>
        <w:t xml:space="preserve"> during continuous SCS at parameters belonging to the voluntary movement regime (SCS frequency 60 Hz, amplitude 30%). Motoneurons fire only coinciding with supraspinal activation, achieving a firing rate only 19% smaller than the prelesion case. Bottom trace indicates the continuous SCS amplitude. </w:t>
      </w:r>
      <w:r>
        <w:t>c</w:t>
      </w:r>
      <w:r>
        <w:rPr>
          <w:b w:val="0"/>
        </w:rPr>
        <w:t xml:space="preserve">, Same as </w:t>
      </w:r>
      <w:r>
        <w:t>b</w:t>
      </w:r>
      <w:r>
        <w:rPr>
          <w:b w:val="0"/>
        </w:rPr>
        <w:t xml:space="preserve"> during continuous SCS at parameters belonging to the involuntary movement regime (SCS frequency 60 Hz, amplitude 80%). Motoneurons fire also when supraspinal fibers are silent. </w:t>
      </w:r>
    </w:p>
    <w:p w14:paraId="74E39348" w14:textId="77777777" w:rsidR="00221A66" w:rsidRDefault="00000000">
      <w:pPr>
        <w:rPr>
          <w:b w:val="0"/>
        </w:rPr>
      </w:pPr>
      <w:r>
        <w:rPr>
          <w:noProof/>
        </w:rPr>
        <w:lastRenderedPageBreak/>
        <w:drawing>
          <wp:inline distT="114300" distB="114300" distL="114300" distR="114300" wp14:anchorId="67A05FA1" wp14:editId="0E819ED3">
            <wp:extent cx="5943600" cy="3454400"/>
            <wp:effectExtent l="0" t="0" r="0" b="0"/>
            <wp:docPr id="1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5943600" cy="3454400"/>
                    </a:xfrm>
                    <a:prstGeom prst="rect">
                      <a:avLst/>
                    </a:prstGeom>
                    <a:ln/>
                  </pic:spPr>
                </pic:pic>
              </a:graphicData>
            </a:graphic>
          </wp:inline>
        </w:drawing>
      </w:r>
      <w:r>
        <w:t xml:space="preserve">Extended Data Fig. 5 | Monkey EMG response latencies and intraspinal ISI distributions. a, </w:t>
      </w:r>
      <w:r>
        <w:rPr>
          <w:b w:val="0"/>
        </w:rPr>
        <w:t xml:space="preserve">EMG response latencies for each monkey evoked by a single SCS pulse (H-reflex, blue) and ICS pulse (motor-evoked potential (MEP), red). </w:t>
      </w:r>
      <w:r>
        <w:t>b</w:t>
      </w:r>
      <w:r>
        <w:rPr>
          <w:b w:val="0"/>
        </w:rPr>
        <w:t>, Histograms of ISI normalized probability distribution of the sorted motor units during 30 and 60 Hz SCS in both monkeys. Square and error bars indicate the mean distribution of the data with 95% confidence interval.</w:t>
      </w:r>
    </w:p>
    <w:p w14:paraId="599625AB" w14:textId="77777777" w:rsidR="00221A66" w:rsidRDefault="00221A66">
      <w:pPr>
        <w:rPr>
          <w:b w:val="0"/>
        </w:rPr>
      </w:pPr>
    </w:p>
    <w:p w14:paraId="702FFC57" w14:textId="77777777" w:rsidR="00221A66" w:rsidRDefault="00000000">
      <w:pPr>
        <w:rPr>
          <w:b w:val="0"/>
        </w:rPr>
      </w:pPr>
      <w:r>
        <w:rPr>
          <w:b w:val="0"/>
        </w:rPr>
        <w:t xml:space="preserve"> </w:t>
      </w:r>
    </w:p>
    <w:p w14:paraId="7BF09308" w14:textId="77777777" w:rsidR="00221A66" w:rsidRDefault="00221A66">
      <w:pPr>
        <w:rPr>
          <w:b w:val="0"/>
        </w:rPr>
      </w:pPr>
    </w:p>
    <w:p w14:paraId="57459CCE" w14:textId="77777777" w:rsidR="00221A66" w:rsidRDefault="00221A66"/>
    <w:p w14:paraId="249D7144" w14:textId="77777777" w:rsidR="00221A66" w:rsidRDefault="00221A66"/>
    <w:p w14:paraId="470EFCCB" w14:textId="77777777" w:rsidR="00221A66" w:rsidRDefault="00221A66"/>
    <w:p w14:paraId="2504CF57" w14:textId="77777777" w:rsidR="00221A66" w:rsidRDefault="00221A66"/>
    <w:p w14:paraId="4492FD0B" w14:textId="77777777" w:rsidR="00221A66" w:rsidRDefault="00221A66"/>
    <w:p w14:paraId="560270ED" w14:textId="77777777" w:rsidR="00221A66" w:rsidRDefault="00221A66"/>
    <w:p w14:paraId="36B31D73" w14:textId="77777777" w:rsidR="00221A66" w:rsidRDefault="00221A66"/>
    <w:p w14:paraId="107D8718" w14:textId="77777777" w:rsidR="00221A66" w:rsidRDefault="00221A66"/>
    <w:p w14:paraId="3AB44DAE" w14:textId="77777777" w:rsidR="00221A66" w:rsidRDefault="00221A66"/>
    <w:p w14:paraId="3214DB43" w14:textId="77777777" w:rsidR="00221A66" w:rsidRDefault="00221A66"/>
    <w:p w14:paraId="652C6504" w14:textId="77777777" w:rsidR="00221A66" w:rsidRDefault="00000000">
      <w:pPr>
        <w:rPr>
          <w:b w:val="0"/>
        </w:rPr>
      </w:pPr>
      <w:r>
        <w:br w:type="page"/>
      </w:r>
    </w:p>
    <w:p w14:paraId="732C35D3" w14:textId="77777777" w:rsidR="00221A66" w:rsidRDefault="00000000">
      <w:pPr>
        <w:rPr>
          <w:b w:val="0"/>
        </w:rPr>
      </w:pPr>
      <w:r>
        <w:rPr>
          <w:noProof/>
        </w:rPr>
        <w:lastRenderedPageBreak/>
        <w:drawing>
          <wp:inline distT="114300" distB="114300" distL="114300" distR="114300" wp14:anchorId="1DB6B762" wp14:editId="05A5DCF5">
            <wp:extent cx="5943600" cy="4013200"/>
            <wp:effectExtent l="0" t="0" r="0" b="0"/>
            <wp:docPr id="12"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11"/>
                    <a:srcRect/>
                    <a:stretch>
                      <a:fillRect/>
                    </a:stretch>
                  </pic:blipFill>
                  <pic:spPr>
                    <a:xfrm>
                      <a:off x="0" y="0"/>
                      <a:ext cx="5943600" cy="4013200"/>
                    </a:xfrm>
                    <a:prstGeom prst="rect">
                      <a:avLst/>
                    </a:prstGeom>
                    <a:ln/>
                  </pic:spPr>
                </pic:pic>
              </a:graphicData>
            </a:graphic>
          </wp:inline>
        </w:drawing>
      </w:r>
      <w:r>
        <w:t xml:space="preserve">Extended Data Fig. 6 | Lesion characterization and SCS implantation in humans with paralysis. a, </w:t>
      </w:r>
      <w:r>
        <w:rPr>
          <w:b w:val="0"/>
        </w:rPr>
        <w:t>Sagittal, coronal, and axial T1-weighted magnetic-resonance imaging (MRI) 2D projections for SCS03 and SCS04 using a 3T Prisma system (Siemens) using a 64-channel head and neck coil (T1-weighted structural image was captured using a magnetization-prepared rapid gradient echo sequence: repetition time = 2,300 ms; echo time = 2.9 ms; field of view = 256 × 256 mm2; 192 slices, slice thickness = 1.0 mm, in-plane resolution = 1.0 × 1.0 mm). The segmented lesion is shown in red for both participants and performed as described in</w:t>
      </w:r>
      <w:hyperlink r:id="rId12">
        <w:r>
          <w:rPr>
            <w:vertAlign w:val="superscript"/>
          </w:rPr>
          <w:t>6</w:t>
        </w:r>
      </w:hyperlink>
      <w:r>
        <w:rPr>
          <w:b w:val="0"/>
        </w:rPr>
        <w:t xml:space="preserve">. R indicates the Right hemisphere. </w:t>
      </w:r>
      <w:r>
        <w:t>b</w:t>
      </w:r>
      <w:r>
        <w:rPr>
          <w:b w:val="0"/>
        </w:rPr>
        <w:t xml:space="preserve">, X-rays for SCS03 and SCS04 showing the position of the spinal leads. The red lines mark the same anatomical location across the X-rays to facilitate interpretation. Minimal displacement occurred after initial implantation. </w:t>
      </w:r>
      <w:r>
        <w:t>c-d</w:t>
      </w:r>
      <w:r>
        <w:rPr>
          <w:b w:val="0"/>
        </w:rPr>
        <w:t>, X-rays for STIM01 showing the position of the spinal leads and the lesion. The red lines mark the same anatomical location across the X-rays to facilitate interpretation. Minimal displacement occurred after initial implantation.</w:t>
      </w:r>
    </w:p>
    <w:p w14:paraId="0219C4A9" w14:textId="77777777" w:rsidR="00221A66" w:rsidRDefault="00221A66">
      <w:pPr>
        <w:rPr>
          <w:b w:val="0"/>
        </w:rPr>
      </w:pPr>
    </w:p>
    <w:p w14:paraId="319A352D" w14:textId="77777777" w:rsidR="00221A66" w:rsidRDefault="00000000">
      <w:r>
        <w:br w:type="page"/>
      </w:r>
    </w:p>
    <w:p w14:paraId="03F6D885" w14:textId="77777777" w:rsidR="00221A66" w:rsidRDefault="00000000">
      <w:r>
        <w:rPr>
          <w:noProof/>
        </w:rPr>
        <w:lastRenderedPageBreak/>
        <w:drawing>
          <wp:inline distT="114300" distB="114300" distL="114300" distR="114300" wp14:anchorId="471A58E1" wp14:editId="58D07A37">
            <wp:extent cx="5943600" cy="79883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3"/>
                    <a:srcRect/>
                    <a:stretch>
                      <a:fillRect/>
                    </a:stretch>
                  </pic:blipFill>
                  <pic:spPr>
                    <a:xfrm>
                      <a:off x="0" y="0"/>
                      <a:ext cx="5943600" cy="7988300"/>
                    </a:xfrm>
                    <a:prstGeom prst="rect">
                      <a:avLst/>
                    </a:prstGeom>
                    <a:ln/>
                  </pic:spPr>
                </pic:pic>
              </a:graphicData>
            </a:graphic>
          </wp:inline>
        </w:drawing>
      </w:r>
    </w:p>
    <w:p w14:paraId="2FDD1047" w14:textId="77777777" w:rsidR="00221A66" w:rsidRDefault="00000000">
      <w:pPr>
        <w:rPr>
          <w:b w:val="0"/>
        </w:rPr>
      </w:pPr>
      <w:r>
        <w:lastRenderedPageBreak/>
        <w:t>Extended Data Fig. 7 | Action potentials triggered by SCS pulses are not stimulation artifacts in humans with paralysis. a,</w:t>
      </w:r>
      <w:r>
        <w:rPr>
          <w:b w:val="0"/>
        </w:rPr>
        <w:t xml:space="preserve"> For the experiments with STIM01, we recorded the stimulation artifact with a surface EMG placed on the dorsal. We defined the stimulation timestamps through EMG threshold-crossing above 0.05 mV (dashed line). </w:t>
      </w:r>
      <w:r>
        <w:t>b</w:t>
      </w:r>
      <w:r>
        <w:rPr>
          <w:b w:val="0"/>
        </w:rPr>
        <w:t xml:space="preserve">, For the experiments with the stroke participants, traces were recorded from high-density EMG: in gray showing the presence of stimulation artifacts and in black after removing the stimulation artifacts (showing an example of SCS03, 60 Hz SCS). </w:t>
      </w:r>
      <w:r>
        <w:t>c</w:t>
      </w:r>
      <w:r>
        <w:rPr>
          <w:b w:val="0"/>
        </w:rPr>
        <w:t xml:space="preserve">, For the experiments with the stroke participants, stimulation artifact removal was achieved by applying a series of notch filters at harmonics of SCS frequency to remove peaks in the Fast Fourier transform (shown in gray) of the bandpass filtered signal (see methods). </w:t>
      </w:r>
      <w:r>
        <w:t xml:space="preserve">d, </w:t>
      </w:r>
      <w:r>
        <w:rPr>
          <w:b w:val="0"/>
        </w:rPr>
        <w:t>Examples of the</w:t>
      </w:r>
      <w:r>
        <w:t xml:space="preserve"> </w:t>
      </w:r>
      <w:r>
        <w:rPr>
          <w:b w:val="0"/>
        </w:rPr>
        <w:t>probability</w:t>
      </w:r>
      <w:r>
        <w:t xml:space="preserve"> </w:t>
      </w:r>
      <w:r>
        <w:rPr>
          <w:b w:val="0"/>
        </w:rPr>
        <w:t xml:space="preserve">distribution of the time between the most recent SCS pulse and an action potential for each motor unit (MU; 40 Hz SCS, 1 ms bin) using surface EMG in STIM01. If the action potentials detected by the acquisition software were stimulation artifacts, they would be aligned to the SCS pulse, thereby showing histograms with a high peak at time 0. Given that the times from the most recent SCS pulse and the action potentials are distributed with a mean between 12.5 and 25 ms, the action potential detected can not be artifacts of SCS. </w:t>
      </w:r>
      <w:r>
        <w:t>e</w:t>
      </w:r>
      <w:r>
        <w:rPr>
          <w:b w:val="0"/>
        </w:rPr>
        <w:t xml:space="preserve">, Same as </w:t>
      </w:r>
      <w:r>
        <w:t xml:space="preserve">d </w:t>
      </w:r>
      <w:r>
        <w:rPr>
          <w:b w:val="0"/>
        </w:rPr>
        <w:t>using the high-density EMG in the stroke participants (SCS03, SCS04;</w:t>
      </w:r>
      <w:r>
        <w:t xml:space="preserve"> </w:t>
      </w:r>
      <w:r>
        <w:rPr>
          <w:b w:val="0"/>
        </w:rPr>
        <w:t xml:space="preserve">60 Hz SCS, 1 ms bin). </w:t>
      </w:r>
    </w:p>
    <w:p w14:paraId="4EC642D7" w14:textId="77777777" w:rsidR="00221A66" w:rsidRDefault="00221A66"/>
    <w:p w14:paraId="26FF2426" w14:textId="77777777" w:rsidR="00221A66" w:rsidRDefault="00221A66"/>
    <w:p w14:paraId="251A8AD1" w14:textId="77777777" w:rsidR="00221A66" w:rsidRDefault="00000000">
      <w:r>
        <w:br w:type="page"/>
      </w:r>
      <w:r>
        <w:rPr>
          <w:noProof/>
        </w:rPr>
        <w:lastRenderedPageBreak/>
        <w:drawing>
          <wp:inline distT="114300" distB="114300" distL="114300" distR="114300" wp14:anchorId="50ED7EF3" wp14:editId="422C0A7E">
            <wp:extent cx="5943600" cy="7645400"/>
            <wp:effectExtent l="0" t="0" r="0" b="0"/>
            <wp:docPr id="9"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4"/>
                    <a:srcRect/>
                    <a:stretch>
                      <a:fillRect/>
                    </a:stretch>
                  </pic:blipFill>
                  <pic:spPr>
                    <a:xfrm>
                      <a:off x="0" y="0"/>
                      <a:ext cx="5943600" cy="7645400"/>
                    </a:xfrm>
                    <a:prstGeom prst="rect">
                      <a:avLst/>
                    </a:prstGeom>
                    <a:ln/>
                  </pic:spPr>
                </pic:pic>
              </a:graphicData>
            </a:graphic>
          </wp:inline>
        </w:drawing>
      </w:r>
    </w:p>
    <w:p w14:paraId="064C3292" w14:textId="77777777" w:rsidR="00221A66" w:rsidRDefault="00000000">
      <w:r>
        <w:t xml:space="preserve">Extended Data Fig. 8 | Experimental validation in humans with spinal cord injury and stroke. a, </w:t>
      </w:r>
      <w:r>
        <w:rPr>
          <w:b w:val="0"/>
        </w:rPr>
        <w:t xml:space="preserve">Torque traces (top, overlapped with a trace from another repetition), firing rate (middle) and raster plot of the motor units (bottom) followed by histogram of ISI normalized probability </w:t>
      </w:r>
      <w:r>
        <w:rPr>
          <w:b w:val="0"/>
        </w:rPr>
        <w:lastRenderedPageBreak/>
        <w:t>distribution of the extracted motor units in STIM01 for all repetitions during the maximum voluntary contraction task during SCS (40 Hz) at increasing amplitudes (7 mA, 10.8 mA, 12.5 mA; 2 repetitions for each stimulation amplitude).</w:t>
      </w:r>
      <w:r>
        <w:t xml:space="preserve"> </w:t>
      </w:r>
      <w:r>
        <w:rPr>
          <w:b w:val="0"/>
        </w:rPr>
        <w:t xml:space="preserve">At 7 mA SCS, no motor units were detected. </w:t>
      </w:r>
      <w:r>
        <w:t>b</w:t>
      </w:r>
      <w:r>
        <w:rPr>
          <w:b w:val="0"/>
        </w:rPr>
        <w:t>, Histogram of ISI normalized probability distribution of the extracted motor units in STIM01 during 40 Hz SCS (above, 2 repetitions) and 60 Hz SCS (below, 2 repetitions) recorded in other sessions when performing the isometric task at 35% of maximum force.</w:t>
      </w:r>
      <w:r>
        <w:t xml:space="preserve"> c</w:t>
      </w:r>
      <w:r>
        <w:rPr>
          <w:b w:val="0"/>
        </w:rPr>
        <w:t>, Histograms of ISI probability distribution of the extracted motor units in SCS04 and SCS03 with and without stimulation for all force levels for all trials (18 repetitions for SCS04 for all for levels, 9 repetitions in SCS03 for 5% isometric force level, 7 for 20%, 7 for 35% and 4 for 50%).</w:t>
      </w:r>
    </w:p>
    <w:p w14:paraId="343CB8D2" w14:textId="77777777" w:rsidR="00221A66" w:rsidRDefault="00221A66"/>
    <w:p w14:paraId="188B2975" w14:textId="77777777" w:rsidR="00221A66" w:rsidRDefault="00221A66"/>
    <w:p w14:paraId="2DC226D3" w14:textId="77777777" w:rsidR="00221A66" w:rsidRDefault="00221A66"/>
    <w:p w14:paraId="0C5844C6" w14:textId="77777777" w:rsidR="00221A66" w:rsidRDefault="00000000">
      <w:r>
        <w:br w:type="page"/>
      </w:r>
    </w:p>
    <w:p w14:paraId="3153046C" w14:textId="77777777" w:rsidR="00221A66" w:rsidRDefault="00221A66"/>
    <w:p w14:paraId="58DD6851" w14:textId="77777777" w:rsidR="00221A66" w:rsidRDefault="00000000">
      <w:pPr>
        <w:rPr>
          <w:b w:val="0"/>
        </w:rPr>
      </w:pPr>
      <w:r>
        <w:rPr>
          <w:noProof/>
        </w:rPr>
        <w:drawing>
          <wp:inline distT="114300" distB="114300" distL="114300" distR="114300" wp14:anchorId="2E9B51ED" wp14:editId="17A2B5E2">
            <wp:extent cx="5943600" cy="3073400"/>
            <wp:effectExtent l="0" t="0" r="0" b="0"/>
            <wp:docPr id="1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5"/>
                    <a:srcRect/>
                    <a:stretch>
                      <a:fillRect/>
                    </a:stretch>
                  </pic:blipFill>
                  <pic:spPr>
                    <a:xfrm>
                      <a:off x="0" y="0"/>
                      <a:ext cx="5943600" cy="3073400"/>
                    </a:xfrm>
                    <a:prstGeom prst="rect">
                      <a:avLst/>
                    </a:prstGeom>
                    <a:ln/>
                  </pic:spPr>
                </pic:pic>
              </a:graphicData>
            </a:graphic>
          </wp:inline>
        </w:drawing>
      </w:r>
      <w:r>
        <w:t xml:space="preserve">Extended Data Fig. 9 | Simulation of SCS biophysics in a severe lesion. a, </w:t>
      </w:r>
      <w:r>
        <w:rPr>
          <w:b w:val="0"/>
        </w:rPr>
        <w:t xml:space="preserve">Root-mean square (RMS) of the difference between the motoneuron firing rate pre- vs postlesion for all simulated SCS parameters in a severe lesion (same as in </w:t>
      </w:r>
      <w:r>
        <w:t>Fig. 4j</w:t>
      </w:r>
      <w:r>
        <w:rPr>
          <w:b w:val="0"/>
        </w:rPr>
        <w:t xml:space="preserve">, but with a system with 11 supraspinal fibers). As with isometric force simulations in </w:t>
      </w:r>
      <w:r>
        <w:t>Fig. 7b</w:t>
      </w:r>
      <w:r>
        <w:rPr>
          <w:b w:val="0"/>
        </w:rPr>
        <w:t>, there is a shrinking of the voluntary movement regime where small task errors occur for a very restrained combination of SCS parameters. The gray lines in the heatmap indicate the voluntary movement regime for this severe lesion (</w:t>
      </w:r>
      <w:r>
        <w:t>Fig. 7b</w:t>
      </w:r>
      <w:r>
        <w:rPr>
          <w:b w:val="0"/>
        </w:rPr>
        <w:t>).</w:t>
      </w:r>
      <w:r>
        <w:t xml:space="preserve"> b, </w:t>
      </w:r>
      <w:r>
        <w:rPr>
          <w:b w:val="0"/>
        </w:rPr>
        <w:t>Simulation of the normalized force and motoneuron pool firing rate during phasic activation of supraspinal fibers (2 seconds active, 2 seconds inactive) and continuous SCS at parameters belonging to the involuntary movement regime. Residual supraspinal fibers sculpt SCS drive to produce functional motoneuron activity. Motoneurons firing is inhibited by the phasic activation of residual supraspinal fibers (red).</w:t>
      </w:r>
      <w:r>
        <w:t xml:space="preserve"> c, </w:t>
      </w:r>
      <w:r>
        <w:rPr>
          <w:b w:val="0"/>
        </w:rPr>
        <w:t xml:space="preserve">Same as </w:t>
      </w:r>
      <w:r>
        <w:t>b</w:t>
      </w:r>
      <w:r>
        <w:rPr>
          <w:b w:val="0"/>
        </w:rPr>
        <w:t>, but SCS initiates 500 ms after the initiation of supraspinal fibers (red). Motoneurons now fire only coinciding with temporal activation of SCS.</w:t>
      </w:r>
    </w:p>
    <w:p w14:paraId="40F7D766" w14:textId="77777777" w:rsidR="00221A66" w:rsidRDefault="00000000">
      <w:r>
        <w:br w:type="page"/>
      </w:r>
    </w:p>
    <w:p w14:paraId="7F0F3413" w14:textId="77777777" w:rsidR="00221A66" w:rsidRDefault="00221A66"/>
    <w:p w14:paraId="054DBCCF" w14:textId="77777777" w:rsidR="00221A66" w:rsidRDefault="00000000">
      <w:r>
        <w:rPr>
          <w:noProof/>
        </w:rPr>
        <w:drawing>
          <wp:inline distT="114300" distB="114300" distL="114300" distR="114300" wp14:anchorId="58286F33" wp14:editId="223ED80A">
            <wp:extent cx="5943600" cy="5473700"/>
            <wp:effectExtent l="0" t="0" r="0" b="0"/>
            <wp:docPr id="3"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6"/>
                    <a:srcRect/>
                    <a:stretch>
                      <a:fillRect/>
                    </a:stretch>
                  </pic:blipFill>
                  <pic:spPr>
                    <a:xfrm>
                      <a:off x="0" y="0"/>
                      <a:ext cx="5943600" cy="5473700"/>
                    </a:xfrm>
                    <a:prstGeom prst="rect">
                      <a:avLst/>
                    </a:prstGeom>
                    <a:ln/>
                  </pic:spPr>
                </pic:pic>
              </a:graphicData>
            </a:graphic>
          </wp:inline>
        </w:drawing>
      </w:r>
    </w:p>
    <w:p w14:paraId="12510713" w14:textId="77777777" w:rsidR="00221A66" w:rsidRDefault="00000000">
      <w:pPr>
        <w:rPr>
          <w:b w:val="0"/>
        </w:rPr>
      </w:pPr>
      <w:r>
        <w:t xml:space="preserve">Extended Data Fig. 10 | EMG responses during concurrent stimulation in monkeys. a, </w:t>
      </w:r>
      <w:r>
        <w:rPr>
          <w:b w:val="0"/>
        </w:rPr>
        <w:t xml:space="preserve">Root-mean square (RMS) of the EMG responses during phasic ICS and continuous SCS at increasing SCS amplitudes in addition to </w:t>
      </w:r>
      <w:r>
        <w:t>Fig. 7e</w:t>
      </w:r>
      <w:r>
        <w:rPr>
          <w:b w:val="0"/>
        </w:rPr>
        <w:t xml:space="preserve"> (APB in Mk-Ka, FDM in Mk-JC). Statistical quantification of the RMS EMG responses (***p&lt;0.001; **p&lt;0.01; *p&lt;0.05; Kruskal-Wallis test with 21, 14 points for 500 uA SCS at 0.7 mA ICS and at 0.5 mA ICS, respectively, in APB in Mk-Ka; 15, 18 points for 600 uA in Mk-Ka; 16, 21 points for 700 uA in Mk-Ka; 8, 19 points for 850 uA in Mk-Ka; 4, 8 points for 80 uA, 60 Hz SCS in Mk-JC; 11, 11 points for 110 uA, 60 Hz SCS in Mk-JC; 9, 8 points for 140 uA, 60 Hz SCS in Mk-JC; 8, 5 points for 300 uA, 60 Hz SCS in Mk-JC; 9, 10, 10 points for 80 uA, 30 Hz SCS in APB in Mk-JC; 8, 10, 8 points for 80 uA, 30 Hz SCS in FDM Mk-JC). </w:t>
      </w:r>
      <w:r>
        <w:t>b</w:t>
      </w:r>
      <w:r>
        <w:rPr>
          <w:b w:val="0"/>
        </w:rPr>
        <w:t xml:space="preserve">, RMS of the EMG responses during continuous SCS alone at increasing SCS amplitudes of the muscles shown in </w:t>
      </w:r>
      <w:r>
        <w:t>a</w:t>
      </w:r>
      <w:r>
        <w:rPr>
          <w:b w:val="0"/>
        </w:rPr>
        <w:t xml:space="preserve"> (above) and </w:t>
      </w:r>
      <w:r>
        <w:t>Fig. 7e</w:t>
      </w:r>
      <w:r>
        <w:rPr>
          <w:b w:val="0"/>
        </w:rPr>
        <w:t xml:space="preserve"> (below). Statistical quantification of the RMS EMG responses (***p&lt;0.001; **p&lt;0.01; *p&lt;0.05; Kruskal-Wallis test with 27, 21, 19, 17 and 9 points for no stim, 500, 600, 700, 850 uA SCS, respectively, in APB in Mk-Ka; 10, 5, 11, 9, 8 points in FDM in Mk-</w:t>
      </w:r>
      <w:r>
        <w:rPr>
          <w:b w:val="0"/>
        </w:rPr>
        <w:lastRenderedPageBreak/>
        <w:t>JC; 27, 21, 18, 15, 10 points in FDM in Mk-Ka; 10, 5, 11, 9, 7 points in APB in Mk-JC). RMS EMG responses appeared to be significant in Mk-Ka, however, these responses were still below the lowest RMS value measured during concurrent phasic ICS.</w:t>
      </w:r>
    </w:p>
    <w:sectPr w:rsidR="00221A66">
      <w:headerReference w:type="default" r:id="rId1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113D85" w14:textId="77777777" w:rsidR="00C33DDE" w:rsidRDefault="00C33DDE">
      <w:pPr>
        <w:spacing w:line="240" w:lineRule="auto"/>
      </w:pPr>
      <w:r>
        <w:separator/>
      </w:r>
    </w:p>
  </w:endnote>
  <w:endnote w:type="continuationSeparator" w:id="0">
    <w:p w14:paraId="2526B542" w14:textId="77777777" w:rsidR="00C33DDE" w:rsidRDefault="00C33D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AFA689" w14:textId="77777777" w:rsidR="00C33DDE" w:rsidRDefault="00C33DDE">
      <w:pPr>
        <w:spacing w:line="240" w:lineRule="auto"/>
      </w:pPr>
      <w:r>
        <w:separator/>
      </w:r>
    </w:p>
  </w:footnote>
  <w:footnote w:type="continuationSeparator" w:id="0">
    <w:p w14:paraId="623B78AB" w14:textId="77777777" w:rsidR="00C33DDE" w:rsidRDefault="00C33DD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7A7888" w14:textId="77777777" w:rsidR="00221A66" w:rsidRDefault="00221A66"/>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1A66"/>
    <w:rsid w:val="00221A66"/>
    <w:rsid w:val="008470DD"/>
    <w:rsid w:val="009B6506"/>
    <w:rsid w:val="00C33DDE"/>
    <w:rsid w:val="00E21327"/>
    <w:rsid w:val="00E779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43110"/>
  <w15:docId w15:val="{E855B597-4AB4-FB49-B27B-8598F2DEC8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b/>
        <w:sz w:val="22"/>
        <w:szCs w:val="22"/>
        <w:lang w:val="en" w:eastAsia="en-US" w:bidi="ar-SA"/>
      </w:rPr>
    </w:rPrDefault>
    <w:pPrDefault>
      <w:pPr>
        <w:spacing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style>
  <w:style w:type="paragraph" w:styleId="Heading2">
    <w:name w:val="heading 2"/>
    <w:basedOn w:val="Normal"/>
    <w:next w:val="Normal"/>
    <w:uiPriority w:val="9"/>
    <w:unhideWhenUsed/>
    <w:qFormat/>
    <w:pPr>
      <w:keepNext/>
      <w:keepLines/>
      <w:spacing w:before="360" w:after="120"/>
      <w:outlineLvl w:val="1"/>
    </w:pPr>
    <w:rPr>
      <w:b w:val="0"/>
      <w:sz w:val="32"/>
      <w:szCs w:val="32"/>
    </w:rPr>
  </w:style>
  <w:style w:type="paragraph" w:styleId="Heading3">
    <w:name w:val="heading 3"/>
    <w:basedOn w:val="Normal"/>
    <w:next w:val="Normal"/>
    <w:uiPriority w:val="9"/>
    <w:unhideWhenUsed/>
    <w:qFormat/>
    <w:pPr>
      <w:keepNext/>
      <w:keepLines/>
      <w:outlineLvl w:val="2"/>
    </w:p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www.zotero.org/google-docs/?3crWEa" TargetMode="External"/><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0.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1815</Words>
  <Characters>10351</Characters>
  <Application>Microsoft Office Word</Application>
  <DocSecurity>0</DocSecurity>
  <Lines>86</Lines>
  <Paragraphs>24</Paragraphs>
  <ScaleCrop>false</ScaleCrop>
  <Company/>
  <LinksUpToDate>false</LinksUpToDate>
  <CharactersWithSpaces>12142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Poonam Mutha</cp:lastModifiedBy>
  <cp:revision>4</cp:revision>
  <dcterms:created xsi:type="dcterms:W3CDTF">2023-11-22T18:28:00Z</dcterms:created>
  <dcterms:modified xsi:type="dcterms:W3CDTF">2024-01-11T08:02:00Z</dcterms:modified>
</cp:coreProperties>
</file>