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016EB" w14:textId="399BD06A" w:rsidR="00E13D42" w:rsidRDefault="00E13D42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A4F1F2" wp14:editId="6C6A0056">
            <wp:extent cx="5274310" cy="3529330"/>
            <wp:effectExtent l="0" t="0" r="2540" b="0"/>
            <wp:docPr id="7092089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208914" name="图片 7092089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BB2AD" w14:textId="2B713172" w:rsidR="00E13D42" w:rsidRPr="00E13D42" w:rsidRDefault="00E13D42" w:rsidP="00E13D4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D42">
        <w:rPr>
          <w:rFonts w:ascii="Times New Roman" w:hAnsi="Times New Roman" w:cs="Times New Roman"/>
          <w:b/>
          <w:bCs/>
          <w:sz w:val="24"/>
          <w:szCs w:val="24"/>
        </w:rPr>
        <w:t>Mir155hg impairs hippocampus neuron by inhibiting microglial phagocytosis.</w:t>
      </w:r>
    </w:p>
    <w:p w14:paraId="20E27A0E" w14:textId="77777777" w:rsidR="00E13D42" w:rsidRPr="009E5D1B" w:rsidRDefault="00E13D42" w:rsidP="00E13D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LncRNA Mir155hg was increased in the hippocampus of CSE. The elevated Mir155hg inhibits microglial phagocytosis and synaptic pruning, which </w:t>
      </w:r>
      <w:r>
        <w:rPr>
          <w:rFonts w:ascii="Times New Roman" w:hAnsi="Times New Roman" w:cs="Times New Roman" w:hint="eastAsia"/>
          <w:sz w:val="24"/>
          <w:szCs w:val="24"/>
        </w:rPr>
        <w:t>failed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repaired the CSE-induce hippocampal neuron injury.</w:t>
      </w:r>
    </w:p>
    <w:p w14:paraId="29973F03" w14:textId="77777777" w:rsidR="00E13D42" w:rsidRPr="00E13D42" w:rsidRDefault="00E13D42">
      <w:pPr>
        <w:rPr>
          <w:rFonts w:hint="eastAsia"/>
        </w:rPr>
      </w:pPr>
    </w:p>
    <w:sectPr w:rsidR="00E13D42" w:rsidRPr="00E13D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D42"/>
    <w:rsid w:val="007E0F67"/>
    <w:rsid w:val="00E1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75700"/>
  <w15:chartTrackingRefBased/>
  <w15:docId w15:val="{C9BE054F-7AA3-4CC4-A211-423FCE3C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 铭</dc:creator>
  <cp:keywords/>
  <dc:description/>
  <cp:lastModifiedBy>汪 铭</cp:lastModifiedBy>
  <cp:revision>1</cp:revision>
  <dcterms:created xsi:type="dcterms:W3CDTF">2023-04-14T15:44:00Z</dcterms:created>
  <dcterms:modified xsi:type="dcterms:W3CDTF">2023-04-14T15:46:00Z</dcterms:modified>
</cp:coreProperties>
</file>