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Table 2 Results of univariate and multivariate logistic regression analysis showing factors associated with LVI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2190"/>
        <w:gridCol w:w="1115"/>
        <w:gridCol w:w="713"/>
        <w:gridCol w:w="2508"/>
        <w:gridCol w:w="154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7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Characteristics</w:t>
            </w:r>
          </w:p>
        </w:tc>
        <w:tc>
          <w:tcPr>
            <w:tcW w:w="2190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Univariate analysis</w:t>
            </w:r>
          </w:p>
        </w:tc>
        <w:tc>
          <w:tcPr>
            <w:tcW w:w="1115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713" w:type="dxa"/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Multivariate analysis</w:t>
            </w:r>
          </w:p>
        </w:tc>
        <w:tc>
          <w:tcPr>
            <w:tcW w:w="1549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7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 (95% CI)</w:t>
            </w:r>
          </w:p>
        </w:tc>
        <w:tc>
          <w:tcPr>
            <w:tcW w:w="1115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value</w:t>
            </w:r>
          </w:p>
        </w:tc>
        <w:tc>
          <w:tcPr>
            <w:tcW w:w="713" w:type="dxa"/>
            <w:tcBorders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OR (95% CI)</w:t>
            </w:r>
          </w:p>
        </w:tc>
        <w:tc>
          <w:tcPr>
            <w:tcW w:w="1549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7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Age, years (mean±SD)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Sex,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Female 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Smoking history,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CEA (ng/mL),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≤5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Diameter, cm (mean±SD)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Left lung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Right lung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Border,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Sharp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Ill-defined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Shape,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Irregular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Spiculation,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Lobulation,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Vacuole sign,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Air bronchogram,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Pleural indentation, n (%)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present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0.983 (0.961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1.006)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1.428 (0.915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2.230)</w:t>
            </w:r>
          </w:p>
          <w:p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1.209 (0.753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1.943)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3.106 (1.914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5.042)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2.609 (1.972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3.453)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0.799 (0.511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1.250)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1.042 (0.535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2.028)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1.336 (0.857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2.082)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3.080 (1.943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4.884)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2.487 (1.546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4.001)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0.368 (0.161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0.842)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0.443 (0.160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1.229)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1.041 (0.669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1.621)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0.117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0.432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0.325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0.904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0.018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0.118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0.858</w:t>
            </w:r>
          </w:p>
        </w:tc>
        <w:tc>
          <w:tcPr>
            <w:tcW w:w="713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2.060 (1.200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3.540)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2.280 (1.700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3.060)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2.660 (1.520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4.640)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1.050 (0.580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1.900)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0.370 (0.140</w:t>
            </w:r>
            <w:r>
              <w:rPr>
                <w:rFonts w:ascii="Times New Roman" w:hAnsi="Times New Roman" w:cs="Times New Roman"/>
                <w:color w:val="3B3E4D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0.930)</w:t>
            </w:r>
          </w:p>
        </w:tc>
        <w:tc>
          <w:tcPr>
            <w:tcW w:w="1549" w:type="dxa"/>
            <w:tcBorders>
              <w:top w:val="single" w:color="auto" w:sz="12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0.009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>
              <w:rPr>
                <w:rFonts w:hint="eastAsia" w:ascii="Times New Roman" w:hAnsi="Times New Roman" w:cs="Times New Roman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0.882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0.035</w:t>
            </w:r>
          </w:p>
        </w:tc>
      </w:tr>
    </w:tbl>
    <w:p>
      <w:pPr>
        <w:rPr>
          <w:rFonts w:ascii="Times New Roman" w:hAnsi="Times New Roman" w:eastAsia="宋体" w:cs="Times New Roman"/>
          <w:sz w:val="22"/>
          <w:szCs w:val="22"/>
        </w:rPr>
      </w:pPr>
      <w:r>
        <w:rPr>
          <w:rFonts w:ascii="Times New Roman" w:hAnsi="Times New Roman" w:eastAsia="宋体" w:cs="Times New Roman"/>
          <w:sz w:val="22"/>
          <w:szCs w:val="22"/>
        </w:rPr>
        <w:t>LVI, lymphovascular invasion; OR, odds ratio; CI, confidence interval; CEA, carcinoembryonic antigen.</w:t>
      </w:r>
    </w:p>
    <w:p>
      <w:bookmarkStart w:id="0" w:name="_GoBack"/>
      <w:bookmarkEnd w:id="0"/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33F52E97"/>
    <w:rsid w:val="33F5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2022-11-24T04:16:00Z</dcterms:created>
  <dc:creator>Sunshine</dc:creator>
  <cp:lastModifiedBy>Sunshine</cp:lastModifiedBy>
  <dcterms:modified xsi:type="dcterms:W3CDTF">2022-11-24T04:18:15Z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9B144460EE204EC4B23AA9DBCEA320F9</vt:lpwstr>
  </property>
</Properties>
</file>