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Table 1 Clinical characteristics and CT features of patients in the training and test sets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387"/>
        <w:gridCol w:w="1433"/>
        <w:gridCol w:w="1043"/>
        <w:gridCol w:w="240"/>
        <w:gridCol w:w="1387"/>
        <w:gridCol w:w="1430"/>
        <w:gridCol w:w="12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83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138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Training set</w:t>
            </w:r>
          </w:p>
        </w:tc>
        <w:tc>
          <w:tcPr>
            <w:tcW w:w="1433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40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Test set</w:t>
            </w:r>
          </w:p>
        </w:tc>
        <w:tc>
          <w:tcPr>
            <w:tcW w:w="143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3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LVI-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positive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(n=171)</w:t>
            </w:r>
          </w:p>
        </w:tc>
        <w:tc>
          <w:tcPr>
            <w:tcW w:w="143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LVI-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negative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(n=145)</w:t>
            </w:r>
          </w:p>
        </w:tc>
        <w:tc>
          <w:tcPr>
            <w:tcW w:w="104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value</w:t>
            </w:r>
          </w:p>
        </w:tc>
        <w:tc>
          <w:tcPr>
            <w:tcW w:w="24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LVI-positive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(n=73)</w:t>
            </w:r>
          </w:p>
        </w:tc>
        <w:tc>
          <w:tcPr>
            <w:tcW w:w="143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LVI-negative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(n=61)</w:t>
            </w:r>
          </w:p>
        </w:tc>
        <w:tc>
          <w:tcPr>
            <w:tcW w:w="121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Age, years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female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Smoking history,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CEA(ng/mL),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≤5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(cm)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Left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Right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Border,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Sharp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Ill-defined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Shape,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Spiculation,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Lobulation,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Vacuole sign,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Air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bronchogram,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Pleural indentation,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56.90±9.80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 (58.50)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 (41.50)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 (65.50)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 (34.50)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 (50.30)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 (49.70)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3.10±1.30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 (46.20)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 (53.80)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 (87.10)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(12.90)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 (48.00)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 (52.00)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 (32.70)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 (67.30)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 (25.10)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 (74.90)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 (94.70)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(5.30)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 (96.50)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(3.50)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 (48.00)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 (52.00)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58.50±9.70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 (49.70)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 (50.30)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 (69.70)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 (30.30)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 (75.90)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 (24.10)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2.00±0.90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 (40.70)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 (59.30)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 (87.60)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(12.40)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 (55.20)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 (44.80)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 (60.00)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 (40.00)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 (45.50)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 (54.50)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 (86.90)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(13.10)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 (92.40)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(7.60)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 (49.00)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 (51.00)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0.506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0.243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0.177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0.947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57.50±9.60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 (60.30)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 (39.70)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 (72.60)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(27.40)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 (61.60)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 (38.40)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3.20±1.50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 (28.80)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(71.20)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 (89.00)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(11.00)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 (53.40)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(46.60)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(27.40)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 (72.60)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(19.20)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 (80.80)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 (91.80)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(8.20)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 (97.30)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(2.70)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 (45.20)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 (54.80)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59.50±9.50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 (44.30)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(55.70)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 (68.90)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(31.10)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 (80.30)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 (19.70)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2.20±0.90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 (47.50)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 (52.50)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 (83.60)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(16.40)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(55.70)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 (44.30)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 (63.90)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(36.10)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 (50.80)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(49.20)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(85.20)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(14.80)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 (91.80)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(8.20)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 (45.90)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 (54.10)</w:t>
            </w:r>
          </w:p>
        </w:tc>
        <w:tc>
          <w:tcPr>
            <w:tcW w:w="121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0.227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0.776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0.506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0.306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1.000</w:t>
            </w:r>
          </w:p>
        </w:tc>
      </w:tr>
    </w:tbl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LVI, lymphovascular invasion; SD, standard deviation; CEA, carcinoembryonic antigen.</w:t>
      </w:r>
    </w:p>
    <w:p>
      <w:r>
        <w:rPr>
          <w:rFonts w:ascii="Times New Roman" w:hAnsi="Times New Roman" w:eastAsia="宋体" w:cs="Times New Roman"/>
          <w:sz w:val="22"/>
          <w:szCs w:val="22"/>
        </w:rPr>
        <w:t xml:space="preserve">Note: </w:t>
      </w:r>
      <w: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  <w:t>Data in parentheses are percentages.</w:t>
      </w:r>
      <w:bookmarkStart w:id="0" w:name="_GoBack"/>
      <w:bookmarkEnd w:id="0"/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6C096AA8"/>
    <w:rsid w:val="6C09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2022-11-24T04:14:00Z</dcterms:created>
  <dc:creator>Sunshine</dc:creator>
  <cp:lastModifiedBy>Sunshine</cp:lastModifiedBy>
  <dcterms:modified xsi:type="dcterms:W3CDTF">2022-11-24T04:16:27Z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4C21607DC5CB495DA5AAC645B137CB14</vt:lpwstr>
  </property>
</Properties>
</file>