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F72BDF" w14:textId="0904123A" w:rsidR="00B16F99" w:rsidRPr="006C2F59" w:rsidRDefault="00B16F99" w:rsidP="00B16F99">
      <w:pPr>
        <w:rPr>
          <w:rFonts w:ascii="Arial" w:hAnsi="Arial" w:cs="Arial"/>
          <w:sz w:val="20"/>
        </w:rPr>
      </w:pPr>
      <w:r w:rsidRPr="00DC623A">
        <w:rPr>
          <w:rFonts w:ascii="Arial" w:hAnsi="Arial" w:cs="Arial"/>
          <w:b/>
          <w:sz w:val="28"/>
          <w:szCs w:val="28"/>
        </w:rPr>
        <w:t>Supp</w:t>
      </w:r>
      <w:r w:rsidR="00B73A1C">
        <w:rPr>
          <w:rFonts w:ascii="Arial" w:hAnsi="Arial" w:cs="Arial"/>
          <w:b/>
          <w:sz w:val="28"/>
          <w:szCs w:val="28"/>
        </w:rPr>
        <w:t>orting</w:t>
      </w:r>
      <w:r w:rsidRPr="00DC623A">
        <w:rPr>
          <w:rFonts w:ascii="Arial" w:hAnsi="Arial" w:cs="Arial"/>
          <w:b/>
          <w:sz w:val="28"/>
          <w:szCs w:val="28"/>
        </w:rPr>
        <w:t xml:space="preserve"> Information for</w:t>
      </w:r>
    </w:p>
    <w:p w14:paraId="135AEE58" w14:textId="3FB91E09" w:rsidR="00B16F99" w:rsidRPr="00DC623A" w:rsidRDefault="007C1763" w:rsidP="00B16F99">
      <w:pPr>
        <w:rPr>
          <w:rFonts w:ascii="Arial" w:hAnsi="Arial" w:cs="Arial"/>
          <w:szCs w:val="24"/>
        </w:rPr>
      </w:pPr>
      <w:r w:rsidRPr="007C1763">
        <w:rPr>
          <w:rFonts w:ascii="Arial" w:hAnsi="Arial" w:cs="Arial"/>
          <w:sz w:val="28"/>
          <w:szCs w:val="28"/>
        </w:rPr>
        <w:t xml:space="preserve">Supraphysiological glutamine as a means of depleting intracellular amino acids to enhance pancreatic cancer </w:t>
      </w:r>
      <w:proofErr w:type="gramStart"/>
      <w:r w:rsidRPr="007C1763">
        <w:rPr>
          <w:rFonts w:ascii="Arial" w:hAnsi="Arial" w:cs="Arial"/>
          <w:sz w:val="28"/>
          <w:szCs w:val="28"/>
        </w:rPr>
        <w:t>chemosensitivity</w:t>
      </w:r>
      <w:proofErr w:type="gramEnd"/>
    </w:p>
    <w:p w14:paraId="773A15B7" w14:textId="77777777" w:rsidR="00015F74" w:rsidRPr="006C514E" w:rsidRDefault="00015F74" w:rsidP="007B5946">
      <w:pPr>
        <w:rPr>
          <w:rFonts w:ascii="Arial" w:hAnsi="Arial" w:cs="Arial"/>
          <w:sz w:val="22"/>
          <w:szCs w:val="22"/>
        </w:rPr>
      </w:pPr>
    </w:p>
    <w:p w14:paraId="6985025A" w14:textId="77777777" w:rsidR="00B16F99" w:rsidRPr="006C514E" w:rsidRDefault="00B16F99" w:rsidP="007B5946">
      <w:pPr>
        <w:rPr>
          <w:rFonts w:ascii="Arial" w:hAnsi="Arial" w:cs="Arial"/>
          <w:sz w:val="22"/>
          <w:szCs w:val="22"/>
        </w:rPr>
      </w:pPr>
    </w:p>
    <w:p w14:paraId="0A5FF81B" w14:textId="1839B318" w:rsidR="002C030F" w:rsidRPr="006C514E" w:rsidRDefault="007C1763" w:rsidP="007B5946">
      <w:pPr>
        <w:rPr>
          <w:rFonts w:ascii="Arial" w:hAnsi="Arial" w:cs="Arial"/>
          <w:sz w:val="22"/>
          <w:szCs w:val="22"/>
        </w:rPr>
      </w:pPr>
      <w:r w:rsidRPr="006C514E">
        <w:rPr>
          <w:rFonts w:ascii="Arial" w:hAnsi="Arial" w:cs="Arial"/>
          <w:sz w:val="22"/>
          <w:szCs w:val="22"/>
        </w:rPr>
        <w:t>Hayato Muranaka, Sandrine Billet, Carlos D. Cruz-Hernández, Johanna ten Hoeve, Gabrielle Gonzales, Omer H.M. Elmadbouh, Le Zhang, Bethany Smith, Mourad Tighiouart, Sungyong You, Mouad Edderkaoui, Andrew Hendifar, Stephen J. Pandol, Jun Gong and Neil A. Bhowmick</w:t>
      </w:r>
    </w:p>
    <w:p w14:paraId="1EBDE992" w14:textId="77777777" w:rsidR="000F0DCE" w:rsidRPr="006C514E" w:rsidRDefault="000F0DCE" w:rsidP="007B5946">
      <w:pPr>
        <w:rPr>
          <w:rFonts w:ascii="Arial" w:hAnsi="Arial" w:cs="Arial"/>
          <w:sz w:val="22"/>
          <w:szCs w:val="22"/>
        </w:rPr>
      </w:pPr>
    </w:p>
    <w:p w14:paraId="76B63DA2" w14:textId="523BE5B7" w:rsidR="00943C3C" w:rsidRPr="006C514E" w:rsidRDefault="007C1763" w:rsidP="007B5946">
      <w:pPr>
        <w:rPr>
          <w:rFonts w:ascii="Arial" w:hAnsi="Arial" w:cs="Arial"/>
          <w:sz w:val="22"/>
          <w:szCs w:val="22"/>
        </w:rPr>
      </w:pPr>
      <w:r w:rsidRPr="006C514E">
        <w:rPr>
          <w:rFonts w:ascii="Arial" w:hAnsi="Arial" w:cs="Arial"/>
          <w:sz w:val="22"/>
          <w:szCs w:val="22"/>
        </w:rPr>
        <w:t>Neil A. Bhowmick</w:t>
      </w:r>
    </w:p>
    <w:p w14:paraId="48676783" w14:textId="3C3783E7" w:rsidR="004779CB" w:rsidRPr="006C514E" w:rsidRDefault="00943C3C" w:rsidP="007B5946">
      <w:pPr>
        <w:rPr>
          <w:rFonts w:ascii="Arial" w:hAnsi="Arial" w:cs="Arial"/>
          <w:sz w:val="22"/>
          <w:szCs w:val="22"/>
        </w:rPr>
      </w:pPr>
      <w:r w:rsidRPr="006C514E">
        <w:rPr>
          <w:rFonts w:ascii="Arial" w:hAnsi="Arial" w:cs="Arial"/>
          <w:sz w:val="22"/>
          <w:szCs w:val="22"/>
        </w:rPr>
        <w:t>Email:</w:t>
      </w:r>
      <w:r w:rsidR="007C1763" w:rsidRPr="006C514E">
        <w:rPr>
          <w:rFonts w:ascii="Arial" w:hAnsi="Arial" w:cs="Arial"/>
          <w:sz w:val="22"/>
          <w:szCs w:val="22"/>
        </w:rPr>
        <w:t xml:space="preserve"> bhowmickn@cshs.org</w:t>
      </w:r>
    </w:p>
    <w:p w14:paraId="41FAE993" w14:textId="77777777" w:rsidR="002C030F" w:rsidRPr="006C514E" w:rsidRDefault="002C030F">
      <w:pPr>
        <w:rPr>
          <w:rFonts w:ascii="Arial" w:hAnsi="Arial" w:cs="Arial"/>
          <w:sz w:val="22"/>
          <w:szCs w:val="22"/>
        </w:rPr>
      </w:pPr>
    </w:p>
    <w:p w14:paraId="51DF9633" w14:textId="77777777" w:rsidR="00015F74" w:rsidRPr="006C514E" w:rsidRDefault="00015F74">
      <w:pPr>
        <w:rPr>
          <w:rFonts w:ascii="Arial" w:hAnsi="Arial" w:cs="Arial"/>
          <w:b/>
          <w:sz w:val="22"/>
          <w:szCs w:val="22"/>
        </w:rPr>
      </w:pPr>
    </w:p>
    <w:p w14:paraId="09920EA7" w14:textId="77777777" w:rsidR="002C030F" w:rsidRPr="006C514E" w:rsidRDefault="009743A9">
      <w:pPr>
        <w:rPr>
          <w:rFonts w:ascii="Arial" w:hAnsi="Arial" w:cs="Arial"/>
          <w:b/>
          <w:sz w:val="22"/>
          <w:szCs w:val="22"/>
        </w:rPr>
      </w:pPr>
      <w:r w:rsidRPr="006C514E">
        <w:rPr>
          <w:rFonts w:ascii="Arial" w:hAnsi="Arial" w:cs="Arial"/>
          <w:b/>
          <w:sz w:val="22"/>
          <w:szCs w:val="22"/>
        </w:rPr>
        <w:t xml:space="preserve">This PDF file </w:t>
      </w:r>
      <w:r w:rsidR="002C030F" w:rsidRPr="006C514E">
        <w:rPr>
          <w:rFonts w:ascii="Arial" w:hAnsi="Arial" w:cs="Arial"/>
          <w:b/>
          <w:sz w:val="22"/>
          <w:szCs w:val="22"/>
        </w:rPr>
        <w:t>includes:</w:t>
      </w:r>
    </w:p>
    <w:p w14:paraId="4348D444" w14:textId="77777777" w:rsidR="002C030F" w:rsidRPr="006C514E" w:rsidRDefault="002C030F">
      <w:pPr>
        <w:rPr>
          <w:rFonts w:ascii="Arial" w:hAnsi="Arial" w:cs="Arial"/>
          <w:sz w:val="22"/>
          <w:szCs w:val="22"/>
        </w:rPr>
      </w:pPr>
    </w:p>
    <w:p w14:paraId="5C040600" w14:textId="0D5601C6" w:rsidR="002C030F" w:rsidRPr="006C514E" w:rsidRDefault="00E81E59" w:rsidP="00262D72">
      <w:pPr>
        <w:ind w:left="720"/>
        <w:rPr>
          <w:rFonts w:ascii="Arial" w:hAnsi="Arial" w:cs="Arial"/>
          <w:sz w:val="22"/>
          <w:szCs w:val="22"/>
        </w:rPr>
      </w:pPr>
      <w:r w:rsidRPr="006C514E">
        <w:rPr>
          <w:rFonts w:ascii="Arial" w:hAnsi="Arial" w:cs="Arial"/>
          <w:sz w:val="22"/>
          <w:szCs w:val="22"/>
        </w:rPr>
        <w:t>Supplemental Materials and Methods</w:t>
      </w:r>
    </w:p>
    <w:p w14:paraId="21670AEA" w14:textId="5342F713" w:rsidR="002C030F" w:rsidRPr="006C514E" w:rsidRDefault="006C2F59" w:rsidP="00262D72">
      <w:pPr>
        <w:ind w:left="720"/>
        <w:rPr>
          <w:rFonts w:ascii="Arial" w:hAnsi="Arial" w:cs="Arial"/>
          <w:sz w:val="22"/>
          <w:szCs w:val="22"/>
          <w:lang w:eastAsia="ja-JP"/>
        </w:rPr>
      </w:pPr>
      <w:r w:rsidRPr="006C514E">
        <w:rPr>
          <w:rFonts w:ascii="Arial" w:hAnsi="Arial" w:cs="Arial"/>
          <w:sz w:val="22"/>
          <w:szCs w:val="22"/>
        </w:rPr>
        <w:t xml:space="preserve">Supplementary </w:t>
      </w:r>
      <w:r w:rsidR="00DA59EA" w:rsidRPr="006C514E">
        <w:rPr>
          <w:rFonts w:ascii="Arial" w:hAnsi="Arial" w:cs="Arial"/>
          <w:sz w:val="22"/>
          <w:szCs w:val="22"/>
        </w:rPr>
        <w:t>Fig</w:t>
      </w:r>
      <w:r w:rsidRPr="006C514E">
        <w:rPr>
          <w:rFonts w:ascii="Arial" w:hAnsi="Arial" w:cs="Arial"/>
          <w:sz w:val="22"/>
          <w:szCs w:val="22"/>
        </w:rPr>
        <w:t>.</w:t>
      </w:r>
      <w:r w:rsidR="00A3403B" w:rsidRPr="006C514E">
        <w:rPr>
          <w:rFonts w:ascii="Arial" w:hAnsi="Arial" w:cs="Arial"/>
          <w:sz w:val="22"/>
          <w:szCs w:val="22"/>
        </w:rPr>
        <w:t xml:space="preserve"> </w:t>
      </w:r>
      <w:r w:rsidR="002C030F" w:rsidRPr="006C514E">
        <w:rPr>
          <w:rFonts w:ascii="Arial" w:hAnsi="Arial" w:cs="Arial"/>
          <w:sz w:val="22"/>
          <w:szCs w:val="22"/>
        </w:rPr>
        <w:t>S1</w:t>
      </w:r>
      <w:r w:rsidR="00A3403B" w:rsidRPr="006C514E">
        <w:rPr>
          <w:rFonts w:ascii="Arial" w:hAnsi="Arial" w:cs="Arial"/>
          <w:sz w:val="22"/>
          <w:szCs w:val="22"/>
        </w:rPr>
        <w:t xml:space="preserve"> to </w:t>
      </w:r>
      <w:r w:rsidR="002C030F" w:rsidRPr="006C514E">
        <w:rPr>
          <w:rFonts w:ascii="Arial" w:hAnsi="Arial" w:cs="Arial"/>
          <w:sz w:val="22"/>
          <w:szCs w:val="22"/>
        </w:rPr>
        <w:t>S</w:t>
      </w:r>
      <w:r w:rsidR="0011073A" w:rsidRPr="006C514E">
        <w:rPr>
          <w:rFonts w:ascii="Arial" w:hAnsi="Arial" w:cs="Arial"/>
          <w:sz w:val="22"/>
          <w:szCs w:val="22"/>
          <w:lang w:eastAsia="ja-JP"/>
        </w:rPr>
        <w:t>9</w:t>
      </w:r>
    </w:p>
    <w:p w14:paraId="091A6F7B" w14:textId="1F420286" w:rsidR="002C030F" w:rsidRPr="006C514E" w:rsidRDefault="002C030F" w:rsidP="00262D72">
      <w:pPr>
        <w:ind w:left="720"/>
        <w:rPr>
          <w:rFonts w:ascii="Arial" w:hAnsi="Arial" w:cs="Arial"/>
          <w:sz w:val="22"/>
          <w:szCs w:val="22"/>
        </w:rPr>
      </w:pPr>
      <w:r w:rsidRPr="006C514E">
        <w:rPr>
          <w:rFonts w:ascii="Arial" w:hAnsi="Arial" w:cs="Arial"/>
          <w:sz w:val="22"/>
          <w:szCs w:val="22"/>
        </w:rPr>
        <w:t>Tables S1</w:t>
      </w:r>
      <w:r w:rsidR="00A3403B" w:rsidRPr="006C514E">
        <w:rPr>
          <w:rFonts w:ascii="Arial" w:hAnsi="Arial" w:cs="Arial"/>
          <w:sz w:val="22"/>
          <w:szCs w:val="22"/>
        </w:rPr>
        <w:t xml:space="preserve"> to </w:t>
      </w:r>
      <w:r w:rsidRPr="006C514E">
        <w:rPr>
          <w:rFonts w:ascii="Arial" w:hAnsi="Arial" w:cs="Arial"/>
          <w:sz w:val="22"/>
          <w:szCs w:val="22"/>
        </w:rPr>
        <w:t>S</w:t>
      </w:r>
      <w:r w:rsidR="00E81E59" w:rsidRPr="006C514E">
        <w:rPr>
          <w:rFonts w:ascii="Arial" w:hAnsi="Arial" w:cs="Arial"/>
          <w:sz w:val="22"/>
          <w:szCs w:val="22"/>
        </w:rPr>
        <w:t>2</w:t>
      </w:r>
      <w:r w:rsidR="00B73A1C" w:rsidRPr="006C514E">
        <w:rPr>
          <w:rFonts w:ascii="Arial" w:hAnsi="Arial" w:cs="Arial"/>
          <w:sz w:val="22"/>
          <w:szCs w:val="22"/>
        </w:rPr>
        <w:t xml:space="preserve"> </w:t>
      </w:r>
    </w:p>
    <w:p w14:paraId="77BBB45A" w14:textId="7B7DD38A" w:rsidR="001C0520" w:rsidRPr="006C514E" w:rsidRDefault="00CF16C9" w:rsidP="00262D72">
      <w:pPr>
        <w:ind w:left="720"/>
        <w:rPr>
          <w:rFonts w:ascii="Arial" w:hAnsi="Arial" w:cs="Arial"/>
          <w:sz w:val="22"/>
          <w:szCs w:val="22"/>
        </w:rPr>
      </w:pPr>
      <w:r w:rsidRPr="006C514E">
        <w:rPr>
          <w:rFonts w:ascii="Arial" w:hAnsi="Arial" w:cs="Arial"/>
          <w:sz w:val="22"/>
          <w:szCs w:val="22"/>
        </w:rPr>
        <w:t xml:space="preserve">SI </w:t>
      </w:r>
      <w:r w:rsidR="001C0520" w:rsidRPr="006C514E">
        <w:rPr>
          <w:rFonts w:ascii="Arial" w:hAnsi="Arial" w:cs="Arial"/>
          <w:sz w:val="22"/>
          <w:szCs w:val="22"/>
        </w:rPr>
        <w:t xml:space="preserve">References </w:t>
      </w:r>
    </w:p>
    <w:p w14:paraId="7702D235" w14:textId="77777777" w:rsidR="002C030F" w:rsidRPr="006C514E" w:rsidRDefault="002C030F">
      <w:pPr>
        <w:rPr>
          <w:rFonts w:ascii="Arial" w:hAnsi="Arial" w:cs="Arial"/>
          <w:sz w:val="22"/>
          <w:szCs w:val="22"/>
        </w:rPr>
      </w:pPr>
    </w:p>
    <w:p w14:paraId="1FEFCC27" w14:textId="77777777" w:rsidR="006C2F59" w:rsidRPr="006C514E" w:rsidRDefault="00B73A1C" w:rsidP="006C2F59">
      <w:pPr>
        <w:rPr>
          <w:rFonts w:ascii="Arial" w:hAnsi="Arial" w:cs="Arial"/>
          <w:b/>
          <w:sz w:val="22"/>
          <w:szCs w:val="22"/>
        </w:rPr>
      </w:pPr>
      <w:r>
        <w:rPr>
          <w:rFonts w:ascii="Arial" w:hAnsi="Arial" w:cs="Arial"/>
          <w:sz w:val="20"/>
        </w:rPr>
        <w:br w:type="page"/>
      </w:r>
      <w:r w:rsidRPr="006C514E">
        <w:rPr>
          <w:rFonts w:ascii="Arial" w:hAnsi="Arial" w:cs="Arial"/>
          <w:b/>
          <w:sz w:val="22"/>
          <w:szCs w:val="22"/>
        </w:rPr>
        <w:lastRenderedPageBreak/>
        <w:t>Supporting</w:t>
      </w:r>
      <w:r w:rsidR="00015F74" w:rsidRPr="006C514E">
        <w:rPr>
          <w:rFonts w:ascii="Arial" w:hAnsi="Arial" w:cs="Arial"/>
          <w:b/>
          <w:sz w:val="22"/>
          <w:szCs w:val="22"/>
        </w:rPr>
        <w:t xml:space="preserve"> </w:t>
      </w:r>
      <w:r w:rsidR="001C0975" w:rsidRPr="006C514E">
        <w:rPr>
          <w:rFonts w:ascii="Arial" w:hAnsi="Arial" w:cs="Arial"/>
          <w:b/>
          <w:sz w:val="22"/>
          <w:szCs w:val="22"/>
        </w:rPr>
        <w:t>Information Text</w:t>
      </w:r>
    </w:p>
    <w:p w14:paraId="0383C9D0" w14:textId="77777777" w:rsidR="006C2F59" w:rsidRPr="006C514E" w:rsidRDefault="006C2F59" w:rsidP="006C2F59">
      <w:pPr>
        <w:rPr>
          <w:rFonts w:ascii="Arial" w:hAnsi="Arial" w:cs="Arial"/>
          <w:sz w:val="22"/>
          <w:szCs w:val="22"/>
        </w:rPr>
      </w:pPr>
    </w:p>
    <w:p w14:paraId="773EDCFF" w14:textId="4D77AF10" w:rsidR="001C0975" w:rsidRPr="006C514E" w:rsidRDefault="007C1763" w:rsidP="006C2F59">
      <w:pPr>
        <w:rPr>
          <w:rFonts w:ascii="Arial" w:hAnsi="Arial" w:cs="Arial"/>
          <w:b/>
          <w:bCs/>
          <w:kern w:val="32"/>
          <w:sz w:val="22"/>
          <w:szCs w:val="22"/>
        </w:rPr>
      </w:pPr>
      <w:r w:rsidRPr="006C514E">
        <w:rPr>
          <w:rFonts w:ascii="Arial" w:hAnsi="Arial" w:cs="Arial"/>
          <w:b/>
          <w:sz w:val="22"/>
          <w:szCs w:val="22"/>
        </w:rPr>
        <w:t xml:space="preserve">Supplementary </w:t>
      </w:r>
      <w:r w:rsidR="00E81E59" w:rsidRPr="006C514E">
        <w:rPr>
          <w:rFonts w:ascii="Arial" w:hAnsi="Arial" w:cs="Arial"/>
          <w:b/>
          <w:sz w:val="22"/>
          <w:szCs w:val="22"/>
        </w:rPr>
        <w:t xml:space="preserve">Materials and </w:t>
      </w:r>
      <w:r w:rsidRPr="006C514E">
        <w:rPr>
          <w:rFonts w:ascii="Arial" w:hAnsi="Arial" w:cs="Arial"/>
          <w:b/>
          <w:sz w:val="22"/>
          <w:szCs w:val="22"/>
        </w:rPr>
        <w:t>Methods</w:t>
      </w:r>
    </w:p>
    <w:p w14:paraId="03FE6DE7" w14:textId="77777777" w:rsidR="006C2F59" w:rsidRPr="006C514E" w:rsidRDefault="006C2F59" w:rsidP="00FC3C2C">
      <w:pPr>
        <w:pStyle w:val="SMSubheading"/>
        <w:rPr>
          <w:rFonts w:ascii="Arial" w:hAnsi="Arial" w:cs="Arial"/>
          <w:b/>
          <w:sz w:val="22"/>
          <w:szCs w:val="22"/>
          <w:u w:val="none"/>
        </w:rPr>
      </w:pPr>
    </w:p>
    <w:p w14:paraId="3E03C5A0" w14:textId="71E1F199" w:rsidR="00BC4A9B" w:rsidRPr="006C514E" w:rsidRDefault="00BC4A9B" w:rsidP="00FC3C2C">
      <w:pPr>
        <w:pStyle w:val="SMSubheading"/>
        <w:rPr>
          <w:rFonts w:ascii="Arial" w:hAnsi="Arial" w:cs="Arial"/>
          <w:color w:val="000000" w:themeColor="text1"/>
          <w:sz w:val="22"/>
          <w:szCs w:val="22"/>
          <w:u w:val="none"/>
        </w:rPr>
      </w:pPr>
      <w:r w:rsidRPr="006C514E">
        <w:rPr>
          <w:rFonts w:ascii="Arial" w:hAnsi="Arial" w:cs="Arial"/>
          <w:b/>
          <w:sz w:val="22"/>
          <w:szCs w:val="22"/>
          <w:u w:val="none"/>
        </w:rPr>
        <w:t xml:space="preserve">Compounds. </w:t>
      </w:r>
      <w:r w:rsidRPr="006C514E">
        <w:rPr>
          <w:rFonts w:ascii="Arial" w:hAnsi="Arial" w:cs="Arial"/>
          <w:color w:val="000000" w:themeColor="text1"/>
          <w:sz w:val="22"/>
          <w:szCs w:val="22"/>
          <w:u w:val="none"/>
        </w:rPr>
        <w:t>Gemcitabine (Gem; Hospira, Lake Forest, IL) and Digoxin (Sandoz, Princeton, NJ) were dissolved in sterile water. L-Glutamine (Thermo Fisher Scientific, Waltham, MA), L-Threonine (Cayman Chemical, Los Angeles, CA), and D-Glutamine (Cayman Chemical) were dissolved in cell culture media for in vitro experiments. Ouabain octahydrate (Thermo Fisher Scientific, Waltham, MA), CB-839 (Calithera Biosciences, South San Francisco, CA) were dissolved in Dimethyl sulfoxide (DMSO). Final DMSO concentration was &lt; 0.1% in vitro.</w:t>
      </w:r>
    </w:p>
    <w:p w14:paraId="60852958" w14:textId="77777777" w:rsidR="00BC4A9B" w:rsidRPr="006C514E" w:rsidRDefault="00BC4A9B" w:rsidP="00FC3C2C">
      <w:pPr>
        <w:pStyle w:val="SMSubheading"/>
        <w:rPr>
          <w:rFonts w:ascii="Arial" w:hAnsi="Arial" w:cs="Arial"/>
          <w:b/>
          <w:sz w:val="22"/>
          <w:szCs w:val="22"/>
          <w:u w:val="none"/>
        </w:rPr>
      </w:pPr>
    </w:p>
    <w:p w14:paraId="41B113EE" w14:textId="31C15275" w:rsidR="001C0975" w:rsidRPr="006C514E" w:rsidRDefault="007C1763" w:rsidP="00FC3C2C">
      <w:pPr>
        <w:pStyle w:val="SMSubheading"/>
        <w:rPr>
          <w:rFonts w:ascii="Arial" w:hAnsi="Arial" w:cs="Arial"/>
          <w:sz w:val="22"/>
          <w:szCs w:val="22"/>
          <w:u w:val="none"/>
        </w:rPr>
      </w:pPr>
      <w:r w:rsidRPr="006C514E">
        <w:rPr>
          <w:rFonts w:ascii="Arial" w:hAnsi="Arial" w:cs="Arial"/>
          <w:b/>
          <w:sz w:val="22"/>
          <w:szCs w:val="22"/>
          <w:u w:val="none"/>
        </w:rPr>
        <w:t>Cell lines and cell culture</w:t>
      </w:r>
      <w:r w:rsidR="00B42F9C" w:rsidRPr="006C514E">
        <w:rPr>
          <w:rFonts w:ascii="Arial" w:hAnsi="Arial" w:cs="Arial"/>
          <w:b/>
          <w:sz w:val="22"/>
          <w:szCs w:val="22"/>
          <w:u w:val="none"/>
        </w:rPr>
        <w:t xml:space="preserve">. </w:t>
      </w:r>
      <w:r w:rsidR="00FC3C2C" w:rsidRPr="006C514E">
        <w:rPr>
          <w:rFonts w:ascii="Arial" w:hAnsi="Arial" w:cs="Arial"/>
          <w:color w:val="000000" w:themeColor="text1"/>
          <w:sz w:val="22"/>
          <w:szCs w:val="22"/>
          <w:u w:val="none"/>
        </w:rPr>
        <w:t>MIA PaCa-2, HPAF-II, PANC-1, BxPC-3, HCT116, 22Rv1 and JHOC5 were cultured in RPMI-1640. UN-KPC-960, UN-KPC-961 and C2C12 were cultured in Dulbecco's Modified Eagle Medium (DMEM). Amino acid deprivation media was made up of DMEM low glucose and amino acid-free supplemented with sodium pyruvate (0.11 g/l), D-glucose (4.5 g/l). Gln studies were performed in Gln-free media supplemented with indicated concentrations of L-Gln and/or D-Gln. Thr studies were performed in methionine and threonine-free DMEM supplemented with L-methionine (0.03 g/l), D-glucose (4.5 g/l), and indicated concentrations of L-Thr. The culture media were all supplemented with 10% fetal bovine serum and 1% penicillin/streptomycin (all component from Fisher Scientific; Hampton, NH). The cells were tested for mycoplasma using MycoAlert</w:t>
      </w:r>
      <w:r w:rsidR="00FC3C2C" w:rsidRPr="006C514E">
        <w:rPr>
          <w:rFonts w:ascii="Arial" w:hAnsi="Arial" w:cs="Arial"/>
          <w:color w:val="000000" w:themeColor="text1"/>
          <w:sz w:val="22"/>
          <w:szCs w:val="22"/>
          <w:u w:val="none"/>
          <w:vertAlign w:val="superscript"/>
        </w:rPr>
        <w:t>TM</w:t>
      </w:r>
      <w:r w:rsidR="00FC3C2C" w:rsidRPr="006C514E">
        <w:rPr>
          <w:rFonts w:ascii="Arial" w:hAnsi="Arial" w:cs="Arial"/>
          <w:color w:val="000000" w:themeColor="text1"/>
          <w:sz w:val="22"/>
          <w:szCs w:val="22"/>
          <w:u w:val="none"/>
        </w:rPr>
        <w:t xml:space="preserve"> PLUS Mycoplasma Detection Kit (Lonza, Rockland, ME) regularly. Mycoplasma-negative cells were used for the studies.</w:t>
      </w:r>
    </w:p>
    <w:p w14:paraId="41565D83" w14:textId="6F9002D0" w:rsidR="001C0975" w:rsidRPr="006C514E" w:rsidRDefault="001C0975" w:rsidP="00FC3C2C">
      <w:pPr>
        <w:pStyle w:val="SMText"/>
        <w:ind w:firstLine="0"/>
        <w:rPr>
          <w:rFonts w:ascii="Arial" w:hAnsi="Arial" w:cs="Arial"/>
          <w:sz w:val="22"/>
          <w:szCs w:val="22"/>
        </w:rPr>
      </w:pPr>
    </w:p>
    <w:p w14:paraId="02C8CA58" w14:textId="4F0B0CDF" w:rsidR="00BC4A9B" w:rsidRPr="006C514E" w:rsidRDefault="00BC4A9B" w:rsidP="00FC3C2C">
      <w:pPr>
        <w:pStyle w:val="SMText"/>
        <w:ind w:firstLine="0"/>
        <w:rPr>
          <w:rFonts w:ascii="Arial" w:hAnsi="Arial" w:cs="Arial"/>
          <w:color w:val="000000" w:themeColor="text1"/>
          <w:sz w:val="22"/>
          <w:szCs w:val="22"/>
        </w:rPr>
      </w:pPr>
      <w:r w:rsidRPr="006C514E">
        <w:rPr>
          <w:rFonts w:ascii="Arial" w:hAnsi="Arial" w:cs="Arial"/>
          <w:b/>
          <w:sz w:val="22"/>
          <w:szCs w:val="22"/>
        </w:rPr>
        <w:t xml:space="preserve">Cell counting and clonogenic assay. </w:t>
      </w:r>
      <w:r w:rsidR="00544988" w:rsidRPr="006C514E">
        <w:rPr>
          <w:rFonts w:ascii="Arial" w:hAnsi="Arial" w:cs="Arial"/>
          <w:color w:val="000000" w:themeColor="text1"/>
          <w:sz w:val="22"/>
          <w:szCs w:val="22"/>
        </w:rPr>
        <w:t>Cells proliferation studies were performed by seeded cells in 6-well plates, allowed to attach overnight, and exposed to indicated agents for 2-4 days. Cells harvested using 0.05% trypsin-EDTA were stained with 0.4% trypan blue staining (in 0.81% sodium chloride and 0.06% potassium phosphate dibasic solution) and enumerated by TC20 Automated Cell Counter (Bio-Rad, Hercules, CA).</w:t>
      </w:r>
    </w:p>
    <w:p w14:paraId="75F9996E" w14:textId="038009AD" w:rsidR="00544988" w:rsidRPr="006C514E" w:rsidRDefault="00544988" w:rsidP="00FC3C2C">
      <w:pPr>
        <w:pStyle w:val="SMText"/>
        <w:ind w:firstLine="0"/>
        <w:rPr>
          <w:rFonts w:ascii="Arial" w:hAnsi="Arial" w:cs="Arial"/>
          <w:color w:val="000000" w:themeColor="text1"/>
          <w:sz w:val="22"/>
          <w:szCs w:val="22"/>
        </w:rPr>
      </w:pPr>
    </w:p>
    <w:p w14:paraId="61FFD6EF" w14:textId="3AC1659D" w:rsidR="00544988" w:rsidRPr="006C514E" w:rsidRDefault="00544988" w:rsidP="00FC3C2C">
      <w:pPr>
        <w:pStyle w:val="SMText"/>
        <w:ind w:firstLine="0"/>
        <w:rPr>
          <w:rFonts w:ascii="Arial" w:hAnsi="Arial" w:cs="Arial"/>
          <w:color w:val="000000" w:themeColor="text1"/>
          <w:sz w:val="22"/>
          <w:szCs w:val="22"/>
        </w:rPr>
      </w:pPr>
      <w:r w:rsidRPr="006C514E">
        <w:rPr>
          <w:rFonts w:ascii="Arial" w:hAnsi="Arial" w:cs="Arial"/>
          <w:color w:val="000000" w:themeColor="text1"/>
          <w:sz w:val="22"/>
          <w:szCs w:val="22"/>
        </w:rPr>
        <w:t>Clonogenicity was measured on cells seeded in 12-well plates exposed to different concentrations of indicated agents for 9-12 days. The medium was changed every three days. Cells were fixed and stained with 6% Glutaraldehyde (Thermo Fisher Scientific) and 0.5% Crystal Violet (Sigma-Aldrich). The bound dye was released with 10% acetic acid (Sigma-Aldrich), and the optical density of the solution at 595 nm was measured by using iMark</w:t>
      </w:r>
      <w:r w:rsidRPr="006C514E">
        <w:rPr>
          <w:rFonts w:ascii="Arial" w:hAnsi="Arial" w:cs="Arial"/>
          <w:color w:val="000000" w:themeColor="text1"/>
          <w:sz w:val="22"/>
          <w:szCs w:val="22"/>
          <w:vertAlign w:val="superscript"/>
        </w:rPr>
        <w:t>TM</w:t>
      </w:r>
      <w:r w:rsidRPr="006C514E">
        <w:rPr>
          <w:rFonts w:ascii="Arial" w:hAnsi="Arial" w:cs="Arial"/>
          <w:color w:val="000000" w:themeColor="text1"/>
          <w:sz w:val="22"/>
          <w:szCs w:val="22"/>
        </w:rPr>
        <w:t xml:space="preserve"> Microplate Absorbance Reader (Bio-Rad).</w:t>
      </w:r>
    </w:p>
    <w:p w14:paraId="654D1E29" w14:textId="77777777" w:rsidR="00BC4A9B" w:rsidRPr="006C514E" w:rsidRDefault="00BC4A9B" w:rsidP="00FC3C2C">
      <w:pPr>
        <w:pStyle w:val="SMText"/>
        <w:ind w:firstLine="0"/>
        <w:rPr>
          <w:rFonts w:ascii="Arial" w:hAnsi="Arial" w:cs="Arial"/>
          <w:color w:val="000000" w:themeColor="text1"/>
          <w:sz w:val="22"/>
          <w:szCs w:val="22"/>
        </w:rPr>
      </w:pPr>
    </w:p>
    <w:p w14:paraId="1A741144" w14:textId="22EB70F4" w:rsidR="00BC4A9B" w:rsidRPr="006C514E" w:rsidRDefault="00BC4A9B" w:rsidP="00FC3C2C">
      <w:pPr>
        <w:pStyle w:val="SMText"/>
        <w:ind w:firstLine="0"/>
        <w:rPr>
          <w:rFonts w:ascii="Arial" w:hAnsi="Arial" w:cs="Arial"/>
          <w:color w:val="000000" w:themeColor="text1"/>
          <w:sz w:val="22"/>
          <w:szCs w:val="22"/>
        </w:rPr>
      </w:pPr>
      <w:r w:rsidRPr="006C514E">
        <w:rPr>
          <w:rFonts w:ascii="Arial" w:hAnsi="Arial" w:cs="Arial"/>
          <w:b/>
          <w:sz w:val="22"/>
          <w:szCs w:val="22"/>
        </w:rPr>
        <w:t xml:space="preserve">Cell cycle and cell viability. </w:t>
      </w:r>
      <w:r w:rsidR="00544988" w:rsidRPr="006C514E">
        <w:rPr>
          <w:rFonts w:ascii="Arial" w:hAnsi="Arial" w:cs="Arial"/>
          <w:color w:val="000000" w:themeColor="text1"/>
          <w:sz w:val="22"/>
          <w:szCs w:val="22"/>
        </w:rPr>
        <w:t>For cell cycle analysis, cells were dissociated to a single-cell suspension and fixed with 70% EtOH for 30 minutes at -20 °C. Then the cells were incubated with 10 μg/ml RNase A (Thermo Fisher Scientific) for 30 minutes at 37 °C, 50 μg/ml propidium iodide (Sigma-Aldrich) in 50% EtOH for analysis by BD Accuri</w:t>
      </w:r>
      <w:r w:rsidR="00544988" w:rsidRPr="006C514E">
        <w:rPr>
          <w:rFonts w:ascii="Arial" w:hAnsi="Arial" w:cs="Arial"/>
          <w:color w:val="000000" w:themeColor="text1"/>
          <w:sz w:val="22"/>
          <w:szCs w:val="22"/>
          <w:vertAlign w:val="superscript"/>
        </w:rPr>
        <w:t>TM</w:t>
      </w:r>
      <w:r w:rsidR="00544988" w:rsidRPr="006C514E">
        <w:rPr>
          <w:rFonts w:ascii="Arial" w:hAnsi="Arial" w:cs="Arial"/>
          <w:color w:val="000000" w:themeColor="text1"/>
          <w:sz w:val="22"/>
          <w:szCs w:val="22"/>
        </w:rPr>
        <w:t xml:space="preserve"> Flow Cytometer (BD Biosciences, San Jose, CA). Similar single-cell suspensions were directly incubated with 10 μg/ml propidium iodide in 1% bovine serum albumin and PBS at room temperature for 15 minutes for cell viability determination by flow cytometry (in the absence of cell permeabilization). Data analysis was performed using FlowJo v10.6.2. software in both experiments.</w:t>
      </w:r>
    </w:p>
    <w:p w14:paraId="1DE5F864" w14:textId="1A76DE6F" w:rsidR="00BC4A9B" w:rsidRPr="006C514E" w:rsidRDefault="00BC4A9B" w:rsidP="00FC3C2C">
      <w:pPr>
        <w:pStyle w:val="SMText"/>
        <w:ind w:firstLine="0"/>
        <w:rPr>
          <w:rFonts w:ascii="Arial" w:hAnsi="Arial" w:cs="Arial"/>
          <w:sz w:val="22"/>
          <w:szCs w:val="22"/>
        </w:rPr>
      </w:pPr>
    </w:p>
    <w:p w14:paraId="5D401473" w14:textId="0F09A592" w:rsidR="00BC4A9B" w:rsidRPr="006C514E" w:rsidRDefault="00BC4A9B" w:rsidP="00FC3C2C">
      <w:pPr>
        <w:pStyle w:val="SMText"/>
        <w:ind w:firstLine="0"/>
        <w:rPr>
          <w:rFonts w:ascii="Arial" w:hAnsi="Arial" w:cs="Arial"/>
          <w:sz w:val="22"/>
          <w:szCs w:val="22"/>
        </w:rPr>
      </w:pPr>
      <w:r w:rsidRPr="006C514E">
        <w:rPr>
          <w:rFonts w:ascii="Arial" w:hAnsi="Arial" w:cs="Arial"/>
          <w:b/>
          <w:sz w:val="22"/>
          <w:szCs w:val="22"/>
        </w:rPr>
        <w:t xml:space="preserve">Small interfering RNA (siRNA) cell transfection. </w:t>
      </w:r>
      <w:r w:rsidR="00544988" w:rsidRPr="006C514E">
        <w:rPr>
          <w:rFonts w:ascii="Arial" w:hAnsi="Arial" w:cs="Arial"/>
          <w:color w:val="000000" w:themeColor="text1"/>
          <w:sz w:val="22"/>
          <w:szCs w:val="22"/>
        </w:rPr>
        <w:t>MIA PaCa-2 cells and BXPC-3 cells were transiently transfected with siRNA according to the manufacturer’s protocol by Lipofectamine 3000 (Thermo Fisher Scientific) with control siRNA (sc-37007) and siRNA targeting human xCT (SLC7A11) (sc-76933), human ASCT1 (SLC1A4) (sc-60208), purchased from Santa Cruz</w:t>
      </w:r>
      <w:r w:rsidR="003D3BD3" w:rsidRPr="006C514E">
        <w:rPr>
          <w:rFonts w:ascii="Arial" w:hAnsi="Arial" w:cs="Arial"/>
          <w:color w:val="000000" w:themeColor="text1"/>
          <w:sz w:val="22"/>
          <w:szCs w:val="22"/>
        </w:rPr>
        <w:t xml:space="preserve"> </w:t>
      </w:r>
      <w:r w:rsidR="00544988" w:rsidRPr="006C514E">
        <w:rPr>
          <w:rFonts w:ascii="Arial" w:hAnsi="Arial" w:cs="Arial"/>
          <w:color w:val="000000" w:themeColor="text1"/>
          <w:sz w:val="22"/>
          <w:szCs w:val="22"/>
        </w:rPr>
        <w:lastRenderedPageBreak/>
        <w:t>Biotechnology (Santa Cruz, CA). Transfected cells were cultured in medium with gemcitabine for 2 days for cell viability or for intracellular ROS measurement.</w:t>
      </w:r>
    </w:p>
    <w:p w14:paraId="6168AFDB" w14:textId="082F6178" w:rsidR="00BC4A9B" w:rsidRPr="006C514E" w:rsidRDefault="00BC4A9B" w:rsidP="00FC3C2C">
      <w:pPr>
        <w:pStyle w:val="SMText"/>
        <w:ind w:firstLine="0"/>
        <w:rPr>
          <w:rFonts w:ascii="Arial" w:hAnsi="Arial" w:cs="Arial"/>
          <w:sz w:val="22"/>
          <w:szCs w:val="22"/>
        </w:rPr>
      </w:pPr>
    </w:p>
    <w:p w14:paraId="1CBAE434" w14:textId="096B677A" w:rsidR="00BC4A9B" w:rsidRPr="006C514E" w:rsidRDefault="003D3BD3" w:rsidP="00FC3C2C">
      <w:pPr>
        <w:pStyle w:val="SMText"/>
        <w:ind w:firstLine="0"/>
        <w:rPr>
          <w:rFonts w:ascii="Arial" w:hAnsi="Arial" w:cs="Arial"/>
          <w:sz w:val="22"/>
          <w:szCs w:val="22"/>
        </w:rPr>
      </w:pPr>
      <w:r w:rsidRPr="006C514E">
        <w:rPr>
          <w:rFonts w:ascii="Arial" w:hAnsi="Arial" w:cs="Arial"/>
          <w:b/>
          <w:sz w:val="22"/>
          <w:szCs w:val="22"/>
        </w:rPr>
        <w:t>Intracellular ROS</w:t>
      </w:r>
      <w:r w:rsidR="00BC4A9B" w:rsidRPr="006C514E">
        <w:rPr>
          <w:rFonts w:ascii="Arial" w:hAnsi="Arial" w:cs="Arial"/>
          <w:b/>
          <w:sz w:val="22"/>
          <w:szCs w:val="22"/>
        </w:rPr>
        <w:t xml:space="preserve">. </w:t>
      </w:r>
      <w:r w:rsidRPr="006C514E">
        <w:rPr>
          <w:rFonts w:ascii="Arial" w:hAnsi="Arial" w:cs="Arial"/>
          <w:color w:val="000000" w:themeColor="text1"/>
          <w:sz w:val="22"/>
          <w:szCs w:val="22"/>
        </w:rPr>
        <w:t>Cells were dissociated to a single-cell suspension and incubated with 20 μM H</w:t>
      </w:r>
      <w:r w:rsidRPr="006C514E">
        <w:rPr>
          <w:rFonts w:ascii="Arial" w:hAnsi="Arial" w:cs="Arial"/>
          <w:color w:val="000000" w:themeColor="text1"/>
          <w:sz w:val="22"/>
          <w:szCs w:val="22"/>
          <w:vertAlign w:val="subscript"/>
        </w:rPr>
        <w:t>2</w:t>
      </w:r>
      <w:r w:rsidRPr="006C514E">
        <w:rPr>
          <w:rFonts w:ascii="Arial" w:hAnsi="Arial" w:cs="Arial"/>
          <w:color w:val="000000" w:themeColor="text1"/>
          <w:sz w:val="22"/>
          <w:szCs w:val="22"/>
        </w:rPr>
        <w:t>DCFDA (Thermo Fisher Scientific) for intracellular ROS measurement. After incubation, cells were immediately analyzed by flow cytometry. Data analysis was performed using FlowJo v10.6.2. software.</w:t>
      </w:r>
    </w:p>
    <w:p w14:paraId="256DC27D" w14:textId="101048A5" w:rsidR="00BC4A9B" w:rsidRPr="006C514E" w:rsidRDefault="00BC4A9B" w:rsidP="00FC3C2C">
      <w:pPr>
        <w:pStyle w:val="SMText"/>
        <w:ind w:firstLine="0"/>
        <w:rPr>
          <w:rFonts w:ascii="Arial" w:hAnsi="Arial" w:cs="Arial"/>
          <w:sz w:val="22"/>
          <w:szCs w:val="22"/>
        </w:rPr>
      </w:pPr>
    </w:p>
    <w:p w14:paraId="5BBFA586" w14:textId="48401828" w:rsidR="00BC4A9B" w:rsidRPr="006C514E" w:rsidRDefault="003D3BD3" w:rsidP="00FC3C2C">
      <w:pPr>
        <w:pStyle w:val="SMText"/>
        <w:ind w:firstLine="0"/>
        <w:rPr>
          <w:rFonts w:ascii="Arial" w:hAnsi="Arial" w:cs="Arial"/>
          <w:sz w:val="22"/>
          <w:szCs w:val="22"/>
        </w:rPr>
      </w:pPr>
      <w:r w:rsidRPr="006C514E">
        <w:rPr>
          <w:rFonts w:ascii="Arial" w:hAnsi="Arial" w:cs="Arial"/>
          <w:b/>
          <w:sz w:val="22"/>
          <w:szCs w:val="22"/>
        </w:rPr>
        <w:t>Seahorse metabolic flux analysis</w:t>
      </w:r>
      <w:r w:rsidR="00BC4A9B" w:rsidRPr="006C514E">
        <w:rPr>
          <w:rFonts w:ascii="Arial" w:hAnsi="Arial" w:cs="Arial"/>
          <w:b/>
          <w:sz w:val="22"/>
          <w:szCs w:val="22"/>
        </w:rPr>
        <w:t xml:space="preserve">. </w:t>
      </w:r>
      <w:r w:rsidRPr="006C514E">
        <w:rPr>
          <w:rFonts w:ascii="Arial" w:hAnsi="Arial" w:cs="Arial"/>
          <w:color w:val="000000" w:themeColor="text1"/>
          <w:sz w:val="22"/>
          <w:szCs w:val="22"/>
        </w:rPr>
        <w:t>MIA PaCa-2 cells were cultured with different concentration of L-Gln for 24 hours, then seeded to Seahorse XF24 Cell Culture Microplate (Agilent Technologies, Santa Clara, CA). A sensor cartridge (Agilent Technologies) was hydrated in Seahorse XF Calibrant (Agilent Technologies) at 37 °C in a non-CO</w:t>
      </w:r>
      <w:r w:rsidRPr="006C514E">
        <w:rPr>
          <w:rFonts w:ascii="Arial" w:hAnsi="Arial" w:cs="Arial"/>
          <w:color w:val="000000" w:themeColor="text1"/>
          <w:sz w:val="22"/>
          <w:szCs w:val="22"/>
          <w:vertAlign w:val="subscript"/>
        </w:rPr>
        <w:t>2</w:t>
      </w:r>
      <w:r w:rsidRPr="006C514E">
        <w:rPr>
          <w:rFonts w:ascii="Arial" w:hAnsi="Arial" w:cs="Arial"/>
          <w:color w:val="000000" w:themeColor="text1"/>
          <w:sz w:val="22"/>
          <w:szCs w:val="22"/>
        </w:rPr>
        <w:t xml:space="preserve"> incubator overnight. After an additional 24 hours incubation, cells were washed with the assay medium: Seahorse XF Base Medium (Agilent Technologies) supplemented with 10 mM glucose, 1 mM sodium pyruvate and 2 mM glutamine (pH 7.4). The cell culture microplate was placed in 37 °C non-CO</w:t>
      </w:r>
      <w:r w:rsidRPr="006C514E">
        <w:rPr>
          <w:rFonts w:ascii="Arial" w:hAnsi="Arial" w:cs="Arial"/>
          <w:color w:val="000000" w:themeColor="text1"/>
          <w:sz w:val="22"/>
          <w:szCs w:val="22"/>
          <w:vertAlign w:val="subscript"/>
        </w:rPr>
        <w:t>2</w:t>
      </w:r>
      <w:r w:rsidRPr="006C514E">
        <w:rPr>
          <w:rFonts w:ascii="Arial" w:hAnsi="Arial" w:cs="Arial"/>
          <w:color w:val="000000" w:themeColor="text1"/>
          <w:sz w:val="22"/>
          <w:szCs w:val="22"/>
        </w:rPr>
        <w:t xml:space="preserve"> incubator for one hour prior to the assay. Oxygen consumption rate (OCR) measurement was performed using Seahorse XFe24 Analyzer (Agilent Technologies) under basal conditions or in response to sequential treatment with 2 μM oligomycin, 0.72 μM FCCP, and 1 μM rotenone/antimycin A.</w:t>
      </w:r>
    </w:p>
    <w:p w14:paraId="7F88CB60" w14:textId="3DEF1A49" w:rsidR="00BC4A9B" w:rsidRPr="006C514E" w:rsidRDefault="00BC4A9B" w:rsidP="00FC3C2C">
      <w:pPr>
        <w:pStyle w:val="SMText"/>
        <w:ind w:firstLine="0"/>
        <w:rPr>
          <w:rFonts w:ascii="Arial" w:hAnsi="Arial" w:cs="Arial"/>
          <w:sz w:val="22"/>
          <w:szCs w:val="22"/>
        </w:rPr>
      </w:pPr>
    </w:p>
    <w:p w14:paraId="18D03877" w14:textId="0FACBE95" w:rsidR="00BC4A9B" w:rsidRPr="006C514E" w:rsidRDefault="003D3BD3" w:rsidP="00FC3C2C">
      <w:pPr>
        <w:pStyle w:val="SMText"/>
        <w:ind w:firstLine="0"/>
        <w:rPr>
          <w:rFonts w:ascii="Arial" w:hAnsi="Arial" w:cs="Arial"/>
          <w:sz w:val="22"/>
          <w:szCs w:val="22"/>
        </w:rPr>
      </w:pPr>
      <w:r w:rsidRPr="006C514E">
        <w:rPr>
          <w:rFonts w:ascii="Arial" w:hAnsi="Arial" w:cs="Arial"/>
          <w:b/>
          <w:sz w:val="22"/>
          <w:szCs w:val="22"/>
        </w:rPr>
        <w:t>Macropinocytosis assay</w:t>
      </w:r>
      <w:r w:rsidR="00BC4A9B" w:rsidRPr="006C514E">
        <w:rPr>
          <w:rFonts w:ascii="Arial" w:hAnsi="Arial" w:cs="Arial"/>
          <w:b/>
          <w:sz w:val="22"/>
          <w:szCs w:val="22"/>
        </w:rPr>
        <w:t xml:space="preserve">. </w:t>
      </w:r>
      <w:r w:rsidRPr="006C514E">
        <w:rPr>
          <w:rFonts w:ascii="Arial" w:hAnsi="Arial" w:cs="Arial"/>
          <w:color w:val="000000" w:themeColor="text1"/>
          <w:sz w:val="22"/>
          <w:szCs w:val="22"/>
        </w:rPr>
        <w:t>Cells were treated with 0.2 mg/ml FITC-Dextran (40 kDa, Thermo Fisher Scientific) for 48 hours. Cells were dissociated to a single-cell suspension and immediately analyzed by flow cytometry. Data analysis was performed using FlowJo v10.6.2. software.</w:t>
      </w:r>
    </w:p>
    <w:p w14:paraId="7C3A5ACA" w14:textId="7039CF0A" w:rsidR="00BC4A9B" w:rsidRPr="006C514E" w:rsidRDefault="00BC4A9B" w:rsidP="00FC3C2C">
      <w:pPr>
        <w:pStyle w:val="SMText"/>
        <w:ind w:firstLine="0"/>
        <w:rPr>
          <w:rFonts w:ascii="Arial" w:hAnsi="Arial" w:cs="Arial"/>
          <w:sz w:val="22"/>
          <w:szCs w:val="22"/>
        </w:rPr>
      </w:pPr>
    </w:p>
    <w:p w14:paraId="74C8A532" w14:textId="5251EC59" w:rsidR="00BC4A9B" w:rsidRPr="006C514E" w:rsidRDefault="003D3BD3" w:rsidP="00FC3C2C">
      <w:pPr>
        <w:pStyle w:val="SMText"/>
        <w:ind w:firstLine="0"/>
        <w:rPr>
          <w:rFonts w:ascii="Arial" w:hAnsi="Arial" w:cs="Arial"/>
          <w:sz w:val="22"/>
          <w:szCs w:val="22"/>
        </w:rPr>
      </w:pPr>
      <w:r w:rsidRPr="006C514E">
        <w:rPr>
          <w:rFonts w:ascii="Arial" w:hAnsi="Arial" w:cs="Arial"/>
          <w:b/>
          <w:sz w:val="22"/>
          <w:szCs w:val="22"/>
        </w:rPr>
        <w:t>Intracellular sodium levels and membrane potential</w:t>
      </w:r>
      <w:r w:rsidR="00BC4A9B" w:rsidRPr="006C514E">
        <w:rPr>
          <w:rFonts w:ascii="Arial" w:hAnsi="Arial" w:cs="Arial"/>
          <w:b/>
          <w:sz w:val="22"/>
          <w:szCs w:val="22"/>
        </w:rPr>
        <w:t xml:space="preserve">. </w:t>
      </w:r>
      <w:r w:rsidRPr="006C514E">
        <w:rPr>
          <w:rFonts w:ascii="Arial" w:hAnsi="Arial" w:cs="Arial"/>
          <w:color w:val="000000" w:themeColor="text1"/>
          <w:sz w:val="22"/>
          <w:szCs w:val="22"/>
        </w:rPr>
        <w:t>Cells were dissociated to a single-cell suspension and incubated with either 1 μM Sodium Green</w:t>
      </w:r>
      <w:r w:rsidRPr="006C514E">
        <w:rPr>
          <w:rFonts w:ascii="Arial" w:hAnsi="Arial" w:cs="Arial"/>
          <w:color w:val="000000" w:themeColor="text1"/>
          <w:sz w:val="22"/>
          <w:szCs w:val="22"/>
          <w:vertAlign w:val="superscript"/>
        </w:rPr>
        <w:t>TM</w:t>
      </w:r>
      <w:r w:rsidRPr="006C514E">
        <w:rPr>
          <w:rFonts w:ascii="Arial" w:hAnsi="Arial" w:cs="Arial"/>
          <w:color w:val="000000" w:themeColor="text1"/>
          <w:sz w:val="22"/>
          <w:szCs w:val="22"/>
        </w:rPr>
        <w:t xml:space="preserve"> tetraacetate (Thermo Fisher Scientific) for intracellular sodium measurement or with 100 </w:t>
      </w:r>
      <w:proofErr w:type="spellStart"/>
      <w:r w:rsidRPr="006C514E">
        <w:rPr>
          <w:rFonts w:ascii="Arial" w:hAnsi="Arial" w:cs="Arial"/>
          <w:color w:val="000000" w:themeColor="text1"/>
          <w:sz w:val="22"/>
          <w:szCs w:val="22"/>
        </w:rPr>
        <w:t>nM</w:t>
      </w:r>
      <w:proofErr w:type="spellEnd"/>
      <w:r w:rsidRPr="006C514E">
        <w:rPr>
          <w:rFonts w:ascii="Arial" w:hAnsi="Arial" w:cs="Arial"/>
          <w:color w:val="000000" w:themeColor="text1"/>
          <w:sz w:val="22"/>
          <w:szCs w:val="22"/>
        </w:rPr>
        <w:t xml:space="preserve"> </w:t>
      </w:r>
      <w:proofErr w:type="gramStart"/>
      <w:r w:rsidRPr="006C514E">
        <w:rPr>
          <w:rFonts w:ascii="Arial" w:hAnsi="Arial" w:cs="Arial"/>
          <w:color w:val="000000" w:themeColor="text1"/>
          <w:sz w:val="22"/>
          <w:szCs w:val="22"/>
        </w:rPr>
        <w:t>Bis(</w:t>
      </w:r>
      <w:proofErr w:type="gramEnd"/>
      <w:r w:rsidRPr="006C514E">
        <w:rPr>
          <w:rFonts w:ascii="Arial" w:hAnsi="Arial" w:cs="Arial"/>
          <w:color w:val="000000" w:themeColor="text1"/>
          <w:sz w:val="22"/>
          <w:szCs w:val="22"/>
        </w:rPr>
        <w:t xml:space="preserve">1,3-dibutylbarbituric acid) </w:t>
      </w:r>
      <w:proofErr w:type="spellStart"/>
      <w:r w:rsidRPr="006C514E">
        <w:rPr>
          <w:rFonts w:ascii="Arial" w:hAnsi="Arial" w:cs="Arial"/>
          <w:color w:val="000000" w:themeColor="text1"/>
          <w:sz w:val="22"/>
          <w:szCs w:val="22"/>
        </w:rPr>
        <w:t>trimethine</w:t>
      </w:r>
      <w:proofErr w:type="spellEnd"/>
      <w:r w:rsidRPr="006C514E">
        <w:rPr>
          <w:rFonts w:ascii="Arial" w:hAnsi="Arial" w:cs="Arial"/>
          <w:color w:val="000000" w:themeColor="text1"/>
          <w:sz w:val="22"/>
          <w:szCs w:val="22"/>
        </w:rPr>
        <w:t xml:space="preserve"> </w:t>
      </w:r>
      <w:proofErr w:type="spellStart"/>
      <w:r w:rsidRPr="006C514E">
        <w:rPr>
          <w:rFonts w:ascii="Arial" w:hAnsi="Arial" w:cs="Arial"/>
          <w:color w:val="000000" w:themeColor="text1"/>
          <w:sz w:val="22"/>
          <w:szCs w:val="22"/>
        </w:rPr>
        <w:t>oxonol</w:t>
      </w:r>
      <w:proofErr w:type="spellEnd"/>
      <w:r w:rsidRPr="006C514E">
        <w:rPr>
          <w:rFonts w:ascii="Arial" w:hAnsi="Arial" w:cs="Arial"/>
          <w:color w:val="000000" w:themeColor="text1"/>
          <w:sz w:val="22"/>
          <w:szCs w:val="22"/>
        </w:rPr>
        <w:t xml:space="preserve"> (DiBAC</w:t>
      </w:r>
      <w:r w:rsidRPr="006C514E">
        <w:rPr>
          <w:rFonts w:ascii="Arial" w:hAnsi="Arial" w:cs="Arial"/>
          <w:color w:val="000000" w:themeColor="text1"/>
          <w:sz w:val="22"/>
          <w:szCs w:val="22"/>
          <w:vertAlign w:val="subscript"/>
        </w:rPr>
        <w:t>4</w:t>
      </w:r>
      <w:r w:rsidRPr="006C514E">
        <w:rPr>
          <w:rFonts w:ascii="Arial" w:hAnsi="Arial" w:cs="Arial"/>
          <w:color w:val="000000" w:themeColor="text1"/>
          <w:sz w:val="22"/>
          <w:szCs w:val="22"/>
        </w:rPr>
        <w:t>(3); Sigma-Aldrich) for determining changes in plasma membrane potential. After incubation, cells were immediately analyzed by flow cytometry. Data analysis was performed using FlowJo v10.6.2. software.</w:t>
      </w:r>
    </w:p>
    <w:p w14:paraId="690E8CBD" w14:textId="491C0658" w:rsidR="00BC4A9B" w:rsidRPr="006C514E" w:rsidRDefault="00BC4A9B" w:rsidP="00FC3C2C">
      <w:pPr>
        <w:pStyle w:val="SMText"/>
        <w:ind w:firstLine="0"/>
        <w:rPr>
          <w:rFonts w:ascii="Arial" w:hAnsi="Arial" w:cs="Arial"/>
          <w:sz w:val="22"/>
          <w:szCs w:val="22"/>
        </w:rPr>
      </w:pPr>
    </w:p>
    <w:p w14:paraId="532C43CC" w14:textId="3B2498DA" w:rsidR="00BC4A9B" w:rsidRPr="006C514E" w:rsidRDefault="00544988" w:rsidP="00FC3C2C">
      <w:pPr>
        <w:pStyle w:val="SMText"/>
        <w:ind w:firstLine="0"/>
        <w:rPr>
          <w:rFonts w:ascii="Arial" w:hAnsi="Arial" w:cs="Arial"/>
          <w:sz w:val="22"/>
          <w:szCs w:val="22"/>
        </w:rPr>
      </w:pPr>
      <w:r w:rsidRPr="006C514E">
        <w:rPr>
          <w:rFonts w:ascii="Arial" w:hAnsi="Arial" w:cs="Arial"/>
          <w:b/>
          <w:sz w:val="22"/>
          <w:szCs w:val="22"/>
        </w:rPr>
        <w:t>Quantitative reverse transcriptase-PCR</w:t>
      </w:r>
      <w:r w:rsidR="00BC4A9B" w:rsidRPr="006C514E">
        <w:rPr>
          <w:rFonts w:ascii="Arial" w:hAnsi="Arial" w:cs="Arial"/>
          <w:b/>
          <w:sz w:val="22"/>
          <w:szCs w:val="22"/>
        </w:rPr>
        <w:t xml:space="preserve">. </w:t>
      </w:r>
      <w:r w:rsidRPr="006C514E">
        <w:rPr>
          <w:rFonts w:ascii="Arial" w:hAnsi="Arial" w:cs="Arial"/>
          <w:color w:val="000000" w:themeColor="text1"/>
          <w:sz w:val="22"/>
          <w:szCs w:val="22"/>
        </w:rPr>
        <w:t>The amount and purity of purified RNA was measured by using NanoDrop</w:t>
      </w:r>
      <w:r w:rsidRPr="006C514E">
        <w:rPr>
          <w:rFonts w:ascii="Arial" w:hAnsi="Arial" w:cs="Arial"/>
          <w:color w:val="000000" w:themeColor="text1"/>
          <w:sz w:val="22"/>
          <w:szCs w:val="22"/>
          <w:vertAlign w:val="superscript"/>
        </w:rPr>
        <w:t>TM</w:t>
      </w:r>
      <w:r w:rsidRPr="006C514E">
        <w:rPr>
          <w:rFonts w:ascii="Arial" w:hAnsi="Arial" w:cs="Arial"/>
          <w:color w:val="000000" w:themeColor="text1"/>
          <w:sz w:val="22"/>
          <w:szCs w:val="22"/>
        </w:rPr>
        <w:t xml:space="preserve"> spectrophotometer (Thermo Fisher Scientific). A High-Capacity cDNA Reverse Transcription Kit (Thermo Fisher Scientific) was used to synthesize cDNA. Real-time polymerase chain reaction (qPCR) was performed using PowerTrack™ SYBR Green Master Mix (Thermo Fisher Scientific), in a reaction mixture (10 μl) containing cDNA solution (1 μl), 2×Master Mix (5 μl), forward primers (0.4 μl), and reverse primers (0.4 μl). The following thermal profile was used for PCR amplification: 40 cycles of 95°C for 15 sec, and 60°C for 1 min on a QuantStudio</w:t>
      </w:r>
      <w:r w:rsidRPr="006C514E">
        <w:rPr>
          <w:rFonts w:ascii="Arial" w:hAnsi="Arial" w:cs="Arial"/>
          <w:color w:val="000000" w:themeColor="text1"/>
          <w:sz w:val="22"/>
          <w:szCs w:val="22"/>
          <w:vertAlign w:val="superscript"/>
        </w:rPr>
        <w:t>TM</w:t>
      </w:r>
      <w:r w:rsidRPr="006C514E">
        <w:rPr>
          <w:rFonts w:ascii="Arial" w:hAnsi="Arial" w:cs="Arial"/>
          <w:color w:val="000000" w:themeColor="text1"/>
          <w:sz w:val="22"/>
          <w:szCs w:val="22"/>
        </w:rPr>
        <w:t xml:space="preserve"> 3 Real-Time PCR System (Thermo Fisher Scientific). PCR primers used are shown in Supplementary Table S2. Expression levels of target genes were normalized to TBP (TATA-box binding protein) expression.</w:t>
      </w:r>
    </w:p>
    <w:p w14:paraId="6FC623A7" w14:textId="77F2A7A5" w:rsidR="00BC4A9B" w:rsidRPr="006C514E" w:rsidRDefault="00BC4A9B" w:rsidP="00FC3C2C">
      <w:pPr>
        <w:pStyle w:val="SMText"/>
        <w:ind w:firstLine="0"/>
        <w:rPr>
          <w:rFonts w:ascii="Arial" w:hAnsi="Arial" w:cs="Arial"/>
          <w:sz w:val="22"/>
          <w:szCs w:val="22"/>
        </w:rPr>
      </w:pPr>
    </w:p>
    <w:p w14:paraId="1D4CFEFD" w14:textId="69AEECFF" w:rsidR="00544988" w:rsidRPr="006C514E" w:rsidRDefault="00544988" w:rsidP="00544988">
      <w:pPr>
        <w:pStyle w:val="SMSubheading"/>
        <w:rPr>
          <w:rFonts w:ascii="Arial" w:hAnsi="Arial" w:cs="Arial"/>
          <w:sz w:val="22"/>
          <w:szCs w:val="22"/>
          <w:u w:val="none"/>
        </w:rPr>
      </w:pPr>
      <w:r w:rsidRPr="006C514E">
        <w:rPr>
          <w:rFonts w:ascii="Arial" w:hAnsi="Arial" w:cs="Arial"/>
          <w:b/>
          <w:sz w:val="22"/>
          <w:szCs w:val="22"/>
          <w:u w:val="none"/>
        </w:rPr>
        <w:t>RNA isolation, RN</w:t>
      </w:r>
      <w:r w:rsidR="004425AF" w:rsidRPr="006C514E">
        <w:rPr>
          <w:rFonts w:ascii="Arial" w:hAnsi="Arial" w:cs="Arial"/>
          <w:b/>
          <w:sz w:val="22"/>
          <w:szCs w:val="22"/>
          <w:u w:val="none"/>
        </w:rPr>
        <w:t>A</w:t>
      </w:r>
      <w:r w:rsidRPr="006C514E">
        <w:rPr>
          <w:rFonts w:ascii="Arial" w:hAnsi="Arial" w:cs="Arial"/>
          <w:b/>
          <w:sz w:val="22"/>
          <w:szCs w:val="22"/>
          <w:u w:val="none"/>
        </w:rPr>
        <w:t xml:space="preserve">-sequencing, and gene set enrichment analysis. </w:t>
      </w:r>
      <w:r w:rsidRPr="006C514E">
        <w:rPr>
          <w:rFonts w:ascii="Arial" w:hAnsi="Arial" w:cs="Arial"/>
          <w:color w:val="000000" w:themeColor="text1"/>
          <w:sz w:val="22"/>
          <w:szCs w:val="22"/>
          <w:u w:val="none"/>
        </w:rPr>
        <w:t>Total RNA was extracted following 2 days of treatment and prepared using the RNeasy Mini extraction kit (Qiagen, Germantown, MA) according to the manufacturer’s instructions. Preparation of RNA library and transcriptome sequencing was conducted by Novogen</w:t>
      </w:r>
      <w:r w:rsidRPr="006C514E">
        <w:rPr>
          <w:rFonts w:ascii="Arial" w:hAnsi="Arial" w:cs="Arial"/>
          <w:color w:val="0D0D0D" w:themeColor="text1" w:themeTint="F2"/>
          <w:sz w:val="22"/>
          <w:szCs w:val="22"/>
          <w:u w:val="none"/>
        </w:rPr>
        <w:t>e (Sacramento, CA). The read counts were normalized using the Trimmed Mean of the M-values (TMM) method and differential expression analysis was performed using integrated hypothesis testing method</w:t>
      </w:r>
      <w:r w:rsidR="004425AF" w:rsidRPr="006C514E">
        <w:rPr>
          <w:rFonts w:ascii="Arial" w:hAnsi="Arial" w:cs="Arial"/>
          <w:color w:val="0D0D0D" w:themeColor="text1" w:themeTint="F2"/>
          <w:sz w:val="22"/>
          <w:szCs w:val="22"/>
          <w:u w:val="none"/>
        </w:rPr>
        <w:t xml:space="preserve"> </w:t>
      </w:r>
      <w:r w:rsidR="004425AF" w:rsidRPr="006C514E">
        <w:rPr>
          <w:rFonts w:ascii="Arial" w:hAnsi="Arial" w:cs="Arial"/>
          <w:color w:val="0D0D0D" w:themeColor="text1" w:themeTint="F2"/>
          <w:sz w:val="22"/>
          <w:szCs w:val="22"/>
          <w:u w:val="none"/>
        </w:rPr>
        <w:fldChar w:fldCharType="begin">
          <w:fldData xml:space="preserve">PEVuZE5vdGU+PENpdGU+PEF1dGhvcj5Sb2JpbnNvbjwvQXV0aG9yPjxZZWFyPjIwMTA8L1llYXI+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</w:fldData>
        </w:fldChar>
      </w:r>
      <w:r w:rsidR="004425AF" w:rsidRPr="006C514E">
        <w:rPr>
          <w:rFonts w:ascii="Arial" w:hAnsi="Arial" w:cs="Arial"/>
          <w:color w:val="0D0D0D" w:themeColor="text1" w:themeTint="F2"/>
          <w:sz w:val="22"/>
          <w:szCs w:val="22"/>
          <w:u w:val="none"/>
        </w:rPr>
        <w:instrText xml:space="preserve"> ADDIN EN.CITE </w:instrText>
      </w:r>
      <w:r w:rsidR="004425AF" w:rsidRPr="006C514E">
        <w:rPr>
          <w:rFonts w:ascii="Arial" w:hAnsi="Arial" w:cs="Arial"/>
          <w:color w:val="0D0D0D" w:themeColor="text1" w:themeTint="F2"/>
          <w:sz w:val="22"/>
          <w:szCs w:val="22"/>
          <w:u w:val="none"/>
        </w:rPr>
        <w:fldChar w:fldCharType="begin">
          <w:fldData xml:space="preserve">PEVuZE5vdGU+PENpdGU+PEF1dGhvcj5Sb2JpbnNvbjwvQXV0aG9yPjxZZWFyPjIwMTA8L1llYXI+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</w:fldData>
        </w:fldChar>
      </w:r>
      <w:r w:rsidR="004425AF" w:rsidRPr="006C514E">
        <w:rPr>
          <w:rFonts w:ascii="Arial" w:hAnsi="Arial" w:cs="Arial"/>
          <w:color w:val="0D0D0D" w:themeColor="text1" w:themeTint="F2"/>
          <w:sz w:val="22"/>
          <w:szCs w:val="22"/>
          <w:u w:val="none"/>
        </w:rPr>
        <w:instrText xml:space="preserve"> ADDIN EN.CITE.DATA </w:instrText>
      </w:r>
      <w:r w:rsidR="004425AF" w:rsidRPr="00763C8B">
        <w:rPr>
          <w:rFonts w:ascii="Arial" w:hAnsi="Arial" w:cs="Arial"/>
          <w:color w:val="0D0D0D" w:themeColor="text1" w:themeTint="F2"/>
          <w:sz w:val="22"/>
          <w:szCs w:val="22"/>
          <w:u w:val="none"/>
        </w:rPr>
      </w:r>
      <w:r w:rsidR="004425AF" w:rsidRPr="006C514E">
        <w:rPr>
          <w:rFonts w:ascii="Arial" w:hAnsi="Arial" w:cs="Arial"/>
          <w:color w:val="0D0D0D" w:themeColor="text1" w:themeTint="F2"/>
          <w:sz w:val="22"/>
          <w:szCs w:val="22"/>
          <w:u w:val="none"/>
        </w:rPr>
        <w:fldChar w:fldCharType="end"/>
      </w:r>
      <w:r w:rsidR="004425AF" w:rsidRPr="00763C8B">
        <w:rPr>
          <w:rFonts w:ascii="Arial" w:hAnsi="Arial" w:cs="Arial"/>
          <w:color w:val="0D0D0D" w:themeColor="text1" w:themeTint="F2"/>
          <w:sz w:val="22"/>
          <w:szCs w:val="22"/>
          <w:u w:val="none"/>
        </w:rPr>
      </w:r>
      <w:r w:rsidR="004425AF" w:rsidRPr="006C514E">
        <w:rPr>
          <w:rFonts w:ascii="Arial" w:hAnsi="Arial" w:cs="Arial"/>
          <w:color w:val="0D0D0D" w:themeColor="text1" w:themeTint="F2"/>
          <w:sz w:val="22"/>
          <w:szCs w:val="22"/>
          <w:u w:val="none"/>
        </w:rPr>
        <w:fldChar w:fldCharType="separate"/>
      </w:r>
      <w:r w:rsidR="004425AF" w:rsidRPr="006C514E">
        <w:rPr>
          <w:rFonts w:ascii="Arial" w:hAnsi="Arial" w:cs="Arial"/>
          <w:noProof/>
          <w:color w:val="0D0D0D" w:themeColor="text1" w:themeTint="F2"/>
          <w:sz w:val="22"/>
          <w:szCs w:val="22"/>
          <w:u w:val="none"/>
        </w:rPr>
        <w:t>[1, 2]</w:t>
      </w:r>
      <w:r w:rsidR="004425AF" w:rsidRPr="006C514E">
        <w:rPr>
          <w:rFonts w:ascii="Arial" w:hAnsi="Arial" w:cs="Arial"/>
          <w:color w:val="0D0D0D" w:themeColor="text1" w:themeTint="F2"/>
          <w:sz w:val="22"/>
          <w:szCs w:val="22"/>
          <w:u w:val="none"/>
        </w:rPr>
        <w:fldChar w:fldCharType="end"/>
      </w:r>
      <w:r w:rsidR="00E704F3" w:rsidRPr="006C514E">
        <w:rPr>
          <w:rFonts w:ascii="Arial" w:hAnsi="Arial" w:cs="Arial"/>
          <w:color w:val="0D0D0D" w:themeColor="text1" w:themeTint="F2"/>
          <w:sz w:val="22"/>
          <w:szCs w:val="22"/>
          <w:u w:val="none"/>
        </w:rPr>
        <w:t>.</w:t>
      </w:r>
      <w:r w:rsidR="005A6241" w:rsidRPr="006C514E">
        <w:rPr>
          <w:rFonts w:ascii="Arial" w:hAnsi="Arial" w:cs="Arial"/>
          <w:color w:val="0D0D0D" w:themeColor="text1" w:themeTint="F2"/>
          <w:sz w:val="22"/>
          <w:szCs w:val="22"/>
          <w:u w:val="none"/>
        </w:rPr>
        <w:t xml:space="preserve"> </w:t>
      </w:r>
      <w:r w:rsidRPr="006C514E">
        <w:rPr>
          <w:rFonts w:ascii="Arial" w:hAnsi="Arial" w:cs="Arial"/>
          <w:color w:val="0D0D0D" w:themeColor="text1" w:themeTint="F2"/>
          <w:sz w:val="22"/>
          <w:szCs w:val="22"/>
          <w:u w:val="none"/>
        </w:rPr>
        <w:t xml:space="preserve"> False discovery rate (FDR) was computed using Benjamini-Hochberg method. Finally, differentially expressed genes were selected with FDR &lt; 0.05 and absolute fold change |FC| &gt; </w:t>
      </w:r>
      <w:r w:rsidRPr="006C514E">
        <w:rPr>
          <w:rFonts w:ascii="Arial" w:hAnsi="Arial" w:cs="Arial"/>
          <w:color w:val="0D0D0D" w:themeColor="text1" w:themeTint="F2"/>
          <w:sz w:val="22"/>
          <w:szCs w:val="22"/>
          <w:u w:val="none"/>
        </w:rPr>
        <w:lastRenderedPageBreak/>
        <w:t>1.5. Gene set enrichment analysis of differentially expressed genes was per-formed by the GSEA tool (version 4.0.3).</w:t>
      </w:r>
    </w:p>
    <w:p w14:paraId="5E3B2024" w14:textId="77777777" w:rsidR="00544988" w:rsidRPr="006C514E" w:rsidRDefault="00544988" w:rsidP="00FC3C2C">
      <w:pPr>
        <w:pStyle w:val="SMText"/>
        <w:ind w:firstLine="0"/>
        <w:rPr>
          <w:rFonts w:ascii="Arial" w:hAnsi="Arial" w:cs="Arial"/>
          <w:sz w:val="22"/>
          <w:szCs w:val="22"/>
        </w:rPr>
      </w:pPr>
    </w:p>
    <w:p w14:paraId="18980FCA" w14:textId="77AA4095" w:rsidR="00FC3C2C" w:rsidRPr="006C514E" w:rsidRDefault="00FC3C2C" w:rsidP="00FC3C2C">
      <w:pPr>
        <w:pStyle w:val="MDPI31text"/>
        <w:spacing w:line="240" w:lineRule="auto"/>
        <w:ind w:left="0" w:firstLine="0"/>
        <w:jc w:val="left"/>
        <w:rPr>
          <w:rFonts w:ascii="Arial" w:hAnsi="Arial" w:cs="Arial"/>
          <w:sz w:val="22"/>
        </w:rPr>
      </w:pPr>
      <w:r w:rsidRPr="006C514E">
        <w:rPr>
          <w:rFonts w:ascii="Arial" w:hAnsi="Arial" w:cs="Arial"/>
          <w:b/>
          <w:sz w:val="22"/>
        </w:rPr>
        <w:t xml:space="preserve">Metabolomics analysis. </w:t>
      </w:r>
      <w:r w:rsidRPr="006C514E">
        <w:rPr>
          <w:rFonts w:ascii="Arial" w:hAnsi="Arial" w:cs="Arial"/>
          <w:sz w:val="22"/>
        </w:rPr>
        <w:t xml:space="preserve">Cells treated for 48 </w:t>
      </w:r>
      <w:proofErr w:type="gramStart"/>
      <w:r w:rsidRPr="006C514E">
        <w:rPr>
          <w:rFonts w:ascii="Arial" w:hAnsi="Arial" w:cs="Arial"/>
          <w:sz w:val="22"/>
        </w:rPr>
        <w:t>hours</w:t>
      </w:r>
      <w:proofErr w:type="gramEnd"/>
      <w:r w:rsidRPr="006C514E">
        <w:rPr>
          <w:rFonts w:ascii="Arial" w:hAnsi="Arial" w:cs="Arial"/>
          <w:sz w:val="22"/>
        </w:rPr>
        <w:t xml:space="preserve"> and tumor tissues were subject to metabolomic analysis. Metabolites were extracted by adding four-volumes of 50:50 Methanol:</w:t>
      </w:r>
      <w:r w:rsidR="00544988" w:rsidRPr="006C514E">
        <w:rPr>
          <w:rFonts w:ascii="Arial" w:hAnsi="Arial" w:cs="Arial"/>
          <w:sz w:val="22"/>
        </w:rPr>
        <w:t xml:space="preserve"> </w:t>
      </w:r>
      <w:r w:rsidRPr="006C514E">
        <w:rPr>
          <w:rFonts w:ascii="Arial" w:hAnsi="Arial" w:cs="Arial"/>
          <w:sz w:val="22"/>
        </w:rPr>
        <w:t>Ethanol extraction buffer and dried. The metabolite extract was resuspended in 20% methanol 80% water buffer for analysis. Extractions were analyzed with an Agilent 6470A triple quadrupole mass spectrometer, operating in negative mode, connected to an Agilent 1290 Ultra High-Performance Liquid Chromatography (UHPLC) system (Agilent Technologies, Santa Clara CA) using ZORBAX RRHD Extend-C18 1.8 µm 2.1 x 150 mm coupled with a ZORBAX Extend Fast Guard column Extend-C18, 1.8 µm, 2.1 mm x 5 mm with the following buffers: Buffer A (3% methanol, 10 mM tributylamine [TBA] and 15 mM acetic acid), Buffers B (isopropanol), Buffer C (methanol with 10 mM TBA and 15 mM acetic acid), and Buffer D (acetonitrile). The MassHunter Metabolomics dMRM Database and Method was used to scan for up to 219 polar metabolites within each sample (Agilent Technologies, Santa Clara CA). Resulting chromatograms were visualized in Agilent MassHunter Quantitative Analysis for QQQ. The final peaks were manually checked for consistent and proper integration.</w:t>
      </w:r>
    </w:p>
    <w:p w14:paraId="41250A3A" w14:textId="1CA2656B" w:rsidR="00FC3C2C" w:rsidRPr="006C514E" w:rsidRDefault="00FC3C2C" w:rsidP="00FC3C2C">
      <w:pPr>
        <w:pStyle w:val="SMSubheading"/>
        <w:rPr>
          <w:rFonts w:ascii="Arial" w:hAnsi="Arial" w:cs="Arial"/>
          <w:sz w:val="22"/>
          <w:szCs w:val="22"/>
          <w:u w:val="none"/>
        </w:rPr>
      </w:pPr>
    </w:p>
    <w:p w14:paraId="1D1973B8" w14:textId="644E4575" w:rsidR="00FC3C2C" w:rsidRPr="006C514E" w:rsidRDefault="00FC3C2C" w:rsidP="00FC3C2C">
      <w:pPr>
        <w:pStyle w:val="SMSubheading"/>
        <w:rPr>
          <w:rFonts w:ascii="Arial" w:hAnsi="Arial" w:cs="Arial"/>
          <w:sz w:val="22"/>
          <w:szCs w:val="22"/>
          <w:u w:val="none"/>
        </w:rPr>
      </w:pPr>
      <w:r w:rsidRPr="006C514E">
        <w:rPr>
          <w:rFonts w:ascii="Arial" w:hAnsi="Arial" w:cs="Arial"/>
          <w:sz w:val="22"/>
          <w:szCs w:val="22"/>
          <w:u w:val="none"/>
        </w:rPr>
        <w:t xml:space="preserve">Dried metabolites extracted from cell lysates were </w:t>
      </w:r>
      <w:r w:rsidRPr="006C514E">
        <w:rPr>
          <w:rFonts w:ascii="Arial" w:hAnsi="Arial" w:cs="Arial"/>
          <w:color w:val="000000" w:themeColor="text1"/>
          <w:sz w:val="22"/>
          <w:szCs w:val="22"/>
          <w:u w:val="none"/>
        </w:rPr>
        <w:t>resuspended in 50% acetonitrile: water and 1/10</w:t>
      </w:r>
      <w:r w:rsidRPr="006C514E">
        <w:rPr>
          <w:rFonts w:ascii="Arial" w:hAnsi="Arial" w:cs="Arial"/>
          <w:color w:val="000000" w:themeColor="text1"/>
          <w:sz w:val="22"/>
          <w:szCs w:val="22"/>
          <w:u w:val="none"/>
          <w:vertAlign w:val="superscript"/>
        </w:rPr>
        <w:t>th</w:t>
      </w:r>
      <w:r w:rsidRPr="006C514E">
        <w:rPr>
          <w:rFonts w:ascii="Arial" w:hAnsi="Arial" w:cs="Arial"/>
          <w:color w:val="000000" w:themeColor="text1"/>
          <w:sz w:val="22"/>
          <w:szCs w:val="22"/>
          <w:u w:val="none"/>
        </w:rPr>
        <w:t xml:space="preserve"> loaded onto a Luna 3 µM NH</w:t>
      </w:r>
      <w:r w:rsidRPr="006C514E">
        <w:rPr>
          <w:rFonts w:ascii="Arial" w:hAnsi="Arial" w:cs="Arial"/>
          <w:color w:val="000000" w:themeColor="text1"/>
          <w:sz w:val="22"/>
          <w:szCs w:val="22"/>
          <w:u w:val="none"/>
          <w:vertAlign w:val="subscript"/>
        </w:rPr>
        <w:t>2</w:t>
      </w:r>
      <w:r w:rsidRPr="006C514E">
        <w:rPr>
          <w:rFonts w:ascii="Arial" w:hAnsi="Arial" w:cs="Arial"/>
          <w:color w:val="000000" w:themeColor="text1"/>
          <w:sz w:val="22"/>
          <w:szCs w:val="22"/>
          <w:u w:val="none"/>
        </w:rPr>
        <w:t xml:space="preserve"> 100A (150 × 2.0 mm) column (Phenomenex, Torrance, CA). The chromatographic separation was performed on a Vanquish Flex (Fisher Scientific) with mobile phases Buffer A (5 mM NH</w:t>
      </w:r>
      <w:r w:rsidRPr="006C514E">
        <w:rPr>
          <w:rFonts w:ascii="Arial" w:hAnsi="Arial" w:cs="Arial"/>
          <w:color w:val="000000" w:themeColor="text1"/>
          <w:sz w:val="22"/>
          <w:szCs w:val="22"/>
          <w:u w:val="none"/>
          <w:vertAlign w:val="subscript"/>
        </w:rPr>
        <w:t>4</w:t>
      </w:r>
      <w:r w:rsidRPr="006C514E">
        <w:rPr>
          <w:rFonts w:ascii="Arial" w:hAnsi="Arial" w:cs="Arial"/>
          <w:color w:val="000000" w:themeColor="text1"/>
          <w:sz w:val="22"/>
          <w:szCs w:val="22"/>
          <w:u w:val="none"/>
        </w:rPr>
        <w:t xml:space="preserve">AcO, pH 9.9) and Buffer B (acetonitrile) at a flow rate of 200 μl/min. A linear gradient from 15% to 95% Buffer A over 18 min was followed by 9 min isocratic flow and re-equilibration to 15% Buffer A. Metabolites were detected with a </w:t>
      </w:r>
      <w:proofErr w:type="spellStart"/>
      <w:r w:rsidRPr="006C514E">
        <w:rPr>
          <w:rFonts w:ascii="Arial" w:hAnsi="Arial" w:cs="Arial"/>
          <w:color w:val="000000" w:themeColor="text1"/>
          <w:sz w:val="22"/>
          <w:szCs w:val="22"/>
          <w:u w:val="none"/>
        </w:rPr>
        <w:t>Thermo</w:t>
      </w:r>
      <w:proofErr w:type="spellEnd"/>
      <w:r w:rsidRPr="006C514E">
        <w:rPr>
          <w:rFonts w:ascii="Arial" w:hAnsi="Arial" w:cs="Arial"/>
          <w:color w:val="000000" w:themeColor="text1"/>
          <w:sz w:val="22"/>
          <w:szCs w:val="22"/>
          <w:u w:val="none"/>
        </w:rPr>
        <w:t xml:space="preserve"> Scientific Q </w:t>
      </w:r>
      <w:proofErr w:type="spellStart"/>
      <w:r w:rsidRPr="006C514E">
        <w:rPr>
          <w:rFonts w:ascii="Arial" w:hAnsi="Arial" w:cs="Arial"/>
          <w:color w:val="000000" w:themeColor="text1"/>
          <w:sz w:val="22"/>
          <w:szCs w:val="22"/>
          <w:u w:val="none"/>
        </w:rPr>
        <w:t>Exactive</w:t>
      </w:r>
      <w:proofErr w:type="spellEnd"/>
      <w:r w:rsidRPr="006C514E">
        <w:rPr>
          <w:rFonts w:ascii="Arial" w:hAnsi="Arial" w:cs="Arial"/>
          <w:color w:val="000000" w:themeColor="text1"/>
          <w:sz w:val="22"/>
          <w:szCs w:val="22"/>
          <w:u w:val="none"/>
        </w:rPr>
        <w:t xml:space="preserve"> mass spectrometer, run with polarity switching (+3.5 kV/− 3.5 kV) in full scan mode having an m/z range of 70-975 and 70.000 resolution. TraceFinder 4.1 (Thermo Fisher Scientific) was used to quantify the targeted metabolites by area under the curve using expected retention time and accurate mass measurements (&lt; 5 ppm). Relative amounts of metabolites were calculated by summing up the values for all isotopologues of a given metabolite. Metabolite isotopologue distributions were corrected for natural C13 abundance. </w:t>
      </w:r>
      <w:r w:rsidRPr="006C514E">
        <w:rPr>
          <w:rFonts w:ascii="Arial" w:hAnsi="Arial" w:cs="Arial"/>
          <w:color w:val="0D0D0D" w:themeColor="text1" w:themeTint="F2"/>
          <w:sz w:val="22"/>
          <w:szCs w:val="22"/>
          <w:u w:val="none"/>
        </w:rPr>
        <w:t xml:space="preserve">Data analysis, including principal component analysis, metabolic pathway analysis, and heat map generation were performed using R and </w:t>
      </w:r>
      <w:proofErr w:type="spellStart"/>
      <w:r w:rsidRPr="006C514E">
        <w:rPr>
          <w:rFonts w:ascii="Arial" w:hAnsi="Arial" w:cs="Arial"/>
          <w:color w:val="0D0D0D" w:themeColor="text1" w:themeTint="F2"/>
          <w:sz w:val="22"/>
          <w:szCs w:val="22"/>
          <w:u w:val="none"/>
        </w:rPr>
        <w:t>MetaboAnalyst</w:t>
      </w:r>
      <w:proofErr w:type="spellEnd"/>
      <w:r w:rsidRPr="006C514E">
        <w:rPr>
          <w:rFonts w:ascii="Arial" w:hAnsi="Arial" w:cs="Arial"/>
          <w:color w:val="0D0D0D" w:themeColor="text1" w:themeTint="F2"/>
          <w:sz w:val="22"/>
          <w:szCs w:val="22"/>
          <w:u w:val="none"/>
        </w:rPr>
        <w:t xml:space="preserve"> 5.0 (</w:t>
      </w:r>
      <w:hyperlink r:id="rId8" w:history="1">
        <w:r w:rsidRPr="006C514E">
          <w:rPr>
            <w:rStyle w:val="Hyperlink"/>
            <w:rFonts w:ascii="Arial" w:hAnsi="Arial" w:cs="Arial"/>
            <w:color w:val="0D0D0D" w:themeColor="text1" w:themeTint="F2"/>
            <w:sz w:val="22"/>
            <w:szCs w:val="22"/>
            <w:u w:val="none"/>
          </w:rPr>
          <w:t>https://www.metaboanalyst.ca</w:t>
        </w:r>
      </w:hyperlink>
      <w:r w:rsidRPr="006C514E">
        <w:rPr>
          <w:rFonts w:ascii="Arial" w:hAnsi="Arial" w:cs="Arial"/>
          <w:color w:val="0D0D0D" w:themeColor="text1" w:themeTint="F2"/>
          <w:sz w:val="22"/>
          <w:szCs w:val="22"/>
          <w:u w:val="none"/>
        </w:rPr>
        <w:t>).</w:t>
      </w:r>
    </w:p>
    <w:p w14:paraId="5A71E5DC" w14:textId="5E8C0F92" w:rsidR="00FC3C2C" w:rsidRPr="006C514E" w:rsidRDefault="00FC3C2C" w:rsidP="00FC3C2C">
      <w:pPr>
        <w:pStyle w:val="SMText"/>
        <w:ind w:firstLine="0"/>
        <w:rPr>
          <w:rFonts w:ascii="Arial" w:hAnsi="Arial" w:cs="Arial"/>
          <w:sz w:val="22"/>
          <w:szCs w:val="22"/>
        </w:rPr>
      </w:pPr>
    </w:p>
    <w:p w14:paraId="45061814" w14:textId="5E8DF666" w:rsidR="00FC3C2C" w:rsidRPr="006C514E" w:rsidRDefault="00FC3C2C" w:rsidP="00FC3C2C">
      <w:pPr>
        <w:pStyle w:val="Paragraph"/>
        <w:spacing w:before="0"/>
        <w:ind w:firstLine="0"/>
        <w:rPr>
          <w:rFonts w:ascii="Arial" w:hAnsi="Arial" w:cs="Arial"/>
          <w:color w:val="000000" w:themeColor="text1"/>
          <w:sz w:val="22"/>
          <w:szCs w:val="22"/>
        </w:rPr>
      </w:pPr>
      <w:r w:rsidRPr="006C514E">
        <w:rPr>
          <w:rFonts w:ascii="Arial" w:hAnsi="Arial" w:cs="Arial"/>
          <w:b/>
          <w:sz w:val="22"/>
          <w:szCs w:val="22"/>
        </w:rPr>
        <w:t xml:space="preserve">Amino acid uptake. </w:t>
      </w:r>
      <w:r w:rsidRPr="006C514E">
        <w:rPr>
          <w:rFonts w:ascii="Arial" w:hAnsi="Arial" w:cs="Arial"/>
          <w:color w:val="000000" w:themeColor="text1"/>
          <w:sz w:val="22"/>
          <w:szCs w:val="22"/>
        </w:rPr>
        <w:t>MIA PaCa-2 and BxPC-3 were suspended in Gln-free RPMI 1640 Medium supplemented with 40 nM L-[3,4-</w:t>
      </w:r>
      <w:r w:rsidRPr="006C514E">
        <w:rPr>
          <w:rFonts w:ascii="Arial" w:hAnsi="Arial" w:cs="Arial"/>
          <w:color w:val="000000" w:themeColor="text1"/>
          <w:sz w:val="22"/>
          <w:szCs w:val="22"/>
          <w:vertAlign w:val="superscript"/>
        </w:rPr>
        <w:t>3</w:t>
      </w:r>
      <w:r w:rsidRPr="006C514E">
        <w:rPr>
          <w:rFonts w:ascii="Arial" w:hAnsi="Arial" w:cs="Arial"/>
          <w:color w:val="000000" w:themeColor="text1"/>
          <w:sz w:val="22"/>
          <w:szCs w:val="22"/>
        </w:rPr>
        <w:t xml:space="preserve">H(N)]-Glutamine (PerkinElmer, Waltham, MA) and incubated at 37 °C for 30 min in the presence of indicated concentrations of L-Thr. Radio-labeled cells were washed with PBS, resuspended in 100 µl of PBS, and mixed with 5 mL of </w:t>
      </w:r>
      <w:proofErr w:type="spellStart"/>
      <w:r w:rsidRPr="006C514E">
        <w:rPr>
          <w:rFonts w:ascii="Arial" w:hAnsi="Arial" w:cs="Arial"/>
          <w:color w:val="000000" w:themeColor="text1"/>
          <w:sz w:val="22"/>
          <w:szCs w:val="22"/>
        </w:rPr>
        <w:t>ScintiVerse</w:t>
      </w:r>
      <w:proofErr w:type="spellEnd"/>
      <w:r w:rsidRPr="006C514E">
        <w:rPr>
          <w:rFonts w:ascii="Arial" w:hAnsi="Arial" w:cs="Arial"/>
          <w:color w:val="000000" w:themeColor="text1"/>
          <w:sz w:val="22"/>
          <w:szCs w:val="22"/>
        </w:rPr>
        <w:t>™ BD Cocktail (</w:t>
      </w:r>
      <w:proofErr w:type="spellStart"/>
      <w:r w:rsidRPr="006C514E">
        <w:rPr>
          <w:rFonts w:ascii="Arial" w:hAnsi="Arial" w:cs="Arial"/>
          <w:color w:val="000000" w:themeColor="text1"/>
          <w:sz w:val="22"/>
          <w:szCs w:val="22"/>
        </w:rPr>
        <w:t>Thermo</w:t>
      </w:r>
      <w:proofErr w:type="spellEnd"/>
      <w:r w:rsidRPr="006C514E">
        <w:rPr>
          <w:rFonts w:ascii="Arial" w:hAnsi="Arial" w:cs="Arial"/>
          <w:color w:val="000000" w:themeColor="text1"/>
          <w:sz w:val="22"/>
          <w:szCs w:val="22"/>
        </w:rPr>
        <w:t xml:space="preserve"> Fisher Scientific). Radioactivity was measured using the Tri-Carb 3110TR Liquid Scintillation Analyzer (PerkinElmer).</w:t>
      </w:r>
    </w:p>
    <w:p w14:paraId="2FC43415" w14:textId="150EE113" w:rsidR="00FC3C2C" w:rsidRPr="006C514E" w:rsidRDefault="00FC3C2C" w:rsidP="00FC3C2C">
      <w:pPr>
        <w:pStyle w:val="SMText"/>
        <w:ind w:firstLine="0"/>
        <w:rPr>
          <w:rFonts w:ascii="Arial" w:hAnsi="Arial" w:cs="Arial"/>
          <w:sz w:val="22"/>
          <w:szCs w:val="22"/>
        </w:rPr>
      </w:pPr>
    </w:p>
    <w:p w14:paraId="6535D735" w14:textId="44BECF3E" w:rsidR="00FC3C2C" w:rsidRPr="006C514E" w:rsidRDefault="00FC3C2C" w:rsidP="00FC3C2C">
      <w:pPr>
        <w:pStyle w:val="Paragraph"/>
        <w:spacing w:before="0"/>
        <w:ind w:firstLine="0"/>
        <w:rPr>
          <w:rFonts w:ascii="Arial" w:hAnsi="Arial" w:cs="Arial"/>
          <w:color w:val="000000" w:themeColor="text1"/>
          <w:sz w:val="22"/>
          <w:szCs w:val="22"/>
        </w:rPr>
      </w:pPr>
      <w:r w:rsidRPr="006C514E">
        <w:rPr>
          <w:rFonts w:ascii="Arial" w:hAnsi="Arial" w:cs="Arial"/>
          <w:b/>
          <w:sz w:val="22"/>
          <w:szCs w:val="22"/>
        </w:rPr>
        <w:t xml:space="preserve">Animal studies. </w:t>
      </w:r>
      <w:r w:rsidRPr="006C514E">
        <w:rPr>
          <w:rFonts w:ascii="Arial" w:hAnsi="Arial" w:cs="Arial"/>
          <w:color w:val="000000" w:themeColor="text1"/>
          <w:sz w:val="22"/>
          <w:szCs w:val="22"/>
        </w:rPr>
        <w:t>Briefly, UN-KPC-960 cells were suspended in DMEM, and mixed with the same volume of Corning</w:t>
      </w:r>
      <w:r w:rsidRPr="006C514E">
        <w:rPr>
          <w:rFonts w:ascii="Arial" w:hAnsi="Arial" w:cs="Arial"/>
          <w:color w:val="000000" w:themeColor="text1"/>
          <w:sz w:val="22"/>
          <w:szCs w:val="22"/>
          <w:vertAlign w:val="superscript"/>
        </w:rPr>
        <w:t>TM</w:t>
      </w:r>
      <w:r w:rsidRPr="006C514E">
        <w:rPr>
          <w:rFonts w:ascii="Arial" w:hAnsi="Arial" w:cs="Arial"/>
          <w:color w:val="000000" w:themeColor="text1"/>
          <w:sz w:val="22"/>
          <w:szCs w:val="22"/>
        </w:rPr>
        <w:t xml:space="preserve"> Matrigel</w:t>
      </w:r>
      <w:r w:rsidRPr="006C514E">
        <w:rPr>
          <w:rFonts w:ascii="Arial" w:hAnsi="Arial" w:cs="Arial"/>
          <w:color w:val="000000" w:themeColor="text1"/>
          <w:sz w:val="22"/>
          <w:szCs w:val="22"/>
          <w:vertAlign w:val="superscript"/>
        </w:rPr>
        <w:t>TM</w:t>
      </w:r>
      <w:r w:rsidRPr="006C514E">
        <w:rPr>
          <w:rFonts w:ascii="Arial" w:hAnsi="Arial" w:cs="Arial"/>
          <w:color w:val="000000" w:themeColor="text1"/>
          <w:sz w:val="22"/>
          <w:szCs w:val="22"/>
        </w:rPr>
        <w:t xml:space="preserve"> Membrane Matrix (Thermo Fisher Scientific) 1-1.5 x 10</w:t>
      </w:r>
      <w:r w:rsidRPr="006C514E">
        <w:rPr>
          <w:rFonts w:ascii="Arial" w:hAnsi="Arial" w:cs="Arial"/>
          <w:color w:val="000000" w:themeColor="text1"/>
          <w:sz w:val="22"/>
          <w:szCs w:val="22"/>
          <w:vertAlign w:val="superscript"/>
        </w:rPr>
        <w:t>7</w:t>
      </w:r>
      <w:r w:rsidRPr="006C514E">
        <w:rPr>
          <w:rFonts w:ascii="Arial" w:hAnsi="Arial" w:cs="Arial"/>
          <w:color w:val="000000" w:themeColor="text1"/>
          <w:sz w:val="22"/>
          <w:szCs w:val="22"/>
        </w:rPr>
        <w:t xml:space="preserve"> cells/m</w:t>
      </w:r>
      <w:r w:rsidR="00536A63" w:rsidRPr="006C514E">
        <w:rPr>
          <w:rFonts w:ascii="Arial" w:hAnsi="Arial" w:cs="Arial"/>
          <w:color w:val="000000" w:themeColor="text1"/>
          <w:sz w:val="22"/>
          <w:szCs w:val="22"/>
        </w:rPr>
        <w:t>l</w:t>
      </w:r>
      <w:r w:rsidRPr="006C514E">
        <w:rPr>
          <w:rFonts w:ascii="Arial" w:hAnsi="Arial" w:cs="Arial"/>
          <w:color w:val="000000" w:themeColor="text1"/>
          <w:sz w:val="22"/>
          <w:szCs w:val="22"/>
        </w:rPr>
        <w:t>.</w:t>
      </w:r>
      <w:r w:rsidR="00536A63" w:rsidRPr="006C514E">
        <w:rPr>
          <w:rFonts w:ascii="Arial" w:hAnsi="Arial" w:cs="Arial"/>
          <w:color w:val="000000" w:themeColor="text1"/>
          <w:sz w:val="22"/>
          <w:szCs w:val="22"/>
        </w:rPr>
        <w:t xml:space="preserve"> </w:t>
      </w:r>
      <w:r w:rsidRPr="006C514E">
        <w:rPr>
          <w:rFonts w:ascii="Arial" w:hAnsi="Arial" w:cs="Arial"/>
          <w:color w:val="000000" w:themeColor="text1"/>
          <w:sz w:val="22"/>
          <w:szCs w:val="22"/>
        </w:rPr>
        <w:t>One million cells were inoculated subcutaneously into both right and left side of the abdominal flank of 8 weeks old male athymic nude mice (Envigo, Madison, WI). After a week, mice were injected with gemcitabine (50 mg/kg, intraperitoneal, twice a week) and/or L-Gln/D-Gln (30 mg/kg, subcutaneously, daily). During the treatment, body weight and tumor volume were measured every 2-3 days. 7-10 days after starting the treatment, tumor tissues and blood were collected for the analysis. Tumor volume was calculated using the modified ellipsoid formula: volume = π/6 × (width)</w:t>
      </w:r>
      <w:r w:rsidRPr="006C514E">
        <w:rPr>
          <w:rFonts w:ascii="Arial" w:hAnsi="Arial" w:cs="Arial"/>
          <w:color w:val="000000" w:themeColor="text1"/>
          <w:sz w:val="22"/>
          <w:szCs w:val="22"/>
          <w:vertAlign w:val="superscript"/>
        </w:rPr>
        <w:t>2</w:t>
      </w:r>
      <w:r w:rsidRPr="006C514E">
        <w:rPr>
          <w:rFonts w:ascii="Arial" w:hAnsi="Arial" w:cs="Arial"/>
          <w:color w:val="000000" w:themeColor="text1"/>
          <w:sz w:val="22"/>
          <w:szCs w:val="22"/>
        </w:rPr>
        <w:t xml:space="preserve"> × length. All mouse studies were approved by the Institutional </w:t>
      </w:r>
      <w:r w:rsidRPr="006C514E">
        <w:rPr>
          <w:rFonts w:ascii="Arial" w:hAnsi="Arial" w:cs="Arial"/>
          <w:color w:val="000000" w:themeColor="text1"/>
          <w:sz w:val="22"/>
          <w:szCs w:val="22"/>
        </w:rPr>
        <w:lastRenderedPageBreak/>
        <w:t>Animal Care and Use Committee at Cedars-Sinai Medical Center and conducted in accordance with mandated standards of humane animal care.</w:t>
      </w:r>
    </w:p>
    <w:p w14:paraId="29DE811D" w14:textId="580C008A" w:rsidR="00BC4A9B" w:rsidRPr="006C514E" w:rsidRDefault="00BC4A9B" w:rsidP="00FC3C2C">
      <w:pPr>
        <w:pStyle w:val="Paragraph"/>
        <w:spacing w:before="0"/>
        <w:ind w:firstLine="0"/>
        <w:rPr>
          <w:rFonts w:ascii="Arial" w:hAnsi="Arial" w:cs="Arial"/>
          <w:color w:val="000000" w:themeColor="text1"/>
          <w:sz w:val="22"/>
          <w:szCs w:val="22"/>
        </w:rPr>
      </w:pPr>
    </w:p>
    <w:p w14:paraId="5F7D8127" w14:textId="6C1FED83" w:rsidR="00BC4A9B" w:rsidRPr="006C514E" w:rsidRDefault="00BC4A9B" w:rsidP="00FC3C2C">
      <w:pPr>
        <w:pStyle w:val="Paragraph"/>
        <w:spacing w:before="0"/>
        <w:ind w:firstLine="0"/>
        <w:rPr>
          <w:rFonts w:ascii="Arial" w:hAnsi="Arial" w:cs="Arial"/>
          <w:color w:val="000000" w:themeColor="text1"/>
          <w:sz w:val="22"/>
          <w:szCs w:val="22"/>
        </w:rPr>
      </w:pPr>
      <w:r w:rsidRPr="006C514E">
        <w:rPr>
          <w:rFonts w:ascii="Arial" w:hAnsi="Arial" w:cs="Arial"/>
          <w:b/>
          <w:sz w:val="22"/>
          <w:szCs w:val="22"/>
        </w:rPr>
        <w:t xml:space="preserve">Immunoblotting and immunohistochemistry. </w:t>
      </w:r>
      <w:r w:rsidRPr="006C514E">
        <w:rPr>
          <w:rFonts w:ascii="Arial" w:hAnsi="Arial" w:cs="Arial"/>
          <w:color w:val="000000" w:themeColor="text1"/>
          <w:sz w:val="22"/>
          <w:szCs w:val="22"/>
        </w:rPr>
        <w:t xml:space="preserve">Antibodies against CHOP (#2895), ATF4 (#11815), and PARP (#9542) were from Cell Signaling (Danvers, MA) with ß-actin (sc-47778) from Santa Cruz Biotechnology (Santa Cruz, CA). Protein expression was visualized using alkaline phosphatase-conjugated secondary antibody (Sigma-Aldrich) on Immobilon® PVDF membranes (Millipore). Paraffin sections of tumor tissues (5 μm) were subjected to hematoxylin and eosin (H&amp;E) and histochemical staining for phosphorylated histone H3 (1:200, Cell Signaling), TUNEL (Millipore, Bedford, MA), CHOP (1:200, Cell Signaling) as previously </w:t>
      </w:r>
      <w:r w:rsidR="004425AF" w:rsidRPr="006C514E">
        <w:rPr>
          <w:rFonts w:ascii="Arial" w:hAnsi="Arial" w:cs="Arial"/>
          <w:color w:val="000000" w:themeColor="text1"/>
          <w:sz w:val="22"/>
          <w:szCs w:val="22"/>
        </w:rPr>
        <w:t xml:space="preserve">described </w:t>
      </w:r>
      <w:r w:rsidR="004425AF" w:rsidRPr="006C514E">
        <w:rPr>
          <w:rFonts w:ascii="Arial" w:hAnsi="Arial" w:cs="Arial"/>
          <w:color w:val="000000" w:themeColor="text1"/>
          <w:sz w:val="22"/>
          <w:szCs w:val="22"/>
        </w:rPr>
        <w:fldChar w:fldCharType="begin"/>
      </w:r>
      <w:r w:rsidR="004425AF" w:rsidRPr="006C514E">
        <w:rPr>
          <w:rFonts w:ascii="Arial" w:hAnsi="Arial" w:cs="Arial"/>
          <w:color w:val="000000" w:themeColor="text1"/>
          <w:sz w:val="22"/>
          <w:szCs w:val="22"/>
        </w:rPr>
        <w:instrText xml:space="preserve"> ADDIN EN.CITE &lt;EndNote&gt;&lt;Cite&gt;&lt;Author&gt;Smith&lt;/Author&gt;&lt;Year&gt;2023&lt;/Year&gt;&lt;RecNum&gt;5&lt;/RecNum&gt;&lt;DisplayText&gt;[3]&lt;/DisplayText&gt;&lt;record&gt;&lt;rec-number&gt;5&lt;/rec-number&gt;&lt;foreign-keys&gt;&lt;key app="EN" db-id="rf5s2vsti5fvxle9xx2p0x5wses95fztez99" timestamp="1700032003"&gt;5&lt;/key&gt;&lt;/foreign-keys&gt;&lt;ref-type name="Journal Article"&gt;17&lt;/ref-type&gt;&lt;contributors&gt;&lt;authors&gt;&lt;author&gt;Smith, Bethany N.&lt;/author&gt;&lt;author&gt;Mishra, Rajeev&lt;/author&gt;&lt;author&gt;Billet, Sandrine&lt;/author&gt;&lt;author&gt;Placencio-Hickok, Veronica R.&lt;/author&gt;&lt;author&gt;Kim, Minhyung&lt;/author&gt;&lt;author&gt;Zhang, Le&lt;/author&gt;&lt;author&gt;Duong, Frank&lt;/author&gt;&lt;author&gt;Madhav, Anisha&lt;/author&gt;&lt;author&gt;Scher, Kevin&lt;/author&gt;&lt;author&gt;Moldawer, Nancy&lt;/author&gt;&lt;author&gt;Oppenheim, Amy&lt;/author&gt;&lt;author&gt;Angara, Bryan&lt;/author&gt;&lt;author&gt;You, Sungyong&lt;/author&gt;&lt;author&gt;Tighiouart, Mourad&lt;/author&gt;&lt;author&gt;Posadas, Edwin M.&lt;/author&gt;&lt;author&gt;Bhowmick, Neil A.&lt;/author&gt;&lt;/authors&gt;&lt;/contributors&gt;&lt;titles&gt;&lt;title&gt;Antagonizing CD105 and androgen receptor to target stromal-epithelial interactions for clinical benefit&lt;/title&gt;&lt;secondary-title&gt;Molecular Therapy&lt;/secondary-title&gt;&lt;alt-title&gt;Molecular Therapy&lt;/alt-title&gt;&lt;/titles&gt;&lt;periodical&gt;&lt;full-title&gt;Molecular Therapy&lt;/full-title&gt;&lt;abbr-1&gt;Molecular Therapy&lt;/abbr-1&gt;&lt;/periodical&gt;&lt;alt-periodical&gt;&lt;full-title&gt;Molecular Therapy&lt;/full-title&gt;&lt;abbr-1&gt;Molecular Therapy&lt;/abbr-1&gt;&lt;/alt-periodical&gt;&lt;pages&gt;78-89&lt;/pages&gt;&lt;volume&gt;31&lt;/volume&gt;&lt;number&gt;1&lt;/number&gt;&lt;dates&gt;&lt;year&gt;2023&lt;/year&gt;&lt;pub-dates&gt;&lt;date&gt;2023/01//&lt;/date&gt;&lt;/pub-dates&gt;&lt;/dates&gt;&lt;isbn&gt;15250016&lt;/isbn&gt;&lt;urls&gt;&lt;related-urls&gt;&lt;url&gt;https://linkinghub.elsevier.com/retrieve/pii/S152500162200507X&lt;/url&gt;&lt;/related-urls&gt;&lt;/urls&gt;&lt;electronic-resource-num&gt;10.1016/j.ymthe.2022.08.019&lt;/electronic-resource-num&gt;&lt;remote-database-provider&gt;DOI.org (Crossref)&lt;/remote-database-provider&gt;&lt;language&gt;en&lt;/language&gt;&lt;access-date&gt;2023/08/07/19:25:28&lt;/access-date&gt;&lt;/record&gt;&lt;/Cite&gt;&lt;/EndNote&gt;</w:instrText>
      </w:r>
      <w:r w:rsidR="004425AF" w:rsidRPr="006C514E">
        <w:rPr>
          <w:rFonts w:ascii="Arial" w:hAnsi="Arial" w:cs="Arial"/>
          <w:color w:val="000000" w:themeColor="text1"/>
          <w:sz w:val="22"/>
          <w:szCs w:val="22"/>
        </w:rPr>
        <w:fldChar w:fldCharType="separate"/>
      </w:r>
      <w:r w:rsidR="004425AF" w:rsidRPr="006C514E">
        <w:rPr>
          <w:rFonts w:ascii="Arial" w:hAnsi="Arial" w:cs="Arial"/>
          <w:noProof/>
          <w:color w:val="000000" w:themeColor="text1"/>
          <w:sz w:val="22"/>
          <w:szCs w:val="22"/>
        </w:rPr>
        <w:t>[3]</w:t>
      </w:r>
      <w:r w:rsidR="004425AF" w:rsidRPr="006C514E">
        <w:rPr>
          <w:rFonts w:ascii="Arial" w:hAnsi="Arial" w:cs="Arial"/>
          <w:color w:val="000000" w:themeColor="text1"/>
          <w:sz w:val="22"/>
          <w:szCs w:val="22"/>
        </w:rPr>
        <w:fldChar w:fldCharType="end"/>
      </w:r>
      <w:r w:rsidRPr="006C514E">
        <w:rPr>
          <w:rFonts w:ascii="Arial" w:hAnsi="Arial" w:cs="Arial"/>
          <w:color w:val="000000" w:themeColor="text1"/>
          <w:sz w:val="22"/>
          <w:szCs w:val="22"/>
        </w:rPr>
        <w:t>.</w:t>
      </w:r>
    </w:p>
    <w:p w14:paraId="44F32B16" w14:textId="3FC8C2BC" w:rsidR="00BC4A9B" w:rsidRPr="006C514E" w:rsidRDefault="00BC4A9B" w:rsidP="00FC3C2C">
      <w:pPr>
        <w:pStyle w:val="Paragraph"/>
        <w:spacing w:before="0"/>
        <w:ind w:firstLine="0"/>
        <w:rPr>
          <w:rFonts w:ascii="Arial" w:hAnsi="Arial" w:cs="Arial"/>
          <w:color w:val="000000" w:themeColor="text1"/>
          <w:sz w:val="22"/>
          <w:szCs w:val="22"/>
        </w:rPr>
      </w:pPr>
    </w:p>
    <w:p w14:paraId="13E374AD" w14:textId="6C5DC150" w:rsidR="00BC4A9B" w:rsidRPr="006C514E" w:rsidRDefault="00BC4A9B" w:rsidP="00FC3C2C">
      <w:pPr>
        <w:pStyle w:val="Paragraph"/>
        <w:spacing w:before="0"/>
        <w:ind w:firstLine="0"/>
        <w:rPr>
          <w:rFonts w:ascii="Arial" w:hAnsi="Arial" w:cs="Arial"/>
          <w:color w:val="000000" w:themeColor="text1"/>
          <w:sz w:val="22"/>
          <w:szCs w:val="22"/>
        </w:rPr>
      </w:pPr>
      <w:r w:rsidRPr="006C514E">
        <w:rPr>
          <w:rFonts w:ascii="Arial" w:hAnsi="Arial" w:cs="Arial"/>
          <w:b/>
          <w:sz w:val="22"/>
          <w:szCs w:val="22"/>
        </w:rPr>
        <w:t xml:space="preserve">Liver physiological functions. </w:t>
      </w:r>
      <w:r w:rsidRPr="006C514E">
        <w:rPr>
          <w:rFonts w:ascii="Arial" w:hAnsi="Arial" w:cs="Arial"/>
          <w:color w:val="000000" w:themeColor="text1"/>
          <w:sz w:val="22"/>
          <w:szCs w:val="22"/>
        </w:rPr>
        <w:t>Mouse liver functions were assessed by measuring serum lactate dehydrogenase (LDH), alkaline phosphatase (ALP), alanine aminotransferase (ALT), and aspartate aminotransferase (AST) according to the manufacturer’s protocol (Biomedical Research Service Center at University at Buffalo, Buffalo, NY).</w:t>
      </w:r>
    </w:p>
    <w:p w14:paraId="76DD4867" w14:textId="222F8198" w:rsidR="00FC3C2C" w:rsidRPr="006C514E" w:rsidRDefault="00FC3C2C" w:rsidP="00FC3C2C">
      <w:pPr>
        <w:pStyle w:val="SMText"/>
        <w:ind w:firstLine="0"/>
        <w:rPr>
          <w:rFonts w:ascii="Arial" w:hAnsi="Arial" w:cs="Arial"/>
          <w:sz w:val="22"/>
          <w:szCs w:val="22"/>
        </w:rPr>
      </w:pPr>
    </w:p>
    <w:p w14:paraId="25A616B7" w14:textId="1FE79914" w:rsidR="00FC3C2C" w:rsidRPr="006C514E" w:rsidRDefault="00FC3C2C" w:rsidP="00FC3C2C">
      <w:pPr>
        <w:pStyle w:val="SMText"/>
        <w:ind w:firstLine="0"/>
        <w:rPr>
          <w:rFonts w:ascii="Arial" w:hAnsi="Arial" w:cs="Arial"/>
          <w:sz w:val="22"/>
          <w:szCs w:val="22"/>
        </w:rPr>
      </w:pPr>
      <w:r w:rsidRPr="006C514E">
        <w:rPr>
          <w:rFonts w:ascii="Arial" w:hAnsi="Arial" w:cs="Arial"/>
          <w:b/>
          <w:sz w:val="22"/>
          <w:szCs w:val="22"/>
        </w:rPr>
        <w:t xml:space="preserve">Statistics. </w:t>
      </w:r>
      <w:r w:rsidRPr="006C514E">
        <w:rPr>
          <w:rFonts w:ascii="Arial" w:hAnsi="Arial" w:cs="Arial"/>
          <w:color w:val="000000" w:themeColor="text1"/>
          <w:sz w:val="22"/>
          <w:szCs w:val="22"/>
        </w:rPr>
        <w:t xml:space="preserve">All statistical analyses except synergistic capacity were performed using GraphPad Prism 7 (GraphPad Software, San Diego, CA). Data were analyzed by one-way ANOVA followed by a Tukey post-hoc test or Student’s t test, or by two-way ANOVA followed by a Tukey post-hoc test. </w:t>
      </w:r>
      <w:r w:rsidRPr="006C514E">
        <w:rPr>
          <w:rFonts w:ascii="Arial" w:hAnsi="Arial" w:cs="Arial"/>
          <w:i/>
          <w:color w:val="000000" w:themeColor="text1"/>
          <w:sz w:val="22"/>
          <w:szCs w:val="22"/>
        </w:rPr>
        <w:t>P</w:t>
      </w:r>
      <w:r w:rsidRPr="006C514E">
        <w:rPr>
          <w:rFonts w:ascii="Arial" w:hAnsi="Arial" w:cs="Arial"/>
          <w:color w:val="000000" w:themeColor="text1"/>
          <w:sz w:val="22"/>
          <w:szCs w:val="22"/>
        </w:rPr>
        <w:t xml:space="preserve"> value &lt; 0.05 was considered significant. All assays were performed a minimum of three times. The synergistic capacity of combination therapies was tested based on the Chou-Talalay’s method where combination index (CI) was calculated to determine synergism (CI &lt; 1), additive effect (CI = 1), or antagonism (CI &gt; 1)</w:t>
      </w:r>
      <w:r w:rsidR="004425AF" w:rsidRPr="006C514E">
        <w:rPr>
          <w:rFonts w:ascii="Arial" w:hAnsi="Arial" w:cs="Arial"/>
          <w:color w:val="000000" w:themeColor="text1"/>
          <w:sz w:val="22"/>
          <w:szCs w:val="22"/>
        </w:rPr>
        <w:t xml:space="preserve"> </w:t>
      </w:r>
      <w:r w:rsidR="004425AF" w:rsidRPr="006C514E">
        <w:rPr>
          <w:rFonts w:ascii="Arial" w:hAnsi="Arial" w:cs="Arial"/>
          <w:color w:val="000000" w:themeColor="text1"/>
          <w:sz w:val="22"/>
          <w:szCs w:val="22"/>
        </w:rPr>
        <w:fldChar w:fldCharType="begin"/>
      </w:r>
      <w:r w:rsidR="004425AF" w:rsidRPr="006C514E">
        <w:rPr>
          <w:rFonts w:ascii="Arial" w:hAnsi="Arial" w:cs="Arial"/>
          <w:color w:val="000000" w:themeColor="text1"/>
          <w:sz w:val="22"/>
          <w:szCs w:val="22"/>
        </w:rPr>
        <w:instrText xml:space="preserve"> ADDIN EN.CITE &lt;EndNote&gt;&lt;Cite&gt;&lt;Author&gt;Chou&lt;/Author&gt;&lt;Year&gt;2005&lt;/Year&gt;&lt;RecNum&gt;2&lt;/RecNum&gt;&lt;DisplayText&gt;[4]&lt;/DisplayText&gt;&lt;record&gt;&lt;rec-number&gt;2&lt;/rec-number&gt;&lt;foreign-keys&gt;&lt;key app="EN" db-id="rf5s2vsti5fvxle9xx2p0x5wses95fztez99" timestamp="1700032003"&gt;2&lt;/key&gt;&lt;/foreign-keys&gt;&lt;ref-type name="Journal Article"&gt;17&lt;/ref-type&gt;&lt;contributors&gt;&lt;authors&gt;&lt;author&gt;Chou, Ting-Chao&lt;/author&gt;&lt;author&gt;Talalay, Paul&lt;/author&gt;&lt;/authors&gt;&lt;/contributors&gt;&lt;titles&gt;&lt;title&gt;Generalized Equations for the Analysis of Inhibitions of Michaelis-Menten and Higher-Order Kinetic Systems with Two or More Mutually Exclusive and Nonexclusive Inhibitors&lt;/title&gt;&lt;secondary-title&gt;European Journal of Biochemistry&lt;/secondary-title&gt;&lt;/titles&gt;&lt;periodical&gt;&lt;full-title&gt;European Journal of Biochemistry&lt;/full-title&gt;&lt;/periodical&gt;&lt;pages&gt;207-216&lt;/pages&gt;&lt;volume&gt;115&lt;/volume&gt;&lt;number&gt;1&lt;/number&gt;&lt;dates&gt;&lt;year&gt;2005&lt;/year&gt;&lt;pub-dates&gt;&lt;date&gt;2005/03/03/&lt;/date&gt;&lt;/pub-dates&gt;&lt;/dates&gt;&lt;isbn&gt;00142956, 14321033&lt;/isbn&gt;&lt;urls&gt;&lt;related-urls&gt;&lt;url&gt;https://onlinelibrary.wiley.com/doi/10.1111/j.1432-1033.1981.tb06218.x&lt;/url&gt;&lt;/related-urls&gt;&lt;/urls&gt;&lt;electronic-resource-num&gt;10.1111/j.1432-1033.1981.tb06218.x&lt;/electronic-resource-num&gt;&lt;remote-database-provider&gt;DOI.org (Crossref)&lt;/remote-database-provider&gt;&lt;language&gt;en&lt;/language&gt;&lt;access-date&gt;2023/08/07/18:55:48&lt;/access-date&gt;&lt;/record&gt;&lt;/Cite&gt;&lt;/EndNote&gt;</w:instrText>
      </w:r>
      <w:r w:rsidR="004425AF" w:rsidRPr="006C514E">
        <w:rPr>
          <w:rFonts w:ascii="Arial" w:hAnsi="Arial" w:cs="Arial"/>
          <w:color w:val="000000" w:themeColor="text1"/>
          <w:sz w:val="22"/>
          <w:szCs w:val="22"/>
        </w:rPr>
        <w:fldChar w:fldCharType="separate"/>
      </w:r>
      <w:r w:rsidR="004425AF" w:rsidRPr="006C514E">
        <w:rPr>
          <w:rFonts w:ascii="Arial" w:hAnsi="Arial" w:cs="Arial"/>
          <w:noProof/>
          <w:color w:val="000000" w:themeColor="text1"/>
          <w:sz w:val="22"/>
          <w:szCs w:val="22"/>
        </w:rPr>
        <w:t>[4]</w:t>
      </w:r>
      <w:r w:rsidR="004425AF" w:rsidRPr="006C514E">
        <w:rPr>
          <w:rFonts w:ascii="Arial" w:hAnsi="Arial" w:cs="Arial"/>
          <w:color w:val="000000" w:themeColor="text1"/>
          <w:sz w:val="22"/>
          <w:szCs w:val="22"/>
        </w:rPr>
        <w:fldChar w:fldCharType="end"/>
      </w:r>
      <w:r w:rsidR="004425AF" w:rsidRPr="006C514E" w:rsidDel="004425AF">
        <w:rPr>
          <w:rFonts w:ascii="Arial" w:hAnsi="Arial" w:cs="Arial"/>
          <w:color w:val="000000" w:themeColor="text1"/>
          <w:sz w:val="22"/>
          <w:szCs w:val="22"/>
        </w:rPr>
        <w:t xml:space="preserve"> </w:t>
      </w:r>
      <w:r w:rsidR="00A06D99" w:rsidRPr="006C514E">
        <w:rPr>
          <w:rFonts w:ascii="Arial" w:hAnsi="Arial" w:cs="Arial"/>
          <w:color w:val="000000" w:themeColor="text1"/>
          <w:sz w:val="22"/>
          <w:szCs w:val="22"/>
        </w:rPr>
        <w:fldChar w:fldCharType="begin"/>
      </w:r>
      <w:r w:rsidR="00A06D99" w:rsidRPr="006C514E">
        <w:rPr>
          <w:rFonts w:ascii="Arial" w:hAnsi="Arial" w:cs="Arial"/>
          <w:color w:val="000000" w:themeColor="text1"/>
          <w:sz w:val="22"/>
          <w:szCs w:val="22"/>
        </w:rPr>
        <w:instrText xml:space="preserve"> ADDIN ZOTERO_TEMP </w:instrText>
      </w:r>
      <w:r w:rsidR="00A06D99" w:rsidRPr="006C514E">
        <w:rPr>
          <w:rFonts w:ascii="Arial" w:hAnsi="Arial" w:cs="Arial"/>
          <w:color w:val="000000" w:themeColor="text1"/>
          <w:sz w:val="22"/>
          <w:szCs w:val="22"/>
        </w:rPr>
        <w:fldChar w:fldCharType="end"/>
      </w:r>
      <w:r w:rsidRPr="006C514E">
        <w:rPr>
          <w:rFonts w:ascii="Arial" w:hAnsi="Arial" w:cs="Arial"/>
          <w:color w:val="000000" w:themeColor="text1"/>
          <w:sz w:val="22"/>
          <w:szCs w:val="22"/>
        </w:rPr>
        <w:t>.</w:t>
      </w:r>
      <w:r w:rsidR="00A82160" w:rsidRPr="006C514E">
        <w:rPr>
          <w:rFonts w:ascii="Arial" w:hAnsi="Arial" w:cs="Arial"/>
          <w:color w:val="000000" w:themeColor="text1"/>
          <w:sz w:val="22"/>
          <w:szCs w:val="22"/>
        </w:rPr>
        <w:t xml:space="preserve"> </w:t>
      </w:r>
      <w:r w:rsidR="00A82160" w:rsidRPr="006C514E">
        <w:rPr>
          <w:rFonts w:ascii="Arial" w:eastAsia="MS Gothic" w:hAnsi="Arial" w:cs="Arial"/>
          <w:i/>
          <w:sz w:val="22"/>
          <w:szCs w:val="22"/>
          <w:bdr w:val="none" w:sz="0" w:space="0" w:color="auto" w:frame="1"/>
        </w:rPr>
        <w:t>DDIT3</w:t>
      </w:r>
      <w:r w:rsidR="00A82160" w:rsidRPr="006C514E">
        <w:rPr>
          <w:rFonts w:ascii="Arial" w:eastAsia="MS Gothic" w:hAnsi="Arial" w:cs="Arial"/>
          <w:sz w:val="22"/>
          <w:szCs w:val="22"/>
          <w:bdr w:val="none" w:sz="0" w:space="0" w:color="auto" w:frame="1"/>
        </w:rPr>
        <w:t xml:space="preserve"> expression in the pancreatic cancer TCGA </w:t>
      </w:r>
      <w:r w:rsidR="00A82160" w:rsidRPr="006C514E">
        <w:rPr>
          <w:rFonts w:ascii="Arial" w:eastAsia="MS Gothic" w:hAnsi="Arial" w:cs="Arial"/>
          <w:color w:val="000000" w:themeColor="text1"/>
          <w:sz w:val="22"/>
          <w:szCs w:val="22"/>
          <w:bdr w:val="none" w:sz="0" w:space="0" w:color="auto" w:frame="1"/>
        </w:rPr>
        <w:t>dataset</w:t>
      </w:r>
      <w:r w:rsidR="00A82160" w:rsidRPr="006C514E">
        <w:rPr>
          <w:rFonts w:ascii="Arial" w:eastAsia="MS Gothic" w:hAnsi="Arial" w:cs="Arial"/>
          <w:color w:val="000000" w:themeColor="text1"/>
          <w:sz w:val="22"/>
          <w:szCs w:val="22"/>
        </w:rPr>
        <w:t xml:space="preserve"> presented in a Kaplan-Meier plot was generated using a scan-based expression cutoff of 16.28.</w:t>
      </w:r>
    </w:p>
    <w:p w14:paraId="5D8E0BC8" w14:textId="19351CFF" w:rsidR="00FC3C2C" w:rsidRPr="006C514E" w:rsidRDefault="00FC3C2C" w:rsidP="00FC3C2C">
      <w:pPr>
        <w:pStyle w:val="SMSubheading"/>
        <w:rPr>
          <w:rFonts w:ascii="Arial" w:hAnsi="Arial" w:cs="Arial"/>
          <w:sz w:val="22"/>
          <w:szCs w:val="22"/>
          <w:u w:val="none"/>
        </w:rPr>
      </w:pPr>
    </w:p>
    <w:p w14:paraId="138B6689" w14:textId="3137FF5B" w:rsidR="00B3417A" w:rsidRPr="006C514E" w:rsidRDefault="00B3417A">
      <w:pPr>
        <w:rPr>
          <w:rFonts w:ascii="Arial" w:hAnsi="Arial" w:cs="Arial"/>
          <w:sz w:val="22"/>
          <w:szCs w:val="22"/>
        </w:rPr>
      </w:pPr>
      <w:r w:rsidRPr="006C514E">
        <w:rPr>
          <w:rFonts w:ascii="Arial" w:hAnsi="Arial" w:cs="Arial"/>
          <w:sz w:val="22"/>
          <w:szCs w:val="22"/>
        </w:rPr>
        <w:br w:type="page"/>
      </w:r>
    </w:p>
    <w:p w14:paraId="10BE308B" w14:textId="6E4F728C" w:rsidR="006C2F59" w:rsidRPr="006C514E" w:rsidRDefault="00AC1FA9" w:rsidP="00AC1FA9">
      <w:pPr>
        <w:pStyle w:val="SMcaption"/>
        <w:jc w:val="center"/>
        <w:rPr>
          <w:rFonts w:ascii="Arial" w:hAnsi="Arial" w:cs="Arial"/>
          <w:sz w:val="22"/>
          <w:szCs w:val="22"/>
        </w:rPr>
      </w:pPr>
      <w:r>
        <w:rPr>
          <w:rFonts w:ascii="Arial" w:hAnsi="Arial" w:cs="Arial"/>
          <w:noProof/>
          <w:sz w:val="22"/>
          <w:szCs w:val="22"/>
        </w:rPr>
        <w:lastRenderedPageBreak/>
        <w:drawing>
          <wp:inline distT="0" distB="0" distL="0" distR="0" wp14:anchorId="78EA5B18" wp14:editId="6FE64ABA">
            <wp:extent cx="5481053" cy="3379397"/>
            <wp:effectExtent l="0" t="0" r="5715" b="0"/>
            <wp:docPr id="256931183" name="Picture 2" descr="A close-up of several graph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931183" name="Picture 2" descr="A close-up of several graphs&#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495031" cy="3388015"/>
                    </a:xfrm>
                    <a:prstGeom prst="rect">
                      <a:avLst/>
                    </a:prstGeom>
                  </pic:spPr>
                </pic:pic>
              </a:graphicData>
            </a:graphic>
          </wp:inline>
        </w:drawing>
      </w:r>
    </w:p>
    <w:p w14:paraId="51A9208C" w14:textId="77777777" w:rsidR="006C2F59" w:rsidRPr="006C514E" w:rsidRDefault="006C2F59" w:rsidP="006C2F59">
      <w:pPr>
        <w:pStyle w:val="SMcaption"/>
        <w:rPr>
          <w:rFonts w:ascii="Arial" w:hAnsi="Arial" w:cs="Arial"/>
          <w:sz w:val="22"/>
          <w:szCs w:val="22"/>
        </w:rPr>
      </w:pPr>
    </w:p>
    <w:p w14:paraId="4E4ED6CB" w14:textId="682D4FC0" w:rsidR="00015F74" w:rsidRPr="006C514E" w:rsidRDefault="006C2F59" w:rsidP="006C2F59">
      <w:pPr>
        <w:pStyle w:val="SMcaption"/>
        <w:rPr>
          <w:rFonts w:ascii="Arial" w:hAnsi="Arial" w:cs="Arial"/>
          <w:sz w:val="22"/>
          <w:szCs w:val="22"/>
        </w:rPr>
      </w:pPr>
      <w:r w:rsidRPr="006C514E">
        <w:rPr>
          <w:rFonts w:ascii="Arial" w:hAnsi="Arial" w:cs="Arial"/>
          <w:b/>
          <w:sz w:val="22"/>
          <w:szCs w:val="22"/>
        </w:rPr>
        <w:t xml:space="preserve">Supplementary </w:t>
      </w:r>
      <w:r w:rsidR="007411A1" w:rsidRPr="006C514E">
        <w:rPr>
          <w:rFonts w:ascii="Arial" w:hAnsi="Arial" w:cs="Arial"/>
          <w:b/>
          <w:sz w:val="22"/>
          <w:szCs w:val="22"/>
        </w:rPr>
        <w:t>Fig. S1.</w:t>
      </w:r>
      <w:r w:rsidR="00631567" w:rsidRPr="006C514E">
        <w:rPr>
          <w:b/>
          <w:sz w:val="22"/>
          <w:szCs w:val="22"/>
        </w:rPr>
        <w:t xml:space="preserve"> </w:t>
      </w:r>
      <w:r w:rsidR="00631567" w:rsidRPr="006C514E">
        <w:rPr>
          <w:rFonts w:ascii="Arial" w:hAnsi="Arial" w:cs="Arial"/>
          <w:b/>
          <w:sz w:val="22"/>
          <w:szCs w:val="22"/>
        </w:rPr>
        <w:t>Effects of supraphysiological L-Gln and D-Gln on PDAC cells.</w:t>
      </w:r>
      <w:r w:rsidR="00B42F9C" w:rsidRPr="006C514E">
        <w:rPr>
          <w:rFonts w:ascii="Arial" w:hAnsi="Arial" w:cs="Arial"/>
          <w:sz w:val="22"/>
          <w:szCs w:val="22"/>
        </w:rPr>
        <w:t xml:space="preserve"> </w:t>
      </w:r>
      <w:r w:rsidR="00631567" w:rsidRPr="006C514E">
        <w:rPr>
          <w:rFonts w:ascii="Arial" w:hAnsi="Arial" w:cs="Arial"/>
          <w:sz w:val="22"/>
          <w:szCs w:val="22"/>
        </w:rPr>
        <w:t>(</w:t>
      </w:r>
      <w:r w:rsidR="00631567" w:rsidRPr="006C514E">
        <w:rPr>
          <w:rFonts w:ascii="Arial" w:hAnsi="Arial" w:cs="Arial"/>
          <w:b/>
          <w:sz w:val="22"/>
          <w:szCs w:val="22"/>
        </w:rPr>
        <w:t>A</w:t>
      </w:r>
      <w:r w:rsidR="00631567" w:rsidRPr="006C514E">
        <w:rPr>
          <w:rFonts w:ascii="Arial" w:hAnsi="Arial" w:cs="Arial"/>
          <w:sz w:val="22"/>
          <w:szCs w:val="22"/>
        </w:rPr>
        <w:t>) Clonogenic assays were performed in MIA PaCa-2 cells cultured with L-Gln (</w:t>
      </w:r>
      <w:r w:rsidR="0087593F" w:rsidRPr="006C514E">
        <w:rPr>
          <w:rFonts w:ascii="Arial" w:hAnsi="Arial" w:cs="Arial"/>
          <w:sz w:val="22"/>
          <w:szCs w:val="22"/>
        </w:rPr>
        <w:t xml:space="preserve">0, </w:t>
      </w:r>
      <w:r w:rsidR="00631567" w:rsidRPr="006C514E">
        <w:rPr>
          <w:rFonts w:ascii="Arial" w:hAnsi="Arial" w:cs="Arial"/>
          <w:sz w:val="22"/>
          <w:szCs w:val="22"/>
        </w:rPr>
        <w:t>0.2, 0.5, 2, 10, 20, 30</w:t>
      </w:r>
      <w:r w:rsidR="00C159E2" w:rsidRPr="006C514E">
        <w:rPr>
          <w:rFonts w:ascii="Arial" w:hAnsi="Arial" w:cs="Arial"/>
          <w:sz w:val="22"/>
          <w:szCs w:val="22"/>
        </w:rPr>
        <w:t xml:space="preserve"> and</w:t>
      </w:r>
      <w:r w:rsidR="00631567" w:rsidRPr="006C514E">
        <w:rPr>
          <w:rFonts w:ascii="Arial" w:hAnsi="Arial" w:cs="Arial"/>
          <w:sz w:val="22"/>
          <w:szCs w:val="22"/>
        </w:rPr>
        <w:t xml:space="preserve"> 40 mM) for 11 days (n = 3). (</w:t>
      </w:r>
      <w:r w:rsidR="00631567" w:rsidRPr="006C514E">
        <w:rPr>
          <w:rFonts w:ascii="Arial" w:hAnsi="Arial" w:cs="Arial"/>
          <w:b/>
          <w:sz w:val="22"/>
          <w:szCs w:val="22"/>
        </w:rPr>
        <w:t>B</w:t>
      </w:r>
      <w:r w:rsidR="00631567" w:rsidRPr="006C514E">
        <w:rPr>
          <w:rFonts w:ascii="Arial" w:hAnsi="Arial" w:cs="Arial"/>
          <w:sz w:val="22"/>
          <w:szCs w:val="22"/>
        </w:rPr>
        <w:t>) MIA PaCa-2 cells were treated with 40 mM L-Gln (SPG</w:t>
      </w:r>
      <w:r w:rsidR="00631567" w:rsidRPr="006C514E">
        <w:rPr>
          <w:rFonts w:ascii="Arial" w:hAnsi="Arial" w:cs="Arial"/>
          <w:sz w:val="22"/>
          <w:szCs w:val="22"/>
          <w:vertAlign w:val="superscript"/>
        </w:rPr>
        <w:t>L</w:t>
      </w:r>
      <w:r w:rsidR="00631567" w:rsidRPr="006C514E">
        <w:rPr>
          <w:rFonts w:ascii="Arial" w:hAnsi="Arial" w:cs="Arial"/>
          <w:sz w:val="22"/>
          <w:szCs w:val="22"/>
        </w:rPr>
        <w:t>) or 2 mM L-Gln (Control) for two days. Volcano plot depicted differentially expressed genes in RNA-seq data based on their -</w:t>
      </w:r>
      <w:r w:rsidR="007D7DDA" w:rsidRPr="006C514E">
        <w:rPr>
          <w:rFonts w:ascii="Arial" w:hAnsi="Arial" w:cs="Arial"/>
          <w:sz w:val="22"/>
          <w:szCs w:val="22"/>
        </w:rPr>
        <w:t>l</w:t>
      </w:r>
      <w:r w:rsidR="00631567" w:rsidRPr="006C514E">
        <w:rPr>
          <w:rFonts w:ascii="Arial" w:hAnsi="Arial" w:cs="Arial"/>
          <w:sz w:val="22"/>
          <w:szCs w:val="22"/>
        </w:rPr>
        <w:t>og</w:t>
      </w:r>
      <w:r w:rsidR="00631567" w:rsidRPr="006C514E">
        <w:rPr>
          <w:rFonts w:ascii="Arial" w:hAnsi="Arial" w:cs="Arial"/>
          <w:sz w:val="22"/>
          <w:szCs w:val="22"/>
          <w:vertAlign w:val="subscript"/>
        </w:rPr>
        <w:t>10</w:t>
      </w:r>
      <w:r w:rsidR="00631567" w:rsidRPr="006C514E">
        <w:rPr>
          <w:rFonts w:ascii="Arial" w:hAnsi="Arial" w:cs="Arial"/>
          <w:sz w:val="22"/>
          <w:szCs w:val="22"/>
        </w:rPr>
        <w:t xml:space="preserve"> FDR and log</w:t>
      </w:r>
      <w:r w:rsidR="00631567" w:rsidRPr="006C514E">
        <w:rPr>
          <w:rFonts w:ascii="Arial" w:hAnsi="Arial" w:cs="Arial"/>
          <w:sz w:val="22"/>
          <w:szCs w:val="22"/>
          <w:vertAlign w:val="subscript"/>
        </w:rPr>
        <w:t>2</w:t>
      </w:r>
      <w:r w:rsidR="00631567" w:rsidRPr="006C514E">
        <w:rPr>
          <w:rFonts w:ascii="Arial" w:hAnsi="Arial" w:cs="Arial"/>
          <w:sz w:val="22"/>
          <w:szCs w:val="22"/>
        </w:rPr>
        <w:t xml:space="preserve"> fold change (FC) (n = 3). (</w:t>
      </w:r>
      <w:r w:rsidR="00631567" w:rsidRPr="006C514E">
        <w:rPr>
          <w:rFonts w:ascii="Arial" w:hAnsi="Arial" w:cs="Arial"/>
          <w:b/>
          <w:sz w:val="22"/>
          <w:szCs w:val="22"/>
        </w:rPr>
        <w:t>C</w:t>
      </w:r>
      <w:r w:rsidR="00631567" w:rsidRPr="006C514E">
        <w:rPr>
          <w:rFonts w:ascii="Arial" w:hAnsi="Arial" w:cs="Arial"/>
          <w:sz w:val="22"/>
          <w:szCs w:val="22"/>
        </w:rPr>
        <w:t xml:space="preserve">) </w:t>
      </w:r>
      <w:r w:rsidR="00C159E2" w:rsidRPr="006C514E">
        <w:rPr>
          <w:rFonts w:ascii="Arial" w:hAnsi="Arial" w:cs="Arial"/>
          <w:sz w:val="22"/>
          <w:szCs w:val="22"/>
        </w:rPr>
        <w:t xml:space="preserve">The gene expression of the indicated signaling/metabolic pathways in </w:t>
      </w:r>
      <w:r w:rsidR="00631567" w:rsidRPr="006C514E">
        <w:rPr>
          <w:rFonts w:ascii="Arial" w:hAnsi="Arial" w:cs="Arial"/>
          <w:sz w:val="22"/>
          <w:szCs w:val="22"/>
        </w:rPr>
        <w:t>HPAF-II cells incubated with 0.2</w:t>
      </w:r>
      <w:r w:rsidR="00C01D51" w:rsidRPr="006C514E">
        <w:rPr>
          <w:rFonts w:ascii="Arial" w:hAnsi="Arial" w:cs="Arial"/>
          <w:sz w:val="22"/>
          <w:szCs w:val="22"/>
        </w:rPr>
        <w:t>,</w:t>
      </w:r>
      <w:r w:rsidR="00631567" w:rsidRPr="006C514E">
        <w:rPr>
          <w:rFonts w:ascii="Arial" w:hAnsi="Arial" w:cs="Arial"/>
          <w:sz w:val="22"/>
          <w:szCs w:val="22"/>
        </w:rPr>
        <w:t xml:space="preserve"> </w:t>
      </w:r>
      <w:r w:rsidR="00C01D51" w:rsidRPr="006C514E">
        <w:rPr>
          <w:rFonts w:ascii="Arial" w:hAnsi="Arial" w:cs="Arial"/>
          <w:sz w:val="22"/>
          <w:szCs w:val="22"/>
        </w:rPr>
        <w:t xml:space="preserve">2 </w:t>
      </w:r>
      <w:r w:rsidR="00631567" w:rsidRPr="006C514E">
        <w:rPr>
          <w:rFonts w:ascii="Arial" w:hAnsi="Arial" w:cs="Arial"/>
          <w:sz w:val="22"/>
          <w:szCs w:val="22"/>
        </w:rPr>
        <w:t xml:space="preserve">and </w:t>
      </w:r>
      <w:r w:rsidR="00C01D51" w:rsidRPr="006C514E">
        <w:rPr>
          <w:rFonts w:ascii="Arial" w:hAnsi="Arial" w:cs="Arial"/>
          <w:sz w:val="22"/>
          <w:szCs w:val="22"/>
        </w:rPr>
        <w:t>40</w:t>
      </w:r>
      <w:r w:rsidR="00631567" w:rsidRPr="006C514E">
        <w:rPr>
          <w:rFonts w:ascii="Arial" w:hAnsi="Arial" w:cs="Arial"/>
          <w:sz w:val="22"/>
          <w:szCs w:val="22"/>
        </w:rPr>
        <w:t xml:space="preserve"> mM Gln for 2 days. (</w:t>
      </w:r>
      <w:r w:rsidR="00631567" w:rsidRPr="006C514E">
        <w:rPr>
          <w:rFonts w:ascii="Arial" w:hAnsi="Arial" w:cs="Arial"/>
          <w:b/>
          <w:sz w:val="22"/>
          <w:szCs w:val="22"/>
        </w:rPr>
        <w:t>D-F</w:t>
      </w:r>
      <w:r w:rsidR="00631567" w:rsidRPr="006C514E">
        <w:rPr>
          <w:rFonts w:ascii="Arial" w:hAnsi="Arial" w:cs="Arial"/>
          <w:sz w:val="22"/>
          <w:szCs w:val="22"/>
        </w:rPr>
        <w:t>) Clonogenic assays in MIA PaCa-2, BxPC-3, and UN-KPC-961 cells were performed under the indicated concentrations of D-Gln and L-Gln for 7-11 days (n = 3). Values are mean ± SEM. *</w:t>
      </w:r>
      <w:r w:rsidR="00631567" w:rsidRPr="006C514E">
        <w:rPr>
          <w:rFonts w:ascii="Arial" w:hAnsi="Arial" w:cs="Arial"/>
          <w:i/>
          <w:sz w:val="22"/>
          <w:szCs w:val="22"/>
        </w:rPr>
        <w:t>P</w:t>
      </w:r>
      <w:r w:rsidR="00631567" w:rsidRPr="006C514E">
        <w:rPr>
          <w:rFonts w:ascii="Arial" w:hAnsi="Arial" w:cs="Arial"/>
          <w:sz w:val="22"/>
          <w:szCs w:val="22"/>
        </w:rPr>
        <w:t xml:space="preserve"> &lt; 0.05, **</w:t>
      </w:r>
      <w:r w:rsidR="00631567" w:rsidRPr="006C514E">
        <w:rPr>
          <w:rFonts w:ascii="Arial" w:hAnsi="Arial" w:cs="Arial"/>
          <w:i/>
          <w:sz w:val="22"/>
          <w:szCs w:val="22"/>
        </w:rPr>
        <w:t>P</w:t>
      </w:r>
      <w:r w:rsidR="00631567" w:rsidRPr="006C514E">
        <w:rPr>
          <w:rFonts w:ascii="Arial" w:hAnsi="Arial" w:cs="Arial"/>
          <w:sz w:val="22"/>
          <w:szCs w:val="22"/>
        </w:rPr>
        <w:t xml:space="preserve"> &lt; 0.01, ***</w:t>
      </w:r>
      <w:r w:rsidR="00631567" w:rsidRPr="006C514E">
        <w:rPr>
          <w:rFonts w:ascii="Arial" w:hAnsi="Arial" w:cs="Arial"/>
          <w:i/>
          <w:sz w:val="22"/>
          <w:szCs w:val="22"/>
        </w:rPr>
        <w:t>P</w:t>
      </w:r>
      <w:r w:rsidR="00631567" w:rsidRPr="006C514E">
        <w:rPr>
          <w:rFonts w:ascii="Arial" w:hAnsi="Arial" w:cs="Arial"/>
          <w:sz w:val="22"/>
          <w:szCs w:val="22"/>
        </w:rPr>
        <w:t xml:space="preserve"> &lt; 0.001.</w:t>
      </w:r>
    </w:p>
    <w:p w14:paraId="419317AB" w14:textId="77777777" w:rsidR="009A5287" w:rsidRPr="006C514E" w:rsidRDefault="009A5287" w:rsidP="00B9440A">
      <w:pPr>
        <w:pStyle w:val="SMcaption"/>
        <w:rPr>
          <w:rFonts w:ascii="Arial" w:hAnsi="Arial" w:cs="Arial"/>
          <w:sz w:val="22"/>
          <w:szCs w:val="22"/>
        </w:rPr>
      </w:pPr>
    </w:p>
    <w:p w14:paraId="4B875856" w14:textId="77777777" w:rsidR="000C782B" w:rsidRPr="006C514E" w:rsidRDefault="000C782B">
      <w:pPr>
        <w:rPr>
          <w:rFonts w:ascii="Arial" w:hAnsi="Arial" w:cs="Arial"/>
          <w:sz w:val="22"/>
          <w:szCs w:val="22"/>
        </w:rPr>
      </w:pPr>
      <w:r w:rsidRPr="006C514E">
        <w:rPr>
          <w:rFonts w:ascii="Arial" w:hAnsi="Arial" w:cs="Arial"/>
          <w:sz w:val="22"/>
          <w:szCs w:val="22"/>
        </w:rPr>
        <w:br w:type="page"/>
      </w:r>
    </w:p>
    <w:p w14:paraId="200084F3" w14:textId="77777777" w:rsidR="006C2F59" w:rsidRPr="006C514E" w:rsidRDefault="00B440EA" w:rsidP="006C2F59">
      <w:pPr>
        <w:pStyle w:val="SMcaption"/>
        <w:jc w:val="center"/>
        <w:rPr>
          <w:rFonts w:ascii="Arial" w:hAnsi="Arial" w:cs="Arial"/>
          <w:sz w:val="22"/>
          <w:szCs w:val="22"/>
        </w:rPr>
      </w:pPr>
      <w:r w:rsidRPr="004425AF">
        <w:rPr>
          <w:b/>
          <w:noProof/>
          <w:sz w:val="22"/>
          <w:szCs w:val="22"/>
        </w:rPr>
        <w:lastRenderedPageBreak/>
        <w:drawing>
          <wp:inline distT="0" distB="0" distL="0" distR="0" wp14:anchorId="7C09F6D0" wp14:editId="01A9769B">
            <wp:extent cx="5486400" cy="3585916"/>
            <wp:effectExtent l="0" t="0" r="0" b="0"/>
            <wp:docPr id="2" name="Picture 2"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bar chart&#10;&#10;Description automatically generated"/>
                    <pic:cNvPicPr/>
                  </pic:nvPicPr>
                  <pic:blipFill rotWithShape="1">
                    <a:blip r:embed="rId10" cstate="print">
                      <a:extLst>
                        <a:ext uri="{28A0092B-C50C-407E-A947-70E740481C1C}">
                          <a14:useLocalDpi xmlns:a14="http://schemas.microsoft.com/office/drawing/2010/main" val="0"/>
                        </a:ext>
                      </a:extLst>
                    </a:blip>
                    <a:srcRect t="7147"/>
                    <a:stretch/>
                  </pic:blipFill>
                  <pic:spPr bwMode="auto">
                    <a:xfrm>
                      <a:off x="0" y="0"/>
                      <a:ext cx="5486400" cy="3585916"/>
                    </a:xfrm>
                    <a:prstGeom prst="rect">
                      <a:avLst/>
                    </a:prstGeom>
                    <a:ln>
                      <a:noFill/>
                    </a:ln>
                    <a:extLst>
                      <a:ext uri="{53640926-AAD7-44D8-BBD7-CCE9431645EC}">
                        <a14:shadowObscured xmlns:a14="http://schemas.microsoft.com/office/drawing/2010/main"/>
                      </a:ext>
                    </a:extLst>
                  </pic:spPr>
                </pic:pic>
              </a:graphicData>
            </a:graphic>
          </wp:inline>
        </w:drawing>
      </w:r>
    </w:p>
    <w:p w14:paraId="4901D30C" w14:textId="77777777" w:rsidR="006C2F59" w:rsidRPr="006C514E" w:rsidRDefault="006C2F59" w:rsidP="006C2F59">
      <w:pPr>
        <w:pStyle w:val="SMcaption"/>
        <w:rPr>
          <w:rFonts w:ascii="Arial" w:hAnsi="Arial" w:cs="Arial"/>
          <w:sz w:val="22"/>
          <w:szCs w:val="22"/>
        </w:rPr>
      </w:pPr>
    </w:p>
    <w:p w14:paraId="6888F658" w14:textId="0BFB819F" w:rsidR="00477182" w:rsidRPr="006C514E" w:rsidRDefault="006C2F59" w:rsidP="006C2F59">
      <w:pPr>
        <w:pStyle w:val="SMcaption"/>
        <w:rPr>
          <w:rFonts w:ascii="Arial" w:hAnsi="Arial" w:cs="Arial"/>
          <w:sz w:val="22"/>
          <w:szCs w:val="22"/>
        </w:rPr>
      </w:pPr>
      <w:r w:rsidRPr="006C514E">
        <w:rPr>
          <w:rFonts w:ascii="Arial" w:hAnsi="Arial" w:cs="Arial"/>
          <w:b/>
          <w:sz w:val="22"/>
          <w:szCs w:val="22"/>
        </w:rPr>
        <w:t xml:space="preserve">Supplementary </w:t>
      </w:r>
      <w:r w:rsidR="00112C5B" w:rsidRPr="006C514E">
        <w:rPr>
          <w:rFonts w:ascii="Arial" w:hAnsi="Arial" w:cs="Arial"/>
          <w:b/>
          <w:sz w:val="22"/>
          <w:szCs w:val="22"/>
        </w:rPr>
        <w:t>Fig. S2</w:t>
      </w:r>
      <w:r w:rsidR="00B42F9C" w:rsidRPr="006C514E">
        <w:rPr>
          <w:rFonts w:ascii="Arial" w:hAnsi="Arial" w:cs="Arial"/>
          <w:b/>
          <w:sz w:val="22"/>
          <w:szCs w:val="22"/>
        </w:rPr>
        <w:t xml:space="preserve">. </w:t>
      </w:r>
      <w:r w:rsidR="00631567" w:rsidRPr="006C514E">
        <w:rPr>
          <w:rFonts w:ascii="Arial" w:hAnsi="Arial" w:cs="Arial"/>
          <w:b/>
          <w:sz w:val="22"/>
          <w:szCs w:val="22"/>
        </w:rPr>
        <w:t>The effects of supraphysiological L-Gln on metabolism.</w:t>
      </w:r>
      <w:r w:rsidR="00631567" w:rsidRPr="006C514E">
        <w:rPr>
          <w:rFonts w:ascii="Arial" w:hAnsi="Arial" w:cs="Arial"/>
          <w:sz w:val="22"/>
          <w:szCs w:val="22"/>
        </w:rPr>
        <w:t xml:space="preserve"> (</w:t>
      </w:r>
      <w:r w:rsidR="00631567" w:rsidRPr="006C514E">
        <w:rPr>
          <w:rFonts w:ascii="Arial" w:hAnsi="Arial" w:cs="Arial"/>
          <w:b/>
          <w:sz w:val="22"/>
          <w:szCs w:val="22"/>
        </w:rPr>
        <w:t>A</w:t>
      </w:r>
      <w:r w:rsidR="00631567" w:rsidRPr="006C514E">
        <w:rPr>
          <w:rFonts w:ascii="Arial" w:hAnsi="Arial" w:cs="Arial"/>
          <w:sz w:val="22"/>
          <w:szCs w:val="22"/>
        </w:rPr>
        <w:t>) The oxygen consumption rate (OCR) in MIA PaCa-2 cells was measured by seahorse metabolic flux analysis after the treatment with different concentrations of L-Gln (0, 2, 10</w:t>
      </w:r>
      <w:r w:rsidR="00B37354" w:rsidRPr="006C514E">
        <w:rPr>
          <w:rFonts w:ascii="Arial" w:hAnsi="Arial" w:cs="Arial"/>
          <w:sz w:val="22"/>
          <w:szCs w:val="22"/>
        </w:rPr>
        <w:t xml:space="preserve"> and</w:t>
      </w:r>
      <w:r w:rsidR="00631567" w:rsidRPr="006C514E">
        <w:rPr>
          <w:rFonts w:ascii="Arial" w:hAnsi="Arial" w:cs="Arial"/>
          <w:sz w:val="22"/>
          <w:szCs w:val="22"/>
        </w:rPr>
        <w:t xml:space="preserve"> 40 mM). Basal respiration, maximal respiration and ATP production are shown as bar graphs (n = 5). (</w:t>
      </w:r>
      <w:r w:rsidR="00631567" w:rsidRPr="006C514E">
        <w:rPr>
          <w:rFonts w:ascii="Arial" w:hAnsi="Arial" w:cs="Arial"/>
          <w:b/>
          <w:sz w:val="22"/>
          <w:szCs w:val="22"/>
        </w:rPr>
        <w:t>B</w:t>
      </w:r>
      <w:r w:rsidR="00631567" w:rsidRPr="006C514E">
        <w:rPr>
          <w:rFonts w:ascii="Arial" w:hAnsi="Arial" w:cs="Arial"/>
          <w:sz w:val="22"/>
          <w:szCs w:val="22"/>
        </w:rPr>
        <w:t>) Intracellular base and nucleoside levels in MIA PaCa-2 cells treated with 2 mM L-Gln (Control) or 40 mM L-Gln (SPG</w:t>
      </w:r>
      <w:r w:rsidR="00631567" w:rsidRPr="006C514E">
        <w:rPr>
          <w:rFonts w:ascii="Arial" w:hAnsi="Arial" w:cs="Arial"/>
          <w:sz w:val="22"/>
          <w:szCs w:val="22"/>
          <w:vertAlign w:val="superscript"/>
        </w:rPr>
        <w:t>L</w:t>
      </w:r>
      <w:r w:rsidR="00631567" w:rsidRPr="006C514E">
        <w:rPr>
          <w:rFonts w:ascii="Arial" w:hAnsi="Arial" w:cs="Arial"/>
          <w:sz w:val="22"/>
          <w:szCs w:val="22"/>
        </w:rPr>
        <w:t>). Values are mean ± SEM. *</w:t>
      </w:r>
      <w:r w:rsidR="00631567" w:rsidRPr="006C514E">
        <w:rPr>
          <w:rFonts w:ascii="Arial" w:hAnsi="Arial" w:cs="Arial"/>
          <w:i/>
          <w:sz w:val="22"/>
          <w:szCs w:val="22"/>
        </w:rPr>
        <w:t>P</w:t>
      </w:r>
      <w:r w:rsidR="00631567" w:rsidRPr="006C514E">
        <w:rPr>
          <w:rFonts w:ascii="Arial" w:hAnsi="Arial" w:cs="Arial"/>
          <w:sz w:val="22"/>
          <w:szCs w:val="22"/>
        </w:rPr>
        <w:t xml:space="preserve"> &lt; 0.05, **</w:t>
      </w:r>
      <w:r w:rsidR="00631567" w:rsidRPr="006C514E">
        <w:rPr>
          <w:rFonts w:ascii="Arial" w:hAnsi="Arial" w:cs="Arial"/>
          <w:i/>
          <w:sz w:val="22"/>
          <w:szCs w:val="22"/>
        </w:rPr>
        <w:t>P</w:t>
      </w:r>
      <w:r w:rsidR="00631567" w:rsidRPr="006C514E">
        <w:rPr>
          <w:rFonts w:ascii="Arial" w:hAnsi="Arial" w:cs="Arial"/>
          <w:sz w:val="22"/>
          <w:szCs w:val="22"/>
        </w:rPr>
        <w:t xml:space="preserve"> &lt; 0.01, ***</w:t>
      </w:r>
      <w:r w:rsidR="00631567" w:rsidRPr="006C514E">
        <w:rPr>
          <w:rFonts w:ascii="Arial" w:hAnsi="Arial" w:cs="Arial"/>
          <w:i/>
          <w:sz w:val="22"/>
          <w:szCs w:val="22"/>
        </w:rPr>
        <w:t>P</w:t>
      </w:r>
      <w:r w:rsidR="00631567" w:rsidRPr="006C514E">
        <w:rPr>
          <w:rFonts w:ascii="Arial" w:hAnsi="Arial" w:cs="Arial"/>
          <w:sz w:val="22"/>
          <w:szCs w:val="22"/>
        </w:rPr>
        <w:t xml:space="preserve"> &lt; 0.001, ****</w:t>
      </w:r>
      <w:r w:rsidR="00631567" w:rsidRPr="006C514E">
        <w:rPr>
          <w:rFonts w:ascii="Arial" w:hAnsi="Arial" w:cs="Arial"/>
          <w:i/>
          <w:sz w:val="22"/>
          <w:szCs w:val="22"/>
        </w:rPr>
        <w:t>P</w:t>
      </w:r>
      <w:r w:rsidR="00631567" w:rsidRPr="006C514E">
        <w:rPr>
          <w:rFonts w:ascii="Arial" w:hAnsi="Arial" w:cs="Arial"/>
          <w:sz w:val="22"/>
          <w:szCs w:val="22"/>
        </w:rPr>
        <w:t xml:space="preserve"> &lt; 0.0001.</w:t>
      </w:r>
    </w:p>
    <w:p w14:paraId="695F73DE" w14:textId="77777777" w:rsidR="00670299" w:rsidRPr="006C514E" w:rsidRDefault="00670299" w:rsidP="00670299">
      <w:pPr>
        <w:pStyle w:val="SMcaption"/>
        <w:rPr>
          <w:rFonts w:ascii="Arial" w:hAnsi="Arial" w:cs="Arial"/>
          <w:sz w:val="22"/>
          <w:szCs w:val="22"/>
        </w:rPr>
      </w:pPr>
    </w:p>
    <w:p w14:paraId="293B0C4E" w14:textId="75840CB4" w:rsidR="006C2F59" w:rsidRPr="006C514E" w:rsidRDefault="000C782B" w:rsidP="006C2F59">
      <w:pPr>
        <w:jc w:val="center"/>
        <w:rPr>
          <w:rFonts w:ascii="Arial" w:hAnsi="Arial" w:cs="Arial"/>
          <w:sz w:val="22"/>
          <w:szCs w:val="22"/>
        </w:rPr>
      </w:pPr>
      <w:r w:rsidRPr="006C514E">
        <w:rPr>
          <w:rFonts w:ascii="Arial" w:hAnsi="Arial" w:cs="Arial"/>
          <w:sz w:val="22"/>
          <w:szCs w:val="22"/>
        </w:rPr>
        <w:br w:type="page"/>
      </w:r>
    </w:p>
    <w:p w14:paraId="7DC716A9" w14:textId="35F1A679" w:rsidR="006C2F59" w:rsidRPr="006C514E" w:rsidRDefault="00FE253F" w:rsidP="00FE253F">
      <w:pPr>
        <w:jc w:val="center"/>
        <w:rPr>
          <w:rFonts w:ascii="Arial" w:hAnsi="Arial" w:cs="Arial"/>
          <w:sz w:val="22"/>
          <w:szCs w:val="22"/>
        </w:rPr>
      </w:pPr>
      <w:r>
        <w:rPr>
          <w:rFonts w:ascii="Arial" w:hAnsi="Arial" w:cs="Arial"/>
          <w:noProof/>
          <w:sz w:val="22"/>
          <w:szCs w:val="22"/>
        </w:rPr>
        <w:lastRenderedPageBreak/>
        <w:drawing>
          <wp:inline distT="0" distB="0" distL="0" distR="0" wp14:anchorId="128C4DC5" wp14:editId="4E55EA4D">
            <wp:extent cx="3675801" cy="4614779"/>
            <wp:effectExtent l="0" t="0" r="0" b="0"/>
            <wp:docPr id="3082388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238837" name="Picture 308238837"/>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703307" cy="4649312"/>
                    </a:xfrm>
                    <a:prstGeom prst="rect">
                      <a:avLst/>
                    </a:prstGeom>
                  </pic:spPr>
                </pic:pic>
              </a:graphicData>
            </a:graphic>
          </wp:inline>
        </w:drawing>
      </w:r>
    </w:p>
    <w:p w14:paraId="70BF41EE" w14:textId="6E2E0A37" w:rsidR="00E81E59" w:rsidRPr="006C514E" w:rsidRDefault="006C2F59" w:rsidP="006C2F59">
      <w:pPr>
        <w:rPr>
          <w:rFonts w:ascii="Arial" w:hAnsi="Arial" w:cs="Arial"/>
          <w:sz w:val="22"/>
          <w:szCs w:val="22"/>
        </w:rPr>
      </w:pPr>
      <w:r w:rsidRPr="006C514E">
        <w:rPr>
          <w:rFonts w:ascii="Arial" w:hAnsi="Arial" w:cs="Arial"/>
          <w:b/>
          <w:sz w:val="22"/>
          <w:szCs w:val="22"/>
        </w:rPr>
        <w:t xml:space="preserve">Supplementary </w:t>
      </w:r>
      <w:r w:rsidR="00E81E59" w:rsidRPr="006C514E">
        <w:rPr>
          <w:rFonts w:ascii="Arial" w:hAnsi="Arial" w:cs="Arial"/>
          <w:b/>
          <w:sz w:val="22"/>
          <w:szCs w:val="22"/>
        </w:rPr>
        <w:t>Fig. S3.</w:t>
      </w:r>
      <w:r w:rsidR="00631567" w:rsidRPr="006C514E">
        <w:rPr>
          <w:b/>
          <w:sz w:val="22"/>
          <w:szCs w:val="22"/>
        </w:rPr>
        <w:t xml:space="preserve"> </w:t>
      </w:r>
      <w:r w:rsidR="00631567" w:rsidRPr="006C514E">
        <w:rPr>
          <w:rFonts w:ascii="Arial" w:hAnsi="Arial" w:cs="Arial"/>
          <w:b/>
          <w:sz w:val="22"/>
          <w:szCs w:val="22"/>
        </w:rPr>
        <w:t>Possible mechanisms involved in supraphysiological Gln-mediated cell growth inhibition.</w:t>
      </w:r>
      <w:r w:rsidR="00E81E59" w:rsidRPr="006C514E">
        <w:rPr>
          <w:rFonts w:ascii="Arial" w:hAnsi="Arial" w:cs="Arial"/>
          <w:sz w:val="22"/>
          <w:szCs w:val="22"/>
        </w:rPr>
        <w:t xml:space="preserve"> </w:t>
      </w:r>
      <w:r w:rsidR="00631567" w:rsidRPr="006C514E">
        <w:rPr>
          <w:rFonts w:ascii="Arial" w:hAnsi="Arial" w:cs="Arial"/>
          <w:sz w:val="22"/>
          <w:szCs w:val="22"/>
        </w:rPr>
        <w:t>(</w:t>
      </w:r>
      <w:r w:rsidR="00631567" w:rsidRPr="006C514E">
        <w:rPr>
          <w:rFonts w:ascii="Arial" w:hAnsi="Arial" w:cs="Arial"/>
          <w:b/>
          <w:sz w:val="22"/>
          <w:szCs w:val="22"/>
        </w:rPr>
        <w:t>A</w:t>
      </w:r>
      <w:r w:rsidR="00631567" w:rsidRPr="006C514E">
        <w:rPr>
          <w:rFonts w:ascii="Arial" w:hAnsi="Arial" w:cs="Arial"/>
          <w:sz w:val="22"/>
          <w:szCs w:val="22"/>
        </w:rPr>
        <w:t>) Macropinocytosis was measured in MIA PaCa-2 cells following incubation with the indicated L-Gln concentrations for 48 hours. Mean fluorescent intensity (MFI) of FITC-dextran was measured by flow cytometry (n = 3). (</w:t>
      </w:r>
      <w:r w:rsidR="00631567" w:rsidRPr="006C514E">
        <w:rPr>
          <w:rFonts w:ascii="Arial" w:hAnsi="Arial" w:cs="Arial"/>
          <w:b/>
          <w:sz w:val="22"/>
          <w:szCs w:val="22"/>
        </w:rPr>
        <w:t>B</w:t>
      </w:r>
      <w:r w:rsidR="00631567" w:rsidRPr="006C514E">
        <w:rPr>
          <w:rFonts w:ascii="Arial" w:hAnsi="Arial" w:cs="Arial"/>
          <w:sz w:val="22"/>
          <w:szCs w:val="22"/>
        </w:rPr>
        <w:t xml:space="preserve">) Clonogenic assays were performed in MIA PaCa-2 cells cultured in indicated concentrations of L-Thr for 10 days (n = 3). </w:t>
      </w:r>
      <w:r w:rsidR="007D6295" w:rsidRPr="006C514E">
        <w:rPr>
          <w:rFonts w:ascii="Arial" w:hAnsi="Arial" w:cs="Arial"/>
          <w:sz w:val="22"/>
          <w:szCs w:val="22"/>
        </w:rPr>
        <w:t>(</w:t>
      </w:r>
      <w:r w:rsidR="007D6295" w:rsidRPr="006C514E">
        <w:rPr>
          <w:rFonts w:ascii="Arial" w:hAnsi="Arial" w:cs="Arial"/>
          <w:b/>
          <w:sz w:val="22"/>
          <w:szCs w:val="22"/>
        </w:rPr>
        <w:t>C</w:t>
      </w:r>
      <w:r w:rsidR="007D6295" w:rsidRPr="006C514E">
        <w:rPr>
          <w:rFonts w:ascii="Arial" w:hAnsi="Arial" w:cs="Arial"/>
          <w:sz w:val="22"/>
          <w:szCs w:val="22"/>
        </w:rPr>
        <w:t>) Intracellular sodium levels were measured in MIA PaCa-2 cells following incubation with 40 mM L-Gln for indicated time points. MFI of Sodium Green was measured by flow cytometry (n = 3). (</w:t>
      </w:r>
      <w:r w:rsidR="007D6295" w:rsidRPr="006C514E">
        <w:rPr>
          <w:rFonts w:ascii="Arial" w:hAnsi="Arial" w:cs="Arial"/>
          <w:b/>
          <w:sz w:val="22"/>
          <w:szCs w:val="22"/>
        </w:rPr>
        <w:t>D</w:t>
      </w:r>
      <w:r w:rsidR="007D6295" w:rsidRPr="006C514E">
        <w:rPr>
          <w:rFonts w:ascii="Arial" w:hAnsi="Arial" w:cs="Arial"/>
          <w:sz w:val="22"/>
          <w:szCs w:val="22"/>
        </w:rPr>
        <w:t>) Membrane potential was measured in MIA PaCa-2 cells following incubation with 40 mM L-Gln for indicated time points. MFI of DiBAC</w:t>
      </w:r>
      <w:r w:rsidR="007D6295" w:rsidRPr="006C514E">
        <w:rPr>
          <w:rFonts w:ascii="Arial" w:hAnsi="Arial" w:cs="Arial"/>
          <w:sz w:val="22"/>
          <w:szCs w:val="22"/>
          <w:vertAlign w:val="subscript"/>
        </w:rPr>
        <w:t>4</w:t>
      </w:r>
      <w:r w:rsidR="007D6295" w:rsidRPr="006C514E">
        <w:rPr>
          <w:rFonts w:ascii="Arial" w:hAnsi="Arial" w:cs="Arial"/>
          <w:sz w:val="22"/>
          <w:szCs w:val="22"/>
        </w:rPr>
        <w:t xml:space="preserve">(3) was measured by flow cytometry (n = 3) </w:t>
      </w:r>
      <w:r w:rsidR="00631567" w:rsidRPr="006C514E">
        <w:rPr>
          <w:rFonts w:ascii="Arial" w:hAnsi="Arial" w:cs="Arial"/>
          <w:sz w:val="22"/>
          <w:szCs w:val="22"/>
        </w:rPr>
        <w:t>(</w:t>
      </w:r>
      <w:r w:rsidR="007D6295" w:rsidRPr="006C514E">
        <w:rPr>
          <w:rFonts w:ascii="Arial" w:hAnsi="Arial" w:cs="Arial"/>
          <w:b/>
          <w:sz w:val="22"/>
          <w:szCs w:val="22"/>
        </w:rPr>
        <w:t>E</w:t>
      </w:r>
      <w:r w:rsidR="00631567" w:rsidRPr="006C514E">
        <w:rPr>
          <w:rFonts w:ascii="Arial" w:hAnsi="Arial" w:cs="Arial"/>
          <w:sz w:val="22"/>
          <w:szCs w:val="22"/>
        </w:rPr>
        <w:t>) Intracellular sodium levels were measured in MIA PaCa-2 cells following incubation with vehicle (Control) or 10 µM Ouabain. MFI of Sodium Green was measured by flow cytometry. Histogram for one representative experiment is shown with p value calculated from 3 independent experiments. (</w:t>
      </w:r>
      <w:r w:rsidR="007D6295" w:rsidRPr="006C514E">
        <w:rPr>
          <w:rFonts w:ascii="Arial" w:hAnsi="Arial" w:cs="Arial"/>
          <w:b/>
          <w:sz w:val="22"/>
          <w:szCs w:val="22"/>
        </w:rPr>
        <w:t>F</w:t>
      </w:r>
      <w:r w:rsidR="00631567" w:rsidRPr="006C514E">
        <w:rPr>
          <w:rFonts w:ascii="Arial" w:hAnsi="Arial" w:cs="Arial"/>
          <w:sz w:val="22"/>
          <w:szCs w:val="22"/>
        </w:rPr>
        <w:t xml:space="preserve">) MIA PaCa-2 cells were cultured with indicated concentrations of ouabain for four days. Live cells were counted with trypan blue staining (n = 3). </w:t>
      </w:r>
      <w:r w:rsidR="007D6295" w:rsidRPr="006C514E">
        <w:rPr>
          <w:rFonts w:ascii="Arial" w:hAnsi="Arial" w:cs="Arial"/>
          <w:sz w:val="22"/>
          <w:szCs w:val="22"/>
        </w:rPr>
        <w:t>(</w:t>
      </w:r>
      <w:r w:rsidR="007D6295" w:rsidRPr="006C514E">
        <w:rPr>
          <w:rFonts w:ascii="Arial" w:hAnsi="Arial" w:cs="Arial"/>
          <w:b/>
          <w:sz w:val="22"/>
          <w:szCs w:val="22"/>
        </w:rPr>
        <w:t>G</w:t>
      </w:r>
      <w:r w:rsidR="007D6295" w:rsidRPr="006C514E">
        <w:rPr>
          <w:rFonts w:ascii="Arial" w:hAnsi="Arial" w:cs="Arial"/>
          <w:sz w:val="22"/>
          <w:szCs w:val="22"/>
        </w:rPr>
        <w:t>)</w:t>
      </w:r>
      <w:r w:rsidR="00631567" w:rsidRPr="006C514E">
        <w:rPr>
          <w:rFonts w:ascii="Arial" w:hAnsi="Arial" w:cs="Arial"/>
          <w:sz w:val="22"/>
          <w:szCs w:val="22"/>
        </w:rPr>
        <w:t xml:space="preserve"> Clonogenic assays for MIA PaCa-2 cells cultured with indicated concentrations of ouabain for 11 days were quantitated (n = 3). (</w:t>
      </w:r>
      <w:r w:rsidR="007D6295" w:rsidRPr="006C514E">
        <w:rPr>
          <w:rFonts w:ascii="Arial" w:hAnsi="Arial" w:cs="Arial"/>
          <w:b/>
          <w:sz w:val="22"/>
          <w:szCs w:val="22"/>
        </w:rPr>
        <w:t>H</w:t>
      </w:r>
      <w:r w:rsidR="00631567" w:rsidRPr="006C514E">
        <w:rPr>
          <w:rFonts w:ascii="Arial" w:hAnsi="Arial" w:cs="Arial"/>
          <w:sz w:val="22"/>
          <w:szCs w:val="22"/>
        </w:rPr>
        <w:t xml:space="preserve">) Relative intracellular sodium levels were determined in UN-KPC-960 and HCT116 cells after culture with indicated L-Gln concentrations, determined by Sodium Green uptake (n = 3). </w:t>
      </w:r>
      <w:r w:rsidR="00F51F12" w:rsidRPr="006C514E">
        <w:rPr>
          <w:rFonts w:ascii="Arial" w:hAnsi="Arial" w:cs="Arial"/>
          <w:sz w:val="22"/>
          <w:szCs w:val="22"/>
        </w:rPr>
        <w:t>(</w:t>
      </w:r>
      <w:r w:rsidR="007D6295" w:rsidRPr="006C514E">
        <w:rPr>
          <w:rFonts w:ascii="Arial" w:hAnsi="Arial" w:cs="Arial"/>
          <w:b/>
          <w:sz w:val="22"/>
          <w:szCs w:val="22"/>
        </w:rPr>
        <w:t>I</w:t>
      </w:r>
      <w:r w:rsidR="00F51F12" w:rsidRPr="006C514E">
        <w:rPr>
          <w:rFonts w:ascii="Arial" w:hAnsi="Arial" w:cs="Arial"/>
          <w:sz w:val="22"/>
          <w:szCs w:val="22"/>
        </w:rPr>
        <w:t xml:space="preserve">) Cell number measured after four days of incubation with indicated concentrations of Threonine (L-Thr). </w:t>
      </w:r>
      <w:r w:rsidR="00631567" w:rsidRPr="006C514E">
        <w:rPr>
          <w:rFonts w:ascii="Arial" w:hAnsi="Arial" w:cs="Arial"/>
          <w:sz w:val="22"/>
          <w:szCs w:val="22"/>
        </w:rPr>
        <w:t>Values are mean ± SEM. *</w:t>
      </w:r>
      <w:r w:rsidR="00631567" w:rsidRPr="006C514E">
        <w:rPr>
          <w:rFonts w:ascii="Arial" w:hAnsi="Arial" w:cs="Arial"/>
          <w:i/>
          <w:sz w:val="22"/>
          <w:szCs w:val="22"/>
        </w:rPr>
        <w:t>P</w:t>
      </w:r>
      <w:r w:rsidR="00631567" w:rsidRPr="006C514E">
        <w:rPr>
          <w:rFonts w:ascii="Arial" w:hAnsi="Arial" w:cs="Arial"/>
          <w:sz w:val="22"/>
          <w:szCs w:val="22"/>
        </w:rPr>
        <w:t xml:space="preserve"> &lt; 0.05, **</w:t>
      </w:r>
      <w:r w:rsidR="00631567" w:rsidRPr="006C514E">
        <w:rPr>
          <w:rFonts w:ascii="Arial" w:hAnsi="Arial" w:cs="Arial"/>
          <w:i/>
          <w:sz w:val="22"/>
          <w:szCs w:val="22"/>
        </w:rPr>
        <w:t>P</w:t>
      </w:r>
      <w:r w:rsidR="00631567" w:rsidRPr="006C514E">
        <w:rPr>
          <w:rFonts w:ascii="Arial" w:hAnsi="Arial" w:cs="Arial"/>
          <w:sz w:val="22"/>
          <w:szCs w:val="22"/>
        </w:rPr>
        <w:t xml:space="preserve"> &lt; 0.01, ****</w:t>
      </w:r>
      <w:r w:rsidR="00631567" w:rsidRPr="006C514E">
        <w:rPr>
          <w:rFonts w:ascii="Arial" w:hAnsi="Arial" w:cs="Arial"/>
          <w:i/>
          <w:sz w:val="22"/>
          <w:szCs w:val="22"/>
        </w:rPr>
        <w:t>P</w:t>
      </w:r>
      <w:r w:rsidR="00631567" w:rsidRPr="006C514E">
        <w:rPr>
          <w:rFonts w:ascii="Arial" w:hAnsi="Arial" w:cs="Arial"/>
          <w:sz w:val="22"/>
          <w:szCs w:val="22"/>
        </w:rPr>
        <w:t xml:space="preserve"> &lt; 0.0001.</w:t>
      </w:r>
    </w:p>
    <w:p w14:paraId="74514749" w14:textId="77777777" w:rsidR="00E81E59" w:rsidRPr="006C514E" w:rsidRDefault="00E81E59" w:rsidP="00E81E59">
      <w:pPr>
        <w:pStyle w:val="SMcaption"/>
        <w:rPr>
          <w:rFonts w:ascii="Arial" w:hAnsi="Arial" w:cs="Arial"/>
          <w:sz w:val="22"/>
          <w:szCs w:val="22"/>
        </w:rPr>
      </w:pPr>
    </w:p>
    <w:p w14:paraId="354048A0" w14:textId="77777777" w:rsidR="000C782B" w:rsidRPr="006C514E" w:rsidRDefault="000C782B">
      <w:pPr>
        <w:rPr>
          <w:rFonts w:ascii="Arial" w:hAnsi="Arial" w:cs="Arial"/>
          <w:sz w:val="22"/>
          <w:szCs w:val="22"/>
        </w:rPr>
      </w:pPr>
      <w:r w:rsidRPr="006C514E">
        <w:rPr>
          <w:rFonts w:ascii="Arial" w:hAnsi="Arial" w:cs="Arial"/>
          <w:sz w:val="22"/>
          <w:szCs w:val="22"/>
        </w:rPr>
        <w:br w:type="page"/>
      </w:r>
    </w:p>
    <w:p w14:paraId="35D01CA0" w14:textId="77777777" w:rsidR="006C2F59" w:rsidRPr="006C514E" w:rsidRDefault="00B440EA" w:rsidP="006C2F59">
      <w:pPr>
        <w:pStyle w:val="SMcaption"/>
        <w:jc w:val="center"/>
        <w:rPr>
          <w:rFonts w:ascii="Arial" w:hAnsi="Arial" w:cs="Arial"/>
          <w:sz w:val="22"/>
          <w:szCs w:val="22"/>
        </w:rPr>
      </w:pPr>
      <w:r w:rsidRPr="004425AF">
        <w:rPr>
          <w:rFonts w:ascii="Arial" w:hAnsi="Arial" w:cs="Arial"/>
          <w:b/>
          <w:noProof/>
          <w:sz w:val="22"/>
          <w:szCs w:val="22"/>
        </w:rPr>
        <w:lastRenderedPageBreak/>
        <w:drawing>
          <wp:inline distT="0" distB="0" distL="0" distR="0" wp14:anchorId="53F99A1D" wp14:editId="299A1BAF">
            <wp:extent cx="5337405" cy="8436428"/>
            <wp:effectExtent l="0" t="0" r="0" b="0"/>
            <wp:docPr id="1" name="Picture 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10;&#10;Description automatically generated"/>
                    <pic:cNvPicPr/>
                  </pic:nvPicPr>
                  <pic:blipFill rotWithShape="1">
                    <a:blip r:embed="rId12" cstate="print">
                      <a:extLst>
                        <a:ext uri="{28A0092B-C50C-407E-A947-70E740481C1C}">
                          <a14:useLocalDpi xmlns:a14="http://schemas.microsoft.com/office/drawing/2010/main" val="0"/>
                        </a:ext>
                      </a:extLst>
                    </a:blip>
                    <a:srcRect t="2063"/>
                    <a:stretch/>
                  </pic:blipFill>
                  <pic:spPr bwMode="auto">
                    <a:xfrm>
                      <a:off x="0" y="0"/>
                      <a:ext cx="5337635" cy="8436791"/>
                    </a:xfrm>
                    <a:prstGeom prst="rect">
                      <a:avLst/>
                    </a:prstGeom>
                    <a:ln>
                      <a:noFill/>
                    </a:ln>
                    <a:extLst>
                      <a:ext uri="{53640926-AAD7-44D8-BBD7-CCE9431645EC}">
                        <a14:shadowObscured xmlns:a14="http://schemas.microsoft.com/office/drawing/2010/main"/>
                      </a:ext>
                    </a:extLst>
                  </pic:spPr>
                </pic:pic>
              </a:graphicData>
            </a:graphic>
          </wp:inline>
        </w:drawing>
      </w:r>
    </w:p>
    <w:p w14:paraId="361C2DBE" w14:textId="77777777" w:rsidR="006C2F59" w:rsidRPr="006C514E" w:rsidRDefault="006C2F59" w:rsidP="00D260CB">
      <w:pPr>
        <w:pStyle w:val="SMcaption"/>
        <w:rPr>
          <w:rFonts w:ascii="Arial" w:hAnsi="Arial" w:cs="Arial"/>
          <w:sz w:val="22"/>
          <w:szCs w:val="22"/>
        </w:rPr>
      </w:pPr>
    </w:p>
    <w:p w14:paraId="319D3FD6" w14:textId="22FBA646" w:rsidR="00E81E59" w:rsidRPr="006C514E" w:rsidRDefault="006C2F59" w:rsidP="006C2F59">
      <w:pPr>
        <w:pStyle w:val="SMcaption"/>
        <w:rPr>
          <w:rFonts w:ascii="Arial" w:hAnsi="Arial" w:cs="Arial"/>
          <w:sz w:val="22"/>
          <w:szCs w:val="22"/>
        </w:rPr>
      </w:pPr>
      <w:r w:rsidRPr="006C514E">
        <w:rPr>
          <w:rFonts w:ascii="Arial" w:hAnsi="Arial" w:cs="Arial"/>
          <w:b/>
          <w:sz w:val="22"/>
          <w:szCs w:val="22"/>
        </w:rPr>
        <w:t xml:space="preserve">Supplementary </w:t>
      </w:r>
      <w:r w:rsidR="00E81E59" w:rsidRPr="006C514E">
        <w:rPr>
          <w:rFonts w:ascii="Arial" w:hAnsi="Arial" w:cs="Arial"/>
          <w:b/>
          <w:sz w:val="22"/>
          <w:szCs w:val="22"/>
        </w:rPr>
        <w:t xml:space="preserve">Fig. S4. </w:t>
      </w:r>
      <w:r w:rsidR="00631567" w:rsidRPr="006C514E">
        <w:rPr>
          <w:rFonts w:ascii="Arial" w:hAnsi="Arial" w:cs="Arial"/>
          <w:b/>
          <w:sz w:val="22"/>
          <w:szCs w:val="22"/>
        </w:rPr>
        <w:t>The effects of gemcitabine treatment on cell growth and metabolism in PDAC.</w:t>
      </w:r>
      <w:r w:rsidR="00631567" w:rsidRPr="006C514E">
        <w:rPr>
          <w:rFonts w:ascii="Arial" w:hAnsi="Arial" w:cs="Arial"/>
          <w:sz w:val="22"/>
          <w:szCs w:val="22"/>
        </w:rPr>
        <w:t xml:space="preserve"> (</w:t>
      </w:r>
      <w:r w:rsidR="00631567" w:rsidRPr="006C514E">
        <w:rPr>
          <w:rFonts w:ascii="Arial" w:hAnsi="Arial" w:cs="Arial"/>
          <w:b/>
          <w:sz w:val="22"/>
          <w:szCs w:val="22"/>
        </w:rPr>
        <w:t>A</w:t>
      </w:r>
      <w:r w:rsidR="00631567" w:rsidRPr="006C514E">
        <w:rPr>
          <w:rFonts w:ascii="Arial" w:hAnsi="Arial" w:cs="Arial"/>
          <w:sz w:val="22"/>
          <w:szCs w:val="22"/>
        </w:rPr>
        <w:t>) MIA PaCa-2 cells were cultured with indicated concentrations of gemcitabine (Gem) for 48 hours. Live cells were counted with trypan blue staining (n = 3). (</w:t>
      </w:r>
      <w:r w:rsidR="00631567" w:rsidRPr="006C514E">
        <w:rPr>
          <w:rFonts w:ascii="Arial" w:hAnsi="Arial" w:cs="Arial"/>
          <w:b/>
          <w:sz w:val="22"/>
          <w:szCs w:val="22"/>
        </w:rPr>
        <w:t>B</w:t>
      </w:r>
      <w:r w:rsidR="00631567" w:rsidRPr="006C514E">
        <w:rPr>
          <w:rFonts w:ascii="Arial" w:hAnsi="Arial" w:cs="Arial"/>
          <w:sz w:val="22"/>
          <w:szCs w:val="22"/>
        </w:rPr>
        <w:t xml:space="preserve">) Cell cycle distribution analysis by flow cytometry following PI staining of MIA PaCa-2 cells cultured with vehicle (Control) or 0.5 </w:t>
      </w:r>
      <w:r w:rsidR="00631567" w:rsidRPr="006C514E">
        <w:rPr>
          <w:rFonts w:ascii="Symbol" w:hAnsi="Symbol" w:cs="Arial"/>
          <w:sz w:val="22"/>
          <w:szCs w:val="22"/>
        </w:rPr>
        <w:t></w:t>
      </w:r>
      <w:r w:rsidR="00631567" w:rsidRPr="006C514E">
        <w:rPr>
          <w:rFonts w:ascii="Arial" w:hAnsi="Arial" w:cs="Arial"/>
          <w:sz w:val="22"/>
          <w:szCs w:val="22"/>
        </w:rPr>
        <w:t>M Gem for 48 hours (n = 3). (</w:t>
      </w:r>
      <w:r w:rsidR="00631567" w:rsidRPr="006C514E">
        <w:rPr>
          <w:rFonts w:ascii="Arial" w:hAnsi="Arial" w:cs="Arial"/>
          <w:b/>
          <w:sz w:val="22"/>
          <w:szCs w:val="22"/>
        </w:rPr>
        <w:t>C</w:t>
      </w:r>
      <w:r w:rsidR="0097758B" w:rsidRPr="006C514E">
        <w:rPr>
          <w:rFonts w:ascii="Arial" w:hAnsi="Arial" w:cs="Arial"/>
          <w:b/>
          <w:sz w:val="22"/>
          <w:szCs w:val="22"/>
        </w:rPr>
        <w:t xml:space="preserve"> and </w:t>
      </w:r>
      <w:r w:rsidR="00631567" w:rsidRPr="006C514E">
        <w:rPr>
          <w:rFonts w:ascii="Arial" w:hAnsi="Arial" w:cs="Arial"/>
          <w:b/>
          <w:sz w:val="22"/>
          <w:szCs w:val="22"/>
        </w:rPr>
        <w:t>D</w:t>
      </w:r>
      <w:r w:rsidR="00631567" w:rsidRPr="006C514E">
        <w:rPr>
          <w:rFonts w:ascii="Arial" w:hAnsi="Arial" w:cs="Arial"/>
          <w:sz w:val="22"/>
          <w:szCs w:val="22"/>
        </w:rPr>
        <w:t xml:space="preserve">) Intracellular base and nucleotide levels were detected in MIA PaCa-2 cells cultured with control or 0.5 </w:t>
      </w:r>
      <w:r w:rsidR="00631567" w:rsidRPr="006C514E">
        <w:rPr>
          <w:rFonts w:ascii="Symbol" w:hAnsi="Symbol" w:cs="Arial"/>
          <w:sz w:val="22"/>
          <w:szCs w:val="22"/>
        </w:rPr>
        <w:t></w:t>
      </w:r>
      <w:r w:rsidR="00631567" w:rsidRPr="006C514E">
        <w:rPr>
          <w:rFonts w:ascii="Arial" w:hAnsi="Arial" w:cs="Arial"/>
          <w:sz w:val="22"/>
          <w:szCs w:val="22"/>
        </w:rPr>
        <w:t>M Gem (n = 4). (</w:t>
      </w:r>
      <w:r w:rsidR="00631567" w:rsidRPr="006C514E">
        <w:rPr>
          <w:rFonts w:ascii="Arial" w:hAnsi="Arial" w:cs="Arial"/>
          <w:b/>
          <w:sz w:val="22"/>
          <w:szCs w:val="22"/>
        </w:rPr>
        <w:t>E</w:t>
      </w:r>
      <w:r w:rsidR="00631567" w:rsidRPr="006C514E">
        <w:rPr>
          <w:rFonts w:ascii="Arial" w:hAnsi="Arial" w:cs="Arial"/>
          <w:sz w:val="22"/>
          <w:szCs w:val="22"/>
        </w:rPr>
        <w:t>) Intracellular GSH and GSSG levels were detected in MIA PaCa-2 cells under the indicated conditions (n = 4). (</w:t>
      </w:r>
      <w:r w:rsidR="00631567" w:rsidRPr="006C514E">
        <w:rPr>
          <w:rFonts w:ascii="Arial" w:hAnsi="Arial" w:cs="Arial"/>
          <w:b/>
          <w:sz w:val="22"/>
          <w:szCs w:val="22"/>
        </w:rPr>
        <w:t>F</w:t>
      </w:r>
      <w:r w:rsidR="00631567" w:rsidRPr="006C514E">
        <w:rPr>
          <w:rFonts w:ascii="Arial" w:hAnsi="Arial" w:cs="Arial"/>
          <w:sz w:val="22"/>
          <w:szCs w:val="22"/>
        </w:rPr>
        <w:t>) mRNA expression of xCT and ASCT1, membrane transporters for cystine and cysteine, were detected in MIA PaCa-2 and BxPC-3 cells under the indicated conditions (n = 3). (</w:t>
      </w:r>
      <w:r w:rsidR="00631567" w:rsidRPr="006C514E">
        <w:rPr>
          <w:rFonts w:ascii="Arial" w:hAnsi="Arial" w:cs="Arial"/>
          <w:b/>
          <w:sz w:val="22"/>
          <w:szCs w:val="22"/>
        </w:rPr>
        <w:t>G</w:t>
      </w:r>
      <w:r w:rsidR="00631567" w:rsidRPr="006C514E">
        <w:rPr>
          <w:rFonts w:ascii="Arial" w:hAnsi="Arial" w:cs="Arial"/>
          <w:sz w:val="22"/>
          <w:szCs w:val="22"/>
        </w:rPr>
        <w:t xml:space="preserve">) Intracellular ROS levels in MIA PaCa-2 cells were determined after siRNA knockdown of xCT, ASCT1, or scrambled control following the treatment with control or 0.5 </w:t>
      </w:r>
      <w:r w:rsidR="00631567" w:rsidRPr="006C514E">
        <w:rPr>
          <w:rFonts w:ascii="Symbol" w:hAnsi="Symbol" w:cs="Arial"/>
          <w:sz w:val="22"/>
          <w:szCs w:val="22"/>
        </w:rPr>
        <w:t></w:t>
      </w:r>
      <w:r w:rsidR="00631567" w:rsidRPr="006C514E">
        <w:rPr>
          <w:rFonts w:ascii="Arial" w:hAnsi="Arial" w:cs="Arial"/>
          <w:sz w:val="22"/>
          <w:szCs w:val="22"/>
        </w:rPr>
        <w:t>M Gem. MFI of H</w:t>
      </w:r>
      <w:r w:rsidR="00631567" w:rsidRPr="006C514E">
        <w:rPr>
          <w:rFonts w:ascii="Arial" w:hAnsi="Arial" w:cs="Arial"/>
          <w:sz w:val="22"/>
          <w:szCs w:val="22"/>
          <w:vertAlign w:val="subscript"/>
        </w:rPr>
        <w:t>2</w:t>
      </w:r>
      <w:r w:rsidR="00631567" w:rsidRPr="006C514E">
        <w:rPr>
          <w:rFonts w:ascii="Arial" w:hAnsi="Arial" w:cs="Arial"/>
          <w:sz w:val="22"/>
          <w:szCs w:val="22"/>
        </w:rPr>
        <w:t>DCFDA were measured by flow cytometric analysis (n = 3). (</w:t>
      </w:r>
      <w:r w:rsidR="00631567" w:rsidRPr="006C514E">
        <w:rPr>
          <w:rFonts w:ascii="Arial" w:hAnsi="Arial" w:cs="Arial"/>
          <w:b/>
          <w:sz w:val="22"/>
          <w:szCs w:val="22"/>
        </w:rPr>
        <w:t>H</w:t>
      </w:r>
      <w:r w:rsidR="00631567" w:rsidRPr="006C514E">
        <w:rPr>
          <w:rFonts w:ascii="Arial" w:hAnsi="Arial" w:cs="Arial"/>
          <w:sz w:val="22"/>
          <w:szCs w:val="22"/>
        </w:rPr>
        <w:t>) Under the same conditions, live cells in MIA PaCa-2 and BxPC-3 were counted (n = 3). (</w:t>
      </w:r>
      <w:r w:rsidR="00631567" w:rsidRPr="006C514E">
        <w:rPr>
          <w:rFonts w:ascii="Arial" w:hAnsi="Arial" w:cs="Arial"/>
          <w:b/>
          <w:sz w:val="22"/>
          <w:szCs w:val="22"/>
        </w:rPr>
        <w:t>I</w:t>
      </w:r>
      <w:r w:rsidR="00631567" w:rsidRPr="006C514E">
        <w:rPr>
          <w:rFonts w:ascii="Arial" w:hAnsi="Arial" w:cs="Arial"/>
          <w:sz w:val="22"/>
          <w:szCs w:val="22"/>
        </w:rPr>
        <w:t>) BxPC-3 cells were cultured with indicated concentration of Gem and amino acids (A.A.) for two days. Live cells were counted (n = 3). Values are mean ± SEM. n.s.- not significant, *</w:t>
      </w:r>
      <w:r w:rsidR="00631567" w:rsidRPr="006C514E">
        <w:rPr>
          <w:rFonts w:ascii="Arial" w:hAnsi="Arial" w:cs="Arial"/>
          <w:i/>
          <w:sz w:val="22"/>
          <w:szCs w:val="22"/>
        </w:rPr>
        <w:t>P</w:t>
      </w:r>
      <w:r w:rsidR="00631567" w:rsidRPr="006C514E">
        <w:rPr>
          <w:rFonts w:ascii="Arial" w:hAnsi="Arial" w:cs="Arial"/>
          <w:sz w:val="22"/>
          <w:szCs w:val="22"/>
        </w:rPr>
        <w:t xml:space="preserve"> &lt; 0.05, **</w:t>
      </w:r>
      <w:r w:rsidR="00631567" w:rsidRPr="006C514E">
        <w:rPr>
          <w:rFonts w:ascii="Arial" w:hAnsi="Arial" w:cs="Arial"/>
          <w:i/>
          <w:sz w:val="22"/>
          <w:szCs w:val="22"/>
        </w:rPr>
        <w:t>P</w:t>
      </w:r>
      <w:r w:rsidR="00631567" w:rsidRPr="006C514E">
        <w:rPr>
          <w:rFonts w:ascii="Arial" w:hAnsi="Arial" w:cs="Arial"/>
          <w:sz w:val="22"/>
          <w:szCs w:val="22"/>
        </w:rPr>
        <w:t xml:space="preserve"> &lt; 0.01, ***</w:t>
      </w:r>
      <w:r w:rsidR="00631567" w:rsidRPr="006C514E">
        <w:rPr>
          <w:rFonts w:ascii="Arial" w:hAnsi="Arial" w:cs="Arial"/>
          <w:i/>
          <w:sz w:val="22"/>
          <w:szCs w:val="22"/>
        </w:rPr>
        <w:t>P</w:t>
      </w:r>
      <w:r w:rsidR="00631567" w:rsidRPr="006C514E">
        <w:rPr>
          <w:rFonts w:ascii="Arial" w:hAnsi="Arial" w:cs="Arial"/>
          <w:sz w:val="22"/>
          <w:szCs w:val="22"/>
        </w:rPr>
        <w:t xml:space="preserve"> &lt; 0.001, ****</w:t>
      </w:r>
      <w:r w:rsidR="00631567" w:rsidRPr="006C514E">
        <w:rPr>
          <w:rFonts w:ascii="Arial" w:hAnsi="Arial" w:cs="Arial"/>
          <w:i/>
          <w:sz w:val="22"/>
          <w:szCs w:val="22"/>
        </w:rPr>
        <w:t>P</w:t>
      </w:r>
      <w:r w:rsidR="00631567" w:rsidRPr="006C514E">
        <w:rPr>
          <w:rFonts w:ascii="Arial" w:hAnsi="Arial" w:cs="Arial"/>
          <w:sz w:val="22"/>
          <w:szCs w:val="22"/>
        </w:rPr>
        <w:t xml:space="preserve"> &lt; 0.0001.</w:t>
      </w:r>
    </w:p>
    <w:p w14:paraId="78A6D433" w14:textId="77777777" w:rsidR="00E81E59" w:rsidRPr="006C514E" w:rsidRDefault="00E81E59" w:rsidP="00E81E59">
      <w:pPr>
        <w:pStyle w:val="SMcaption"/>
        <w:rPr>
          <w:rFonts w:ascii="Arial" w:hAnsi="Arial" w:cs="Arial"/>
          <w:sz w:val="22"/>
          <w:szCs w:val="22"/>
        </w:rPr>
      </w:pPr>
    </w:p>
    <w:p w14:paraId="697F9BAE" w14:textId="77777777" w:rsidR="000C782B" w:rsidRPr="006C514E" w:rsidRDefault="000C782B">
      <w:pPr>
        <w:rPr>
          <w:rFonts w:ascii="Arial" w:hAnsi="Arial" w:cs="Arial"/>
          <w:sz w:val="22"/>
          <w:szCs w:val="22"/>
        </w:rPr>
      </w:pPr>
      <w:r w:rsidRPr="006C514E">
        <w:rPr>
          <w:rFonts w:ascii="Arial" w:hAnsi="Arial" w:cs="Arial"/>
          <w:sz w:val="22"/>
          <w:szCs w:val="22"/>
        </w:rPr>
        <w:br w:type="page"/>
      </w:r>
    </w:p>
    <w:p w14:paraId="3357A3A0" w14:textId="77777777" w:rsidR="006C2F59" w:rsidRPr="006C514E" w:rsidRDefault="00B440EA" w:rsidP="006C2F59">
      <w:pPr>
        <w:pStyle w:val="SMcaption"/>
        <w:jc w:val="center"/>
        <w:rPr>
          <w:rFonts w:ascii="Arial" w:hAnsi="Arial" w:cs="Arial"/>
          <w:sz w:val="22"/>
          <w:szCs w:val="22"/>
        </w:rPr>
      </w:pPr>
      <w:r w:rsidRPr="004425AF">
        <w:rPr>
          <w:b/>
          <w:noProof/>
          <w:sz w:val="22"/>
          <w:szCs w:val="22"/>
        </w:rPr>
        <w:lastRenderedPageBreak/>
        <w:drawing>
          <wp:inline distT="0" distB="0" distL="0" distR="0" wp14:anchorId="626F3858" wp14:editId="5FD18612">
            <wp:extent cx="3291840" cy="1684114"/>
            <wp:effectExtent l="0" t="0" r="0" b="5080"/>
            <wp:docPr id="6"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New Supp Fig 5.jpg"/>
                    <pic:cNvPicPr/>
                  </pic:nvPicPr>
                  <pic:blipFill rotWithShape="1">
                    <a:blip r:embed="rId13" cstate="print">
                      <a:extLst>
                        <a:ext uri="{28A0092B-C50C-407E-A947-70E740481C1C}">
                          <a14:useLocalDpi xmlns:a14="http://schemas.microsoft.com/office/drawing/2010/main" val="0"/>
                        </a:ext>
                      </a:extLst>
                    </a:blip>
                    <a:srcRect t="10255"/>
                    <a:stretch/>
                  </pic:blipFill>
                  <pic:spPr bwMode="auto">
                    <a:xfrm>
                      <a:off x="0" y="0"/>
                      <a:ext cx="3291840" cy="1684114"/>
                    </a:xfrm>
                    <a:prstGeom prst="rect">
                      <a:avLst/>
                    </a:prstGeom>
                    <a:ln>
                      <a:noFill/>
                    </a:ln>
                    <a:extLst>
                      <a:ext uri="{53640926-AAD7-44D8-BBD7-CCE9431645EC}">
                        <a14:shadowObscured xmlns:a14="http://schemas.microsoft.com/office/drawing/2010/main"/>
                      </a:ext>
                    </a:extLst>
                  </pic:spPr>
                </pic:pic>
              </a:graphicData>
            </a:graphic>
          </wp:inline>
        </w:drawing>
      </w:r>
    </w:p>
    <w:p w14:paraId="0ED6B9BC" w14:textId="77777777" w:rsidR="006C2F59" w:rsidRPr="006C514E" w:rsidRDefault="006C2F59" w:rsidP="00D260CB">
      <w:pPr>
        <w:pStyle w:val="SMcaption"/>
        <w:rPr>
          <w:rFonts w:ascii="Arial" w:hAnsi="Arial" w:cs="Arial"/>
          <w:sz w:val="22"/>
          <w:szCs w:val="22"/>
        </w:rPr>
      </w:pPr>
    </w:p>
    <w:p w14:paraId="101CC6BD" w14:textId="232DBCE6" w:rsidR="00E81E59" w:rsidRPr="006C514E" w:rsidRDefault="006C2F59" w:rsidP="006C2F59">
      <w:pPr>
        <w:pStyle w:val="SMcaption"/>
        <w:rPr>
          <w:rFonts w:ascii="Arial" w:hAnsi="Arial" w:cs="Arial"/>
          <w:sz w:val="22"/>
          <w:szCs w:val="22"/>
        </w:rPr>
      </w:pPr>
      <w:r w:rsidRPr="006C514E">
        <w:rPr>
          <w:rFonts w:ascii="Arial" w:hAnsi="Arial" w:cs="Arial"/>
          <w:b/>
          <w:sz w:val="22"/>
          <w:szCs w:val="22"/>
        </w:rPr>
        <w:t xml:space="preserve">Supplementary </w:t>
      </w:r>
      <w:r w:rsidR="00E81E59" w:rsidRPr="006C514E">
        <w:rPr>
          <w:rFonts w:ascii="Arial" w:hAnsi="Arial" w:cs="Arial"/>
          <w:b/>
          <w:sz w:val="22"/>
          <w:szCs w:val="22"/>
        </w:rPr>
        <w:t>Fig. S5.</w:t>
      </w:r>
      <w:r w:rsidR="00536A63" w:rsidRPr="006C514E">
        <w:rPr>
          <w:rFonts w:ascii="Arial" w:hAnsi="Arial" w:cs="Arial"/>
          <w:b/>
          <w:sz w:val="22"/>
          <w:szCs w:val="22"/>
        </w:rPr>
        <w:t xml:space="preserve"> The effects of supraphysiological L-Gln on chemotherapy drug sensitivity.</w:t>
      </w:r>
      <w:r w:rsidR="00E81E59" w:rsidRPr="006C514E">
        <w:rPr>
          <w:rFonts w:ascii="Arial" w:hAnsi="Arial" w:cs="Arial"/>
          <w:sz w:val="22"/>
          <w:szCs w:val="22"/>
        </w:rPr>
        <w:t xml:space="preserve"> </w:t>
      </w:r>
      <w:r w:rsidR="00536A63" w:rsidRPr="006C514E">
        <w:rPr>
          <w:rFonts w:ascii="Arial" w:hAnsi="Arial" w:cs="Arial"/>
          <w:sz w:val="22"/>
          <w:szCs w:val="22"/>
        </w:rPr>
        <w:t>(</w:t>
      </w:r>
      <w:r w:rsidR="00536A63" w:rsidRPr="006C514E">
        <w:rPr>
          <w:rFonts w:ascii="Arial" w:hAnsi="Arial" w:cs="Arial"/>
          <w:b/>
          <w:sz w:val="22"/>
          <w:szCs w:val="22"/>
        </w:rPr>
        <w:t>A</w:t>
      </w:r>
      <w:r w:rsidR="0097758B" w:rsidRPr="006C514E">
        <w:rPr>
          <w:rFonts w:ascii="Arial" w:hAnsi="Arial" w:cs="Arial"/>
          <w:b/>
          <w:sz w:val="22"/>
          <w:szCs w:val="22"/>
        </w:rPr>
        <w:t xml:space="preserve"> and </w:t>
      </w:r>
      <w:r w:rsidR="00536A63" w:rsidRPr="006C514E">
        <w:rPr>
          <w:rFonts w:ascii="Arial" w:hAnsi="Arial" w:cs="Arial"/>
          <w:b/>
          <w:sz w:val="22"/>
          <w:szCs w:val="22"/>
          <w:lang w:eastAsia="ja-JP"/>
        </w:rPr>
        <w:t>B</w:t>
      </w:r>
      <w:r w:rsidR="00536A63" w:rsidRPr="006C514E">
        <w:rPr>
          <w:rFonts w:ascii="Arial" w:hAnsi="Arial" w:cs="Arial"/>
          <w:sz w:val="22"/>
          <w:szCs w:val="22"/>
        </w:rPr>
        <w:t>) Clonogenic assays were performed on MIA PaCa-2 cells cultured with different concentrations of 5-fluorouracil (5-FU; 0, 0.001, 0.01, 0.1, 1, and 10 µM) or paclitaxel (0, 0.0005, 0.001, 0.003, 0.005, and 0.01 µM) at the indicated doses of L-Gln for 11 days.</w:t>
      </w:r>
    </w:p>
    <w:p w14:paraId="3B010B97" w14:textId="77777777" w:rsidR="00E81E59" w:rsidRPr="006C514E" w:rsidRDefault="00E81E59" w:rsidP="00E81E59">
      <w:pPr>
        <w:pStyle w:val="SMcaption"/>
        <w:rPr>
          <w:rFonts w:ascii="Arial" w:hAnsi="Arial" w:cs="Arial"/>
          <w:sz w:val="22"/>
          <w:szCs w:val="22"/>
        </w:rPr>
      </w:pPr>
    </w:p>
    <w:p w14:paraId="70E37AAA" w14:textId="77777777" w:rsidR="000C782B" w:rsidRPr="006C514E" w:rsidRDefault="000C782B">
      <w:pPr>
        <w:rPr>
          <w:rFonts w:ascii="Arial" w:hAnsi="Arial" w:cs="Arial"/>
          <w:sz w:val="22"/>
          <w:szCs w:val="22"/>
        </w:rPr>
      </w:pPr>
      <w:r w:rsidRPr="006C514E">
        <w:rPr>
          <w:rFonts w:ascii="Arial" w:hAnsi="Arial" w:cs="Arial"/>
          <w:sz w:val="22"/>
          <w:szCs w:val="22"/>
        </w:rPr>
        <w:br w:type="page"/>
      </w:r>
    </w:p>
    <w:p w14:paraId="3A2E6258" w14:textId="77777777" w:rsidR="006C2F59" w:rsidRPr="006C514E" w:rsidRDefault="00B440EA" w:rsidP="006C2F59">
      <w:pPr>
        <w:pStyle w:val="SMcaption"/>
        <w:jc w:val="center"/>
        <w:rPr>
          <w:rFonts w:ascii="Arial" w:hAnsi="Arial" w:cs="Arial"/>
          <w:sz w:val="22"/>
          <w:szCs w:val="22"/>
        </w:rPr>
      </w:pPr>
      <w:r w:rsidRPr="004425AF">
        <w:rPr>
          <w:noProof/>
          <w:sz w:val="22"/>
          <w:szCs w:val="22"/>
        </w:rPr>
        <w:lastRenderedPageBreak/>
        <w:drawing>
          <wp:inline distT="0" distB="0" distL="0" distR="0" wp14:anchorId="1EB3F14C" wp14:editId="09BF226C">
            <wp:extent cx="5486400" cy="4495278"/>
            <wp:effectExtent l="0" t="0" r="0" b="635"/>
            <wp:docPr id="9" name="Picture 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Diagram&#10;&#10;Description automatically generated"/>
                    <pic:cNvPicPr/>
                  </pic:nvPicPr>
                  <pic:blipFill rotWithShape="1">
                    <a:blip r:embed="rId14" cstate="print">
                      <a:extLst>
                        <a:ext uri="{28A0092B-C50C-407E-A947-70E740481C1C}">
                          <a14:useLocalDpi xmlns:a14="http://schemas.microsoft.com/office/drawing/2010/main" val="0"/>
                        </a:ext>
                      </a:extLst>
                    </a:blip>
                    <a:srcRect t="3215"/>
                    <a:stretch/>
                  </pic:blipFill>
                  <pic:spPr bwMode="auto">
                    <a:xfrm>
                      <a:off x="0" y="0"/>
                      <a:ext cx="5486400" cy="4495278"/>
                    </a:xfrm>
                    <a:prstGeom prst="rect">
                      <a:avLst/>
                    </a:prstGeom>
                    <a:ln>
                      <a:noFill/>
                    </a:ln>
                    <a:extLst>
                      <a:ext uri="{53640926-AAD7-44D8-BBD7-CCE9431645EC}">
                        <a14:shadowObscured xmlns:a14="http://schemas.microsoft.com/office/drawing/2010/main"/>
                      </a:ext>
                    </a:extLst>
                  </pic:spPr>
                </pic:pic>
              </a:graphicData>
            </a:graphic>
          </wp:inline>
        </w:drawing>
      </w:r>
    </w:p>
    <w:p w14:paraId="5B829075" w14:textId="77777777" w:rsidR="006C2F59" w:rsidRPr="006C514E" w:rsidRDefault="006C2F59" w:rsidP="00D260CB">
      <w:pPr>
        <w:pStyle w:val="SMcaption"/>
        <w:rPr>
          <w:rFonts w:ascii="Arial" w:hAnsi="Arial" w:cs="Arial"/>
          <w:sz w:val="22"/>
          <w:szCs w:val="22"/>
        </w:rPr>
      </w:pPr>
    </w:p>
    <w:p w14:paraId="07068B23" w14:textId="4441BB26" w:rsidR="00E81E59" w:rsidRPr="006C514E" w:rsidRDefault="006C2F59" w:rsidP="006C2F59">
      <w:pPr>
        <w:pStyle w:val="SMcaption"/>
        <w:rPr>
          <w:rFonts w:ascii="Arial" w:hAnsi="Arial" w:cs="Arial"/>
          <w:sz w:val="22"/>
          <w:szCs w:val="22"/>
        </w:rPr>
      </w:pPr>
      <w:r w:rsidRPr="006C514E">
        <w:rPr>
          <w:rFonts w:ascii="Arial" w:hAnsi="Arial" w:cs="Arial"/>
          <w:b/>
          <w:sz w:val="22"/>
          <w:szCs w:val="22"/>
        </w:rPr>
        <w:t xml:space="preserve">Supplementary </w:t>
      </w:r>
      <w:r w:rsidR="00E81E59" w:rsidRPr="006C514E">
        <w:rPr>
          <w:rFonts w:ascii="Arial" w:hAnsi="Arial" w:cs="Arial"/>
          <w:b/>
          <w:sz w:val="22"/>
          <w:szCs w:val="22"/>
        </w:rPr>
        <w:t>Fig. S6.</w:t>
      </w:r>
      <w:r w:rsidR="00536A63" w:rsidRPr="006C514E">
        <w:rPr>
          <w:rFonts w:ascii="Arial" w:hAnsi="Arial" w:cs="Arial"/>
          <w:b/>
          <w:sz w:val="22"/>
          <w:szCs w:val="22"/>
        </w:rPr>
        <w:t xml:space="preserve"> The effects of supraphysiological L-Gln on metabolism in gemcitabine-treated PDAC cells.</w:t>
      </w:r>
      <w:r w:rsidR="00E81E59" w:rsidRPr="006C514E">
        <w:rPr>
          <w:rFonts w:ascii="Arial" w:hAnsi="Arial" w:cs="Arial"/>
          <w:sz w:val="22"/>
          <w:szCs w:val="22"/>
        </w:rPr>
        <w:t xml:space="preserve"> Type or paste legend here. Paste figure above the legend.</w:t>
      </w:r>
      <w:r w:rsidR="00536A63" w:rsidRPr="006C514E">
        <w:rPr>
          <w:rFonts w:ascii="Arial" w:hAnsi="Arial" w:cs="Arial"/>
          <w:sz w:val="22"/>
          <w:szCs w:val="22"/>
        </w:rPr>
        <w:t xml:space="preserve"> (</w:t>
      </w:r>
      <w:r w:rsidR="00536A63" w:rsidRPr="006C514E">
        <w:rPr>
          <w:rFonts w:ascii="Arial" w:hAnsi="Arial" w:cs="Arial"/>
          <w:b/>
          <w:sz w:val="22"/>
          <w:szCs w:val="22"/>
        </w:rPr>
        <w:t>A</w:t>
      </w:r>
      <w:r w:rsidR="00536A63" w:rsidRPr="006C514E">
        <w:rPr>
          <w:rFonts w:ascii="Arial" w:hAnsi="Arial" w:cs="Arial"/>
          <w:sz w:val="22"/>
          <w:szCs w:val="22"/>
        </w:rPr>
        <w:t>) Heatmap of the changes in selected metabolites in MIA PaCa-2 cells cultured under indicated conditions for 48 hours (n = 4). Metabolites in blue color represent the trend of decrease, while red represents a rise in enrichment. (</w:t>
      </w:r>
      <w:r w:rsidR="00536A63" w:rsidRPr="006C514E">
        <w:rPr>
          <w:rFonts w:ascii="Arial" w:hAnsi="Arial" w:cs="Arial"/>
          <w:b/>
          <w:sz w:val="22"/>
          <w:szCs w:val="22"/>
        </w:rPr>
        <w:t>B</w:t>
      </w:r>
      <w:r w:rsidR="00536A63" w:rsidRPr="006C514E">
        <w:rPr>
          <w:rFonts w:ascii="Arial" w:hAnsi="Arial" w:cs="Arial"/>
          <w:sz w:val="22"/>
          <w:szCs w:val="22"/>
        </w:rPr>
        <w:t>) PCA score plot of metabolites in MIA PaCa-2 cells under the indicated conditions. (</w:t>
      </w:r>
      <w:r w:rsidR="00536A63" w:rsidRPr="006C514E">
        <w:rPr>
          <w:rFonts w:ascii="Arial" w:hAnsi="Arial" w:cs="Arial"/>
          <w:b/>
          <w:sz w:val="22"/>
          <w:szCs w:val="22"/>
        </w:rPr>
        <w:t>C</w:t>
      </w:r>
      <w:r w:rsidR="00536A63" w:rsidRPr="006C514E">
        <w:rPr>
          <w:rFonts w:ascii="Arial" w:hAnsi="Arial" w:cs="Arial"/>
          <w:sz w:val="22"/>
          <w:szCs w:val="22"/>
        </w:rPr>
        <w:t>) Volcano plot of differentially enriched metabolites in HPAF-II cells treated with Gem in the absence or presence of SPG</w:t>
      </w:r>
      <w:r w:rsidR="00536A63" w:rsidRPr="006C514E">
        <w:rPr>
          <w:rFonts w:ascii="Arial" w:hAnsi="Arial" w:cs="Arial"/>
          <w:sz w:val="22"/>
          <w:szCs w:val="22"/>
          <w:vertAlign w:val="superscript"/>
        </w:rPr>
        <w:t>L</w:t>
      </w:r>
      <w:r w:rsidR="00536A63" w:rsidRPr="006C514E">
        <w:rPr>
          <w:rFonts w:ascii="Arial" w:hAnsi="Arial" w:cs="Arial"/>
          <w:sz w:val="22"/>
          <w:szCs w:val="22"/>
        </w:rPr>
        <w:t>. Metabolites with -log</w:t>
      </w:r>
      <w:r w:rsidR="00536A63" w:rsidRPr="006C514E">
        <w:rPr>
          <w:rFonts w:ascii="Arial" w:hAnsi="Arial" w:cs="Arial"/>
          <w:sz w:val="22"/>
          <w:szCs w:val="22"/>
          <w:vertAlign w:val="subscript"/>
        </w:rPr>
        <w:t>10</w:t>
      </w:r>
      <w:r w:rsidR="00536A63" w:rsidRPr="006C514E">
        <w:rPr>
          <w:rFonts w:ascii="Arial" w:hAnsi="Arial" w:cs="Arial"/>
          <w:sz w:val="22"/>
          <w:szCs w:val="22"/>
        </w:rPr>
        <w:t>(p) &gt; 2 were indicated (n = 3). (</w:t>
      </w:r>
      <w:r w:rsidR="00536A63" w:rsidRPr="006C514E">
        <w:rPr>
          <w:rFonts w:ascii="Arial" w:hAnsi="Arial" w:cs="Arial"/>
          <w:b/>
          <w:sz w:val="22"/>
          <w:szCs w:val="22"/>
        </w:rPr>
        <w:t>D</w:t>
      </w:r>
      <w:r w:rsidR="00536A63" w:rsidRPr="006C514E">
        <w:rPr>
          <w:rFonts w:ascii="Arial" w:hAnsi="Arial" w:cs="Arial"/>
          <w:sz w:val="22"/>
          <w:szCs w:val="22"/>
        </w:rPr>
        <w:t xml:space="preserve">) mRNA expression of </w:t>
      </w:r>
      <w:r w:rsidR="00536A63" w:rsidRPr="006C514E">
        <w:rPr>
          <w:rFonts w:ascii="Arial" w:hAnsi="Arial" w:cs="Arial"/>
          <w:i/>
          <w:sz w:val="22"/>
          <w:szCs w:val="22"/>
        </w:rPr>
        <w:t>DDIT3</w:t>
      </w:r>
      <w:r w:rsidR="00536A63" w:rsidRPr="006C514E">
        <w:rPr>
          <w:rFonts w:ascii="Arial" w:hAnsi="Arial" w:cs="Arial"/>
          <w:sz w:val="22"/>
          <w:szCs w:val="22"/>
        </w:rPr>
        <w:t xml:space="preserve"> in MIA PaCa-2 cells cultured with indicated concentrations of Gem and L-Gln for two days (n = 6). (</w:t>
      </w:r>
      <w:r w:rsidR="00536A63" w:rsidRPr="006C514E">
        <w:rPr>
          <w:rFonts w:ascii="Arial" w:hAnsi="Arial" w:cs="Arial"/>
          <w:b/>
          <w:sz w:val="22"/>
          <w:szCs w:val="22"/>
        </w:rPr>
        <w:t>E</w:t>
      </w:r>
      <w:r w:rsidR="00536A63" w:rsidRPr="006C514E">
        <w:rPr>
          <w:rFonts w:ascii="Arial" w:hAnsi="Arial" w:cs="Arial"/>
          <w:sz w:val="22"/>
          <w:szCs w:val="22"/>
        </w:rPr>
        <w:t>) Intracellular ROS levels in MIA PaCa-2 cells treated with the indicated concentrations of Gem and L-Gln for two days. Mean fluorescence intensity (MFI) of H</w:t>
      </w:r>
      <w:r w:rsidR="00536A63" w:rsidRPr="006C514E">
        <w:rPr>
          <w:rFonts w:ascii="Arial" w:hAnsi="Arial" w:cs="Arial"/>
          <w:sz w:val="22"/>
          <w:szCs w:val="22"/>
          <w:vertAlign w:val="subscript"/>
        </w:rPr>
        <w:t>2</w:t>
      </w:r>
      <w:r w:rsidR="00536A63" w:rsidRPr="006C514E">
        <w:rPr>
          <w:rFonts w:ascii="Arial" w:hAnsi="Arial" w:cs="Arial"/>
          <w:sz w:val="22"/>
          <w:szCs w:val="22"/>
        </w:rPr>
        <w:t>DCFDA were determined by flow cytometric analysis (n = 3). (</w:t>
      </w:r>
      <w:r w:rsidR="00536A63" w:rsidRPr="006C514E">
        <w:rPr>
          <w:rFonts w:ascii="Arial" w:hAnsi="Arial" w:cs="Arial"/>
          <w:b/>
          <w:sz w:val="22"/>
          <w:szCs w:val="22"/>
        </w:rPr>
        <w:t>F</w:t>
      </w:r>
      <w:r w:rsidR="00536A63" w:rsidRPr="006C514E">
        <w:rPr>
          <w:rFonts w:ascii="Arial" w:hAnsi="Arial" w:cs="Arial"/>
          <w:sz w:val="22"/>
          <w:szCs w:val="22"/>
        </w:rPr>
        <w:t>) Glucose and lactate levels in MIA PaCa-2 cells cultured with indicated concentrations of Gem and L-Gln for two days (n = 4). (</w:t>
      </w:r>
      <w:r w:rsidR="00536A63" w:rsidRPr="006C514E">
        <w:rPr>
          <w:rFonts w:ascii="Arial" w:hAnsi="Arial" w:cs="Arial"/>
          <w:b/>
          <w:sz w:val="22"/>
          <w:szCs w:val="22"/>
        </w:rPr>
        <w:t>G</w:t>
      </w:r>
      <w:r w:rsidR="00536A63" w:rsidRPr="006C514E">
        <w:rPr>
          <w:rFonts w:ascii="Arial" w:hAnsi="Arial" w:cs="Arial"/>
          <w:sz w:val="22"/>
          <w:szCs w:val="22"/>
        </w:rPr>
        <w:t xml:space="preserve">) mRNA expression of </w:t>
      </w:r>
      <w:r w:rsidR="00536A63" w:rsidRPr="006C514E">
        <w:rPr>
          <w:rFonts w:ascii="Arial" w:hAnsi="Arial" w:cs="Arial"/>
          <w:i/>
          <w:sz w:val="22"/>
          <w:szCs w:val="22"/>
        </w:rPr>
        <w:t>GLUT3</w:t>
      </w:r>
      <w:r w:rsidR="00536A63" w:rsidRPr="006C514E">
        <w:rPr>
          <w:rFonts w:ascii="Arial" w:hAnsi="Arial" w:cs="Arial"/>
          <w:sz w:val="22"/>
          <w:szCs w:val="22"/>
        </w:rPr>
        <w:t xml:space="preserve"> and </w:t>
      </w:r>
      <w:r w:rsidR="00536A63" w:rsidRPr="006C514E">
        <w:rPr>
          <w:rFonts w:ascii="Arial" w:hAnsi="Arial" w:cs="Arial"/>
          <w:i/>
          <w:sz w:val="22"/>
          <w:szCs w:val="22"/>
        </w:rPr>
        <w:t>GLUT4</w:t>
      </w:r>
      <w:r w:rsidR="00536A63" w:rsidRPr="006C514E">
        <w:rPr>
          <w:rFonts w:ascii="Arial" w:hAnsi="Arial" w:cs="Arial"/>
          <w:sz w:val="22"/>
          <w:szCs w:val="22"/>
        </w:rPr>
        <w:t xml:space="preserve"> in MIA PaCa-2 cells cultured with indicated concentrations of Gem and L-Gln for two days (n = 3). Values are mean ± SEM. *</w:t>
      </w:r>
      <w:r w:rsidR="00536A63" w:rsidRPr="006C514E">
        <w:rPr>
          <w:rFonts w:ascii="Arial" w:hAnsi="Arial" w:cs="Arial"/>
          <w:i/>
          <w:sz w:val="22"/>
          <w:szCs w:val="22"/>
        </w:rPr>
        <w:t>P</w:t>
      </w:r>
      <w:r w:rsidR="00536A63" w:rsidRPr="006C514E">
        <w:rPr>
          <w:rFonts w:ascii="Arial" w:hAnsi="Arial" w:cs="Arial"/>
          <w:sz w:val="22"/>
          <w:szCs w:val="22"/>
        </w:rPr>
        <w:t xml:space="preserve"> &lt; 0.05, **</w:t>
      </w:r>
      <w:r w:rsidR="00536A63" w:rsidRPr="006C514E">
        <w:rPr>
          <w:rFonts w:ascii="Arial" w:hAnsi="Arial" w:cs="Arial"/>
          <w:i/>
          <w:sz w:val="22"/>
          <w:szCs w:val="22"/>
        </w:rPr>
        <w:t>P</w:t>
      </w:r>
      <w:r w:rsidR="00536A63" w:rsidRPr="006C514E">
        <w:rPr>
          <w:rFonts w:ascii="Arial" w:hAnsi="Arial" w:cs="Arial"/>
          <w:sz w:val="22"/>
          <w:szCs w:val="22"/>
        </w:rPr>
        <w:t xml:space="preserve"> &lt; 0.01, ***</w:t>
      </w:r>
      <w:r w:rsidR="00536A63" w:rsidRPr="006C514E">
        <w:rPr>
          <w:rFonts w:ascii="Arial" w:hAnsi="Arial" w:cs="Arial"/>
          <w:i/>
          <w:sz w:val="22"/>
          <w:szCs w:val="22"/>
        </w:rPr>
        <w:t>P</w:t>
      </w:r>
      <w:r w:rsidR="00536A63" w:rsidRPr="006C514E">
        <w:rPr>
          <w:rFonts w:ascii="Arial" w:hAnsi="Arial" w:cs="Arial"/>
          <w:sz w:val="22"/>
          <w:szCs w:val="22"/>
        </w:rPr>
        <w:t xml:space="preserve"> &lt; 0.001, ****</w:t>
      </w:r>
      <w:r w:rsidR="00536A63" w:rsidRPr="006C514E">
        <w:rPr>
          <w:rFonts w:ascii="Arial" w:hAnsi="Arial" w:cs="Arial"/>
          <w:i/>
          <w:sz w:val="22"/>
          <w:szCs w:val="22"/>
        </w:rPr>
        <w:t>P</w:t>
      </w:r>
      <w:r w:rsidR="00536A63" w:rsidRPr="006C514E">
        <w:rPr>
          <w:rFonts w:ascii="Arial" w:hAnsi="Arial" w:cs="Arial"/>
          <w:sz w:val="22"/>
          <w:szCs w:val="22"/>
        </w:rPr>
        <w:t xml:space="preserve"> &lt; 0.0001.</w:t>
      </w:r>
    </w:p>
    <w:p w14:paraId="211467C0" w14:textId="77777777" w:rsidR="00E81E59" w:rsidRPr="006C514E" w:rsidRDefault="00E81E59" w:rsidP="00E81E59">
      <w:pPr>
        <w:pStyle w:val="SMcaption"/>
        <w:rPr>
          <w:rFonts w:ascii="Arial" w:hAnsi="Arial" w:cs="Arial"/>
          <w:sz w:val="22"/>
          <w:szCs w:val="22"/>
        </w:rPr>
      </w:pPr>
    </w:p>
    <w:p w14:paraId="477831FE" w14:textId="77777777" w:rsidR="000C782B" w:rsidRPr="006C514E" w:rsidRDefault="000C782B">
      <w:pPr>
        <w:rPr>
          <w:rFonts w:ascii="Arial" w:hAnsi="Arial" w:cs="Arial"/>
          <w:sz w:val="22"/>
          <w:szCs w:val="22"/>
        </w:rPr>
      </w:pPr>
      <w:r w:rsidRPr="006C514E">
        <w:rPr>
          <w:rFonts w:ascii="Arial" w:hAnsi="Arial" w:cs="Arial"/>
          <w:sz w:val="22"/>
          <w:szCs w:val="22"/>
        </w:rPr>
        <w:br w:type="page"/>
      </w:r>
    </w:p>
    <w:p w14:paraId="6E9619A8" w14:textId="77777777" w:rsidR="006C2F59" w:rsidRPr="006C514E" w:rsidRDefault="00B440EA" w:rsidP="006C2F59">
      <w:pPr>
        <w:pStyle w:val="SMcaption"/>
        <w:jc w:val="center"/>
        <w:rPr>
          <w:rFonts w:ascii="Arial" w:hAnsi="Arial" w:cs="Arial"/>
          <w:sz w:val="22"/>
          <w:szCs w:val="22"/>
        </w:rPr>
      </w:pPr>
      <w:r w:rsidRPr="004425AF">
        <w:rPr>
          <w:b/>
          <w:noProof/>
          <w:sz w:val="22"/>
          <w:szCs w:val="22"/>
        </w:rPr>
        <w:lastRenderedPageBreak/>
        <w:drawing>
          <wp:inline distT="0" distB="0" distL="0" distR="0" wp14:anchorId="7E1323E3" wp14:editId="3F54AE1B">
            <wp:extent cx="5302506" cy="3970302"/>
            <wp:effectExtent l="0" t="0" r="0" b="5080"/>
            <wp:docPr id="10" name="Picture 10"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10;&#10;Description automatically generated"/>
                    <pic:cNvPicPr/>
                  </pic:nvPicPr>
                  <pic:blipFill rotWithShape="1">
                    <a:blip r:embed="rId15" cstate="print">
                      <a:extLst>
                        <a:ext uri="{28A0092B-C50C-407E-A947-70E740481C1C}">
                          <a14:useLocalDpi xmlns:a14="http://schemas.microsoft.com/office/drawing/2010/main" val="0"/>
                        </a:ext>
                      </a:extLst>
                    </a:blip>
                    <a:srcRect t="4154"/>
                    <a:stretch/>
                  </pic:blipFill>
                  <pic:spPr bwMode="auto">
                    <a:xfrm>
                      <a:off x="0" y="0"/>
                      <a:ext cx="5303520" cy="3971061"/>
                    </a:xfrm>
                    <a:prstGeom prst="rect">
                      <a:avLst/>
                    </a:prstGeom>
                    <a:ln>
                      <a:noFill/>
                    </a:ln>
                    <a:extLst>
                      <a:ext uri="{53640926-AAD7-44D8-BBD7-CCE9431645EC}">
                        <a14:shadowObscured xmlns:a14="http://schemas.microsoft.com/office/drawing/2010/main"/>
                      </a:ext>
                    </a:extLst>
                  </pic:spPr>
                </pic:pic>
              </a:graphicData>
            </a:graphic>
          </wp:inline>
        </w:drawing>
      </w:r>
    </w:p>
    <w:p w14:paraId="6A4D7371" w14:textId="77777777" w:rsidR="006C2F59" w:rsidRPr="006C514E" w:rsidRDefault="006C2F59" w:rsidP="00D260CB">
      <w:pPr>
        <w:pStyle w:val="SMcaption"/>
        <w:rPr>
          <w:rFonts w:ascii="Arial" w:hAnsi="Arial" w:cs="Arial"/>
          <w:sz w:val="22"/>
          <w:szCs w:val="22"/>
        </w:rPr>
      </w:pPr>
    </w:p>
    <w:p w14:paraId="08597B20" w14:textId="3D3CD0F4" w:rsidR="00E81E59" w:rsidRPr="006C514E" w:rsidRDefault="006C2F59" w:rsidP="006C2F59">
      <w:pPr>
        <w:pStyle w:val="SMcaption"/>
        <w:rPr>
          <w:rFonts w:ascii="Arial" w:hAnsi="Arial" w:cs="Arial"/>
          <w:sz w:val="22"/>
          <w:szCs w:val="22"/>
        </w:rPr>
      </w:pPr>
      <w:r w:rsidRPr="006C514E">
        <w:rPr>
          <w:rFonts w:ascii="Arial" w:hAnsi="Arial" w:cs="Arial"/>
          <w:b/>
          <w:sz w:val="22"/>
          <w:szCs w:val="22"/>
        </w:rPr>
        <w:t xml:space="preserve">Supplementary </w:t>
      </w:r>
      <w:r w:rsidR="00E81E59" w:rsidRPr="006C514E">
        <w:rPr>
          <w:rFonts w:ascii="Arial" w:hAnsi="Arial" w:cs="Arial"/>
          <w:b/>
          <w:sz w:val="22"/>
          <w:szCs w:val="22"/>
        </w:rPr>
        <w:t>Fig. S7.</w:t>
      </w:r>
      <w:r w:rsidR="00B440EA" w:rsidRPr="006C514E">
        <w:rPr>
          <w:b/>
          <w:sz w:val="22"/>
          <w:szCs w:val="22"/>
        </w:rPr>
        <w:t xml:space="preserve"> </w:t>
      </w:r>
      <w:r w:rsidR="00B440EA" w:rsidRPr="006C514E">
        <w:rPr>
          <w:rFonts w:ascii="Arial" w:hAnsi="Arial" w:cs="Arial"/>
          <w:b/>
          <w:sz w:val="22"/>
          <w:szCs w:val="22"/>
        </w:rPr>
        <w:t xml:space="preserve">Gene expression profiles in supraphysiological Gln and </w:t>
      </w:r>
      <w:proofErr w:type="gramStart"/>
      <w:r w:rsidR="00B440EA" w:rsidRPr="006C514E">
        <w:rPr>
          <w:rFonts w:ascii="Arial" w:hAnsi="Arial" w:cs="Arial"/>
          <w:b/>
          <w:sz w:val="22"/>
          <w:szCs w:val="22"/>
        </w:rPr>
        <w:t>gemcitabine-treated</w:t>
      </w:r>
      <w:proofErr w:type="gramEnd"/>
      <w:r w:rsidR="00B440EA" w:rsidRPr="006C514E">
        <w:rPr>
          <w:rFonts w:ascii="Arial" w:hAnsi="Arial" w:cs="Arial"/>
          <w:b/>
          <w:sz w:val="22"/>
          <w:szCs w:val="22"/>
        </w:rPr>
        <w:t xml:space="preserve"> PDAC cells.</w:t>
      </w:r>
      <w:r w:rsidR="00E81E59" w:rsidRPr="006C514E">
        <w:rPr>
          <w:rFonts w:ascii="Arial" w:hAnsi="Arial" w:cs="Arial"/>
          <w:sz w:val="22"/>
          <w:szCs w:val="22"/>
        </w:rPr>
        <w:t xml:space="preserve"> </w:t>
      </w:r>
      <w:r w:rsidR="00B440EA" w:rsidRPr="006C514E">
        <w:rPr>
          <w:rFonts w:ascii="Arial" w:hAnsi="Arial" w:cs="Arial"/>
          <w:sz w:val="22"/>
          <w:szCs w:val="22"/>
        </w:rPr>
        <w:t>(</w:t>
      </w:r>
      <w:r w:rsidR="00B440EA" w:rsidRPr="006C514E">
        <w:rPr>
          <w:rFonts w:ascii="Arial" w:hAnsi="Arial" w:cs="Arial"/>
          <w:b/>
          <w:sz w:val="22"/>
          <w:szCs w:val="22"/>
        </w:rPr>
        <w:t>A</w:t>
      </w:r>
      <w:r w:rsidR="00B440EA" w:rsidRPr="006C514E">
        <w:rPr>
          <w:rFonts w:ascii="Arial" w:hAnsi="Arial" w:cs="Arial"/>
          <w:sz w:val="22"/>
          <w:szCs w:val="22"/>
        </w:rPr>
        <w:t>) Cell cycle distribution analysis of MIA PaCa-2 cells by flow cytometry was performed following culture with 2 mM L-Gln or 40 mM L-Gln (SPG</w:t>
      </w:r>
      <w:r w:rsidR="00B440EA" w:rsidRPr="006C514E">
        <w:rPr>
          <w:rFonts w:ascii="Arial" w:hAnsi="Arial" w:cs="Arial"/>
          <w:sz w:val="22"/>
          <w:szCs w:val="22"/>
          <w:vertAlign w:val="superscript"/>
        </w:rPr>
        <w:t>L</w:t>
      </w:r>
      <w:r w:rsidR="00B440EA" w:rsidRPr="006C514E">
        <w:rPr>
          <w:rFonts w:ascii="Arial" w:hAnsi="Arial" w:cs="Arial"/>
          <w:sz w:val="22"/>
          <w:szCs w:val="22"/>
        </w:rPr>
        <w:t xml:space="preserve">) in the presence of 0.5 </w:t>
      </w:r>
      <w:r w:rsidR="00B440EA" w:rsidRPr="006C514E">
        <w:rPr>
          <w:rFonts w:ascii="Symbol" w:hAnsi="Symbol" w:cs="Arial"/>
          <w:sz w:val="22"/>
          <w:szCs w:val="22"/>
        </w:rPr>
        <w:t></w:t>
      </w:r>
      <w:r w:rsidR="00B440EA" w:rsidRPr="006C514E">
        <w:rPr>
          <w:rFonts w:ascii="Arial" w:hAnsi="Arial" w:cs="Arial"/>
          <w:sz w:val="22"/>
          <w:szCs w:val="22"/>
        </w:rPr>
        <w:t>M gemcitabine (Gem) for four days (n = 3). (</w:t>
      </w:r>
      <w:r w:rsidR="00B440EA" w:rsidRPr="006C514E">
        <w:rPr>
          <w:rFonts w:ascii="Arial" w:hAnsi="Arial" w:cs="Arial"/>
          <w:b/>
          <w:sz w:val="22"/>
          <w:szCs w:val="22"/>
        </w:rPr>
        <w:t>B</w:t>
      </w:r>
      <w:r w:rsidR="00B440EA" w:rsidRPr="006C514E">
        <w:rPr>
          <w:rFonts w:ascii="Arial" w:hAnsi="Arial" w:cs="Arial"/>
          <w:sz w:val="22"/>
          <w:szCs w:val="22"/>
        </w:rPr>
        <w:t>) MIA PaCa-2 cells were treated with SPG</w:t>
      </w:r>
      <w:r w:rsidR="00B440EA" w:rsidRPr="006C514E">
        <w:rPr>
          <w:rFonts w:ascii="Arial" w:hAnsi="Arial" w:cs="Arial"/>
          <w:sz w:val="22"/>
          <w:szCs w:val="22"/>
          <w:vertAlign w:val="superscript"/>
        </w:rPr>
        <w:t>L</w:t>
      </w:r>
      <w:r w:rsidR="00B440EA" w:rsidRPr="006C514E">
        <w:rPr>
          <w:rFonts w:ascii="Arial" w:hAnsi="Arial" w:cs="Arial"/>
          <w:sz w:val="22"/>
          <w:szCs w:val="22"/>
        </w:rPr>
        <w:t xml:space="preserve"> or 2 mM L-Gln in the presence of 0.5 </w:t>
      </w:r>
      <w:r w:rsidR="00B440EA" w:rsidRPr="006C514E">
        <w:rPr>
          <w:rFonts w:ascii="Symbol" w:hAnsi="Symbol" w:cs="Arial"/>
          <w:sz w:val="22"/>
          <w:szCs w:val="22"/>
        </w:rPr>
        <w:t></w:t>
      </w:r>
      <w:r w:rsidR="00B440EA" w:rsidRPr="006C514E">
        <w:rPr>
          <w:rFonts w:ascii="Arial" w:hAnsi="Arial" w:cs="Arial"/>
          <w:sz w:val="22"/>
          <w:szCs w:val="22"/>
        </w:rPr>
        <w:t>M Gem for two days. Volcano plot depicted differentially expressed genes in RNA-seq data based on their -log</w:t>
      </w:r>
      <w:r w:rsidR="00B440EA" w:rsidRPr="006C514E">
        <w:rPr>
          <w:rFonts w:ascii="Arial" w:hAnsi="Arial" w:cs="Arial"/>
          <w:sz w:val="22"/>
          <w:szCs w:val="22"/>
          <w:vertAlign w:val="subscript"/>
        </w:rPr>
        <w:t>10</w:t>
      </w:r>
      <w:r w:rsidR="00B440EA" w:rsidRPr="006C514E">
        <w:rPr>
          <w:rFonts w:ascii="Arial" w:hAnsi="Arial" w:cs="Arial"/>
          <w:sz w:val="22"/>
          <w:szCs w:val="22"/>
        </w:rPr>
        <w:t xml:space="preserve"> FDR and log</w:t>
      </w:r>
      <w:r w:rsidR="00B440EA" w:rsidRPr="006C514E">
        <w:rPr>
          <w:rFonts w:ascii="Arial" w:hAnsi="Arial" w:cs="Arial"/>
          <w:sz w:val="22"/>
          <w:szCs w:val="22"/>
          <w:vertAlign w:val="subscript"/>
        </w:rPr>
        <w:t>2</w:t>
      </w:r>
      <w:r w:rsidR="00B440EA" w:rsidRPr="006C514E">
        <w:rPr>
          <w:rFonts w:ascii="Arial" w:hAnsi="Arial" w:cs="Arial"/>
          <w:sz w:val="22"/>
          <w:szCs w:val="22"/>
        </w:rPr>
        <w:t xml:space="preserve"> fold change (FC) (n = 3). (</w:t>
      </w:r>
      <w:r w:rsidR="00B440EA" w:rsidRPr="006C514E">
        <w:rPr>
          <w:rFonts w:ascii="Arial" w:hAnsi="Arial" w:cs="Arial"/>
          <w:b/>
          <w:sz w:val="22"/>
          <w:szCs w:val="22"/>
        </w:rPr>
        <w:t>C</w:t>
      </w:r>
      <w:r w:rsidR="00B440EA" w:rsidRPr="006C514E">
        <w:rPr>
          <w:rFonts w:ascii="Arial" w:hAnsi="Arial" w:cs="Arial"/>
          <w:sz w:val="22"/>
          <w:szCs w:val="22"/>
        </w:rPr>
        <w:t>) GSEA indicated an enrichment of interferon (IFN) response-related gene sets in MIA PaCa-2 cells cultured in SPG</w:t>
      </w:r>
      <w:r w:rsidR="00B440EA" w:rsidRPr="006C514E">
        <w:rPr>
          <w:rFonts w:ascii="Arial" w:hAnsi="Arial" w:cs="Arial"/>
          <w:sz w:val="22"/>
          <w:szCs w:val="22"/>
          <w:vertAlign w:val="superscript"/>
        </w:rPr>
        <w:t>L</w:t>
      </w:r>
      <w:r w:rsidR="00B440EA" w:rsidRPr="006C514E">
        <w:rPr>
          <w:rFonts w:ascii="Arial" w:hAnsi="Arial" w:cs="Arial"/>
          <w:sz w:val="22"/>
          <w:szCs w:val="22"/>
        </w:rPr>
        <w:t xml:space="preserve"> and Gem compared to Gem alone. Values are mean ± SEM. *</w:t>
      </w:r>
      <w:r w:rsidR="00B440EA" w:rsidRPr="006C514E">
        <w:rPr>
          <w:rFonts w:ascii="Arial" w:hAnsi="Arial" w:cs="Arial"/>
          <w:i/>
          <w:sz w:val="22"/>
          <w:szCs w:val="22"/>
        </w:rPr>
        <w:t>P</w:t>
      </w:r>
      <w:r w:rsidR="00B440EA" w:rsidRPr="006C514E">
        <w:rPr>
          <w:rFonts w:ascii="Arial" w:hAnsi="Arial" w:cs="Arial"/>
          <w:sz w:val="22"/>
          <w:szCs w:val="22"/>
        </w:rPr>
        <w:t xml:space="preserve"> &lt; 0.05, **</w:t>
      </w:r>
      <w:r w:rsidR="00B440EA" w:rsidRPr="006C514E">
        <w:rPr>
          <w:rFonts w:ascii="Arial" w:hAnsi="Arial" w:cs="Arial"/>
          <w:i/>
          <w:sz w:val="22"/>
          <w:szCs w:val="22"/>
        </w:rPr>
        <w:t>P</w:t>
      </w:r>
      <w:r w:rsidR="00B440EA" w:rsidRPr="006C514E">
        <w:rPr>
          <w:rFonts w:ascii="Arial" w:hAnsi="Arial" w:cs="Arial"/>
          <w:sz w:val="22"/>
          <w:szCs w:val="22"/>
        </w:rPr>
        <w:t xml:space="preserve"> &lt; 0.01.</w:t>
      </w:r>
    </w:p>
    <w:p w14:paraId="6BD54002" w14:textId="77777777" w:rsidR="00E81E59" w:rsidRPr="006C514E" w:rsidRDefault="00E81E59" w:rsidP="00E81E59">
      <w:pPr>
        <w:pStyle w:val="SMcaption"/>
        <w:rPr>
          <w:rFonts w:ascii="Arial" w:hAnsi="Arial" w:cs="Arial"/>
          <w:sz w:val="22"/>
          <w:szCs w:val="22"/>
        </w:rPr>
      </w:pPr>
    </w:p>
    <w:p w14:paraId="76196B36" w14:textId="77777777" w:rsidR="000C782B" w:rsidRPr="006C514E" w:rsidRDefault="000C782B">
      <w:pPr>
        <w:rPr>
          <w:rFonts w:ascii="Arial" w:hAnsi="Arial" w:cs="Arial"/>
          <w:sz w:val="22"/>
          <w:szCs w:val="22"/>
        </w:rPr>
      </w:pPr>
      <w:r w:rsidRPr="006C514E">
        <w:rPr>
          <w:rFonts w:ascii="Arial" w:hAnsi="Arial" w:cs="Arial"/>
          <w:sz w:val="22"/>
          <w:szCs w:val="22"/>
        </w:rPr>
        <w:br w:type="page"/>
      </w:r>
    </w:p>
    <w:p w14:paraId="0A1B2A69" w14:textId="77777777" w:rsidR="006C2F59" w:rsidRPr="006C514E" w:rsidRDefault="00873BBB" w:rsidP="006C2F59">
      <w:pPr>
        <w:pStyle w:val="SMcaption"/>
        <w:jc w:val="center"/>
        <w:rPr>
          <w:rFonts w:ascii="Arial" w:hAnsi="Arial" w:cs="Arial"/>
          <w:sz w:val="22"/>
          <w:szCs w:val="22"/>
        </w:rPr>
      </w:pPr>
      <w:r w:rsidRPr="004425AF">
        <w:rPr>
          <w:rFonts w:ascii="Arial" w:hAnsi="Arial" w:cs="Arial"/>
          <w:b/>
          <w:bCs/>
          <w:noProof/>
          <w:color w:val="000000" w:themeColor="text1"/>
          <w:sz w:val="22"/>
          <w:szCs w:val="22"/>
        </w:rPr>
        <w:lastRenderedPageBreak/>
        <w:drawing>
          <wp:inline distT="0" distB="0" distL="0" distR="0" wp14:anchorId="7D14622B" wp14:editId="0BDC8988">
            <wp:extent cx="5486400" cy="2148509"/>
            <wp:effectExtent l="0" t="0" r="0" b="0"/>
            <wp:docPr id="774695431" name="Picture 4" descr="A picture containing screenshot, text, line,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4695431" name="Picture 4" descr="A picture containing screenshot, text, line, diagram&#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486400" cy="2148509"/>
                    </a:xfrm>
                    <a:prstGeom prst="rect">
                      <a:avLst/>
                    </a:prstGeom>
                  </pic:spPr>
                </pic:pic>
              </a:graphicData>
            </a:graphic>
          </wp:inline>
        </w:drawing>
      </w:r>
    </w:p>
    <w:p w14:paraId="7F51BD8D" w14:textId="77777777" w:rsidR="006C2F59" w:rsidRPr="006C514E" w:rsidRDefault="006C2F59" w:rsidP="00D260CB">
      <w:pPr>
        <w:pStyle w:val="SMcaption"/>
        <w:rPr>
          <w:rFonts w:ascii="Arial" w:hAnsi="Arial" w:cs="Arial"/>
          <w:sz w:val="22"/>
          <w:szCs w:val="22"/>
        </w:rPr>
      </w:pPr>
    </w:p>
    <w:p w14:paraId="3E61CD3B" w14:textId="375CB4DA" w:rsidR="00E81E59" w:rsidRPr="006C514E" w:rsidRDefault="006C2F59" w:rsidP="006C2F59">
      <w:pPr>
        <w:pStyle w:val="SMcaption"/>
        <w:rPr>
          <w:rFonts w:ascii="Arial" w:hAnsi="Arial" w:cs="Arial"/>
          <w:sz w:val="22"/>
          <w:szCs w:val="22"/>
        </w:rPr>
      </w:pPr>
      <w:r w:rsidRPr="006C514E">
        <w:rPr>
          <w:rFonts w:ascii="Arial" w:hAnsi="Arial" w:cs="Arial"/>
          <w:b/>
          <w:sz w:val="22"/>
          <w:szCs w:val="22"/>
        </w:rPr>
        <w:t xml:space="preserve">Supplementary </w:t>
      </w:r>
      <w:r w:rsidR="00E81E59" w:rsidRPr="006C514E">
        <w:rPr>
          <w:rFonts w:ascii="Arial" w:hAnsi="Arial" w:cs="Arial"/>
          <w:b/>
          <w:sz w:val="22"/>
          <w:szCs w:val="22"/>
        </w:rPr>
        <w:t>Fig. S8.</w:t>
      </w:r>
      <w:r w:rsidR="00B440EA" w:rsidRPr="006C514E">
        <w:rPr>
          <w:b/>
          <w:sz w:val="22"/>
          <w:szCs w:val="22"/>
        </w:rPr>
        <w:t xml:space="preserve"> </w:t>
      </w:r>
      <w:r w:rsidR="00873BBB" w:rsidRPr="006C514E">
        <w:rPr>
          <w:rFonts w:ascii="Arial" w:hAnsi="Arial" w:cs="Arial"/>
          <w:b/>
          <w:sz w:val="22"/>
          <w:szCs w:val="22"/>
        </w:rPr>
        <w:t>The effects of high dose Gln on orthotopic PDAC allografts</w:t>
      </w:r>
      <w:r w:rsidR="00B440EA" w:rsidRPr="006C514E">
        <w:rPr>
          <w:rFonts w:ascii="Arial" w:hAnsi="Arial" w:cs="Arial"/>
          <w:b/>
          <w:sz w:val="22"/>
          <w:szCs w:val="22"/>
        </w:rPr>
        <w:t>.</w:t>
      </w:r>
      <w:r w:rsidR="00E81E59" w:rsidRPr="006C514E">
        <w:rPr>
          <w:rFonts w:ascii="Arial" w:hAnsi="Arial" w:cs="Arial"/>
          <w:sz w:val="22"/>
          <w:szCs w:val="22"/>
        </w:rPr>
        <w:t xml:space="preserve"> </w:t>
      </w:r>
      <w:r w:rsidR="00873BBB" w:rsidRPr="006C514E">
        <w:rPr>
          <w:rFonts w:ascii="Arial" w:hAnsi="Arial" w:cs="Arial"/>
          <w:sz w:val="22"/>
          <w:szCs w:val="22"/>
        </w:rPr>
        <w:t>Schematic of the study design represents pancreatic grafting of UN-KPC-961 male 129Sv/C57BL/6 mice. One week after tumor introduction, the mice were administered Gem (50 mg/kg, i.p., twice a week) alone or in combination with L-Gln (250 mg/kg/ twice daily) orally for eight weeks. At endpoint tumor tissues were subjected to histologic analysis (n &gt; 5). At least 6 fields of positive phosphorylated-histone H3 and TUNEL were quantitated to determine the level of significance. Values are mean ± SEM; *</w:t>
      </w:r>
      <w:r w:rsidR="00873BBB" w:rsidRPr="006C514E">
        <w:rPr>
          <w:rFonts w:ascii="Arial" w:hAnsi="Arial" w:cs="Arial"/>
          <w:i/>
          <w:sz w:val="22"/>
          <w:szCs w:val="22"/>
        </w:rPr>
        <w:t>P</w:t>
      </w:r>
      <w:r w:rsidR="00873BBB" w:rsidRPr="006C514E">
        <w:rPr>
          <w:rFonts w:ascii="Arial" w:hAnsi="Arial" w:cs="Arial"/>
          <w:sz w:val="22"/>
          <w:szCs w:val="22"/>
        </w:rPr>
        <w:t xml:space="preserve"> &lt; 0.05, **</w:t>
      </w:r>
      <w:r w:rsidR="00873BBB" w:rsidRPr="006C514E">
        <w:rPr>
          <w:rFonts w:ascii="Arial" w:hAnsi="Arial" w:cs="Arial"/>
          <w:i/>
          <w:sz w:val="22"/>
          <w:szCs w:val="22"/>
        </w:rPr>
        <w:t>P</w:t>
      </w:r>
      <w:r w:rsidR="00873BBB" w:rsidRPr="006C514E">
        <w:rPr>
          <w:rFonts w:ascii="Arial" w:hAnsi="Arial" w:cs="Arial"/>
          <w:sz w:val="22"/>
          <w:szCs w:val="22"/>
        </w:rPr>
        <w:t xml:space="preserve"> &lt; 0.01, ***</w:t>
      </w:r>
      <w:r w:rsidR="00873BBB" w:rsidRPr="006C514E">
        <w:rPr>
          <w:rFonts w:ascii="Arial" w:hAnsi="Arial" w:cs="Arial"/>
          <w:i/>
          <w:sz w:val="22"/>
          <w:szCs w:val="22"/>
        </w:rPr>
        <w:t>P</w:t>
      </w:r>
      <w:r w:rsidR="00873BBB" w:rsidRPr="006C514E">
        <w:rPr>
          <w:rFonts w:ascii="Arial" w:hAnsi="Arial" w:cs="Arial"/>
          <w:sz w:val="22"/>
          <w:szCs w:val="22"/>
        </w:rPr>
        <w:t xml:space="preserve"> &lt; 0.001.</w:t>
      </w:r>
    </w:p>
    <w:p w14:paraId="490B3284" w14:textId="77777777" w:rsidR="00E81E59" w:rsidRPr="006C514E" w:rsidRDefault="00E81E59" w:rsidP="00E81E59">
      <w:pPr>
        <w:pStyle w:val="SMcaption"/>
        <w:rPr>
          <w:rFonts w:ascii="Arial" w:hAnsi="Arial" w:cs="Arial"/>
          <w:sz w:val="22"/>
          <w:szCs w:val="22"/>
        </w:rPr>
      </w:pPr>
    </w:p>
    <w:p w14:paraId="5882EBCF" w14:textId="4AD0068F" w:rsidR="00E81E59" w:rsidRPr="006C514E" w:rsidRDefault="000C782B" w:rsidP="000C782B">
      <w:pPr>
        <w:rPr>
          <w:rFonts w:ascii="Arial" w:hAnsi="Arial" w:cs="Arial"/>
          <w:sz w:val="22"/>
          <w:szCs w:val="22"/>
        </w:rPr>
      </w:pPr>
      <w:r w:rsidRPr="006C514E">
        <w:rPr>
          <w:rFonts w:ascii="Arial" w:hAnsi="Arial" w:cs="Arial"/>
          <w:sz w:val="22"/>
          <w:szCs w:val="22"/>
        </w:rPr>
        <w:br w:type="page"/>
      </w:r>
    </w:p>
    <w:p w14:paraId="62E44327" w14:textId="77777777" w:rsidR="006C2F59" w:rsidRPr="006C514E" w:rsidRDefault="00873BBB" w:rsidP="006C2F59">
      <w:pPr>
        <w:jc w:val="center"/>
        <w:rPr>
          <w:rFonts w:ascii="Arial" w:hAnsi="Arial" w:cs="Arial"/>
          <w:sz w:val="22"/>
          <w:szCs w:val="22"/>
        </w:rPr>
      </w:pPr>
      <w:r w:rsidRPr="004425AF">
        <w:rPr>
          <w:b/>
          <w:noProof/>
          <w:sz w:val="22"/>
          <w:szCs w:val="22"/>
        </w:rPr>
        <w:lastRenderedPageBreak/>
        <w:drawing>
          <wp:inline distT="0" distB="0" distL="0" distR="0" wp14:anchorId="6E58194F" wp14:editId="44CFEDC6">
            <wp:extent cx="3291840" cy="2569610"/>
            <wp:effectExtent l="0" t="0" r="0" b="0"/>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New Supp Fig 8.jpg"/>
                    <pic:cNvPicPr/>
                  </pic:nvPicPr>
                  <pic:blipFill rotWithShape="1">
                    <a:blip r:embed="rId17" cstate="print">
                      <a:extLst>
                        <a:ext uri="{28A0092B-C50C-407E-A947-70E740481C1C}">
                          <a14:useLocalDpi xmlns:a14="http://schemas.microsoft.com/office/drawing/2010/main" val="0"/>
                        </a:ext>
                      </a:extLst>
                    </a:blip>
                    <a:srcRect t="6710"/>
                    <a:stretch/>
                  </pic:blipFill>
                  <pic:spPr bwMode="auto">
                    <a:xfrm>
                      <a:off x="0" y="0"/>
                      <a:ext cx="3291840" cy="2569610"/>
                    </a:xfrm>
                    <a:prstGeom prst="rect">
                      <a:avLst/>
                    </a:prstGeom>
                    <a:ln>
                      <a:noFill/>
                    </a:ln>
                    <a:extLst>
                      <a:ext uri="{53640926-AAD7-44D8-BBD7-CCE9431645EC}">
                        <a14:shadowObscured xmlns:a14="http://schemas.microsoft.com/office/drawing/2010/main"/>
                      </a:ext>
                    </a:extLst>
                  </pic:spPr>
                </pic:pic>
              </a:graphicData>
            </a:graphic>
          </wp:inline>
        </w:drawing>
      </w:r>
    </w:p>
    <w:p w14:paraId="6237DDC3" w14:textId="77777777" w:rsidR="006C2F59" w:rsidRPr="006C514E" w:rsidRDefault="006C2F59" w:rsidP="00D260CB">
      <w:pPr>
        <w:rPr>
          <w:rFonts w:ascii="Arial" w:hAnsi="Arial" w:cs="Arial"/>
          <w:sz w:val="22"/>
          <w:szCs w:val="22"/>
        </w:rPr>
      </w:pPr>
    </w:p>
    <w:p w14:paraId="194CA78C" w14:textId="178D0D2B" w:rsidR="00873BBB" w:rsidRPr="006C514E" w:rsidRDefault="006C2F59" w:rsidP="006C2F59">
      <w:pPr>
        <w:rPr>
          <w:rFonts w:ascii="Arial" w:hAnsi="Arial" w:cs="Arial"/>
          <w:sz w:val="22"/>
          <w:szCs w:val="22"/>
        </w:rPr>
      </w:pPr>
      <w:r w:rsidRPr="006C514E">
        <w:rPr>
          <w:rFonts w:ascii="Arial" w:hAnsi="Arial" w:cs="Arial"/>
          <w:b/>
          <w:sz w:val="22"/>
          <w:szCs w:val="22"/>
        </w:rPr>
        <w:t xml:space="preserve">Supplementary </w:t>
      </w:r>
      <w:r w:rsidR="00873BBB" w:rsidRPr="006C514E">
        <w:rPr>
          <w:rFonts w:ascii="Arial" w:hAnsi="Arial" w:cs="Arial"/>
          <w:b/>
          <w:sz w:val="22"/>
          <w:szCs w:val="22"/>
        </w:rPr>
        <w:t>Fig. S9.</w:t>
      </w:r>
      <w:r w:rsidR="00873BBB" w:rsidRPr="006C514E">
        <w:rPr>
          <w:b/>
          <w:sz w:val="22"/>
          <w:szCs w:val="22"/>
        </w:rPr>
        <w:t xml:space="preserve"> </w:t>
      </w:r>
      <w:r w:rsidR="00873BBB" w:rsidRPr="006C514E">
        <w:rPr>
          <w:rFonts w:ascii="Arial" w:hAnsi="Arial" w:cs="Arial"/>
          <w:b/>
          <w:sz w:val="22"/>
          <w:szCs w:val="22"/>
        </w:rPr>
        <w:t>Effects of high dose Gln on mice bearing PDAC tumors.</w:t>
      </w:r>
      <w:r w:rsidR="00873BBB" w:rsidRPr="006C514E">
        <w:rPr>
          <w:rFonts w:ascii="Arial" w:hAnsi="Arial" w:cs="Arial"/>
          <w:sz w:val="22"/>
          <w:szCs w:val="22"/>
        </w:rPr>
        <w:t xml:space="preserve"> (</w:t>
      </w:r>
      <w:r w:rsidR="00873BBB" w:rsidRPr="006C514E">
        <w:rPr>
          <w:rFonts w:ascii="Arial" w:hAnsi="Arial" w:cs="Arial"/>
          <w:b/>
          <w:sz w:val="22"/>
          <w:szCs w:val="22"/>
        </w:rPr>
        <w:t>A</w:t>
      </w:r>
      <w:r w:rsidR="00873BBB" w:rsidRPr="006C514E">
        <w:rPr>
          <w:rFonts w:ascii="Arial" w:hAnsi="Arial" w:cs="Arial"/>
          <w:sz w:val="22"/>
          <w:szCs w:val="22"/>
        </w:rPr>
        <w:t>) LDH, ALP, ALT, and AST activity were measured in the plasma of mice treated for 1 weeks with gemcitabine in the presence or absence of D-Gln</w:t>
      </w:r>
      <w:r w:rsidR="00873BBB" w:rsidRPr="006C514E">
        <w:rPr>
          <w:rFonts w:ascii="Arial" w:hAnsi="Arial" w:cs="Arial"/>
          <w:sz w:val="22"/>
          <w:szCs w:val="22"/>
          <w:vertAlign w:val="superscript"/>
        </w:rPr>
        <w:t>Hi</w:t>
      </w:r>
      <w:r w:rsidR="00873BBB" w:rsidRPr="006C514E">
        <w:rPr>
          <w:rFonts w:ascii="Arial" w:hAnsi="Arial" w:cs="Arial"/>
          <w:sz w:val="22"/>
          <w:szCs w:val="22"/>
        </w:rPr>
        <w:t>. LDH, lactate dehydrogenase; ALP, alkaline phosphatase; ALT, alanine transaminase; AST, aspartate transaminase (n = 5). (</w:t>
      </w:r>
      <w:r w:rsidR="00873BBB" w:rsidRPr="006C514E">
        <w:rPr>
          <w:rFonts w:ascii="Arial" w:hAnsi="Arial" w:cs="Arial"/>
          <w:b/>
          <w:sz w:val="22"/>
          <w:szCs w:val="22"/>
        </w:rPr>
        <w:t>B</w:t>
      </w:r>
      <w:r w:rsidR="00873BBB" w:rsidRPr="006C514E">
        <w:rPr>
          <w:rFonts w:ascii="Arial" w:hAnsi="Arial" w:cs="Arial"/>
          <w:sz w:val="22"/>
          <w:szCs w:val="22"/>
        </w:rPr>
        <w:t>) Body weight of mice treated with gemcitabine in the presence or absence of D-Gln</w:t>
      </w:r>
      <w:r w:rsidR="00873BBB" w:rsidRPr="006C514E">
        <w:rPr>
          <w:rFonts w:ascii="Arial" w:hAnsi="Arial" w:cs="Arial"/>
          <w:sz w:val="22"/>
          <w:szCs w:val="22"/>
          <w:vertAlign w:val="superscript"/>
        </w:rPr>
        <w:t>Hi</w:t>
      </w:r>
      <w:r w:rsidR="00873BBB" w:rsidRPr="006C514E">
        <w:rPr>
          <w:rFonts w:ascii="Arial" w:hAnsi="Arial" w:cs="Arial"/>
          <w:sz w:val="22"/>
          <w:szCs w:val="22"/>
        </w:rPr>
        <w:t xml:space="preserve"> were monitored longitudinally (n = 5). (</w:t>
      </w:r>
      <w:r w:rsidR="00873BBB" w:rsidRPr="006C514E">
        <w:rPr>
          <w:rFonts w:ascii="Arial" w:hAnsi="Arial" w:cs="Arial"/>
          <w:b/>
          <w:sz w:val="22"/>
          <w:szCs w:val="22"/>
        </w:rPr>
        <w:t>C</w:t>
      </w:r>
      <w:r w:rsidR="00873BBB" w:rsidRPr="006C514E">
        <w:rPr>
          <w:rFonts w:ascii="Arial" w:hAnsi="Arial" w:cs="Arial"/>
          <w:sz w:val="22"/>
          <w:szCs w:val="22"/>
        </w:rPr>
        <w:t>) Body weight of mice treated with gemcitabine in the presence of L-Gln</w:t>
      </w:r>
      <w:r w:rsidR="00873BBB" w:rsidRPr="006C514E">
        <w:rPr>
          <w:rFonts w:ascii="Arial" w:hAnsi="Arial" w:cs="Arial"/>
          <w:sz w:val="22"/>
          <w:szCs w:val="22"/>
          <w:vertAlign w:val="superscript"/>
        </w:rPr>
        <w:t>Hi</w:t>
      </w:r>
      <w:r w:rsidR="00873BBB" w:rsidRPr="006C514E">
        <w:rPr>
          <w:rFonts w:ascii="Arial" w:hAnsi="Arial" w:cs="Arial"/>
          <w:sz w:val="22"/>
          <w:szCs w:val="22"/>
        </w:rPr>
        <w:t xml:space="preserve"> or D-Gln</w:t>
      </w:r>
      <w:r w:rsidR="00873BBB" w:rsidRPr="006C514E">
        <w:rPr>
          <w:rFonts w:ascii="Arial" w:hAnsi="Arial" w:cs="Arial"/>
          <w:sz w:val="22"/>
          <w:szCs w:val="22"/>
          <w:vertAlign w:val="superscript"/>
        </w:rPr>
        <w:t>Hi</w:t>
      </w:r>
      <w:r w:rsidR="00873BBB" w:rsidRPr="006C514E">
        <w:rPr>
          <w:rFonts w:ascii="Arial" w:hAnsi="Arial" w:cs="Arial"/>
          <w:sz w:val="22"/>
          <w:szCs w:val="22"/>
        </w:rPr>
        <w:t xml:space="preserve"> were monitored longitudinally (n = 4). Values are mean ± SEM, n.s. – not significant.</w:t>
      </w:r>
    </w:p>
    <w:p w14:paraId="7A2F246C" w14:textId="77777777" w:rsidR="006C2F59" w:rsidRPr="006C514E" w:rsidRDefault="00873BBB" w:rsidP="006C2F59">
      <w:pPr>
        <w:rPr>
          <w:rFonts w:ascii="Arial" w:hAnsi="Arial" w:cs="Arial"/>
          <w:sz w:val="22"/>
          <w:szCs w:val="22"/>
        </w:rPr>
      </w:pPr>
      <w:r w:rsidRPr="006C514E">
        <w:rPr>
          <w:rFonts w:ascii="Arial" w:hAnsi="Arial" w:cs="Arial"/>
          <w:sz w:val="22"/>
          <w:szCs w:val="22"/>
        </w:rPr>
        <w:br w:type="page"/>
      </w:r>
    </w:p>
    <w:p w14:paraId="6120DEAE" w14:textId="77777777" w:rsidR="006C2F59" w:rsidRPr="006C514E" w:rsidRDefault="006C2F59" w:rsidP="006C2F59">
      <w:pPr>
        <w:rPr>
          <w:rFonts w:ascii="Arial" w:hAnsi="Arial" w:cs="Arial"/>
          <w:sz w:val="22"/>
          <w:szCs w:val="22"/>
        </w:rPr>
      </w:pPr>
    </w:p>
    <w:p w14:paraId="5A1A79CC" w14:textId="07B58788" w:rsidR="009A5287" w:rsidRPr="006C514E" w:rsidRDefault="006C2F59" w:rsidP="006C2F59">
      <w:pPr>
        <w:rPr>
          <w:rFonts w:ascii="Arial" w:hAnsi="Arial" w:cs="Arial"/>
          <w:b/>
          <w:sz w:val="22"/>
          <w:szCs w:val="22"/>
        </w:rPr>
      </w:pPr>
      <w:r w:rsidRPr="006C514E">
        <w:rPr>
          <w:rFonts w:ascii="Arial" w:hAnsi="Arial" w:cs="Arial"/>
          <w:b/>
          <w:sz w:val="22"/>
          <w:szCs w:val="22"/>
        </w:rPr>
        <w:t xml:space="preserve">Supplementary </w:t>
      </w:r>
      <w:r w:rsidR="00015F74" w:rsidRPr="006C514E">
        <w:rPr>
          <w:rFonts w:ascii="Arial" w:hAnsi="Arial" w:cs="Arial"/>
          <w:b/>
          <w:sz w:val="22"/>
          <w:szCs w:val="22"/>
        </w:rPr>
        <w:t>Table</w:t>
      </w:r>
      <w:r w:rsidRPr="006C514E">
        <w:rPr>
          <w:rFonts w:ascii="Arial" w:hAnsi="Arial" w:cs="Arial"/>
          <w:b/>
          <w:sz w:val="22"/>
          <w:szCs w:val="22"/>
        </w:rPr>
        <w:t>.</w:t>
      </w:r>
      <w:r w:rsidR="00015F74" w:rsidRPr="006C514E">
        <w:rPr>
          <w:rFonts w:ascii="Arial" w:hAnsi="Arial" w:cs="Arial"/>
          <w:b/>
          <w:sz w:val="22"/>
          <w:szCs w:val="22"/>
        </w:rPr>
        <w:t xml:space="preserve"> S1.</w:t>
      </w:r>
      <w:r w:rsidR="00B42F9C" w:rsidRPr="006C514E">
        <w:rPr>
          <w:rFonts w:ascii="Arial" w:hAnsi="Arial" w:cs="Arial"/>
          <w:b/>
          <w:sz w:val="22"/>
          <w:szCs w:val="22"/>
        </w:rPr>
        <w:t xml:space="preserve"> </w:t>
      </w:r>
      <w:r w:rsidR="00E81E59" w:rsidRPr="006C514E">
        <w:rPr>
          <w:rFonts w:ascii="Arial" w:hAnsi="Arial" w:cs="Arial"/>
          <w:b/>
          <w:sz w:val="22"/>
          <w:szCs w:val="22"/>
        </w:rPr>
        <w:t xml:space="preserve">Solute carrier family genes upregulated by gemcitabine in MIA PaCa-2 </w:t>
      </w:r>
      <w:proofErr w:type="gramStart"/>
      <w:r w:rsidR="00E81E59" w:rsidRPr="006C514E">
        <w:rPr>
          <w:rFonts w:ascii="Arial" w:hAnsi="Arial" w:cs="Arial"/>
          <w:b/>
          <w:sz w:val="22"/>
          <w:szCs w:val="22"/>
        </w:rPr>
        <w:t>cells</w:t>
      </w:r>
      <w:proofErr w:type="gramEnd"/>
    </w:p>
    <w:p w14:paraId="44BF6B4A" w14:textId="559F9985" w:rsidR="001C0975" w:rsidRPr="006C514E" w:rsidRDefault="001C0975" w:rsidP="00477182">
      <w:pPr>
        <w:pStyle w:val="SMcaption"/>
        <w:rPr>
          <w:rFonts w:ascii="Arial" w:hAnsi="Arial" w:cs="Arial"/>
          <w:sz w:val="22"/>
          <w:szCs w:val="22"/>
        </w:rPr>
      </w:pPr>
    </w:p>
    <w:p w14:paraId="66D16E3D" w14:textId="5CD61378" w:rsidR="00E81E59" w:rsidRPr="006C514E" w:rsidRDefault="00E81E59" w:rsidP="00477182">
      <w:pPr>
        <w:pStyle w:val="SMcaption"/>
        <w:rPr>
          <w:rFonts w:ascii="Arial" w:hAnsi="Arial" w:cs="Arial"/>
          <w:sz w:val="22"/>
          <w:szCs w:val="22"/>
        </w:rPr>
      </w:pPr>
      <w:r w:rsidRPr="004425AF">
        <w:rPr>
          <w:rFonts w:ascii="Arial" w:hAnsi="Arial" w:cs="Arial"/>
          <w:noProof/>
          <w:sz w:val="22"/>
          <w:szCs w:val="22"/>
        </w:rPr>
        <w:drawing>
          <wp:inline distT="0" distB="0" distL="0" distR="0" wp14:anchorId="1BB5B9E3" wp14:editId="1FDA0906">
            <wp:extent cx="5486400" cy="2127100"/>
            <wp:effectExtent l="0" t="0" r="0" b="0"/>
            <wp:docPr id="1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486400" cy="2127100"/>
                    </a:xfrm>
                    <a:prstGeom prst="rect">
                      <a:avLst/>
                    </a:prstGeom>
                  </pic:spPr>
                </pic:pic>
              </a:graphicData>
            </a:graphic>
          </wp:inline>
        </w:drawing>
      </w:r>
    </w:p>
    <w:p w14:paraId="388622D4" w14:textId="77777777" w:rsidR="000C782B" w:rsidRPr="006C514E" w:rsidRDefault="000C782B" w:rsidP="00477182">
      <w:pPr>
        <w:pStyle w:val="SMcaption"/>
        <w:rPr>
          <w:rFonts w:ascii="Arial" w:hAnsi="Arial" w:cs="Arial"/>
          <w:sz w:val="22"/>
          <w:szCs w:val="22"/>
        </w:rPr>
      </w:pPr>
    </w:p>
    <w:p w14:paraId="1BA01DC1" w14:textId="0562AC03" w:rsidR="00D260CB" w:rsidRPr="006C514E" w:rsidRDefault="00D260CB" w:rsidP="006C2F59">
      <w:pPr>
        <w:rPr>
          <w:rFonts w:ascii="Arial" w:hAnsi="Arial" w:cs="Arial"/>
          <w:sz w:val="22"/>
          <w:szCs w:val="22"/>
        </w:rPr>
      </w:pPr>
    </w:p>
    <w:p w14:paraId="356D9215" w14:textId="77777777" w:rsidR="00D260CB" w:rsidRPr="006C514E" w:rsidRDefault="00D260CB" w:rsidP="006C2F59">
      <w:pPr>
        <w:rPr>
          <w:rFonts w:ascii="Arial" w:hAnsi="Arial" w:cs="Arial"/>
          <w:sz w:val="22"/>
          <w:szCs w:val="22"/>
        </w:rPr>
      </w:pPr>
    </w:p>
    <w:p w14:paraId="20ED2795" w14:textId="68A24536" w:rsidR="009A5287" w:rsidRPr="006C514E" w:rsidRDefault="006C2F59" w:rsidP="006C2F59">
      <w:pPr>
        <w:rPr>
          <w:rFonts w:ascii="Arial" w:hAnsi="Arial" w:cs="Arial"/>
          <w:sz w:val="22"/>
          <w:szCs w:val="22"/>
        </w:rPr>
      </w:pPr>
      <w:r w:rsidRPr="006C514E">
        <w:rPr>
          <w:rFonts w:ascii="Arial" w:hAnsi="Arial" w:cs="Arial"/>
          <w:b/>
          <w:sz w:val="22"/>
          <w:szCs w:val="22"/>
        </w:rPr>
        <w:t xml:space="preserve">Supplementary </w:t>
      </w:r>
      <w:r w:rsidR="00015F74" w:rsidRPr="006C514E">
        <w:rPr>
          <w:rFonts w:ascii="Arial" w:hAnsi="Arial" w:cs="Arial"/>
          <w:b/>
          <w:sz w:val="22"/>
          <w:szCs w:val="22"/>
        </w:rPr>
        <w:t>Table</w:t>
      </w:r>
      <w:r w:rsidRPr="006C514E">
        <w:rPr>
          <w:rFonts w:ascii="Arial" w:hAnsi="Arial" w:cs="Arial"/>
          <w:b/>
          <w:sz w:val="22"/>
          <w:szCs w:val="22"/>
        </w:rPr>
        <w:t>.</w:t>
      </w:r>
      <w:r w:rsidR="00015F74" w:rsidRPr="006C514E">
        <w:rPr>
          <w:rFonts w:ascii="Arial" w:hAnsi="Arial" w:cs="Arial"/>
          <w:b/>
          <w:sz w:val="22"/>
          <w:szCs w:val="22"/>
        </w:rPr>
        <w:t xml:space="preserve"> S2.</w:t>
      </w:r>
      <w:r w:rsidR="00E81E59" w:rsidRPr="006C514E">
        <w:rPr>
          <w:rFonts w:ascii="Arial" w:hAnsi="Arial" w:cs="Arial"/>
          <w:b/>
          <w:sz w:val="22"/>
          <w:szCs w:val="22"/>
        </w:rPr>
        <w:t xml:space="preserve"> PCR primer sequences for qPCR</w:t>
      </w:r>
    </w:p>
    <w:p w14:paraId="45143467" w14:textId="4FBA0062" w:rsidR="009A5287" w:rsidRPr="006C514E" w:rsidRDefault="009A5287" w:rsidP="00477182">
      <w:pPr>
        <w:pStyle w:val="SMcaption"/>
        <w:rPr>
          <w:rFonts w:ascii="Arial" w:hAnsi="Arial" w:cs="Arial"/>
          <w:sz w:val="22"/>
          <w:szCs w:val="22"/>
        </w:rPr>
      </w:pPr>
    </w:p>
    <w:p w14:paraId="2DAD7E6D" w14:textId="7D422526" w:rsidR="00E81E59" w:rsidRPr="006C514E" w:rsidRDefault="00E81E59" w:rsidP="00477182">
      <w:pPr>
        <w:pStyle w:val="SMcaption"/>
        <w:rPr>
          <w:rFonts w:ascii="Arial" w:hAnsi="Arial" w:cs="Arial"/>
          <w:sz w:val="22"/>
          <w:szCs w:val="22"/>
        </w:rPr>
      </w:pPr>
      <w:r w:rsidRPr="004425AF">
        <w:rPr>
          <w:noProof/>
          <w:sz w:val="22"/>
          <w:szCs w:val="22"/>
        </w:rPr>
        <w:drawing>
          <wp:inline distT="0" distB="0" distL="0" distR="0" wp14:anchorId="6D980F73" wp14:editId="08DAE7FB">
            <wp:extent cx="5486400" cy="1304477"/>
            <wp:effectExtent l="0" t="0" r="0" b="3810"/>
            <wp:docPr id="14"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486400" cy="1304477"/>
                    </a:xfrm>
                    <a:prstGeom prst="rect">
                      <a:avLst/>
                    </a:prstGeom>
                  </pic:spPr>
                </pic:pic>
              </a:graphicData>
            </a:graphic>
          </wp:inline>
        </w:drawing>
      </w:r>
    </w:p>
    <w:p w14:paraId="0AA738C7" w14:textId="7DD8E8AA" w:rsidR="00030840" w:rsidRPr="006C514E" w:rsidRDefault="00030840" w:rsidP="00E81E59">
      <w:pPr>
        <w:rPr>
          <w:rFonts w:ascii="Arial" w:hAnsi="Arial" w:cs="Arial"/>
          <w:sz w:val="22"/>
          <w:szCs w:val="22"/>
        </w:rPr>
      </w:pPr>
    </w:p>
    <w:p w14:paraId="6A0ED21D" w14:textId="478A02CD" w:rsidR="00E81E59" w:rsidRPr="006C514E" w:rsidRDefault="00E81E59" w:rsidP="00E81E59">
      <w:pPr>
        <w:rPr>
          <w:rFonts w:ascii="Arial" w:hAnsi="Arial" w:cs="Arial"/>
          <w:sz w:val="22"/>
          <w:szCs w:val="22"/>
        </w:rPr>
      </w:pPr>
    </w:p>
    <w:p w14:paraId="149A3DC7" w14:textId="77777777" w:rsidR="00D260CB" w:rsidRPr="006C514E" w:rsidRDefault="00D260CB" w:rsidP="00E81E59">
      <w:pPr>
        <w:rPr>
          <w:rFonts w:ascii="Arial" w:hAnsi="Arial" w:cs="Arial"/>
          <w:sz w:val="22"/>
          <w:szCs w:val="22"/>
        </w:rPr>
      </w:pPr>
    </w:p>
    <w:p w14:paraId="31BF4BD2" w14:textId="08523EA9" w:rsidR="004425AF" w:rsidRPr="006C514E" w:rsidRDefault="00F514EC" w:rsidP="006C514E">
      <w:pPr>
        <w:pStyle w:val="SMcaption"/>
        <w:rPr>
          <w:sz w:val="22"/>
          <w:szCs w:val="22"/>
        </w:rPr>
      </w:pPr>
      <w:r w:rsidRPr="006C514E">
        <w:rPr>
          <w:rFonts w:ascii="Arial" w:hAnsi="Arial" w:cs="Arial"/>
          <w:b/>
          <w:sz w:val="22"/>
          <w:szCs w:val="22"/>
        </w:rPr>
        <w:t xml:space="preserve">SI </w:t>
      </w:r>
      <w:r w:rsidR="00820484" w:rsidRPr="006C514E">
        <w:rPr>
          <w:rFonts w:ascii="Arial" w:hAnsi="Arial" w:cs="Arial"/>
          <w:b/>
          <w:sz w:val="22"/>
          <w:szCs w:val="22"/>
        </w:rPr>
        <w:t>References</w:t>
      </w:r>
    </w:p>
    <w:p w14:paraId="49CC347C" w14:textId="77777777" w:rsidR="004425AF" w:rsidRPr="006C514E" w:rsidRDefault="004425AF" w:rsidP="00886056">
      <w:pPr>
        <w:pStyle w:val="NormalWeb"/>
        <w:shd w:val="clear" w:color="auto" w:fill="FFFFFF"/>
        <w:textAlignment w:val="baseline"/>
        <w:rPr>
          <w:rFonts w:ascii="Arial" w:hAnsi="Arial" w:cs="Arial"/>
          <w:sz w:val="22"/>
          <w:szCs w:val="22"/>
        </w:rPr>
      </w:pPr>
    </w:p>
    <w:p w14:paraId="64A08355" w14:textId="77777777" w:rsidR="004425AF" w:rsidRPr="006C514E" w:rsidRDefault="004425AF" w:rsidP="004425AF">
      <w:pPr>
        <w:pStyle w:val="EndNoteBibliography"/>
        <w:ind w:left="720" w:hanging="720"/>
        <w:rPr>
          <w:rFonts w:ascii="Arial" w:hAnsi="Arial" w:cs="Arial"/>
          <w:noProof/>
          <w:sz w:val="22"/>
          <w:szCs w:val="22"/>
        </w:rPr>
      </w:pPr>
      <w:r w:rsidRPr="006C514E">
        <w:rPr>
          <w:rFonts w:ascii="Arial" w:hAnsi="Arial" w:cs="Arial"/>
          <w:sz w:val="22"/>
          <w:szCs w:val="22"/>
        </w:rPr>
        <w:fldChar w:fldCharType="begin"/>
      </w:r>
      <w:r w:rsidRPr="006C514E">
        <w:rPr>
          <w:rFonts w:ascii="Arial" w:hAnsi="Arial" w:cs="Arial"/>
          <w:sz w:val="22"/>
          <w:szCs w:val="22"/>
        </w:rPr>
        <w:instrText xml:space="preserve"> ADDIN EN.REFLIST </w:instrText>
      </w:r>
      <w:r w:rsidRPr="006C514E">
        <w:rPr>
          <w:rFonts w:ascii="Arial" w:hAnsi="Arial" w:cs="Arial"/>
          <w:sz w:val="22"/>
          <w:szCs w:val="22"/>
        </w:rPr>
        <w:fldChar w:fldCharType="separate"/>
      </w:r>
      <w:r w:rsidRPr="006C514E">
        <w:rPr>
          <w:rFonts w:ascii="Arial" w:hAnsi="Arial" w:cs="Arial"/>
          <w:noProof/>
          <w:sz w:val="22"/>
          <w:szCs w:val="22"/>
        </w:rPr>
        <w:t>1</w:t>
      </w:r>
      <w:r w:rsidRPr="006C514E">
        <w:rPr>
          <w:rFonts w:ascii="Arial" w:hAnsi="Arial" w:cs="Arial"/>
          <w:noProof/>
          <w:sz w:val="22"/>
          <w:szCs w:val="22"/>
        </w:rPr>
        <w:tab/>
        <w:t xml:space="preserve">Robinson MD, Oshlack A. A scaling normalization method for differential expression analysis of RNA-seq data. </w:t>
      </w:r>
      <w:r w:rsidRPr="006C514E">
        <w:rPr>
          <w:rFonts w:ascii="Arial" w:hAnsi="Arial" w:cs="Arial"/>
          <w:i/>
          <w:noProof/>
          <w:sz w:val="22"/>
          <w:szCs w:val="22"/>
        </w:rPr>
        <w:t>Genome Biol</w:t>
      </w:r>
      <w:r w:rsidRPr="006C514E">
        <w:rPr>
          <w:rFonts w:ascii="Arial" w:hAnsi="Arial" w:cs="Arial"/>
          <w:noProof/>
          <w:sz w:val="22"/>
          <w:szCs w:val="22"/>
        </w:rPr>
        <w:t xml:space="preserve"> 2010; 11: R25.</w:t>
      </w:r>
    </w:p>
    <w:p w14:paraId="00DA2D7C" w14:textId="77777777" w:rsidR="004425AF" w:rsidRPr="006C514E" w:rsidRDefault="004425AF" w:rsidP="004425AF">
      <w:pPr>
        <w:pStyle w:val="EndNoteBibliography"/>
        <w:rPr>
          <w:rFonts w:ascii="Arial" w:hAnsi="Arial" w:cs="Arial"/>
          <w:noProof/>
          <w:sz w:val="22"/>
          <w:szCs w:val="22"/>
        </w:rPr>
      </w:pPr>
    </w:p>
    <w:p w14:paraId="241EDAEB" w14:textId="77777777" w:rsidR="004425AF" w:rsidRPr="006C514E" w:rsidRDefault="004425AF" w:rsidP="004425AF">
      <w:pPr>
        <w:pStyle w:val="EndNoteBibliography"/>
        <w:ind w:left="720" w:hanging="720"/>
        <w:rPr>
          <w:rFonts w:ascii="Arial" w:hAnsi="Arial" w:cs="Arial"/>
          <w:noProof/>
          <w:sz w:val="22"/>
          <w:szCs w:val="22"/>
        </w:rPr>
      </w:pPr>
      <w:r w:rsidRPr="006C514E">
        <w:rPr>
          <w:rFonts w:ascii="Arial" w:hAnsi="Arial" w:cs="Arial"/>
          <w:noProof/>
          <w:sz w:val="22"/>
          <w:szCs w:val="22"/>
        </w:rPr>
        <w:t>2</w:t>
      </w:r>
      <w:r w:rsidRPr="006C514E">
        <w:rPr>
          <w:rFonts w:ascii="Arial" w:hAnsi="Arial" w:cs="Arial"/>
          <w:noProof/>
          <w:sz w:val="22"/>
          <w:szCs w:val="22"/>
        </w:rPr>
        <w:tab/>
        <w:t>Hwang D, Rust AG, Ramsey S, Smith JJ, Leslie DM, Weston AD</w:t>
      </w:r>
      <w:r w:rsidRPr="006C514E">
        <w:rPr>
          <w:rFonts w:ascii="Arial" w:hAnsi="Arial" w:cs="Arial"/>
          <w:i/>
          <w:noProof/>
          <w:sz w:val="22"/>
          <w:szCs w:val="22"/>
        </w:rPr>
        <w:t xml:space="preserve"> et al</w:t>
      </w:r>
      <w:r w:rsidRPr="006C514E">
        <w:rPr>
          <w:rFonts w:ascii="Arial" w:hAnsi="Arial" w:cs="Arial"/>
          <w:noProof/>
          <w:sz w:val="22"/>
          <w:szCs w:val="22"/>
        </w:rPr>
        <w:t xml:space="preserve">. A data integration methodology for systems biology. </w:t>
      </w:r>
      <w:r w:rsidRPr="006C514E">
        <w:rPr>
          <w:rFonts w:ascii="Arial" w:hAnsi="Arial" w:cs="Arial"/>
          <w:i/>
          <w:noProof/>
          <w:sz w:val="22"/>
          <w:szCs w:val="22"/>
        </w:rPr>
        <w:t>Proc Natl Acad Sci USA</w:t>
      </w:r>
      <w:r w:rsidRPr="006C514E">
        <w:rPr>
          <w:rFonts w:ascii="Arial" w:hAnsi="Arial" w:cs="Arial"/>
          <w:noProof/>
          <w:sz w:val="22"/>
          <w:szCs w:val="22"/>
        </w:rPr>
        <w:t xml:space="preserve"> 2005; 102: 17296-17301.</w:t>
      </w:r>
    </w:p>
    <w:p w14:paraId="665C0A60" w14:textId="77777777" w:rsidR="004425AF" w:rsidRPr="006C514E" w:rsidRDefault="004425AF" w:rsidP="004425AF">
      <w:pPr>
        <w:pStyle w:val="EndNoteBibliography"/>
        <w:rPr>
          <w:rFonts w:ascii="Arial" w:hAnsi="Arial" w:cs="Arial"/>
          <w:noProof/>
          <w:sz w:val="22"/>
          <w:szCs w:val="22"/>
        </w:rPr>
      </w:pPr>
    </w:p>
    <w:p w14:paraId="3AE54927" w14:textId="77777777" w:rsidR="004425AF" w:rsidRPr="006C514E" w:rsidRDefault="004425AF" w:rsidP="004425AF">
      <w:pPr>
        <w:pStyle w:val="EndNoteBibliography"/>
        <w:ind w:left="720" w:hanging="720"/>
        <w:rPr>
          <w:rFonts w:ascii="Arial" w:hAnsi="Arial" w:cs="Arial"/>
          <w:noProof/>
          <w:sz w:val="22"/>
          <w:szCs w:val="22"/>
        </w:rPr>
      </w:pPr>
      <w:r w:rsidRPr="006C514E">
        <w:rPr>
          <w:rFonts w:ascii="Arial" w:hAnsi="Arial" w:cs="Arial"/>
          <w:noProof/>
          <w:sz w:val="22"/>
          <w:szCs w:val="22"/>
        </w:rPr>
        <w:t>3</w:t>
      </w:r>
      <w:r w:rsidRPr="006C514E">
        <w:rPr>
          <w:rFonts w:ascii="Arial" w:hAnsi="Arial" w:cs="Arial"/>
          <w:noProof/>
          <w:sz w:val="22"/>
          <w:szCs w:val="22"/>
        </w:rPr>
        <w:tab/>
        <w:t>Smith BN, Mishra R, Billet S, Placencio-Hickok VR, Kim M, Zhang L</w:t>
      </w:r>
      <w:r w:rsidRPr="006C514E">
        <w:rPr>
          <w:rFonts w:ascii="Arial" w:hAnsi="Arial" w:cs="Arial"/>
          <w:i/>
          <w:noProof/>
          <w:sz w:val="22"/>
          <w:szCs w:val="22"/>
        </w:rPr>
        <w:t xml:space="preserve"> et al</w:t>
      </w:r>
      <w:r w:rsidRPr="006C514E">
        <w:rPr>
          <w:rFonts w:ascii="Arial" w:hAnsi="Arial" w:cs="Arial"/>
          <w:noProof/>
          <w:sz w:val="22"/>
          <w:szCs w:val="22"/>
        </w:rPr>
        <w:t xml:space="preserve">. Antagonizing CD105 and androgen receptor to target stromal-epithelial interactions for clinical benefit. </w:t>
      </w:r>
      <w:r w:rsidRPr="006C514E">
        <w:rPr>
          <w:rFonts w:ascii="Arial" w:hAnsi="Arial" w:cs="Arial"/>
          <w:i/>
          <w:noProof/>
          <w:sz w:val="22"/>
          <w:szCs w:val="22"/>
        </w:rPr>
        <w:t>Molecular Therapy</w:t>
      </w:r>
      <w:r w:rsidRPr="006C514E">
        <w:rPr>
          <w:rFonts w:ascii="Arial" w:hAnsi="Arial" w:cs="Arial"/>
          <w:noProof/>
          <w:sz w:val="22"/>
          <w:szCs w:val="22"/>
        </w:rPr>
        <w:t xml:space="preserve"> 2023; 31: 78-89.</w:t>
      </w:r>
    </w:p>
    <w:p w14:paraId="3296C041" w14:textId="77777777" w:rsidR="004425AF" w:rsidRPr="006C514E" w:rsidRDefault="004425AF" w:rsidP="004425AF">
      <w:pPr>
        <w:pStyle w:val="EndNoteBibliography"/>
        <w:rPr>
          <w:rFonts w:ascii="Arial" w:hAnsi="Arial" w:cs="Arial"/>
          <w:noProof/>
          <w:sz w:val="22"/>
          <w:szCs w:val="22"/>
        </w:rPr>
      </w:pPr>
    </w:p>
    <w:p w14:paraId="580A6EC6" w14:textId="77777777" w:rsidR="004425AF" w:rsidRPr="006C514E" w:rsidRDefault="004425AF" w:rsidP="004425AF">
      <w:pPr>
        <w:pStyle w:val="EndNoteBibliography"/>
        <w:ind w:left="720" w:hanging="720"/>
        <w:rPr>
          <w:rFonts w:ascii="Arial" w:hAnsi="Arial" w:cs="Arial"/>
          <w:noProof/>
          <w:sz w:val="22"/>
          <w:szCs w:val="22"/>
        </w:rPr>
      </w:pPr>
      <w:r w:rsidRPr="006C514E">
        <w:rPr>
          <w:rFonts w:ascii="Arial" w:hAnsi="Arial" w:cs="Arial"/>
          <w:noProof/>
          <w:sz w:val="22"/>
          <w:szCs w:val="22"/>
        </w:rPr>
        <w:t>4</w:t>
      </w:r>
      <w:r w:rsidRPr="006C514E">
        <w:rPr>
          <w:rFonts w:ascii="Arial" w:hAnsi="Arial" w:cs="Arial"/>
          <w:noProof/>
          <w:sz w:val="22"/>
          <w:szCs w:val="22"/>
        </w:rPr>
        <w:tab/>
        <w:t xml:space="preserve">Chou T-C, Talalay P. Generalized Equations for the Analysis of Inhibitions of Michaelis-Menten and Higher-Order Kinetic Systems with Two or More Mutually Exclusive and Nonexclusive Inhibitors. </w:t>
      </w:r>
      <w:r w:rsidRPr="006C514E">
        <w:rPr>
          <w:rFonts w:ascii="Arial" w:hAnsi="Arial" w:cs="Arial"/>
          <w:i/>
          <w:noProof/>
          <w:sz w:val="22"/>
          <w:szCs w:val="22"/>
        </w:rPr>
        <w:t>European Journal of Biochemistry</w:t>
      </w:r>
      <w:r w:rsidRPr="006C514E">
        <w:rPr>
          <w:rFonts w:ascii="Arial" w:hAnsi="Arial" w:cs="Arial"/>
          <w:noProof/>
          <w:sz w:val="22"/>
          <w:szCs w:val="22"/>
        </w:rPr>
        <w:t xml:space="preserve"> 2005; 115: 207-216.</w:t>
      </w:r>
    </w:p>
    <w:p w14:paraId="2F5C3F42" w14:textId="77777777" w:rsidR="004425AF" w:rsidRPr="006C514E" w:rsidRDefault="004425AF" w:rsidP="004425AF">
      <w:pPr>
        <w:pStyle w:val="EndNoteBibliography"/>
        <w:rPr>
          <w:rFonts w:ascii="Arial" w:hAnsi="Arial" w:cs="Arial"/>
          <w:noProof/>
          <w:sz w:val="22"/>
          <w:szCs w:val="22"/>
        </w:rPr>
      </w:pPr>
    </w:p>
    <w:p w14:paraId="6F414D6E" w14:textId="23487FD1" w:rsidR="00A06D99" w:rsidRPr="00DC623A" w:rsidRDefault="004425AF" w:rsidP="00886056">
      <w:pPr>
        <w:pStyle w:val="NormalWeb"/>
        <w:shd w:val="clear" w:color="auto" w:fill="FFFFFF"/>
        <w:textAlignment w:val="baseline"/>
        <w:rPr>
          <w:rFonts w:ascii="Arial" w:hAnsi="Arial" w:cs="Arial"/>
          <w:sz w:val="20"/>
          <w:szCs w:val="20"/>
        </w:rPr>
      </w:pPr>
      <w:r w:rsidRPr="006C514E">
        <w:rPr>
          <w:rFonts w:ascii="Arial" w:hAnsi="Arial" w:cs="Arial"/>
          <w:sz w:val="22"/>
          <w:szCs w:val="22"/>
        </w:rPr>
        <w:fldChar w:fldCharType="end"/>
      </w:r>
    </w:p>
    <w:sectPr w:rsidR="00A06D99" w:rsidRPr="00DC623A" w:rsidSect="006C2F59">
      <w:footerReference w:type="default" r:id="rId20"/>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7F40BB" w14:textId="77777777" w:rsidR="002E5537" w:rsidRDefault="002E5537">
      <w:r>
        <w:separator/>
      </w:r>
    </w:p>
  </w:endnote>
  <w:endnote w:type="continuationSeparator" w:id="0">
    <w:p w14:paraId="3E0A37CF" w14:textId="77777777" w:rsidR="002E5537" w:rsidRDefault="002E55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Times">
    <w:altName w:val="Times New Roman"/>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096907" w14:textId="193174C0" w:rsidR="00F125EE" w:rsidRDefault="00114193">
    <w:pPr>
      <w:pStyle w:val="Footer"/>
      <w:jc w:val="right"/>
    </w:pPr>
    <w:r>
      <w:fldChar w:fldCharType="begin"/>
    </w:r>
    <w:r>
      <w:instrText xml:space="preserve"> PAGE   \* MERGEFORMAT </w:instrText>
    </w:r>
    <w:r>
      <w:fldChar w:fldCharType="separate"/>
    </w:r>
    <w:r w:rsidR="009D6B1C">
      <w:rPr>
        <w:noProof/>
      </w:rPr>
      <w:t>1</w:t>
    </w:r>
    <w:r>
      <w:fldChar w:fldCharType="end"/>
    </w:r>
  </w:p>
  <w:p w14:paraId="180EEFF6" w14:textId="77777777" w:rsidR="00F125EE" w:rsidRDefault="00F125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E3FBD5" w14:textId="77777777" w:rsidR="002E5537" w:rsidRDefault="002E5537">
      <w:r>
        <w:separator/>
      </w:r>
    </w:p>
  </w:footnote>
  <w:footnote w:type="continuationSeparator" w:id="0">
    <w:p w14:paraId="24AC0596" w14:textId="77777777" w:rsidR="002E5537" w:rsidRDefault="002E553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110F80"/>
    <w:multiLevelType w:val="hybridMultilevel"/>
    <w:tmpl w:val="C220C8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0B963FF"/>
    <w:multiLevelType w:val="hybridMultilevel"/>
    <w:tmpl w:val="43A20FFE"/>
    <w:lvl w:ilvl="0" w:tplc="041866E8">
      <w:start w:val="2020"/>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F8D4926"/>
    <w:multiLevelType w:val="hybridMultilevel"/>
    <w:tmpl w:val="5096EE96"/>
    <w:lvl w:ilvl="0" w:tplc="A8D8FC54">
      <w:start w:val="1"/>
      <w:numFmt w:val="decimal"/>
      <w:pStyle w:val="1"/>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C116BDC"/>
    <w:multiLevelType w:val="hybridMultilevel"/>
    <w:tmpl w:val="1D98BF46"/>
    <w:lvl w:ilvl="0" w:tplc="F40C2976">
      <w:start w:val="2020"/>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20886406">
    <w:abstractNumId w:val="9"/>
  </w:num>
  <w:num w:numId="2" w16cid:durableId="1029338495">
    <w:abstractNumId w:val="7"/>
  </w:num>
  <w:num w:numId="3" w16cid:durableId="871695163">
    <w:abstractNumId w:val="6"/>
  </w:num>
  <w:num w:numId="4" w16cid:durableId="2059548178">
    <w:abstractNumId w:val="5"/>
  </w:num>
  <w:num w:numId="5" w16cid:durableId="362755429">
    <w:abstractNumId w:val="4"/>
  </w:num>
  <w:num w:numId="6" w16cid:durableId="219637674">
    <w:abstractNumId w:val="8"/>
  </w:num>
  <w:num w:numId="7" w16cid:durableId="1256473199">
    <w:abstractNumId w:val="3"/>
  </w:num>
  <w:num w:numId="8" w16cid:durableId="292947792">
    <w:abstractNumId w:val="2"/>
  </w:num>
  <w:num w:numId="9" w16cid:durableId="1644651878">
    <w:abstractNumId w:val="1"/>
  </w:num>
  <w:num w:numId="10" w16cid:durableId="1196772926">
    <w:abstractNumId w:val="0"/>
  </w:num>
  <w:num w:numId="11" w16cid:durableId="729428101">
    <w:abstractNumId w:val="10"/>
  </w:num>
  <w:num w:numId="12" w16cid:durableId="52237549">
    <w:abstractNumId w:val="12"/>
  </w:num>
  <w:num w:numId="13" w16cid:durableId="1458841350">
    <w:abstractNumId w:val="13"/>
  </w:num>
  <w:num w:numId="14" w16cid:durableId="205882194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8"/>
  <w:bordersDoNotSurroundHeader/>
  <w:bordersDoNotSurroundFooter/>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Oncogen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f5s2vsti5fvxle9xx2p0x5wses95fztez99&quot;&gt;A&lt;record-ids&gt;&lt;item&gt;2&lt;/item&gt;&lt;item&gt;3&lt;/item&gt;&lt;item&gt;4&lt;/item&gt;&lt;item&gt;5&lt;/item&gt;&lt;/record-ids&gt;&lt;/item&gt;&lt;/Libraries&gt;"/>
  </w:docVars>
  <w:rsids>
    <w:rsidRoot w:val="002C030F"/>
    <w:rsid w:val="000004B2"/>
    <w:rsid w:val="00015F74"/>
    <w:rsid w:val="00017C53"/>
    <w:rsid w:val="00030840"/>
    <w:rsid w:val="000555CB"/>
    <w:rsid w:val="00065EBD"/>
    <w:rsid w:val="00083B44"/>
    <w:rsid w:val="000850DC"/>
    <w:rsid w:val="000A41E4"/>
    <w:rsid w:val="000C2771"/>
    <w:rsid w:val="000C5F36"/>
    <w:rsid w:val="000C782B"/>
    <w:rsid w:val="000F0DCE"/>
    <w:rsid w:val="0011073A"/>
    <w:rsid w:val="00112C5B"/>
    <w:rsid w:val="00114193"/>
    <w:rsid w:val="00115A38"/>
    <w:rsid w:val="0011687B"/>
    <w:rsid w:val="00124F82"/>
    <w:rsid w:val="00157CE7"/>
    <w:rsid w:val="0016337A"/>
    <w:rsid w:val="00164269"/>
    <w:rsid w:val="001A1BDE"/>
    <w:rsid w:val="001C0520"/>
    <w:rsid w:val="001C0975"/>
    <w:rsid w:val="001C7591"/>
    <w:rsid w:val="001F0876"/>
    <w:rsid w:val="001F167C"/>
    <w:rsid w:val="001F5E91"/>
    <w:rsid w:val="002077B9"/>
    <w:rsid w:val="00262D72"/>
    <w:rsid w:val="00294FBB"/>
    <w:rsid w:val="002A54A0"/>
    <w:rsid w:val="002C030F"/>
    <w:rsid w:val="002C667A"/>
    <w:rsid w:val="002E5537"/>
    <w:rsid w:val="00325D90"/>
    <w:rsid w:val="00331D75"/>
    <w:rsid w:val="00332BFB"/>
    <w:rsid w:val="00355362"/>
    <w:rsid w:val="00363E44"/>
    <w:rsid w:val="00387114"/>
    <w:rsid w:val="00395E86"/>
    <w:rsid w:val="00397983"/>
    <w:rsid w:val="003A2FD8"/>
    <w:rsid w:val="003B40E6"/>
    <w:rsid w:val="003D3BD3"/>
    <w:rsid w:val="003F6E14"/>
    <w:rsid w:val="00405336"/>
    <w:rsid w:val="004425AF"/>
    <w:rsid w:val="00443FE8"/>
    <w:rsid w:val="004571D5"/>
    <w:rsid w:val="00461D81"/>
    <w:rsid w:val="0046356B"/>
    <w:rsid w:val="00477182"/>
    <w:rsid w:val="004779CB"/>
    <w:rsid w:val="004A159F"/>
    <w:rsid w:val="004B2F21"/>
    <w:rsid w:val="004E42D8"/>
    <w:rsid w:val="004E7BA2"/>
    <w:rsid w:val="004F7EDF"/>
    <w:rsid w:val="005001AC"/>
    <w:rsid w:val="0051483A"/>
    <w:rsid w:val="00523EF6"/>
    <w:rsid w:val="00527D71"/>
    <w:rsid w:val="00536A63"/>
    <w:rsid w:val="00544988"/>
    <w:rsid w:val="005607DD"/>
    <w:rsid w:val="005609E9"/>
    <w:rsid w:val="005773F5"/>
    <w:rsid w:val="005A558C"/>
    <w:rsid w:val="005A6241"/>
    <w:rsid w:val="005C52D5"/>
    <w:rsid w:val="005D088E"/>
    <w:rsid w:val="005E28F8"/>
    <w:rsid w:val="005E6513"/>
    <w:rsid w:val="006069C6"/>
    <w:rsid w:val="00611A19"/>
    <w:rsid w:val="006140DF"/>
    <w:rsid w:val="00631567"/>
    <w:rsid w:val="00651114"/>
    <w:rsid w:val="0065772A"/>
    <w:rsid w:val="00670299"/>
    <w:rsid w:val="00690668"/>
    <w:rsid w:val="00691985"/>
    <w:rsid w:val="006A1B64"/>
    <w:rsid w:val="006C2F59"/>
    <w:rsid w:val="006C514E"/>
    <w:rsid w:val="006D169A"/>
    <w:rsid w:val="006E3E68"/>
    <w:rsid w:val="007108F5"/>
    <w:rsid w:val="00713E5B"/>
    <w:rsid w:val="007402FC"/>
    <w:rsid w:val="007411A1"/>
    <w:rsid w:val="00763345"/>
    <w:rsid w:val="00763C8B"/>
    <w:rsid w:val="007843C9"/>
    <w:rsid w:val="00797F24"/>
    <w:rsid w:val="007B5946"/>
    <w:rsid w:val="007C1763"/>
    <w:rsid w:val="007D6295"/>
    <w:rsid w:val="007D7DDA"/>
    <w:rsid w:val="007F5297"/>
    <w:rsid w:val="00807D35"/>
    <w:rsid w:val="00820484"/>
    <w:rsid w:val="00824DF3"/>
    <w:rsid w:val="00840BB2"/>
    <w:rsid w:val="00845E12"/>
    <w:rsid w:val="00873BBB"/>
    <w:rsid w:val="0087593F"/>
    <w:rsid w:val="00885C9B"/>
    <w:rsid w:val="00886056"/>
    <w:rsid w:val="008C069B"/>
    <w:rsid w:val="008D5D2A"/>
    <w:rsid w:val="00914B63"/>
    <w:rsid w:val="00921996"/>
    <w:rsid w:val="009258B8"/>
    <w:rsid w:val="009354F3"/>
    <w:rsid w:val="00943C3C"/>
    <w:rsid w:val="009447DC"/>
    <w:rsid w:val="009519CF"/>
    <w:rsid w:val="00961BA5"/>
    <w:rsid w:val="009743A9"/>
    <w:rsid w:val="0097758B"/>
    <w:rsid w:val="009A5287"/>
    <w:rsid w:val="009A670E"/>
    <w:rsid w:val="009B2AC5"/>
    <w:rsid w:val="009B7984"/>
    <w:rsid w:val="009D6B1C"/>
    <w:rsid w:val="009F4BED"/>
    <w:rsid w:val="009F7D93"/>
    <w:rsid w:val="00A06D99"/>
    <w:rsid w:val="00A12881"/>
    <w:rsid w:val="00A3403B"/>
    <w:rsid w:val="00A51A12"/>
    <w:rsid w:val="00A627D4"/>
    <w:rsid w:val="00A70254"/>
    <w:rsid w:val="00A72B81"/>
    <w:rsid w:val="00A74DA2"/>
    <w:rsid w:val="00A82160"/>
    <w:rsid w:val="00AA6664"/>
    <w:rsid w:val="00AC15B4"/>
    <w:rsid w:val="00AC1FA9"/>
    <w:rsid w:val="00AD499C"/>
    <w:rsid w:val="00AE5A70"/>
    <w:rsid w:val="00B003EE"/>
    <w:rsid w:val="00B038F4"/>
    <w:rsid w:val="00B15008"/>
    <w:rsid w:val="00B15173"/>
    <w:rsid w:val="00B16F99"/>
    <w:rsid w:val="00B3417A"/>
    <w:rsid w:val="00B36869"/>
    <w:rsid w:val="00B37354"/>
    <w:rsid w:val="00B42F9C"/>
    <w:rsid w:val="00B43B31"/>
    <w:rsid w:val="00B440EA"/>
    <w:rsid w:val="00B47CFA"/>
    <w:rsid w:val="00B57F00"/>
    <w:rsid w:val="00B73A1C"/>
    <w:rsid w:val="00B77B2A"/>
    <w:rsid w:val="00B82C22"/>
    <w:rsid w:val="00B8723B"/>
    <w:rsid w:val="00B93DBA"/>
    <w:rsid w:val="00B9440A"/>
    <w:rsid w:val="00BA7080"/>
    <w:rsid w:val="00BB2D2A"/>
    <w:rsid w:val="00BC4A9B"/>
    <w:rsid w:val="00BD58CF"/>
    <w:rsid w:val="00BD7BD0"/>
    <w:rsid w:val="00BF35CC"/>
    <w:rsid w:val="00C01D51"/>
    <w:rsid w:val="00C046DC"/>
    <w:rsid w:val="00C04CC1"/>
    <w:rsid w:val="00C159E2"/>
    <w:rsid w:val="00C218CA"/>
    <w:rsid w:val="00C364C5"/>
    <w:rsid w:val="00C47714"/>
    <w:rsid w:val="00C50C6D"/>
    <w:rsid w:val="00C600D9"/>
    <w:rsid w:val="00C657B7"/>
    <w:rsid w:val="00CC1384"/>
    <w:rsid w:val="00CD3720"/>
    <w:rsid w:val="00CE21F7"/>
    <w:rsid w:val="00CF16C9"/>
    <w:rsid w:val="00CF1848"/>
    <w:rsid w:val="00CF5C2F"/>
    <w:rsid w:val="00D04BCF"/>
    <w:rsid w:val="00D143D9"/>
    <w:rsid w:val="00D260CB"/>
    <w:rsid w:val="00D269AB"/>
    <w:rsid w:val="00D346C2"/>
    <w:rsid w:val="00DA22DA"/>
    <w:rsid w:val="00DA59EA"/>
    <w:rsid w:val="00DB0B1D"/>
    <w:rsid w:val="00DC623A"/>
    <w:rsid w:val="00DD421A"/>
    <w:rsid w:val="00E257C8"/>
    <w:rsid w:val="00E37047"/>
    <w:rsid w:val="00E53905"/>
    <w:rsid w:val="00E60D0F"/>
    <w:rsid w:val="00E62657"/>
    <w:rsid w:val="00E704F3"/>
    <w:rsid w:val="00E81E59"/>
    <w:rsid w:val="00E872AE"/>
    <w:rsid w:val="00E9773B"/>
    <w:rsid w:val="00EA596B"/>
    <w:rsid w:val="00EC13A3"/>
    <w:rsid w:val="00EC7C85"/>
    <w:rsid w:val="00ED5AB6"/>
    <w:rsid w:val="00F04CD9"/>
    <w:rsid w:val="00F125EE"/>
    <w:rsid w:val="00F12E98"/>
    <w:rsid w:val="00F22029"/>
    <w:rsid w:val="00F25DEF"/>
    <w:rsid w:val="00F514EC"/>
    <w:rsid w:val="00F51F12"/>
    <w:rsid w:val="00F60CD4"/>
    <w:rsid w:val="00F630EA"/>
    <w:rsid w:val="00F7007E"/>
    <w:rsid w:val="00F70200"/>
    <w:rsid w:val="00F73193"/>
    <w:rsid w:val="00F74F95"/>
    <w:rsid w:val="00F80705"/>
    <w:rsid w:val="00FA1481"/>
    <w:rsid w:val="00FC3C2C"/>
    <w:rsid w:val="00FE253F"/>
    <w:rsid w:val="00FF04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57D1EA8"/>
  <w15:docId w15:val="{44D555E4-DB32-4E4E-914C-3E579D6D7A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630EA"/>
    <w:rPr>
      <w:sz w:val="24"/>
    </w:rPr>
  </w:style>
  <w:style w:type="paragraph" w:styleId="Heading1">
    <w:name w:val="heading 1"/>
    <w:basedOn w:val="Normal"/>
    <w:next w:val="Normal"/>
    <w:link w:val="Heading1Char"/>
    <w:semiHidden/>
    <w:qFormat/>
    <w:rsid w:val="00B43B31"/>
    <w:pPr>
      <w:keepNext/>
      <w:spacing w:before="240" w:after="60"/>
      <w:outlineLvl w:val="0"/>
    </w:pPr>
    <w:rPr>
      <w:b/>
      <w:bCs/>
      <w:kern w:val="32"/>
      <w:szCs w:val="24"/>
    </w:rPr>
  </w:style>
  <w:style w:type="paragraph" w:styleId="Heading2">
    <w:name w:val="heading 2"/>
    <w:basedOn w:val="Normal"/>
    <w:next w:val="Normal"/>
    <w:link w:val="Heading2Char"/>
    <w:semiHidden/>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semiHidden/>
    <w:qFormat/>
    <w:rsid w:val="00C600D9"/>
    <w:pPr>
      <w:keepNext/>
      <w:spacing w:line="480" w:lineRule="auto"/>
      <w:outlineLvl w:val="2"/>
    </w:pPr>
    <w:rPr>
      <w:rFonts w:ascii="Times" w:eastAsia="Times" w:hAnsi="Times"/>
      <w:b/>
    </w:rPr>
  </w:style>
  <w:style w:type="paragraph" w:styleId="Heading4">
    <w:name w:val="heading 4"/>
    <w:basedOn w:val="Normal"/>
    <w:next w:val="Normal"/>
    <w:semiHidden/>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rsid w:val="00477182"/>
  </w:style>
  <w:style w:type="character" w:customStyle="1" w:styleId="Heading1Char">
    <w:name w:val="Heading 1 Char"/>
    <w:basedOn w:val="DefaultParagraphFont"/>
    <w:link w:val="Heading1"/>
    <w:semiHidden/>
    <w:rsid w:val="00FF04E3"/>
    <w:rPr>
      <w:b/>
      <w:bCs/>
      <w:kern w:val="32"/>
      <w:sz w:val="24"/>
      <w:szCs w:val="24"/>
    </w:rPr>
  </w:style>
  <w:style w:type="character" w:customStyle="1" w:styleId="Heading2Char">
    <w:name w:val="Heading 2 Char"/>
    <w:basedOn w:val="DefaultParagraphFont"/>
    <w:link w:val="Heading2"/>
    <w:semiHidden/>
    <w:rsid w:val="00FF04E3"/>
    <w:rPr>
      <w:rFonts w:ascii="Cambria" w:hAnsi="Cambria"/>
      <w:b/>
      <w:bCs/>
      <w:i/>
      <w:iCs/>
      <w:sz w:val="28"/>
      <w:szCs w:val="28"/>
    </w:rPr>
  </w:style>
  <w:style w:type="character" w:customStyle="1" w:styleId="Heading5Char">
    <w:name w:val="Heading 5 Char"/>
    <w:basedOn w:val="DefaultParagraphFont"/>
    <w:link w:val="Heading5"/>
    <w:semiHidden/>
    <w:rsid w:val="00FF04E3"/>
    <w:rPr>
      <w:rFonts w:ascii="Calibri" w:hAnsi="Calibri"/>
      <w:b/>
      <w:bCs/>
      <w:i/>
      <w:iCs/>
      <w:sz w:val="26"/>
      <w:szCs w:val="26"/>
    </w:rPr>
  </w:style>
  <w:style w:type="character" w:customStyle="1" w:styleId="Heading6Char">
    <w:name w:val="Heading 6 Char"/>
    <w:basedOn w:val="DefaultParagraphFont"/>
    <w:link w:val="Heading6"/>
    <w:semiHidden/>
    <w:rsid w:val="00FF04E3"/>
    <w:rPr>
      <w:rFonts w:ascii="Calibri" w:hAnsi="Calibri"/>
      <w:b/>
      <w:bCs/>
      <w:sz w:val="22"/>
      <w:szCs w:val="22"/>
    </w:rPr>
  </w:style>
  <w:style w:type="character" w:customStyle="1" w:styleId="Heading7Char">
    <w:name w:val="Heading 7 Char"/>
    <w:basedOn w:val="DefaultParagraphFont"/>
    <w:link w:val="Heading7"/>
    <w:semiHidden/>
    <w:rsid w:val="00FF04E3"/>
    <w:rPr>
      <w:rFonts w:ascii="Calibri" w:hAnsi="Calibri"/>
      <w:sz w:val="24"/>
      <w:szCs w:val="24"/>
    </w:rPr>
  </w:style>
  <w:style w:type="character" w:customStyle="1" w:styleId="Heading8Char">
    <w:name w:val="Heading 8 Char"/>
    <w:basedOn w:val="DefaultParagraphFont"/>
    <w:link w:val="Heading8"/>
    <w:semiHidden/>
    <w:rsid w:val="00FF04E3"/>
    <w:rPr>
      <w:rFonts w:ascii="Calibri" w:hAnsi="Calibri"/>
      <w:i/>
      <w:iCs/>
      <w:sz w:val="24"/>
      <w:szCs w:val="24"/>
    </w:rPr>
  </w:style>
  <w:style w:type="character" w:customStyle="1" w:styleId="Heading9Char">
    <w:name w:val="Heading 9 Char"/>
    <w:basedOn w:val="DefaultParagraphFont"/>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link w:val="SMSubheading0"/>
    <w:qFormat/>
    <w:rsid w:val="00B9440A"/>
    <w:rPr>
      <w:u w:val="words"/>
    </w:rPr>
  </w:style>
  <w:style w:type="paragraph" w:customStyle="1" w:styleId="SMText">
    <w:name w:val="SM Text"/>
    <w:basedOn w:val="Normal"/>
    <w:qFormat/>
    <w:rsid w:val="00B9440A"/>
    <w:pPr>
      <w:ind w:firstLine="480"/>
    </w:pPr>
  </w:style>
  <w:style w:type="paragraph" w:customStyle="1" w:styleId="SMcaption">
    <w:name w:val="SM caption"/>
    <w:basedOn w:val="SMText"/>
    <w:qFormat/>
    <w:rsid w:val="00B9440A"/>
    <w:pPr>
      <w:ind w:firstLine="0"/>
    </w:p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basedOn w:val="DefaultParagraphFont"/>
    <w:link w:val="BalloonText"/>
    <w:semiHidden/>
    <w:rsid w:val="00FF04E3"/>
    <w:rPr>
      <w:rFonts w:ascii="Tahoma" w:hAnsi="Tahoma" w:cs="Tahoma"/>
      <w:sz w:val="16"/>
      <w:szCs w:val="16"/>
    </w:rPr>
  </w:style>
  <w:style w:type="paragraph" w:styleId="Bibliography">
    <w:name w:val="Bibliography"/>
    <w:basedOn w:val="Normal"/>
    <w:next w:val="Normal"/>
    <w:uiPriority w:val="37"/>
    <w:semiHidden/>
    <w:rsid w:val="00405336"/>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semiHidden/>
    <w:rsid w:val="00405336"/>
    <w:pPr>
      <w:spacing w:after="120"/>
    </w:pPr>
  </w:style>
  <w:style w:type="character" w:customStyle="1" w:styleId="BodyTextChar">
    <w:name w:val="Body Text Char"/>
    <w:basedOn w:val="DefaultParagraphFont"/>
    <w:link w:val="BodyText"/>
    <w:semiHidden/>
    <w:rsid w:val="00FF04E3"/>
    <w:rPr>
      <w:sz w:val="24"/>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basedOn w:val="DefaultParagraphFont"/>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basedOn w:val="DefaultParagraphFont"/>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basedOn w:val="BodyText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basedOn w:val="DefaultParagraphFont"/>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basedOn w:val="BodyTextIndent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basedOn w:val="DefaultParagraphFont"/>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basedOn w:val="DefaultParagraphFont"/>
    <w:link w:val="BodyTextIndent3"/>
    <w:semiHidden/>
    <w:rsid w:val="00FF04E3"/>
    <w:rPr>
      <w:sz w:val="16"/>
      <w:szCs w:val="16"/>
    </w:rPr>
  </w:style>
  <w:style w:type="paragraph" w:styleId="Caption">
    <w:name w:val="caption"/>
    <w:basedOn w:val="Normal"/>
    <w:next w:val="Normal"/>
    <w:semiHidden/>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basedOn w:val="DefaultParagraphFont"/>
    <w:link w:val="Closing"/>
    <w:semiHidden/>
    <w:rsid w:val="00FF04E3"/>
    <w:rPr>
      <w:sz w:val="24"/>
    </w:rPr>
  </w:style>
  <w:style w:type="paragraph" w:styleId="CommentText">
    <w:name w:val="annotation text"/>
    <w:basedOn w:val="Normal"/>
    <w:link w:val="CommentTextChar"/>
    <w:semiHidden/>
    <w:rsid w:val="00405336"/>
    <w:rPr>
      <w:sz w:val="20"/>
    </w:rPr>
  </w:style>
  <w:style w:type="character" w:customStyle="1" w:styleId="CommentTextChar">
    <w:name w:val="Comment Text Char"/>
    <w:basedOn w:val="DefaultParagraphFont"/>
    <w:link w:val="CommentText"/>
    <w:semiHidden/>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basedOn w:val="CommentTextChar"/>
    <w:link w:val="CommentSubject"/>
    <w:semiHidden/>
    <w:rsid w:val="00FF04E3"/>
    <w:rPr>
      <w:b/>
      <w:bCs/>
    </w:rPr>
  </w:style>
  <w:style w:type="paragraph" w:styleId="Date">
    <w:name w:val="Date"/>
    <w:basedOn w:val="Normal"/>
    <w:next w:val="Normal"/>
    <w:link w:val="DateChar"/>
    <w:semiHidden/>
    <w:rsid w:val="00405336"/>
  </w:style>
  <w:style w:type="character" w:customStyle="1" w:styleId="DateChar">
    <w:name w:val="Date Char"/>
    <w:basedOn w:val="DefaultParagraphFont"/>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basedOn w:val="DefaultParagraphFont"/>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basedOn w:val="DefaultParagraphFont"/>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semiHidden/>
    <w:rsid w:val="00405336"/>
    <w:pPr>
      <w:tabs>
        <w:tab w:val="center" w:pos="4680"/>
        <w:tab w:val="right" w:pos="9360"/>
      </w:tabs>
    </w:pPr>
  </w:style>
  <w:style w:type="character" w:customStyle="1" w:styleId="FooterChar">
    <w:name w:val="Footer Char"/>
    <w:basedOn w:val="DefaultParagraphFont"/>
    <w:link w:val="Footer"/>
    <w:semiHidden/>
    <w:rsid w:val="00FF04E3"/>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semiHidden/>
    <w:rsid w:val="00405336"/>
    <w:pPr>
      <w:tabs>
        <w:tab w:val="center" w:pos="4680"/>
        <w:tab w:val="right" w:pos="9360"/>
      </w:tabs>
    </w:pPr>
  </w:style>
  <w:style w:type="character" w:customStyle="1" w:styleId="HeaderChar">
    <w:name w:val="Header Char"/>
    <w:basedOn w:val="DefaultParagraphFont"/>
    <w:link w:val="Header"/>
    <w:semiHidden/>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basedOn w:val="DefaultParagraphFont"/>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basedOn w:val="DefaultParagraphFont"/>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basedOn w:val="DefaultParagraphFont"/>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numPr>
        <w:numId w:val="4"/>
      </w:numPr>
      <w:contextualSpacing/>
    </w:pPr>
  </w:style>
  <w:style w:type="paragraph" w:styleId="ListBullet5">
    <w:name w:val="List Bullet 5"/>
    <w:basedOn w:val="Normal"/>
    <w:semiHidden/>
    <w:rsid w:val="00405336"/>
    <w:pPr>
      <w:numPr>
        <w:numId w:val="5"/>
      </w:numPr>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numPr>
        <w:numId w:val="6"/>
      </w:numPr>
      <w:contextualSpacing/>
    </w:pPr>
  </w:style>
  <w:style w:type="paragraph" w:styleId="ListNumber2">
    <w:name w:val="List Number 2"/>
    <w:basedOn w:val="Normal"/>
    <w:semiHidden/>
    <w:rsid w:val="00405336"/>
    <w:pPr>
      <w:numPr>
        <w:numId w:val="7"/>
      </w:numPr>
      <w:contextualSpacing/>
    </w:pPr>
  </w:style>
  <w:style w:type="paragraph" w:styleId="ListNumber3">
    <w:name w:val="List Number 3"/>
    <w:basedOn w:val="Normal"/>
    <w:semiHidden/>
    <w:rsid w:val="00405336"/>
    <w:pPr>
      <w:numPr>
        <w:numId w:val="8"/>
      </w:numPr>
      <w:contextualSpacing/>
    </w:pPr>
  </w:style>
  <w:style w:type="paragraph" w:styleId="ListNumber4">
    <w:name w:val="List Number 4"/>
    <w:basedOn w:val="Normal"/>
    <w:semiHidden/>
    <w:rsid w:val="00405336"/>
    <w:pPr>
      <w:numPr>
        <w:numId w:val="9"/>
      </w:numPr>
      <w:contextualSpacing/>
    </w:pPr>
  </w:style>
  <w:style w:type="paragraph" w:styleId="ListNumber5">
    <w:name w:val="List Number 5"/>
    <w:basedOn w:val="Normal"/>
    <w:semiHidden/>
    <w:rsid w:val="00405336"/>
    <w:pPr>
      <w:numPr>
        <w:numId w:val="10"/>
      </w:numPr>
      <w:contextualSpacing/>
    </w:pPr>
  </w:style>
  <w:style w:type="paragraph" w:styleId="ListParagraph">
    <w:name w:val="List Paragraph"/>
    <w:basedOn w:val="Normal"/>
    <w:uiPriority w:val="34"/>
    <w:semiHidden/>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basedOn w:val="DefaultParagraphFont"/>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basedOn w:val="DefaultParagraphFont"/>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rPr>
      <w:sz w:val="24"/>
    </w:rPr>
  </w:style>
  <w:style w:type="paragraph" w:styleId="NormalWeb">
    <w:name w:val="Normal (Web)"/>
    <w:basedOn w:val="Normal"/>
    <w:link w:val="NormalWebChar"/>
    <w:uiPriority w:val="99"/>
    <w:semiHidden/>
    <w:rsid w:val="00405336"/>
    <w:rPr>
      <w:szCs w:val="24"/>
    </w:rPr>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basedOn w:val="DefaultParagraphFont"/>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basedOn w:val="DefaultParagraphFont"/>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basedOn w:val="DefaultParagraphFont"/>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basedOn w:val="DefaultParagraphFont"/>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basedOn w:val="DefaultParagraphFont"/>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szCs w:val="24"/>
    </w:rPr>
  </w:style>
  <w:style w:type="character" w:customStyle="1" w:styleId="SubtitleChar">
    <w:name w:val="Subtitle Char"/>
    <w:basedOn w:val="DefaultParagraphFont"/>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paragraph" w:styleId="Title">
    <w:name w:val="Title"/>
    <w:basedOn w:val="Normal"/>
    <w:next w:val="Normal"/>
    <w:link w:val="TitleChar"/>
    <w:semiHidden/>
    <w:qFormat/>
    <w:rsid w:val="00405336"/>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szCs w:val="24"/>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basedOn w:val="DefaultParagraphFont"/>
    <w:semiHidden/>
    <w:rsid w:val="007402FC"/>
    <w:rPr>
      <w:color w:val="0000FF"/>
      <w:u w:val="single"/>
    </w:rPr>
  </w:style>
  <w:style w:type="character" w:styleId="Emphasis">
    <w:name w:val="Emphasis"/>
    <w:basedOn w:val="DefaultParagraphFont"/>
    <w:uiPriority w:val="20"/>
    <w:qFormat/>
    <w:rsid w:val="00B42F9C"/>
    <w:rPr>
      <w:i/>
      <w:iCs/>
    </w:rPr>
  </w:style>
  <w:style w:type="character" w:styleId="CommentReference">
    <w:name w:val="annotation reference"/>
    <w:basedOn w:val="DefaultParagraphFont"/>
    <w:semiHidden/>
    <w:rsid w:val="009258B8"/>
    <w:rPr>
      <w:sz w:val="16"/>
      <w:szCs w:val="16"/>
    </w:rPr>
  </w:style>
  <w:style w:type="character" w:styleId="FollowedHyperlink">
    <w:name w:val="FollowedHyperlink"/>
    <w:basedOn w:val="DefaultParagraphFont"/>
    <w:semiHidden/>
    <w:unhideWhenUsed/>
    <w:rsid w:val="00611A19"/>
    <w:rPr>
      <w:color w:val="800080" w:themeColor="followedHyperlink"/>
      <w:u w:val="single"/>
    </w:rPr>
  </w:style>
  <w:style w:type="paragraph" w:customStyle="1" w:styleId="Paragraph">
    <w:name w:val="Paragraph"/>
    <w:basedOn w:val="Normal"/>
    <w:rsid w:val="00FC3C2C"/>
    <w:pPr>
      <w:spacing w:before="120"/>
      <w:ind w:firstLine="720"/>
    </w:pPr>
    <w:rPr>
      <w:rFonts w:eastAsia="Times New Roman"/>
      <w:szCs w:val="24"/>
    </w:rPr>
  </w:style>
  <w:style w:type="paragraph" w:customStyle="1" w:styleId="MDPI31text">
    <w:name w:val="MDPI_3.1_text"/>
    <w:link w:val="MDPI31textChar"/>
    <w:qFormat/>
    <w:rsid w:val="00FC3C2C"/>
    <w:pPr>
      <w:adjustRightInd w:val="0"/>
      <w:snapToGrid w:val="0"/>
      <w:spacing w:line="228" w:lineRule="auto"/>
      <w:ind w:left="2608" w:firstLine="425"/>
      <w:jc w:val="both"/>
    </w:pPr>
    <w:rPr>
      <w:rFonts w:ascii="Palatino Linotype" w:eastAsia="Times New Roman" w:hAnsi="Palatino Linotype"/>
      <w:snapToGrid w:val="0"/>
      <w:color w:val="000000"/>
      <w:szCs w:val="22"/>
      <w:lang w:eastAsia="de-DE" w:bidi="en-US"/>
    </w:rPr>
  </w:style>
  <w:style w:type="character" w:customStyle="1" w:styleId="MDPI31textChar">
    <w:name w:val="MDPI_3.1_text Char"/>
    <w:basedOn w:val="DefaultParagraphFont"/>
    <w:link w:val="MDPI31text"/>
    <w:rsid w:val="00FC3C2C"/>
    <w:rPr>
      <w:rFonts w:ascii="Palatino Linotype" w:eastAsia="Times New Roman" w:hAnsi="Palatino Linotype"/>
      <w:snapToGrid w:val="0"/>
      <w:color w:val="000000"/>
      <w:szCs w:val="22"/>
      <w:lang w:eastAsia="de-DE" w:bidi="en-US"/>
    </w:rPr>
  </w:style>
  <w:style w:type="paragraph" w:customStyle="1" w:styleId="1">
    <w:name w:val="文献目録1"/>
    <w:basedOn w:val="Normal"/>
    <w:link w:val="Bibliography0"/>
    <w:rsid w:val="00886056"/>
    <w:pPr>
      <w:numPr>
        <w:numId w:val="12"/>
      </w:numPr>
      <w:shd w:val="clear" w:color="auto" w:fill="FFFFFF"/>
      <w:tabs>
        <w:tab w:val="left" w:pos="380"/>
      </w:tabs>
      <w:spacing w:after="240"/>
      <w:ind w:left="384" w:hanging="384"/>
      <w:textAlignment w:val="baseline"/>
    </w:pPr>
    <w:rPr>
      <w:rFonts w:ascii="Arial" w:hAnsi="Arial" w:cs="Arial"/>
      <w:szCs w:val="24"/>
    </w:rPr>
  </w:style>
  <w:style w:type="character" w:customStyle="1" w:styleId="NormalWebChar">
    <w:name w:val="Normal (Web) Char"/>
    <w:basedOn w:val="DefaultParagraphFont"/>
    <w:link w:val="NormalWeb"/>
    <w:uiPriority w:val="99"/>
    <w:semiHidden/>
    <w:rsid w:val="00886056"/>
    <w:rPr>
      <w:sz w:val="24"/>
      <w:szCs w:val="24"/>
    </w:rPr>
  </w:style>
  <w:style w:type="character" w:customStyle="1" w:styleId="Bibliography0">
    <w:name w:val="Bibliography (文字)"/>
    <w:basedOn w:val="NormalWebChar"/>
    <w:link w:val="1"/>
    <w:rsid w:val="00886056"/>
    <w:rPr>
      <w:rFonts w:ascii="Arial" w:hAnsi="Arial" w:cs="Arial"/>
      <w:sz w:val="24"/>
      <w:szCs w:val="24"/>
      <w:shd w:val="clear" w:color="auto" w:fill="FFFFFF"/>
    </w:rPr>
  </w:style>
  <w:style w:type="paragraph" w:styleId="Revision">
    <w:name w:val="Revision"/>
    <w:hidden/>
    <w:uiPriority w:val="99"/>
    <w:semiHidden/>
    <w:rsid w:val="0011073A"/>
    <w:rPr>
      <w:sz w:val="24"/>
    </w:rPr>
  </w:style>
  <w:style w:type="paragraph" w:customStyle="1" w:styleId="2">
    <w:name w:val="文献目録2"/>
    <w:basedOn w:val="Normal"/>
    <w:link w:val="Bibliography1"/>
    <w:rsid w:val="00D260CB"/>
    <w:pPr>
      <w:shd w:val="clear" w:color="auto" w:fill="FFFFFF"/>
      <w:tabs>
        <w:tab w:val="left" w:pos="260"/>
      </w:tabs>
      <w:spacing w:after="240"/>
      <w:ind w:left="264" w:hanging="264"/>
      <w:textAlignment w:val="baseline"/>
    </w:pPr>
    <w:rPr>
      <w:rFonts w:ascii="Arial" w:hAnsi="Arial" w:cs="Arial"/>
      <w:szCs w:val="24"/>
    </w:rPr>
  </w:style>
  <w:style w:type="character" w:customStyle="1" w:styleId="Bibliography1">
    <w:name w:val="Bibliography (文字)1"/>
    <w:basedOn w:val="NormalWebChar"/>
    <w:link w:val="2"/>
    <w:rsid w:val="00D260CB"/>
    <w:rPr>
      <w:rFonts w:ascii="Arial" w:hAnsi="Arial" w:cs="Arial"/>
      <w:sz w:val="24"/>
      <w:szCs w:val="24"/>
      <w:shd w:val="clear" w:color="auto" w:fill="FFFFFF"/>
    </w:rPr>
  </w:style>
  <w:style w:type="paragraph" w:customStyle="1" w:styleId="EndNoteBibliographyTitle">
    <w:name w:val="EndNote Bibliography Title"/>
    <w:basedOn w:val="Normal"/>
    <w:link w:val="EndNoteBibliographyTitle0"/>
    <w:rsid w:val="004425AF"/>
    <w:pPr>
      <w:jc w:val="center"/>
    </w:pPr>
  </w:style>
  <w:style w:type="character" w:customStyle="1" w:styleId="SMSubheading0">
    <w:name w:val="SM Subheading (文字)"/>
    <w:basedOn w:val="DefaultParagraphFont"/>
    <w:link w:val="SMSubheading"/>
    <w:rsid w:val="004425AF"/>
    <w:rPr>
      <w:sz w:val="24"/>
      <w:u w:val="words"/>
    </w:rPr>
  </w:style>
  <w:style w:type="character" w:customStyle="1" w:styleId="EndNoteBibliographyTitle0">
    <w:name w:val="EndNote Bibliography Title (文字)"/>
    <w:basedOn w:val="SMSubheading0"/>
    <w:link w:val="EndNoteBibliographyTitle"/>
    <w:rsid w:val="004425AF"/>
    <w:rPr>
      <w:sz w:val="24"/>
      <w:u w:val="words"/>
    </w:rPr>
  </w:style>
  <w:style w:type="paragraph" w:customStyle="1" w:styleId="EndNoteBibliography">
    <w:name w:val="EndNote Bibliography"/>
    <w:basedOn w:val="Normal"/>
    <w:link w:val="EndNoteBibliography0"/>
    <w:rsid w:val="004425AF"/>
  </w:style>
  <w:style w:type="character" w:customStyle="1" w:styleId="EndNoteBibliography0">
    <w:name w:val="EndNote Bibliography (文字)"/>
    <w:basedOn w:val="SMSubheading0"/>
    <w:link w:val="EndNoteBibliography"/>
    <w:rsid w:val="004425AF"/>
    <w:rPr>
      <w:sz w:val="24"/>
      <w:u w:val="word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3178651">
      <w:bodyDiv w:val="1"/>
      <w:marLeft w:val="0"/>
      <w:marRight w:val="0"/>
      <w:marTop w:val="0"/>
      <w:marBottom w:val="0"/>
      <w:divBdr>
        <w:top w:val="none" w:sz="0" w:space="0" w:color="auto"/>
        <w:left w:val="none" w:sz="0" w:space="0" w:color="auto"/>
        <w:bottom w:val="none" w:sz="0" w:space="0" w:color="auto"/>
        <w:right w:val="none" w:sz="0" w:space="0" w:color="auto"/>
      </w:divBdr>
    </w:div>
    <w:div w:id="1469545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metaboanalyst.ca" TargetMode="External"/><Relationship Id="rId13" Type="http://schemas.openxmlformats.org/officeDocument/2006/relationships/image" Target="media/image5.jpeg"/><Relationship Id="rId18" Type="http://schemas.openxmlformats.org/officeDocument/2006/relationships/image" Target="media/image10.emf"/><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image" Target="media/image7.jpeg"/><Relationship Id="rId10" Type="http://schemas.openxmlformats.org/officeDocument/2006/relationships/image" Target="media/image2.jpeg"/><Relationship Id="rId19" Type="http://schemas.openxmlformats.org/officeDocument/2006/relationships/image" Target="media/image11.emf"/><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4F393AA4-9C60-7445-80FF-7D97C307345A}">
  <we:reference id="wa104380917" version="1.0.1.0" store="ja-JP" storeType="OMEX"/>
  <we:alternateReferences>
    <we:reference id="WA104380917" version="1.0.1.0" store="WA104380917"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8AD466-ED8C-8C49-861C-B50FADB732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16</Pages>
  <Words>3898</Words>
  <Characters>22221</Characters>
  <Application>Microsoft Office Word</Application>
  <DocSecurity>0</DocSecurity>
  <Lines>185</Lines>
  <Paragraphs>52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Supporting Online Material for</vt:lpstr>
    </vt:vector>
  </TitlesOfParts>
  <Manager/>
  <Company/>
  <LinksUpToDate>false</LinksUpToDate>
  <CharactersWithSpaces>26067</CharactersWithSpaces>
  <SharedDoc>false</SharedDoc>
  <HyperlinkBase/>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Bhowmick, Neil, PhD</dc:creator>
  <cp:keywords/>
  <dc:description/>
  <cp:lastModifiedBy>Bhowmick, Neil, PhD</cp:lastModifiedBy>
  <cp:revision>5</cp:revision>
  <cp:lastPrinted>2023-11-16T02:54:00Z</cp:lastPrinted>
  <dcterms:created xsi:type="dcterms:W3CDTF">2023-11-19T16:38:00Z</dcterms:created>
  <dcterms:modified xsi:type="dcterms:W3CDTF">2023-11-22T05:49:00Z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id="nAKJL9ly"/&gt;&lt;style id="http://www.zotero.org/styles/oncogene" hasBibliography="1" bibliographyStyleHasBeenSet="1"/&gt;&lt;prefs&gt;&lt;pref name="fieldType" value="Field"/&gt;&lt;/prefs&gt;&lt;/data&gt;</vt:lpwstr>
  </property>
</Properties>
</file>