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035E9F" w14:textId="10626911" w:rsidR="009C08A9" w:rsidRPr="000B771D" w:rsidRDefault="000B771D" w:rsidP="009C08A9">
      <w:pPr>
        <w:rPr>
          <w:rFonts w:eastAsiaTheme="minorEastAsia"/>
          <w:bCs/>
          <w:color w:val="000000" w:themeColor="text1"/>
          <w:kern w:val="0"/>
          <w:sz w:val="24"/>
        </w:rPr>
      </w:pPr>
      <w:r w:rsidRPr="000B771D">
        <w:rPr>
          <w:b/>
          <w:bCs/>
          <w:color w:val="000000"/>
          <w:kern w:val="0"/>
          <w:sz w:val="24"/>
        </w:rPr>
        <w:t>Supplementary</w:t>
      </w:r>
      <w:r w:rsidRPr="000B771D">
        <w:rPr>
          <w:b/>
          <w:bCs/>
          <w:color w:val="000000"/>
          <w:sz w:val="24"/>
        </w:rPr>
        <w:t xml:space="preserve"> </w:t>
      </w:r>
      <w:r w:rsidR="009C08A9" w:rsidRPr="000B771D">
        <w:rPr>
          <w:b/>
          <w:bCs/>
          <w:color w:val="000000"/>
          <w:sz w:val="24"/>
        </w:rPr>
        <w:t xml:space="preserve">Table </w:t>
      </w:r>
      <w:r w:rsidRPr="000B771D">
        <w:rPr>
          <w:b/>
          <w:bCs/>
          <w:color w:val="000000"/>
          <w:sz w:val="24"/>
        </w:rPr>
        <w:t>1</w:t>
      </w:r>
      <w:r w:rsidR="009C08A9" w:rsidRPr="009C08A9">
        <w:rPr>
          <w:b/>
          <w:color w:val="000000"/>
          <w:sz w:val="24"/>
        </w:rPr>
        <w:t xml:space="preserve"> </w:t>
      </w:r>
      <w:r w:rsidR="009C08A9" w:rsidRPr="000B771D">
        <w:rPr>
          <w:rFonts w:eastAsiaTheme="minorEastAsia"/>
          <w:bCs/>
          <w:color w:val="000000"/>
          <w:sz w:val="24"/>
          <w:szCs w:val="22"/>
        </w:rPr>
        <w:t>Renal pathological data</w:t>
      </w:r>
      <w:r w:rsidR="009C08A9" w:rsidRPr="000B771D">
        <w:rPr>
          <w:bCs/>
          <w:color w:val="000000"/>
          <w:sz w:val="24"/>
        </w:rPr>
        <w:t xml:space="preserve"> of </w:t>
      </w:r>
      <w:r w:rsidR="009C08A9" w:rsidRPr="000B771D">
        <w:rPr>
          <w:bCs/>
          <w:kern w:val="0"/>
          <w:sz w:val="24"/>
        </w:rPr>
        <w:t xml:space="preserve">patients with endocapillary </w:t>
      </w:r>
      <w:r w:rsidR="009C08A9" w:rsidRPr="000B771D">
        <w:rPr>
          <w:rFonts w:eastAsiaTheme="minorEastAsia"/>
          <w:bCs/>
          <w:color w:val="000000" w:themeColor="text1"/>
          <w:kern w:val="0"/>
          <w:sz w:val="24"/>
        </w:rPr>
        <w:t>proliferative glomerulonephritis</w:t>
      </w:r>
    </w:p>
    <w:tbl>
      <w:tblPr>
        <w:tblStyle w:val="a4"/>
        <w:tblpPr w:leftFromText="180" w:rightFromText="180" w:vertAnchor="text" w:horzAnchor="margin" w:tblpX="-10" w:tblpY="134"/>
        <w:tblW w:w="8359" w:type="dxa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0"/>
        <w:gridCol w:w="4252"/>
        <w:gridCol w:w="2127"/>
      </w:tblGrid>
      <w:tr w:rsidR="009C08A9" w:rsidRPr="0023140A" w14:paraId="3AD621BE" w14:textId="77777777" w:rsidTr="009C08A9">
        <w:trPr>
          <w:trHeight w:val="269"/>
        </w:trPr>
        <w:tc>
          <w:tcPr>
            <w:tcW w:w="1980" w:type="dxa"/>
            <w:tcBorders>
              <w:bottom w:val="single" w:sz="4" w:space="0" w:color="auto"/>
            </w:tcBorders>
          </w:tcPr>
          <w:p w14:paraId="2EB1D1F8" w14:textId="46AB7F96" w:rsidR="009C08A9" w:rsidRPr="009C08A9" w:rsidRDefault="009C08A9" w:rsidP="009C08A9">
            <w:pPr>
              <w:rPr>
                <w:rFonts w:eastAsiaTheme="minorEastAsia"/>
                <w:b/>
                <w:bCs/>
                <w:color w:val="000000" w:themeColor="text1"/>
                <w:sz w:val="18"/>
                <w:szCs w:val="18"/>
              </w:rPr>
            </w:pPr>
            <w:r w:rsidRPr="009C08A9">
              <w:rPr>
                <w:rFonts w:eastAsiaTheme="minorEastAsia" w:hint="eastAsia"/>
                <w:b/>
                <w:bCs/>
                <w:color w:val="000000" w:themeColor="text1"/>
                <w:sz w:val="18"/>
                <w:szCs w:val="18"/>
              </w:rPr>
              <w:t>All</w:t>
            </w:r>
            <w:r w:rsidRPr="009C08A9">
              <w:rPr>
                <w:rFonts w:eastAsiaTheme="minorEastAsia"/>
                <w:b/>
                <w:bCs/>
                <w:color w:val="000000" w:themeColor="text1"/>
                <w:sz w:val="18"/>
                <w:szCs w:val="18"/>
              </w:rPr>
              <w:t xml:space="preserve"> patients</w:t>
            </w:r>
          </w:p>
        </w:tc>
        <w:tc>
          <w:tcPr>
            <w:tcW w:w="4252" w:type="dxa"/>
            <w:tcBorders>
              <w:bottom w:val="single" w:sz="4" w:space="0" w:color="auto"/>
            </w:tcBorders>
          </w:tcPr>
          <w:p w14:paraId="76D0E2B2" w14:textId="3569C53D" w:rsidR="009C08A9" w:rsidRPr="0023140A" w:rsidRDefault="009C08A9" w:rsidP="009C08A9">
            <w:pPr>
              <w:rPr>
                <w:rFonts w:eastAsiaTheme="minorEastAsia"/>
                <w:color w:val="000000" w:themeColor="text1"/>
                <w:szCs w:val="21"/>
              </w:rPr>
            </w:pPr>
            <w:r w:rsidRPr="00172608">
              <w:rPr>
                <w:rFonts w:eastAsia="AdvTimes-i"/>
                <w:b/>
                <w:bCs/>
                <w:kern w:val="0"/>
                <w:sz w:val="18"/>
                <w:szCs w:val="18"/>
              </w:rPr>
              <w:t>Renal histopathology indices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14:paraId="4695AB11" w14:textId="77777777" w:rsidR="009C08A9" w:rsidRPr="0023140A" w:rsidRDefault="009C08A9" w:rsidP="009C08A9">
            <w:pPr>
              <w:rPr>
                <w:rFonts w:eastAsiaTheme="minorEastAsia"/>
                <w:color w:val="000000" w:themeColor="text1"/>
                <w:szCs w:val="21"/>
              </w:rPr>
            </w:pPr>
          </w:p>
        </w:tc>
      </w:tr>
      <w:tr w:rsidR="009C08A9" w:rsidRPr="00C6497C" w14:paraId="4CE19AD3" w14:textId="77777777" w:rsidTr="009C08A9">
        <w:trPr>
          <w:trHeight w:val="257"/>
        </w:trPr>
        <w:tc>
          <w:tcPr>
            <w:tcW w:w="1980" w:type="dxa"/>
            <w:tcBorders>
              <w:top w:val="single" w:sz="4" w:space="0" w:color="auto"/>
              <w:bottom w:val="nil"/>
            </w:tcBorders>
          </w:tcPr>
          <w:p w14:paraId="7CD41D27" w14:textId="659D83DB" w:rsidR="009C08A9" w:rsidRPr="0042195E" w:rsidRDefault="009C08A9" w:rsidP="009C08A9">
            <w:pPr>
              <w:jc w:val="left"/>
              <w:rPr>
                <w:color w:val="000000"/>
                <w:sz w:val="18"/>
                <w:szCs w:val="18"/>
              </w:rPr>
            </w:pPr>
          </w:p>
        </w:tc>
        <w:tc>
          <w:tcPr>
            <w:tcW w:w="4252" w:type="dxa"/>
            <w:tcBorders>
              <w:top w:val="single" w:sz="4" w:space="0" w:color="auto"/>
              <w:bottom w:val="nil"/>
            </w:tcBorders>
          </w:tcPr>
          <w:p w14:paraId="706F6770" w14:textId="24A03C36" w:rsidR="009C08A9" w:rsidRPr="00C6497C" w:rsidRDefault="009C08A9" w:rsidP="009C08A9">
            <w:pPr>
              <w:rPr>
                <w:rFonts w:eastAsiaTheme="minorEastAsia"/>
                <w:color w:val="000000" w:themeColor="text1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</w:t>
            </w:r>
            <w:r w:rsidRPr="0042195E">
              <w:rPr>
                <w:color w:val="000000"/>
                <w:sz w:val="18"/>
                <w:szCs w:val="18"/>
              </w:rPr>
              <w:t>rescents</w:t>
            </w:r>
            <w:r>
              <w:rPr>
                <w:color w:val="000000"/>
                <w:sz w:val="18"/>
                <w:szCs w:val="18"/>
              </w:rPr>
              <w:t xml:space="preserve"> no. (%)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</w:tcPr>
          <w:p w14:paraId="7CE020B4" w14:textId="2A523ED7" w:rsidR="009C08A9" w:rsidRPr="009C08A9" w:rsidRDefault="009C08A9" w:rsidP="009C08A9">
            <w:pPr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9C08A9">
              <w:rPr>
                <w:rFonts w:eastAsiaTheme="minorEastAsia"/>
                <w:color w:val="000000" w:themeColor="text1"/>
                <w:sz w:val="18"/>
                <w:szCs w:val="18"/>
              </w:rPr>
              <w:t>103(81.8%)</w:t>
            </w:r>
          </w:p>
        </w:tc>
      </w:tr>
      <w:tr w:rsidR="009C08A9" w:rsidRPr="00C6497C" w14:paraId="7225E1ED" w14:textId="77777777" w:rsidTr="009C08A9">
        <w:trPr>
          <w:trHeight w:val="269"/>
        </w:trPr>
        <w:tc>
          <w:tcPr>
            <w:tcW w:w="1980" w:type="dxa"/>
            <w:tcBorders>
              <w:top w:val="nil"/>
            </w:tcBorders>
          </w:tcPr>
          <w:p w14:paraId="05FD74E9" w14:textId="66D8519B" w:rsidR="009C08A9" w:rsidRPr="0042195E" w:rsidRDefault="009C08A9" w:rsidP="009C08A9">
            <w:pPr>
              <w:jc w:val="left"/>
              <w:rPr>
                <w:rFonts w:eastAsiaTheme="minorEastAsia"/>
                <w:color w:val="000000" w:themeColor="text1"/>
                <w:sz w:val="18"/>
                <w:szCs w:val="18"/>
              </w:rPr>
            </w:pPr>
          </w:p>
        </w:tc>
        <w:tc>
          <w:tcPr>
            <w:tcW w:w="4252" w:type="dxa"/>
            <w:tcBorders>
              <w:top w:val="nil"/>
            </w:tcBorders>
          </w:tcPr>
          <w:p w14:paraId="677AC378" w14:textId="6E350FC8" w:rsidR="009C08A9" w:rsidRPr="00C6497C" w:rsidRDefault="009C08A9" w:rsidP="009C08A9">
            <w:pPr>
              <w:rPr>
                <w:rFonts w:eastAsiaTheme="minorEastAsia"/>
                <w:color w:val="000000" w:themeColor="text1"/>
                <w:sz w:val="18"/>
                <w:szCs w:val="18"/>
              </w:rPr>
            </w:pPr>
            <w:bookmarkStart w:id="0" w:name="OLE_LINK60"/>
            <w:bookmarkStart w:id="1" w:name="OLE_LINK61"/>
            <w:r w:rsidRPr="00172608">
              <w:rPr>
                <w:color w:val="000000"/>
                <w:sz w:val="18"/>
                <w:szCs w:val="18"/>
              </w:rPr>
              <w:t>Interstitial inflammatory</w:t>
            </w:r>
            <w:bookmarkEnd w:id="0"/>
            <w:bookmarkEnd w:id="1"/>
            <w:r w:rsidRPr="00172608">
              <w:rPr>
                <w:color w:val="000000"/>
                <w:sz w:val="18"/>
                <w:szCs w:val="18"/>
              </w:rPr>
              <w:t xml:space="preserve"> cell infiltration</w:t>
            </w:r>
            <w:r>
              <w:rPr>
                <w:color w:val="000000"/>
                <w:sz w:val="18"/>
                <w:szCs w:val="18"/>
              </w:rPr>
              <w:t xml:space="preserve"> no. (%)</w:t>
            </w:r>
          </w:p>
        </w:tc>
        <w:tc>
          <w:tcPr>
            <w:tcW w:w="2127" w:type="dxa"/>
            <w:tcBorders>
              <w:top w:val="nil"/>
            </w:tcBorders>
          </w:tcPr>
          <w:p w14:paraId="6BA9AE9A" w14:textId="09389F7C" w:rsidR="009C08A9" w:rsidRPr="009C08A9" w:rsidRDefault="009C08A9" w:rsidP="009C08A9">
            <w:pPr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9C08A9">
              <w:rPr>
                <w:rFonts w:eastAsiaTheme="minorEastAsia"/>
                <w:color w:val="000000" w:themeColor="text1"/>
                <w:sz w:val="18"/>
                <w:szCs w:val="18"/>
              </w:rPr>
              <w:t>121(96.0%)</w:t>
            </w:r>
          </w:p>
        </w:tc>
      </w:tr>
      <w:tr w:rsidR="009C08A9" w:rsidRPr="00C6497C" w14:paraId="59570D98" w14:textId="77777777" w:rsidTr="009C08A9">
        <w:trPr>
          <w:trHeight w:val="269"/>
        </w:trPr>
        <w:tc>
          <w:tcPr>
            <w:tcW w:w="1980" w:type="dxa"/>
          </w:tcPr>
          <w:p w14:paraId="32594785" w14:textId="13BF9A7A" w:rsidR="009C08A9" w:rsidRPr="0042195E" w:rsidRDefault="009C08A9" w:rsidP="009C08A9">
            <w:pPr>
              <w:jc w:val="left"/>
              <w:rPr>
                <w:rFonts w:eastAsiaTheme="minorEastAsia"/>
                <w:color w:val="000000" w:themeColor="text1"/>
                <w:sz w:val="18"/>
                <w:szCs w:val="18"/>
              </w:rPr>
            </w:pPr>
          </w:p>
        </w:tc>
        <w:tc>
          <w:tcPr>
            <w:tcW w:w="4252" w:type="dxa"/>
          </w:tcPr>
          <w:p w14:paraId="26198E10" w14:textId="53D9CD15" w:rsidR="009C08A9" w:rsidRPr="00C6497C" w:rsidRDefault="009C08A9" w:rsidP="009C08A9">
            <w:pPr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172608">
              <w:rPr>
                <w:color w:val="000000"/>
                <w:sz w:val="18"/>
                <w:szCs w:val="18"/>
              </w:rPr>
              <w:t>Glomerular leukocyte infiltration</w:t>
            </w:r>
            <w:r>
              <w:rPr>
                <w:color w:val="000000"/>
                <w:sz w:val="18"/>
                <w:szCs w:val="18"/>
              </w:rPr>
              <w:t xml:space="preserve"> no. (%)</w:t>
            </w:r>
          </w:p>
        </w:tc>
        <w:tc>
          <w:tcPr>
            <w:tcW w:w="2127" w:type="dxa"/>
          </w:tcPr>
          <w:p w14:paraId="3D6BBFFF" w14:textId="606BDC9D" w:rsidR="009C08A9" w:rsidRPr="009C08A9" w:rsidRDefault="009C08A9" w:rsidP="009C08A9">
            <w:pPr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9C08A9">
              <w:rPr>
                <w:rFonts w:eastAsiaTheme="minorEastAsia"/>
                <w:color w:val="000000" w:themeColor="text1"/>
                <w:sz w:val="18"/>
                <w:szCs w:val="18"/>
              </w:rPr>
              <w:t>105(83.3%)</w:t>
            </w:r>
          </w:p>
        </w:tc>
      </w:tr>
      <w:tr w:rsidR="009C08A9" w:rsidRPr="00C6497C" w14:paraId="5D11DA1C" w14:textId="77777777" w:rsidTr="009C08A9">
        <w:trPr>
          <w:trHeight w:val="269"/>
        </w:trPr>
        <w:tc>
          <w:tcPr>
            <w:tcW w:w="1980" w:type="dxa"/>
          </w:tcPr>
          <w:p w14:paraId="7BB15542" w14:textId="02C2604D" w:rsidR="009C08A9" w:rsidRPr="009C08A9" w:rsidRDefault="009C08A9" w:rsidP="009C08A9">
            <w:pPr>
              <w:jc w:val="left"/>
              <w:rPr>
                <w:b/>
                <w:bCs/>
                <w:color w:val="000000"/>
                <w:sz w:val="18"/>
                <w:szCs w:val="18"/>
              </w:rPr>
            </w:pPr>
            <w:r w:rsidRPr="009C08A9">
              <w:rPr>
                <w:rFonts w:hint="eastAsia"/>
                <w:b/>
                <w:bCs/>
                <w:color w:val="000000"/>
                <w:sz w:val="18"/>
                <w:szCs w:val="18"/>
              </w:rPr>
              <w:t>P</w:t>
            </w:r>
            <w:r w:rsidRPr="009C08A9">
              <w:rPr>
                <w:b/>
                <w:bCs/>
                <w:color w:val="000000"/>
                <w:sz w:val="18"/>
                <w:szCs w:val="18"/>
              </w:rPr>
              <w:t>atients with LN</w:t>
            </w:r>
          </w:p>
        </w:tc>
        <w:tc>
          <w:tcPr>
            <w:tcW w:w="4252" w:type="dxa"/>
          </w:tcPr>
          <w:p w14:paraId="5D20CB65" w14:textId="5F18712E" w:rsidR="009C08A9" w:rsidRPr="00C6497C" w:rsidRDefault="009C08A9" w:rsidP="009C08A9">
            <w:pPr>
              <w:rPr>
                <w:color w:val="000000"/>
                <w:sz w:val="18"/>
                <w:szCs w:val="18"/>
              </w:rPr>
            </w:pPr>
            <w:r w:rsidRPr="00172608">
              <w:rPr>
                <w:rFonts w:eastAsia="AdvTimes-i"/>
                <w:b/>
                <w:bCs/>
                <w:kern w:val="0"/>
                <w:sz w:val="18"/>
                <w:szCs w:val="18"/>
              </w:rPr>
              <w:t>Renal histopathology indices</w:t>
            </w:r>
          </w:p>
        </w:tc>
        <w:tc>
          <w:tcPr>
            <w:tcW w:w="2127" w:type="dxa"/>
          </w:tcPr>
          <w:p w14:paraId="4E27DCCC" w14:textId="1692DCC8" w:rsidR="009C08A9" w:rsidRPr="009C08A9" w:rsidRDefault="009C08A9" w:rsidP="009C08A9">
            <w:pPr>
              <w:rPr>
                <w:color w:val="000000"/>
                <w:sz w:val="18"/>
                <w:szCs w:val="18"/>
              </w:rPr>
            </w:pPr>
          </w:p>
        </w:tc>
      </w:tr>
      <w:tr w:rsidR="009C08A9" w:rsidRPr="00C6497C" w14:paraId="4141717F" w14:textId="77777777" w:rsidTr="009C08A9">
        <w:trPr>
          <w:trHeight w:val="269"/>
        </w:trPr>
        <w:tc>
          <w:tcPr>
            <w:tcW w:w="1980" w:type="dxa"/>
          </w:tcPr>
          <w:p w14:paraId="10E93F4A" w14:textId="6BDBD0C0" w:rsidR="009C08A9" w:rsidRPr="0042195E" w:rsidRDefault="009C08A9" w:rsidP="009C08A9">
            <w:pPr>
              <w:jc w:val="left"/>
              <w:rPr>
                <w:color w:val="000000"/>
                <w:sz w:val="18"/>
                <w:szCs w:val="18"/>
              </w:rPr>
            </w:pPr>
          </w:p>
        </w:tc>
        <w:tc>
          <w:tcPr>
            <w:tcW w:w="4252" w:type="dxa"/>
          </w:tcPr>
          <w:p w14:paraId="5F2DA890" w14:textId="420E1062" w:rsidR="009C08A9" w:rsidRPr="00C6497C" w:rsidRDefault="009C08A9" w:rsidP="009C08A9">
            <w:pPr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E</w:t>
            </w:r>
            <w:r>
              <w:rPr>
                <w:color w:val="000000"/>
                <w:sz w:val="18"/>
                <w:szCs w:val="18"/>
              </w:rPr>
              <w:t>ndocapillary hypercellularity (median, IQR)</w:t>
            </w:r>
          </w:p>
        </w:tc>
        <w:tc>
          <w:tcPr>
            <w:tcW w:w="2127" w:type="dxa"/>
          </w:tcPr>
          <w:p w14:paraId="75A87C5E" w14:textId="099F7B1B" w:rsidR="009C08A9" w:rsidRPr="009C08A9" w:rsidRDefault="009C08A9" w:rsidP="009C08A9">
            <w:pPr>
              <w:rPr>
                <w:color w:val="000000"/>
                <w:sz w:val="18"/>
                <w:szCs w:val="18"/>
              </w:rPr>
            </w:pPr>
            <w:r w:rsidRPr="009C08A9">
              <w:rPr>
                <w:color w:val="000000"/>
                <w:sz w:val="18"/>
                <w:szCs w:val="18"/>
              </w:rPr>
              <w:t>2;2-2</w:t>
            </w:r>
          </w:p>
        </w:tc>
      </w:tr>
      <w:tr w:rsidR="009C08A9" w:rsidRPr="00C6497C" w14:paraId="6E333B20" w14:textId="77777777" w:rsidTr="009C08A9">
        <w:trPr>
          <w:trHeight w:val="269"/>
        </w:trPr>
        <w:tc>
          <w:tcPr>
            <w:tcW w:w="1980" w:type="dxa"/>
          </w:tcPr>
          <w:p w14:paraId="06ABE311" w14:textId="6AE455E0" w:rsidR="009C08A9" w:rsidRPr="0042195E" w:rsidRDefault="009C08A9" w:rsidP="009C08A9">
            <w:pPr>
              <w:jc w:val="left"/>
              <w:rPr>
                <w:color w:val="000000"/>
                <w:sz w:val="18"/>
                <w:szCs w:val="18"/>
              </w:rPr>
            </w:pPr>
          </w:p>
        </w:tc>
        <w:tc>
          <w:tcPr>
            <w:tcW w:w="4252" w:type="dxa"/>
          </w:tcPr>
          <w:p w14:paraId="0B32B30F" w14:textId="5833FC92" w:rsidR="009C08A9" w:rsidRPr="00C6497C" w:rsidRDefault="009C08A9" w:rsidP="009C08A9">
            <w:pPr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C</w:t>
            </w:r>
            <w:r>
              <w:rPr>
                <w:color w:val="000000"/>
                <w:sz w:val="18"/>
                <w:szCs w:val="18"/>
              </w:rPr>
              <w:t>ellular c</w:t>
            </w:r>
            <w:r w:rsidRPr="0042195E">
              <w:rPr>
                <w:color w:val="000000"/>
                <w:sz w:val="18"/>
                <w:szCs w:val="18"/>
              </w:rPr>
              <w:t>rescents</w:t>
            </w:r>
            <w:r>
              <w:rPr>
                <w:color w:val="000000"/>
                <w:sz w:val="18"/>
                <w:szCs w:val="18"/>
              </w:rPr>
              <w:t xml:space="preserve"> (median, IQR)</w:t>
            </w:r>
          </w:p>
        </w:tc>
        <w:tc>
          <w:tcPr>
            <w:tcW w:w="2127" w:type="dxa"/>
          </w:tcPr>
          <w:p w14:paraId="330BFC8C" w14:textId="2617FF81" w:rsidR="009C08A9" w:rsidRPr="009C08A9" w:rsidRDefault="009C08A9" w:rsidP="009C08A9">
            <w:pPr>
              <w:rPr>
                <w:color w:val="000000"/>
                <w:sz w:val="18"/>
                <w:szCs w:val="18"/>
              </w:rPr>
            </w:pPr>
            <w:r w:rsidRPr="009C08A9">
              <w:rPr>
                <w:color w:val="000000"/>
                <w:sz w:val="18"/>
                <w:szCs w:val="18"/>
              </w:rPr>
              <w:t>2;2-4</w:t>
            </w:r>
          </w:p>
        </w:tc>
      </w:tr>
      <w:tr w:rsidR="009C08A9" w:rsidRPr="00C6497C" w14:paraId="753A07E6" w14:textId="77777777" w:rsidTr="009C08A9">
        <w:trPr>
          <w:trHeight w:val="269"/>
        </w:trPr>
        <w:tc>
          <w:tcPr>
            <w:tcW w:w="1980" w:type="dxa"/>
          </w:tcPr>
          <w:p w14:paraId="71B9008C" w14:textId="54BF6397" w:rsidR="009C08A9" w:rsidRPr="0042195E" w:rsidRDefault="009C08A9" w:rsidP="009C08A9">
            <w:pPr>
              <w:jc w:val="left"/>
              <w:rPr>
                <w:color w:val="000000"/>
                <w:sz w:val="18"/>
                <w:szCs w:val="18"/>
              </w:rPr>
            </w:pPr>
          </w:p>
        </w:tc>
        <w:tc>
          <w:tcPr>
            <w:tcW w:w="4252" w:type="dxa"/>
          </w:tcPr>
          <w:p w14:paraId="6156ED6C" w14:textId="472D8CEB" w:rsidR="009C08A9" w:rsidRPr="00504B41" w:rsidRDefault="009C08A9" w:rsidP="009C08A9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K</w:t>
            </w:r>
            <w:r>
              <w:rPr>
                <w:color w:val="000000" w:themeColor="text1"/>
                <w:sz w:val="18"/>
                <w:szCs w:val="18"/>
              </w:rPr>
              <w:t xml:space="preserve">aryorrhexis/fibrinoid necrosis </w:t>
            </w:r>
            <w:r>
              <w:rPr>
                <w:color w:val="000000"/>
                <w:sz w:val="18"/>
                <w:szCs w:val="18"/>
              </w:rPr>
              <w:t>(median, IQR)</w:t>
            </w:r>
          </w:p>
        </w:tc>
        <w:tc>
          <w:tcPr>
            <w:tcW w:w="2127" w:type="dxa"/>
          </w:tcPr>
          <w:p w14:paraId="5EDF3E18" w14:textId="500A1D2C" w:rsidR="009C08A9" w:rsidRPr="009C08A9" w:rsidRDefault="009C08A9" w:rsidP="009C08A9">
            <w:pPr>
              <w:rPr>
                <w:color w:val="FF0000"/>
                <w:sz w:val="18"/>
                <w:szCs w:val="18"/>
              </w:rPr>
            </w:pPr>
            <w:r w:rsidRPr="009C08A9">
              <w:rPr>
                <w:color w:val="000000" w:themeColor="text1"/>
                <w:sz w:val="18"/>
                <w:szCs w:val="18"/>
              </w:rPr>
              <w:t>2;0-2</w:t>
            </w:r>
          </w:p>
        </w:tc>
      </w:tr>
      <w:tr w:rsidR="009C08A9" w:rsidRPr="00C6497C" w14:paraId="41C1179C" w14:textId="77777777" w:rsidTr="009C08A9">
        <w:trPr>
          <w:trHeight w:val="269"/>
        </w:trPr>
        <w:tc>
          <w:tcPr>
            <w:tcW w:w="1980" w:type="dxa"/>
          </w:tcPr>
          <w:p w14:paraId="4E4DE9CE" w14:textId="59A8829F" w:rsidR="009C08A9" w:rsidRPr="004160F6" w:rsidRDefault="009C08A9" w:rsidP="009C08A9">
            <w:pPr>
              <w:jc w:val="left"/>
              <w:rPr>
                <w:rFonts w:eastAsia="AdvTimes-i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4252" w:type="dxa"/>
          </w:tcPr>
          <w:p w14:paraId="1E0F695E" w14:textId="14C886F3" w:rsidR="009C08A9" w:rsidRPr="00C6497C" w:rsidRDefault="009C08A9" w:rsidP="009C08A9">
            <w:pPr>
              <w:rPr>
                <w:rFonts w:eastAsiaTheme="minorEastAsia"/>
                <w:color w:val="000000" w:themeColor="text1"/>
                <w:sz w:val="18"/>
                <w:szCs w:val="18"/>
              </w:rPr>
            </w:pPr>
            <w:r>
              <w:rPr>
                <w:rFonts w:eastAsiaTheme="minorEastAsia" w:hint="eastAsia"/>
                <w:color w:val="000000" w:themeColor="text1"/>
                <w:sz w:val="18"/>
                <w:szCs w:val="18"/>
              </w:rPr>
              <w:t>S</w:t>
            </w:r>
            <w:r>
              <w:rPr>
                <w:rFonts w:eastAsiaTheme="minorEastAsia"/>
                <w:color w:val="000000" w:themeColor="text1"/>
                <w:sz w:val="18"/>
                <w:szCs w:val="18"/>
              </w:rPr>
              <w:t xml:space="preserve">ubendothelial hyaline deposits </w:t>
            </w:r>
            <w:r>
              <w:rPr>
                <w:color w:val="000000"/>
                <w:sz w:val="18"/>
                <w:szCs w:val="18"/>
              </w:rPr>
              <w:t>(median, IQR)</w:t>
            </w:r>
          </w:p>
        </w:tc>
        <w:tc>
          <w:tcPr>
            <w:tcW w:w="2127" w:type="dxa"/>
          </w:tcPr>
          <w:p w14:paraId="5049F358" w14:textId="14DBBD17" w:rsidR="009C08A9" w:rsidRPr="009C08A9" w:rsidRDefault="009C08A9" w:rsidP="009C08A9">
            <w:pPr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9C08A9">
              <w:rPr>
                <w:rFonts w:eastAsiaTheme="minorEastAsia"/>
                <w:color w:val="000000" w:themeColor="text1"/>
                <w:sz w:val="18"/>
                <w:szCs w:val="18"/>
              </w:rPr>
              <w:t>1;0-1</w:t>
            </w:r>
          </w:p>
        </w:tc>
      </w:tr>
      <w:tr w:rsidR="009C08A9" w:rsidRPr="00C6497C" w14:paraId="297FAEB0" w14:textId="77777777" w:rsidTr="009C08A9">
        <w:trPr>
          <w:trHeight w:val="269"/>
        </w:trPr>
        <w:tc>
          <w:tcPr>
            <w:tcW w:w="1980" w:type="dxa"/>
          </w:tcPr>
          <w:p w14:paraId="27B3A180" w14:textId="6C5B9F4A" w:rsidR="009C08A9" w:rsidRPr="00172608" w:rsidRDefault="009C08A9" w:rsidP="009C08A9">
            <w:pPr>
              <w:jc w:val="left"/>
              <w:rPr>
                <w:rFonts w:eastAsia="AdvTimes-i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4252" w:type="dxa"/>
          </w:tcPr>
          <w:p w14:paraId="31477F92" w14:textId="4104CF5D" w:rsidR="009C08A9" w:rsidRPr="00221674" w:rsidRDefault="009C08A9" w:rsidP="009C08A9">
            <w:pPr>
              <w:rPr>
                <w:rFonts w:eastAsiaTheme="minorEastAsia"/>
                <w:color w:val="000000" w:themeColor="text1"/>
                <w:sz w:val="18"/>
                <w:szCs w:val="18"/>
              </w:rPr>
            </w:pPr>
            <w:r>
              <w:rPr>
                <w:rFonts w:eastAsiaTheme="minorEastAsia" w:hint="eastAsia"/>
                <w:color w:val="000000" w:themeColor="text1"/>
                <w:sz w:val="18"/>
                <w:szCs w:val="18"/>
              </w:rPr>
              <w:t>I</w:t>
            </w:r>
            <w:r>
              <w:rPr>
                <w:rFonts w:eastAsiaTheme="minorEastAsia"/>
                <w:color w:val="000000" w:themeColor="text1"/>
                <w:sz w:val="18"/>
                <w:szCs w:val="18"/>
              </w:rPr>
              <w:t xml:space="preserve">nterstitial inflammatory </w:t>
            </w:r>
            <w:r w:rsidRPr="00172608">
              <w:rPr>
                <w:color w:val="000000"/>
                <w:sz w:val="18"/>
                <w:szCs w:val="18"/>
              </w:rPr>
              <w:t>cell infiltration</w:t>
            </w:r>
            <w:r>
              <w:rPr>
                <w:color w:val="000000"/>
                <w:sz w:val="18"/>
                <w:szCs w:val="18"/>
              </w:rPr>
              <w:t xml:space="preserve"> (median, IQR)</w:t>
            </w:r>
          </w:p>
        </w:tc>
        <w:tc>
          <w:tcPr>
            <w:tcW w:w="2127" w:type="dxa"/>
          </w:tcPr>
          <w:p w14:paraId="1EF5D63D" w14:textId="729BDB30" w:rsidR="009C08A9" w:rsidRPr="009C08A9" w:rsidRDefault="009C08A9" w:rsidP="009C08A9">
            <w:pPr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9C08A9">
              <w:rPr>
                <w:rFonts w:eastAsiaTheme="minorEastAsia"/>
                <w:color w:val="000000" w:themeColor="text1"/>
                <w:sz w:val="18"/>
                <w:szCs w:val="18"/>
              </w:rPr>
              <w:t>1;1-2</w:t>
            </w:r>
          </w:p>
        </w:tc>
      </w:tr>
      <w:tr w:rsidR="009C08A9" w:rsidRPr="00C6497C" w14:paraId="54D4E9B5" w14:textId="77777777" w:rsidTr="009C08A9">
        <w:trPr>
          <w:trHeight w:val="269"/>
        </w:trPr>
        <w:tc>
          <w:tcPr>
            <w:tcW w:w="1980" w:type="dxa"/>
          </w:tcPr>
          <w:p w14:paraId="225D6451" w14:textId="29DA0D08" w:rsidR="009C08A9" w:rsidRPr="00172608" w:rsidRDefault="009C08A9" w:rsidP="009C08A9">
            <w:pPr>
              <w:jc w:val="left"/>
              <w:rPr>
                <w:color w:val="000000"/>
                <w:sz w:val="18"/>
                <w:szCs w:val="18"/>
              </w:rPr>
            </w:pPr>
          </w:p>
        </w:tc>
        <w:tc>
          <w:tcPr>
            <w:tcW w:w="4252" w:type="dxa"/>
          </w:tcPr>
          <w:p w14:paraId="73DE2AC0" w14:textId="2D4A7701" w:rsidR="009C08A9" w:rsidRPr="00221674" w:rsidRDefault="009C08A9" w:rsidP="009C08A9">
            <w:pPr>
              <w:rPr>
                <w:color w:val="000000" w:themeColor="text1"/>
                <w:sz w:val="18"/>
                <w:szCs w:val="18"/>
              </w:rPr>
            </w:pPr>
            <w:r w:rsidRPr="00172608">
              <w:rPr>
                <w:color w:val="000000"/>
                <w:sz w:val="18"/>
                <w:szCs w:val="18"/>
              </w:rPr>
              <w:t>Glomerular leukocyte infiltration</w:t>
            </w:r>
            <w:r>
              <w:rPr>
                <w:color w:val="000000"/>
                <w:sz w:val="18"/>
                <w:szCs w:val="18"/>
              </w:rPr>
              <w:t xml:space="preserve"> (median, IQR)</w:t>
            </w:r>
          </w:p>
        </w:tc>
        <w:tc>
          <w:tcPr>
            <w:tcW w:w="2127" w:type="dxa"/>
          </w:tcPr>
          <w:p w14:paraId="2D1AF1DA" w14:textId="2AD2D02B" w:rsidR="009C08A9" w:rsidRPr="009C08A9" w:rsidRDefault="009C08A9" w:rsidP="009C08A9">
            <w:pPr>
              <w:rPr>
                <w:color w:val="000000"/>
                <w:sz w:val="18"/>
                <w:szCs w:val="18"/>
              </w:rPr>
            </w:pPr>
            <w:r w:rsidRPr="009C08A9">
              <w:rPr>
                <w:color w:val="000000"/>
                <w:sz w:val="18"/>
                <w:szCs w:val="18"/>
              </w:rPr>
              <w:t>2;1-2</w:t>
            </w:r>
          </w:p>
        </w:tc>
      </w:tr>
      <w:tr w:rsidR="009C08A9" w:rsidRPr="00C6497C" w14:paraId="00CD8AD9" w14:textId="77777777" w:rsidTr="009C08A9">
        <w:trPr>
          <w:trHeight w:val="269"/>
        </w:trPr>
        <w:tc>
          <w:tcPr>
            <w:tcW w:w="1980" w:type="dxa"/>
          </w:tcPr>
          <w:p w14:paraId="071697B4" w14:textId="4BDAE1B2" w:rsidR="009C08A9" w:rsidRPr="00172608" w:rsidRDefault="009C08A9" w:rsidP="009C08A9">
            <w:pPr>
              <w:jc w:val="left"/>
              <w:rPr>
                <w:color w:val="000000"/>
                <w:sz w:val="18"/>
                <w:szCs w:val="18"/>
              </w:rPr>
            </w:pPr>
          </w:p>
        </w:tc>
        <w:tc>
          <w:tcPr>
            <w:tcW w:w="4252" w:type="dxa"/>
          </w:tcPr>
          <w:p w14:paraId="08C68ACB" w14:textId="2E00987F" w:rsidR="009C08A9" w:rsidRPr="00221674" w:rsidRDefault="009C08A9" w:rsidP="009C08A9">
            <w:pPr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42195E">
              <w:rPr>
                <w:color w:val="000000"/>
                <w:sz w:val="18"/>
                <w:szCs w:val="18"/>
              </w:rPr>
              <w:t>Activity indices (AIs) score</w:t>
            </w:r>
            <w:r>
              <w:rPr>
                <w:color w:val="000000"/>
                <w:sz w:val="18"/>
                <w:szCs w:val="18"/>
              </w:rPr>
              <w:t xml:space="preserve"> (median, IQR)</w:t>
            </w:r>
          </w:p>
        </w:tc>
        <w:tc>
          <w:tcPr>
            <w:tcW w:w="2127" w:type="dxa"/>
          </w:tcPr>
          <w:p w14:paraId="43C73C47" w14:textId="567E0FA4" w:rsidR="009C08A9" w:rsidRPr="009C08A9" w:rsidRDefault="009C08A9" w:rsidP="009C08A9">
            <w:pPr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9C08A9">
              <w:rPr>
                <w:rFonts w:eastAsiaTheme="minorEastAsia"/>
                <w:color w:val="000000" w:themeColor="text1"/>
                <w:sz w:val="18"/>
                <w:szCs w:val="18"/>
              </w:rPr>
              <w:t>8;7-10</w:t>
            </w:r>
          </w:p>
        </w:tc>
      </w:tr>
      <w:tr w:rsidR="009C08A9" w:rsidRPr="00C6497C" w14:paraId="31F3D26E" w14:textId="77777777" w:rsidTr="009C08A9">
        <w:trPr>
          <w:trHeight w:val="269"/>
        </w:trPr>
        <w:tc>
          <w:tcPr>
            <w:tcW w:w="1980" w:type="dxa"/>
          </w:tcPr>
          <w:p w14:paraId="68545C54" w14:textId="43BF52BD" w:rsidR="009C08A9" w:rsidRPr="0042195E" w:rsidRDefault="009C08A9" w:rsidP="009C08A9">
            <w:pPr>
              <w:jc w:val="left"/>
              <w:rPr>
                <w:rFonts w:eastAsiaTheme="minorEastAsia"/>
                <w:sz w:val="18"/>
                <w:szCs w:val="18"/>
              </w:rPr>
            </w:pPr>
          </w:p>
        </w:tc>
        <w:tc>
          <w:tcPr>
            <w:tcW w:w="4252" w:type="dxa"/>
          </w:tcPr>
          <w:p w14:paraId="0766F6E2" w14:textId="264FAF57" w:rsidR="009C08A9" w:rsidRPr="00221674" w:rsidRDefault="009C08A9" w:rsidP="009C08A9">
            <w:pPr>
              <w:rPr>
                <w:rFonts w:eastAsiaTheme="minorEastAsia"/>
                <w:color w:val="000000" w:themeColor="text1"/>
                <w:sz w:val="18"/>
                <w:szCs w:val="18"/>
              </w:rPr>
            </w:pPr>
            <w:r>
              <w:rPr>
                <w:rFonts w:eastAsiaTheme="minorEastAsia" w:hint="eastAsia"/>
                <w:color w:val="000000" w:themeColor="text1"/>
                <w:sz w:val="18"/>
                <w:szCs w:val="18"/>
              </w:rPr>
              <w:t>G</w:t>
            </w:r>
            <w:r>
              <w:rPr>
                <w:rFonts w:eastAsiaTheme="minorEastAsia"/>
                <w:color w:val="000000" w:themeColor="text1"/>
                <w:sz w:val="18"/>
                <w:szCs w:val="18"/>
              </w:rPr>
              <w:t xml:space="preserve">lomerular sclerosis </w:t>
            </w:r>
            <w:r>
              <w:rPr>
                <w:color w:val="000000"/>
                <w:sz w:val="18"/>
                <w:szCs w:val="18"/>
              </w:rPr>
              <w:t>(median, IQR)</w:t>
            </w:r>
          </w:p>
        </w:tc>
        <w:tc>
          <w:tcPr>
            <w:tcW w:w="2127" w:type="dxa"/>
          </w:tcPr>
          <w:p w14:paraId="1419FE6B" w14:textId="39B32D1B" w:rsidR="009C08A9" w:rsidRPr="009C08A9" w:rsidRDefault="009C08A9" w:rsidP="009C08A9">
            <w:pPr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9C08A9">
              <w:rPr>
                <w:rFonts w:eastAsiaTheme="minorEastAsia"/>
                <w:color w:val="000000" w:themeColor="text1"/>
                <w:sz w:val="18"/>
                <w:szCs w:val="18"/>
              </w:rPr>
              <w:t>0;0-1</w:t>
            </w:r>
          </w:p>
        </w:tc>
      </w:tr>
      <w:tr w:rsidR="009C08A9" w:rsidRPr="00C6497C" w14:paraId="7B65A935" w14:textId="77777777" w:rsidTr="009C08A9">
        <w:trPr>
          <w:trHeight w:val="269"/>
        </w:trPr>
        <w:tc>
          <w:tcPr>
            <w:tcW w:w="1980" w:type="dxa"/>
          </w:tcPr>
          <w:p w14:paraId="71DC91A3" w14:textId="12C3FA1B" w:rsidR="009C08A9" w:rsidRPr="0042195E" w:rsidRDefault="009C08A9" w:rsidP="009C08A9">
            <w:pPr>
              <w:jc w:val="left"/>
              <w:rPr>
                <w:color w:val="000000"/>
                <w:sz w:val="18"/>
                <w:szCs w:val="18"/>
              </w:rPr>
            </w:pPr>
          </w:p>
        </w:tc>
        <w:tc>
          <w:tcPr>
            <w:tcW w:w="4252" w:type="dxa"/>
          </w:tcPr>
          <w:p w14:paraId="35CC0597" w14:textId="43E6D180" w:rsidR="009C08A9" w:rsidRPr="00C6497C" w:rsidRDefault="009C08A9" w:rsidP="009C08A9">
            <w:pPr>
              <w:rPr>
                <w:rFonts w:eastAsiaTheme="minorEastAsia"/>
                <w:color w:val="000000" w:themeColor="text1"/>
                <w:sz w:val="18"/>
                <w:szCs w:val="18"/>
              </w:rPr>
            </w:pPr>
            <w:r>
              <w:rPr>
                <w:rFonts w:eastAsiaTheme="minorEastAsia" w:hint="eastAsia"/>
                <w:color w:val="000000" w:themeColor="text1"/>
                <w:sz w:val="18"/>
                <w:szCs w:val="18"/>
              </w:rPr>
              <w:t>F</w:t>
            </w:r>
            <w:r>
              <w:rPr>
                <w:rFonts w:eastAsiaTheme="minorEastAsia"/>
                <w:color w:val="000000" w:themeColor="text1"/>
                <w:sz w:val="18"/>
                <w:szCs w:val="18"/>
              </w:rPr>
              <w:t xml:space="preserve">ibrous crescents </w:t>
            </w:r>
            <w:r>
              <w:rPr>
                <w:color w:val="000000"/>
                <w:sz w:val="18"/>
                <w:szCs w:val="18"/>
              </w:rPr>
              <w:t>(median, IQR)</w:t>
            </w:r>
          </w:p>
        </w:tc>
        <w:tc>
          <w:tcPr>
            <w:tcW w:w="2127" w:type="dxa"/>
          </w:tcPr>
          <w:p w14:paraId="6EFF3091" w14:textId="6628F542" w:rsidR="009C08A9" w:rsidRPr="009C08A9" w:rsidRDefault="009C08A9" w:rsidP="009C08A9">
            <w:pPr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9C08A9">
              <w:rPr>
                <w:rFonts w:eastAsiaTheme="minorEastAsia"/>
                <w:color w:val="000000" w:themeColor="text1"/>
                <w:sz w:val="18"/>
                <w:szCs w:val="18"/>
              </w:rPr>
              <w:t>0.0-0</w:t>
            </w:r>
          </w:p>
        </w:tc>
      </w:tr>
      <w:tr w:rsidR="009C08A9" w:rsidRPr="00C6497C" w14:paraId="7AAB6B3F" w14:textId="77777777" w:rsidTr="009C08A9">
        <w:trPr>
          <w:trHeight w:val="269"/>
        </w:trPr>
        <w:tc>
          <w:tcPr>
            <w:tcW w:w="1980" w:type="dxa"/>
          </w:tcPr>
          <w:p w14:paraId="06195CAE" w14:textId="5E03EEAC" w:rsidR="009C08A9" w:rsidRPr="00271BD1" w:rsidRDefault="009C08A9" w:rsidP="009C08A9">
            <w:pPr>
              <w:jc w:val="left"/>
              <w:rPr>
                <w:color w:val="000000"/>
                <w:sz w:val="18"/>
                <w:szCs w:val="18"/>
              </w:rPr>
            </w:pPr>
          </w:p>
        </w:tc>
        <w:tc>
          <w:tcPr>
            <w:tcW w:w="4252" w:type="dxa"/>
          </w:tcPr>
          <w:p w14:paraId="16052D98" w14:textId="602E885C" w:rsidR="009C08A9" w:rsidRPr="00C6497C" w:rsidRDefault="009C08A9" w:rsidP="009C08A9">
            <w:pPr>
              <w:rPr>
                <w:rFonts w:eastAsiaTheme="minorEastAsia"/>
                <w:color w:val="000000" w:themeColor="text1"/>
                <w:sz w:val="18"/>
                <w:szCs w:val="18"/>
              </w:rPr>
            </w:pPr>
            <w:r>
              <w:rPr>
                <w:rFonts w:eastAsiaTheme="minorEastAsia" w:hint="eastAsia"/>
                <w:color w:val="000000" w:themeColor="text1"/>
                <w:sz w:val="18"/>
                <w:szCs w:val="18"/>
              </w:rPr>
              <w:t>T</w:t>
            </w:r>
            <w:r>
              <w:rPr>
                <w:rFonts w:eastAsiaTheme="minorEastAsia"/>
                <w:color w:val="000000" w:themeColor="text1"/>
                <w:sz w:val="18"/>
                <w:szCs w:val="18"/>
              </w:rPr>
              <w:t xml:space="preserve">ubular atrophy </w:t>
            </w:r>
            <w:r>
              <w:rPr>
                <w:color w:val="000000"/>
                <w:sz w:val="18"/>
                <w:szCs w:val="18"/>
              </w:rPr>
              <w:t>(median, IQR)</w:t>
            </w:r>
          </w:p>
        </w:tc>
        <w:tc>
          <w:tcPr>
            <w:tcW w:w="2127" w:type="dxa"/>
          </w:tcPr>
          <w:p w14:paraId="5FB2E467" w14:textId="45657A38" w:rsidR="009C08A9" w:rsidRPr="009C08A9" w:rsidRDefault="009C08A9" w:rsidP="009C08A9">
            <w:pPr>
              <w:rPr>
                <w:color w:val="000000" w:themeColor="text1"/>
                <w:sz w:val="18"/>
                <w:szCs w:val="18"/>
              </w:rPr>
            </w:pPr>
            <w:r w:rsidRPr="009C08A9">
              <w:rPr>
                <w:color w:val="000000" w:themeColor="text1"/>
                <w:sz w:val="18"/>
                <w:szCs w:val="18"/>
              </w:rPr>
              <w:t>1;1-1</w:t>
            </w:r>
          </w:p>
        </w:tc>
      </w:tr>
      <w:tr w:rsidR="009C08A9" w:rsidRPr="00C6497C" w14:paraId="26793F6A" w14:textId="77777777" w:rsidTr="009C08A9">
        <w:trPr>
          <w:trHeight w:val="269"/>
        </w:trPr>
        <w:tc>
          <w:tcPr>
            <w:tcW w:w="1980" w:type="dxa"/>
          </w:tcPr>
          <w:p w14:paraId="1AA019F2" w14:textId="77777777" w:rsidR="009C08A9" w:rsidRPr="00271BD1" w:rsidRDefault="009C08A9" w:rsidP="009C08A9">
            <w:pPr>
              <w:jc w:val="left"/>
              <w:rPr>
                <w:color w:val="000000"/>
                <w:sz w:val="18"/>
                <w:szCs w:val="18"/>
              </w:rPr>
            </w:pPr>
          </w:p>
        </w:tc>
        <w:tc>
          <w:tcPr>
            <w:tcW w:w="4252" w:type="dxa"/>
          </w:tcPr>
          <w:p w14:paraId="0B101B74" w14:textId="41763D87" w:rsidR="009C08A9" w:rsidRDefault="009C08A9" w:rsidP="009C08A9">
            <w:pPr>
              <w:rPr>
                <w:rFonts w:eastAsiaTheme="minorEastAsia"/>
                <w:color w:val="000000" w:themeColor="text1"/>
                <w:sz w:val="18"/>
                <w:szCs w:val="18"/>
              </w:rPr>
            </w:pPr>
            <w:r>
              <w:rPr>
                <w:rFonts w:eastAsiaTheme="minorEastAsia" w:hint="eastAsia"/>
                <w:color w:val="000000" w:themeColor="text1"/>
                <w:sz w:val="18"/>
                <w:szCs w:val="18"/>
              </w:rPr>
              <w:t>I</w:t>
            </w:r>
            <w:r>
              <w:rPr>
                <w:rFonts w:eastAsiaTheme="minorEastAsia"/>
                <w:color w:val="000000" w:themeColor="text1"/>
                <w:sz w:val="18"/>
                <w:szCs w:val="18"/>
              </w:rPr>
              <w:t xml:space="preserve">nterstitial fibrosis </w:t>
            </w:r>
            <w:r>
              <w:rPr>
                <w:color w:val="000000"/>
                <w:sz w:val="18"/>
                <w:szCs w:val="18"/>
              </w:rPr>
              <w:t>(median, IQR)</w:t>
            </w:r>
          </w:p>
        </w:tc>
        <w:tc>
          <w:tcPr>
            <w:tcW w:w="2127" w:type="dxa"/>
          </w:tcPr>
          <w:p w14:paraId="03F9F002" w14:textId="5651AE8F" w:rsidR="009C08A9" w:rsidRPr="009C08A9" w:rsidRDefault="009C08A9" w:rsidP="009C08A9">
            <w:pPr>
              <w:rPr>
                <w:color w:val="000000" w:themeColor="text1"/>
                <w:sz w:val="18"/>
                <w:szCs w:val="18"/>
              </w:rPr>
            </w:pPr>
            <w:r w:rsidRPr="009C08A9">
              <w:rPr>
                <w:color w:val="000000" w:themeColor="text1"/>
                <w:sz w:val="18"/>
                <w:szCs w:val="18"/>
              </w:rPr>
              <w:t>1;1-1</w:t>
            </w:r>
          </w:p>
        </w:tc>
      </w:tr>
      <w:tr w:rsidR="009C08A9" w:rsidRPr="00C6497C" w14:paraId="23E92AE1" w14:textId="77777777" w:rsidTr="009C08A9">
        <w:trPr>
          <w:trHeight w:val="269"/>
        </w:trPr>
        <w:tc>
          <w:tcPr>
            <w:tcW w:w="1980" w:type="dxa"/>
          </w:tcPr>
          <w:p w14:paraId="1D3E4B4C" w14:textId="57E82BC0" w:rsidR="009C08A9" w:rsidRPr="00271BD1" w:rsidRDefault="009C08A9" w:rsidP="009C08A9">
            <w:pPr>
              <w:jc w:val="left"/>
              <w:rPr>
                <w:color w:val="000000"/>
                <w:sz w:val="18"/>
                <w:szCs w:val="18"/>
              </w:rPr>
            </w:pPr>
          </w:p>
        </w:tc>
        <w:tc>
          <w:tcPr>
            <w:tcW w:w="4252" w:type="dxa"/>
          </w:tcPr>
          <w:p w14:paraId="79DB5C60" w14:textId="1029F9E2" w:rsidR="009C08A9" w:rsidRPr="00C6497C" w:rsidRDefault="009C08A9" w:rsidP="009C08A9">
            <w:pPr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271BD1">
              <w:rPr>
                <w:color w:val="000000"/>
                <w:sz w:val="18"/>
                <w:szCs w:val="18"/>
              </w:rPr>
              <w:t>Chronicity indices (CIs) score</w:t>
            </w:r>
            <w:r>
              <w:rPr>
                <w:color w:val="000000"/>
                <w:sz w:val="18"/>
                <w:szCs w:val="18"/>
              </w:rPr>
              <w:t xml:space="preserve"> (median, IQR)</w:t>
            </w:r>
          </w:p>
        </w:tc>
        <w:tc>
          <w:tcPr>
            <w:tcW w:w="2127" w:type="dxa"/>
          </w:tcPr>
          <w:p w14:paraId="6F73D0CC" w14:textId="607CFB85" w:rsidR="009C08A9" w:rsidRPr="009C08A9" w:rsidRDefault="009C08A9" w:rsidP="009C08A9">
            <w:pPr>
              <w:rPr>
                <w:color w:val="000000" w:themeColor="text1"/>
                <w:sz w:val="18"/>
                <w:szCs w:val="18"/>
              </w:rPr>
            </w:pPr>
            <w:r w:rsidRPr="009C08A9">
              <w:rPr>
                <w:color w:val="000000" w:themeColor="text1"/>
                <w:sz w:val="18"/>
                <w:szCs w:val="18"/>
              </w:rPr>
              <w:t>2;1-2</w:t>
            </w:r>
          </w:p>
        </w:tc>
      </w:tr>
      <w:tr w:rsidR="009C08A9" w:rsidRPr="00C6497C" w14:paraId="2B4113C6" w14:textId="77777777" w:rsidTr="009C08A9">
        <w:trPr>
          <w:trHeight w:val="269"/>
        </w:trPr>
        <w:tc>
          <w:tcPr>
            <w:tcW w:w="1980" w:type="dxa"/>
          </w:tcPr>
          <w:p w14:paraId="215FEF97" w14:textId="54E16B33" w:rsidR="009C08A9" w:rsidRPr="00271BD1" w:rsidRDefault="009C08A9" w:rsidP="009C08A9">
            <w:pPr>
              <w:jc w:val="left"/>
              <w:rPr>
                <w:color w:val="000000"/>
                <w:sz w:val="18"/>
                <w:szCs w:val="18"/>
              </w:rPr>
            </w:pPr>
            <w:r w:rsidRPr="009C08A9">
              <w:rPr>
                <w:rFonts w:hint="eastAsia"/>
                <w:b/>
                <w:bCs/>
                <w:color w:val="000000"/>
                <w:sz w:val="18"/>
                <w:szCs w:val="18"/>
              </w:rPr>
              <w:t>P</w:t>
            </w:r>
            <w:r w:rsidRPr="009C08A9">
              <w:rPr>
                <w:b/>
                <w:bCs/>
                <w:color w:val="000000"/>
                <w:sz w:val="18"/>
                <w:szCs w:val="18"/>
              </w:rPr>
              <w:t xml:space="preserve">atients with </w:t>
            </w:r>
            <w:proofErr w:type="spellStart"/>
            <w:r>
              <w:rPr>
                <w:b/>
                <w:bCs/>
                <w:color w:val="000000"/>
                <w:sz w:val="18"/>
                <w:szCs w:val="18"/>
              </w:rPr>
              <w:t>IgAN</w:t>
            </w:r>
            <w:proofErr w:type="spellEnd"/>
          </w:p>
        </w:tc>
        <w:tc>
          <w:tcPr>
            <w:tcW w:w="4252" w:type="dxa"/>
          </w:tcPr>
          <w:p w14:paraId="78773A82" w14:textId="6EE489D5" w:rsidR="009C08A9" w:rsidRPr="00271BD1" w:rsidRDefault="009C08A9" w:rsidP="009C08A9">
            <w:pPr>
              <w:rPr>
                <w:color w:val="000000"/>
                <w:sz w:val="18"/>
                <w:szCs w:val="18"/>
              </w:rPr>
            </w:pPr>
            <w:r w:rsidRPr="00172608">
              <w:rPr>
                <w:rFonts w:eastAsia="AdvTimes-i"/>
                <w:b/>
                <w:bCs/>
                <w:kern w:val="0"/>
                <w:sz w:val="18"/>
                <w:szCs w:val="18"/>
              </w:rPr>
              <w:t>Renal histopathology indices</w:t>
            </w:r>
          </w:p>
        </w:tc>
        <w:tc>
          <w:tcPr>
            <w:tcW w:w="2127" w:type="dxa"/>
          </w:tcPr>
          <w:p w14:paraId="110C9872" w14:textId="77777777" w:rsidR="009C08A9" w:rsidRPr="009C08A9" w:rsidRDefault="009C08A9" w:rsidP="009C08A9">
            <w:pPr>
              <w:rPr>
                <w:color w:val="000000" w:themeColor="text1"/>
                <w:sz w:val="18"/>
                <w:szCs w:val="18"/>
              </w:rPr>
            </w:pPr>
          </w:p>
        </w:tc>
      </w:tr>
      <w:tr w:rsidR="009C08A9" w:rsidRPr="00C6497C" w14:paraId="58E6FC4D" w14:textId="77777777" w:rsidTr="009C08A9">
        <w:trPr>
          <w:trHeight w:val="269"/>
        </w:trPr>
        <w:tc>
          <w:tcPr>
            <w:tcW w:w="1980" w:type="dxa"/>
          </w:tcPr>
          <w:p w14:paraId="0C98A5C6" w14:textId="77777777" w:rsidR="009C08A9" w:rsidRPr="00271BD1" w:rsidRDefault="009C08A9" w:rsidP="009C08A9">
            <w:pPr>
              <w:jc w:val="left"/>
              <w:rPr>
                <w:color w:val="000000"/>
                <w:sz w:val="18"/>
                <w:szCs w:val="18"/>
              </w:rPr>
            </w:pPr>
          </w:p>
        </w:tc>
        <w:tc>
          <w:tcPr>
            <w:tcW w:w="4252" w:type="dxa"/>
          </w:tcPr>
          <w:p w14:paraId="571C5E44" w14:textId="2D5E33AA" w:rsidR="009C08A9" w:rsidRPr="00271BD1" w:rsidRDefault="009C08A9" w:rsidP="009C08A9">
            <w:pPr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M</w:t>
            </w:r>
            <w:r>
              <w:rPr>
                <w:color w:val="000000"/>
                <w:sz w:val="18"/>
                <w:szCs w:val="18"/>
              </w:rPr>
              <w:t>1 no. (%)</w:t>
            </w:r>
          </w:p>
        </w:tc>
        <w:tc>
          <w:tcPr>
            <w:tcW w:w="2127" w:type="dxa"/>
          </w:tcPr>
          <w:p w14:paraId="76593F86" w14:textId="1128F8BB" w:rsidR="009C08A9" w:rsidRPr="009C08A9" w:rsidRDefault="009C08A9" w:rsidP="009C08A9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  <w:r>
              <w:rPr>
                <w:color w:val="000000" w:themeColor="text1"/>
                <w:sz w:val="18"/>
                <w:szCs w:val="18"/>
              </w:rPr>
              <w:t>4(100%)</w:t>
            </w:r>
          </w:p>
        </w:tc>
      </w:tr>
      <w:tr w:rsidR="009C08A9" w:rsidRPr="00C6497C" w14:paraId="5473EBEB" w14:textId="77777777" w:rsidTr="009C08A9">
        <w:trPr>
          <w:trHeight w:val="269"/>
        </w:trPr>
        <w:tc>
          <w:tcPr>
            <w:tcW w:w="1980" w:type="dxa"/>
          </w:tcPr>
          <w:p w14:paraId="4D8ADF75" w14:textId="77777777" w:rsidR="009C08A9" w:rsidRPr="00271BD1" w:rsidRDefault="009C08A9" w:rsidP="009C08A9">
            <w:pPr>
              <w:jc w:val="left"/>
              <w:rPr>
                <w:color w:val="000000"/>
                <w:sz w:val="18"/>
                <w:szCs w:val="18"/>
              </w:rPr>
            </w:pPr>
          </w:p>
        </w:tc>
        <w:tc>
          <w:tcPr>
            <w:tcW w:w="4252" w:type="dxa"/>
          </w:tcPr>
          <w:p w14:paraId="63AB6351" w14:textId="5DD9E9F4" w:rsidR="009C08A9" w:rsidRPr="00271BD1" w:rsidRDefault="009C08A9" w:rsidP="009C08A9">
            <w:pPr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E</w:t>
            </w:r>
            <w:r>
              <w:rPr>
                <w:color w:val="000000"/>
                <w:sz w:val="18"/>
                <w:szCs w:val="18"/>
              </w:rPr>
              <w:t>1 no. (%)</w:t>
            </w:r>
          </w:p>
        </w:tc>
        <w:tc>
          <w:tcPr>
            <w:tcW w:w="2127" w:type="dxa"/>
          </w:tcPr>
          <w:p w14:paraId="410E1622" w14:textId="1A2496DC" w:rsidR="009C08A9" w:rsidRPr="009C08A9" w:rsidRDefault="009C08A9" w:rsidP="009C08A9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  <w:r>
              <w:rPr>
                <w:color w:val="000000" w:themeColor="text1"/>
                <w:sz w:val="18"/>
                <w:szCs w:val="18"/>
              </w:rPr>
              <w:t>4(100%)</w:t>
            </w:r>
          </w:p>
        </w:tc>
      </w:tr>
      <w:tr w:rsidR="009C08A9" w:rsidRPr="00C6497C" w14:paraId="49975FAE" w14:textId="77777777" w:rsidTr="009C08A9">
        <w:trPr>
          <w:trHeight w:val="269"/>
        </w:trPr>
        <w:tc>
          <w:tcPr>
            <w:tcW w:w="1980" w:type="dxa"/>
          </w:tcPr>
          <w:p w14:paraId="756F29AB" w14:textId="77777777" w:rsidR="009C08A9" w:rsidRPr="00271BD1" w:rsidRDefault="009C08A9" w:rsidP="009C08A9">
            <w:pPr>
              <w:jc w:val="left"/>
              <w:rPr>
                <w:color w:val="000000"/>
                <w:sz w:val="18"/>
                <w:szCs w:val="18"/>
              </w:rPr>
            </w:pPr>
          </w:p>
        </w:tc>
        <w:tc>
          <w:tcPr>
            <w:tcW w:w="4252" w:type="dxa"/>
          </w:tcPr>
          <w:p w14:paraId="449E68B3" w14:textId="3CD431DC" w:rsidR="009C08A9" w:rsidRPr="00271BD1" w:rsidRDefault="009C08A9" w:rsidP="009C08A9">
            <w:pPr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S</w:t>
            </w:r>
            <w:r>
              <w:rPr>
                <w:color w:val="000000"/>
                <w:sz w:val="18"/>
                <w:szCs w:val="18"/>
              </w:rPr>
              <w:t>1 no. (%)</w:t>
            </w:r>
          </w:p>
        </w:tc>
        <w:tc>
          <w:tcPr>
            <w:tcW w:w="2127" w:type="dxa"/>
          </w:tcPr>
          <w:p w14:paraId="0C23844E" w14:textId="1A19153F" w:rsidR="009C08A9" w:rsidRPr="009C08A9" w:rsidRDefault="009C08A9" w:rsidP="009C08A9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9(26.47%)</w:t>
            </w:r>
          </w:p>
        </w:tc>
      </w:tr>
      <w:tr w:rsidR="009C08A9" w:rsidRPr="00C6497C" w14:paraId="18E17E66" w14:textId="77777777" w:rsidTr="009C08A9">
        <w:trPr>
          <w:trHeight w:val="269"/>
        </w:trPr>
        <w:tc>
          <w:tcPr>
            <w:tcW w:w="1980" w:type="dxa"/>
          </w:tcPr>
          <w:p w14:paraId="33300542" w14:textId="77777777" w:rsidR="009C08A9" w:rsidRPr="00271BD1" w:rsidRDefault="009C08A9" w:rsidP="009C08A9">
            <w:pPr>
              <w:jc w:val="left"/>
              <w:rPr>
                <w:color w:val="000000"/>
                <w:sz w:val="18"/>
                <w:szCs w:val="18"/>
              </w:rPr>
            </w:pPr>
          </w:p>
        </w:tc>
        <w:tc>
          <w:tcPr>
            <w:tcW w:w="4252" w:type="dxa"/>
          </w:tcPr>
          <w:p w14:paraId="544671BE" w14:textId="72F54EA4" w:rsidR="009C08A9" w:rsidRPr="00271BD1" w:rsidRDefault="009C08A9" w:rsidP="009C08A9">
            <w:pPr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T</w:t>
            </w:r>
            <w:r>
              <w:rPr>
                <w:color w:val="000000"/>
                <w:sz w:val="18"/>
                <w:szCs w:val="18"/>
              </w:rPr>
              <w:t>1 no. (%)/T2 no. (%)</w:t>
            </w:r>
          </w:p>
        </w:tc>
        <w:tc>
          <w:tcPr>
            <w:tcW w:w="2127" w:type="dxa"/>
          </w:tcPr>
          <w:p w14:paraId="2D866BC7" w14:textId="11630CA1" w:rsidR="009C08A9" w:rsidRPr="009C08A9" w:rsidRDefault="009C08A9" w:rsidP="009C08A9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15(44.1%)/2(5.9%)</w:t>
            </w:r>
          </w:p>
        </w:tc>
      </w:tr>
      <w:tr w:rsidR="009C08A9" w:rsidRPr="00C6497C" w14:paraId="034D9D48" w14:textId="77777777" w:rsidTr="009C08A9">
        <w:trPr>
          <w:trHeight w:val="269"/>
        </w:trPr>
        <w:tc>
          <w:tcPr>
            <w:tcW w:w="1980" w:type="dxa"/>
          </w:tcPr>
          <w:p w14:paraId="6EF6E80F" w14:textId="77777777" w:rsidR="009C08A9" w:rsidRPr="00271BD1" w:rsidRDefault="009C08A9" w:rsidP="009C08A9">
            <w:pPr>
              <w:jc w:val="left"/>
              <w:rPr>
                <w:color w:val="000000"/>
                <w:sz w:val="18"/>
                <w:szCs w:val="18"/>
              </w:rPr>
            </w:pPr>
          </w:p>
        </w:tc>
        <w:tc>
          <w:tcPr>
            <w:tcW w:w="4252" w:type="dxa"/>
          </w:tcPr>
          <w:p w14:paraId="113178E5" w14:textId="14ECCADE" w:rsidR="009C08A9" w:rsidRDefault="009C08A9" w:rsidP="009C08A9">
            <w:pPr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C</w:t>
            </w:r>
            <w:r>
              <w:rPr>
                <w:color w:val="000000"/>
                <w:sz w:val="18"/>
                <w:szCs w:val="18"/>
              </w:rPr>
              <w:t>1 no. (%)/C2 no. (%)</w:t>
            </w:r>
          </w:p>
        </w:tc>
        <w:tc>
          <w:tcPr>
            <w:tcW w:w="2127" w:type="dxa"/>
          </w:tcPr>
          <w:p w14:paraId="31F79CF8" w14:textId="54CBAA99" w:rsidR="009C08A9" w:rsidRPr="009C08A9" w:rsidRDefault="009C08A9" w:rsidP="009C08A9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12(35.3%)/18(52.9%)</w:t>
            </w:r>
          </w:p>
        </w:tc>
      </w:tr>
    </w:tbl>
    <w:p w14:paraId="16C2BDF9" w14:textId="739AEA97" w:rsidR="009C08A9" w:rsidRPr="009C08A9" w:rsidRDefault="009C08A9" w:rsidP="009C08A9">
      <w:pPr>
        <w:autoSpaceDE w:val="0"/>
        <w:autoSpaceDN w:val="0"/>
        <w:adjustRightInd w:val="0"/>
        <w:rPr>
          <w:rFonts w:eastAsiaTheme="minorEastAsia"/>
          <w:kern w:val="0"/>
          <w:szCs w:val="21"/>
        </w:rPr>
      </w:pPr>
      <w:r w:rsidRPr="000B771D">
        <w:rPr>
          <w:i/>
          <w:iCs/>
          <w:color w:val="231F20"/>
          <w:kern w:val="0"/>
          <w:szCs w:val="21"/>
        </w:rPr>
        <w:t>LN</w:t>
      </w:r>
      <w:r w:rsidRPr="009C08A9">
        <w:rPr>
          <w:color w:val="231F20"/>
          <w:kern w:val="0"/>
          <w:szCs w:val="21"/>
        </w:rPr>
        <w:t xml:space="preserve"> lupus nephritis, </w:t>
      </w:r>
      <w:proofErr w:type="spellStart"/>
      <w:r w:rsidRPr="000B771D">
        <w:rPr>
          <w:i/>
          <w:iCs/>
          <w:color w:val="231F20"/>
          <w:kern w:val="0"/>
          <w:szCs w:val="21"/>
        </w:rPr>
        <w:t>IgAN</w:t>
      </w:r>
      <w:proofErr w:type="spellEnd"/>
      <w:r w:rsidRPr="009C08A9">
        <w:rPr>
          <w:color w:val="231F20"/>
          <w:kern w:val="0"/>
          <w:szCs w:val="21"/>
        </w:rPr>
        <w:t xml:space="preserve"> IgA nephropathy, </w:t>
      </w:r>
      <w:r w:rsidRPr="000B771D">
        <w:rPr>
          <w:i/>
          <w:iCs/>
          <w:color w:val="231F20"/>
          <w:kern w:val="0"/>
          <w:szCs w:val="21"/>
        </w:rPr>
        <w:t>IQR</w:t>
      </w:r>
      <w:r w:rsidRPr="009C08A9">
        <w:rPr>
          <w:color w:val="231F20"/>
          <w:kern w:val="0"/>
          <w:szCs w:val="21"/>
        </w:rPr>
        <w:t xml:space="preserve"> </w:t>
      </w:r>
      <w:r w:rsidRPr="009C08A9">
        <w:rPr>
          <w:rFonts w:eastAsiaTheme="minorEastAsia"/>
          <w:kern w:val="0"/>
          <w:szCs w:val="21"/>
        </w:rPr>
        <w:t>interquartile range</w:t>
      </w:r>
    </w:p>
    <w:p w14:paraId="47FEC655" w14:textId="77777777" w:rsidR="009C08A9" w:rsidRPr="009C08A9" w:rsidRDefault="009C08A9" w:rsidP="009C08A9">
      <w:pPr>
        <w:autoSpaceDE w:val="0"/>
        <w:autoSpaceDN w:val="0"/>
        <w:adjustRightInd w:val="0"/>
        <w:rPr>
          <w:szCs w:val="21"/>
        </w:rPr>
      </w:pPr>
      <w:r w:rsidRPr="000B771D">
        <w:rPr>
          <w:rFonts w:eastAsiaTheme="minorEastAsia"/>
          <w:kern w:val="0"/>
          <w:szCs w:val="21"/>
        </w:rPr>
        <w:t>M1</w:t>
      </w:r>
      <w:r w:rsidRPr="009C08A9">
        <w:rPr>
          <w:rFonts w:eastAsiaTheme="minorEastAsia"/>
          <w:kern w:val="0"/>
          <w:szCs w:val="21"/>
        </w:rPr>
        <w:t xml:space="preserve"> </w:t>
      </w:r>
      <w:r w:rsidRPr="009C08A9">
        <w:rPr>
          <w:color w:val="231F20"/>
          <w:kern w:val="0"/>
          <w:szCs w:val="21"/>
        </w:rPr>
        <w:t>present</w:t>
      </w:r>
      <w:r w:rsidRPr="009C08A9">
        <w:rPr>
          <w:rFonts w:eastAsiaTheme="minorEastAsia"/>
          <w:kern w:val="0"/>
          <w:szCs w:val="21"/>
        </w:rPr>
        <w:t xml:space="preserve"> mesangial hypercellularity, E1 </w:t>
      </w:r>
      <w:r w:rsidRPr="009C08A9">
        <w:rPr>
          <w:color w:val="231F20"/>
          <w:kern w:val="0"/>
          <w:szCs w:val="21"/>
        </w:rPr>
        <w:t>present</w:t>
      </w:r>
      <w:r w:rsidRPr="009C08A9">
        <w:rPr>
          <w:rFonts w:eastAsiaTheme="minorEastAsia"/>
          <w:kern w:val="0"/>
          <w:szCs w:val="21"/>
        </w:rPr>
        <w:t xml:space="preserve"> endocapillary hypercellularity, </w:t>
      </w:r>
      <w:r w:rsidRPr="009C08A9">
        <w:rPr>
          <w:color w:val="231F20"/>
          <w:kern w:val="0"/>
          <w:szCs w:val="21"/>
        </w:rPr>
        <w:t>S1 present segmental glomerulosclerosis, T1-T2 severity of tubular atrophy/interstitial fibrosis (T1=26%–50%; T2&gt;50%), C1-C2 present crescent (C1=1%–25%; C2=26%–100%)</w:t>
      </w:r>
    </w:p>
    <w:p w14:paraId="140B92A8" w14:textId="77777777" w:rsidR="009C08A9" w:rsidRPr="009C08A9" w:rsidRDefault="009C08A9" w:rsidP="009C08A9">
      <w:pPr>
        <w:rPr>
          <w:rFonts w:asciiTheme="minorHAnsi" w:eastAsiaTheme="minorEastAsia" w:hAnsiTheme="minorHAnsi" w:cstheme="minorBidi"/>
          <w:szCs w:val="22"/>
        </w:rPr>
      </w:pPr>
    </w:p>
    <w:p w14:paraId="431ECF4E" w14:textId="394FA8E8" w:rsidR="00904C2E" w:rsidRPr="009C08A9" w:rsidRDefault="00904C2E" w:rsidP="00F94A95">
      <w:pPr>
        <w:autoSpaceDE w:val="0"/>
        <w:autoSpaceDN w:val="0"/>
        <w:adjustRightInd w:val="0"/>
        <w:rPr>
          <w:szCs w:val="21"/>
        </w:rPr>
      </w:pPr>
    </w:p>
    <w:sectPr w:rsidR="00904C2E" w:rsidRPr="009C08A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47B774B" w14:textId="77777777" w:rsidR="002C51D7" w:rsidRDefault="002C51D7" w:rsidP="0042195E">
      <w:r>
        <w:separator/>
      </w:r>
    </w:p>
  </w:endnote>
  <w:endnote w:type="continuationSeparator" w:id="0">
    <w:p w14:paraId="6CEBB1CE" w14:textId="77777777" w:rsidR="002C51D7" w:rsidRDefault="002C51D7" w:rsidP="004219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vTimes-i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7A8374B" w14:textId="77777777" w:rsidR="002C51D7" w:rsidRDefault="002C51D7" w:rsidP="0042195E">
      <w:r>
        <w:separator/>
      </w:r>
    </w:p>
  </w:footnote>
  <w:footnote w:type="continuationSeparator" w:id="0">
    <w:p w14:paraId="36DC7A38" w14:textId="77777777" w:rsidR="002C51D7" w:rsidRDefault="002C51D7" w:rsidP="004219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16A1"/>
    <w:rsid w:val="000629C4"/>
    <w:rsid w:val="000B771D"/>
    <w:rsid w:val="00136113"/>
    <w:rsid w:val="00172608"/>
    <w:rsid w:val="001776C8"/>
    <w:rsid w:val="001E72BF"/>
    <w:rsid w:val="00221674"/>
    <w:rsid w:val="0023140A"/>
    <w:rsid w:val="00280FA5"/>
    <w:rsid w:val="00284DAC"/>
    <w:rsid w:val="002C51D7"/>
    <w:rsid w:val="00315879"/>
    <w:rsid w:val="00343D4D"/>
    <w:rsid w:val="0036546D"/>
    <w:rsid w:val="00375BCE"/>
    <w:rsid w:val="00380CD0"/>
    <w:rsid w:val="003916A1"/>
    <w:rsid w:val="003A262C"/>
    <w:rsid w:val="003E2481"/>
    <w:rsid w:val="004160F6"/>
    <w:rsid w:val="0042195E"/>
    <w:rsid w:val="00435A15"/>
    <w:rsid w:val="00460745"/>
    <w:rsid w:val="004645B2"/>
    <w:rsid w:val="00490039"/>
    <w:rsid w:val="00494497"/>
    <w:rsid w:val="004B2BEA"/>
    <w:rsid w:val="00504B41"/>
    <w:rsid w:val="005240F0"/>
    <w:rsid w:val="005D6664"/>
    <w:rsid w:val="005E6504"/>
    <w:rsid w:val="006138C4"/>
    <w:rsid w:val="0064561C"/>
    <w:rsid w:val="006724F6"/>
    <w:rsid w:val="00693FE9"/>
    <w:rsid w:val="0069559C"/>
    <w:rsid w:val="006C6EBA"/>
    <w:rsid w:val="006D1FEE"/>
    <w:rsid w:val="006D6577"/>
    <w:rsid w:val="0071471A"/>
    <w:rsid w:val="00721A39"/>
    <w:rsid w:val="0074102E"/>
    <w:rsid w:val="007923E6"/>
    <w:rsid w:val="007A2614"/>
    <w:rsid w:val="008205AC"/>
    <w:rsid w:val="00865503"/>
    <w:rsid w:val="008702FC"/>
    <w:rsid w:val="008A68DC"/>
    <w:rsid w:val="008B554C"/>
    <w:rsid w:val="008E3B0A"/>
    <w:rsid w:val="008F7897"/>
    <w:rsid w:val="00904C2E"/>
    <w:rsid w:val="009459EF"/>
    <w:rsid w:val="00946780"/>
    <w:rsid w:val="0095522A"/>
    <w:rsid w:val="009633A9"/>
    <w:rsid w:val="00974E1D"/>
    <w:rsid w:val="00974F16"/>
    <w:rsid w:val="0097584A"/>
    <w:rsid w:val="009B4207"/>
    <w:rsid w:val="009C08A9"/>
    <w:rsid w:val="00A61452"/>
    <w:rsid w:val="00AB1782"/>
    <w:rsid w:val="00AB57F7"/>
    <w:rsid w:val="00AC1CA7"/>
    <w:rsid w:val="00AD4288"/>
    <w:rsid w:val="00B00D3A"/>
    <w:rsid w:val="00B21E2C"/>
    <w:rsid w:val="00B4774F"/>
    <w:rsid w:val="00B504C8"/>
    <w:rsid w:val="00B91FFC"/>
    <w:rsid w:val="00BE0256"/>
    <w:rsid w:val="00BF5118"/>
    <w:rsid w:val="00C26FEA"/>
    <w:rsid w:val="00C627CB"/>
    <w:rsid w:val="00C63DE1"/>
    <w:rsid w:val="00C6497C"/>
    <w:rsid w:val="00C72142"/>
    <w:rsid w:val="00CD692C"/>
    <w:rsid w:val="00CD737B"/>
    <w:rsid w:val="00CE2419"/>
    <w:rsid w:val="00D05A17"/>
    <w:rsid w:val="00D4155B"/>
    <w:rsid w:val="00D6210A"/>
    <w:rsid w:val="00DA69D2"/>
    <w:rsid w:val="00DC654E"/>
    <w:rsid w:val="00E93890"/>
    <w:rsid w:val="00EA77A2"/>
    <w:rsid w:val="00ED3E38"/>
    <w:rsid w:val="00EF75BB"/>
    <w:rsid w:val="00F01E3A"/>
    <w:rsid w:val="00F70CA4"/>
    <w:rsid w:val="00F94A95"/>
    <w:rsid w:val="00FF74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D8FB64"/>
  <w15:chartTrackingRefBased/>
  <w15:docId w15:val="{51CC4CC7-263C-4E71-AD5B-3113EAF797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916A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314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">
    <w:name w:val="Plain Table 2"/>
    <w:basedOn w:val="a1"/>
    <w:uiPriority w:val="42"/>
    <w:rsid w:val="00974E1D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1">
    <w:name w:val="Plain Table 1"/>
    <w:basedOn w:val="a1"/>
    <w:uiPriority w:val="41"/>
    <w:rsid w:val="00974E1D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4">
    <w:name w:val="Plain Table 4"/>
    <w:basedOn w:val="a1"/>
    <w:uiPriority w:val="44"/>
    <w:rsid w:val="00974E1D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a4">
    <w:name w:val="Grid Table Light"/>
    <w:basedOn w:val="a1"/>
    <w:uiPriority w:val="40"/>
    <w:rsid w:val="00974E1D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a5">
    <w:name w:val="header"/>
    <w:basedOn w:val="a"/>
    <w:link w:val="a6"/>
    <w:uiPriority w:val="99"/>
    <w:unhideWhenUsed/>
    <w:rsid w:val="004219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42195E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4219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42195E"/>
    <w:rPr>
      <w:rFonts w:ascii="Times New Roman" w:eastAsia="宋体" w:hAnsi="Times New Roman" w:cs="Times New Roman"/>
      <w:sz w:val="18"/>
      <w:szCs w:val="18"/>
    </w:rPr>
  </w:style>
  <w:style w:type="paragraph" w:styleId="a9">
    <w:name w:val="List Paragraph"/>
    <w:basedOn w:val="a"/>
    <w:uiPriority w:val="34"/>
    <w:qFormat/>
    <w:rsid w:val="008702FC"/>
    <w:pPr>
      <w:ind w:firstLineChars="200" w:firstLine="420"/>
    </w:pPr>
  </w:style>
  <w:style w:type="paragraph" w:styleId="aa">
    <w:name w:val="Balloon Text"/>
    <w:basedOn w:val="a"/>
    <w:link w:val="ab"/>
    <w:uiPriority w:val="99"/>
    <w:semiHidden/>
    <w:unhideWhenUsed/>
    <w:rsid w:val="00D4155B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D4155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ECF9AC-9CC9-401B-8FD2-CF99DA9278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218</Words>
  <Characters>1249</Characters>
  <Application>Microsoft Office Word</Application>
  <DocSecurity>0</DocSecurity>
  <Lines>10</Lines>
  <Paragraphs>2</Paragraphs>
  <ScaleCrop>false</ScaleCrop>
  <Company/>
  <LinksUpToDate>false</LinksUpToDate>
  <CharactersWithSpaces>1465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 m</dc:creator>
  <cp:keywords/>
  <dc:description/>
  <cp:lastModifiedBy>y m</cp:lastModifiedBy>
  <cp:revision>2</cp:revision>
  <dcterms:created xsi:type="dcterms:W3CDTF">2020-06-17T08:49:00Z</dcterms:created>
  <dcterms:modified xsi:type="dcterms:W3CDTF">2020-06-17T08:49:00Z</dcterms:modified>
</cp:coreProperties>
</file>