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56B6" w14:textId="785B8629" w:rsidR="00DE162C" w:rsidRDefault="00DE162C" w:rsidP="00213C32">
      <w:pPr>
        <w:pStyle w:val="Heading1"/>
        <w:spacing w:before="0"/>
        <w:jc w:val="center"/>
        <w:rPr>
          <w:b/>
          <w:bCs/>
        </w:rPr>
      </w:pPr>
      <w:r>
        <w:rPr>
          <w:b/>
          <w:bCs/>
        </w:rPr>
        <w:t xml:space="preserve">Additional File </w:t>
      </w:r>
      <w:r w:rsidR="006A76AD">
        <w:rPr>
          <w:b/>
          <w:bCs/>
        </w:rPr>
        <w:t>3</w:t>
      </w:r>
    </w:p>
    <w:p w14:paraId="4D840418" w14:textId="77777777" w:rsidR="00DE162C" w:rsidRPr="00DE162C" w:rsidRDefault="00DE162C" w:rsidP="00213C32">
      <w:pPr>
        <w:spacing w:line="360" w:lineRule="auto"/>
      </w:pPr>
    </w:p>
    <w:p w14:paraId="2EA7E0EA" w14:textId="2EE44BD5" w:rsidR="006A611D" w:rsidRDefault="00F8055F" w:rsidP="00213C32">
      <w:pPr>
        <w:pStyle w:val="Heading1"/>
        <w:spacing w:before="0"/>
        <w:rPr>
          <w:b/>
          <w:bCs/>
        </w:rPr>
      </w:pPr>
      <w:r w:rsidRPr="00686A18">
        <w:rPr>
          <w:b/>
          <w:bCs/>
        </w:rPr>
        <w:t>Quantifying microbial robustness in dynamic environments using microfluidic single-cell cultivation</w:t>
      </w:r>
      <w:r>
        <w:rPr>
          <w:b/>
          <w:bCs/>
        </w:rPr>
        <w:t xml:space="preserve"> </w:t>
      </w:r>
    </w:p>
    <w:p w14:paraId="796C42C0" w14:textId="77777777" w:rsidR="006A611D" w:rsidRDefault="006A611D" w:rsidP="00213C32">
      <w:pPr>
        <w:spacing w:after="0" w:line="360" w:lineRule="auto"/>
        <w:rPr>
          <w:b/>
          <w:bCs/>
          <w:sz w:val="24"/>
          <w:szCs w:val="24"/>
        </w:rPr>
      </w:pPr>
    </w:p>
    <w:p w14:paraId="4949C679" w14:textId="4BD8E294" w:rsidR="006A611D" w:rsidRPr="008F5BC4" w:rsidRDefault="006A611D" w:rsidP="00213C32">
      <w:pPr>
        <w:spacing w:after="0"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Luisa Blöbaum</w:t>
      </w:r>
      <w:r w:rsidRPr="00FF078D">
        <w:rPr>
          <w:b/>
          <w:bCs/>
          <w:sz w:val="24"/>
          <w:szCs w:val="24"/>
          <w:vertAlign w:val="superscript"/>
        </w:rPr>
        <w:t>§</w:t>
      </w:r>
      <w:r w:rsidRPr="000F7E61">
        <w:rPr>
          <w:b/>
          <w:bCs/>
          <w:sz w:val="24"/>
          <w:szCs w:val="24"/>
          <w:vertAlign w:val="superscript"/>
        </w:rPr>
        <w:t>1</w:t>
      </w:r>
      <w:r>
        <w:rPr>
          <w:b/>
          <w:bCs/>
          <w:sz w:val="24"/>
          <w:szCs w:val="24"/>
          <w:vertAlign w:val="superscript"/>
        </w:rPr>
        <w:t>,2</w:t>
      </w:r>
      <w:r w:rsidRPr="000F7E61">
        <w:rPr>
          <w:b/>
          <w:bCs/>
          <w:sz w:val="24"/>
          <w:szCs w:val="24"/>
        </w:rPr>
        <w:t>, Luca Torello Pianale</w:t>
      </w:r>
      <w:r w:rsidRPr="00FF078D">
        <w:rPr>
          <w:b/>
          <w:bCs/>
          <w:sz w:val="24"/>
          <w:szCs w:val="24"/>
          <w:vertAlign w:val="superscript"/>
        </w:rPr>
        <w:t>§</w:t>
      </w:r>
      <w:r>
        <w:rPr>
          <w:b/>
          <w:bCs/>
          <w:sz w:val="24"/>
          <w:szCs w:val="24"/>
          <w:vertAlign w:val="superscript"/>
        </w:rPr>
        <w:t>3</w:t>
      </w:r>
      <w:r>
        <w:rPr>
          <w:b/>
          <w:bCs/>
          <w:sz w:val="24"/>
          <w:szCs w:val="24"/>
        </w:rPr>
        <w:t xml:space="preserve">, </w:t>
      </w:r>
      <w:r w:rsidRPr="000F7E61">
        <w:rPr>
          <w:b/>
          <w:bCs/>
          <w:sz w:val="24"/>
          <w:szCs w:val="24"/>
        </w:rPr>
        <w:t>Lisbeth Olsson</w:t>
      </w:r>
      <w:r>
        <w:rPr>
          <w:b/>
          <w:bCs/>
          <w:sz w:val="24"/>
          <w:szCs w:val="24"/>
          <w:vertAlign w:val="superscript"/>
        </w:rPr>
        <w:t>3*</w:t>
      </w:r>
      <w:r>
        <w:rPr>
          <w:b/>
          <w:bCs/>
          <w:sz w:val="24"/>
          <w:szCs w:val="24"/>
        </w:rPr>
        <w:t xml:space="preserve">, </w:t>
      </w:r>
      <w:r w:rsidRPr="008F5BC4">
        <w:rPr>
          <w:b/>
          <w:bCs/>
          <w:sz w:val="24"/>
          <w:szCs w:val="24"/>
        </w:rPr>
        <w:t>Alexander Grünberger</w:t>
      </w:r>
      <w:r w:rsidR="002613A8">
        <w:rPr>
          <w:b/>
          <w:bCs/>
          <w:sz w:val="24"/>
          <w:szCs w:val="24"/>
        </w:rPr>
        <w:t>*</w:t>
      </w:r>
      <w:r w:rsidRPr="008F5BC4">
        <w:rPr>
          <w:b/>
          <w:bCs/>
          <w:sz w:val="24"/>
          <w:szCs w:val="24"/>
          <w:vertAlign w:val="superscript"/>
        </w:rPr>
        <w:t>1</w:t>
      </w:r>
      <w:r>
        <w:rPr>
          <w:b/>
          <w:bCs/>
          <w:sz w:val="24"/>
          <w:szCs w:val="24"/>
          <w:vertAlign w:val="superscript"/>
        </w:rPr>
        <w:t>,4</w:t>
      </w:r>
    </w:p>
    <w:p w14:paraId="2E4FDA36" w14:textId="77777777" w:rsidR="006A611D" w:rsidRDefault="006A611D" w:rsidP="00213C32">
      <w:pPr>
        <w:spacing w:after="0" w:line="360" w:lineRule="auto"/>
      </w:pPr>
      <w:r w:rsidRPr="00B25485">
        <w:rPr>
          <w:vertAlign w:val="superscript"/>
        </w:rPr>
        <w:t>1</w:t>
      </w:r>
      <w:r w:rsidRPr="008F5BC4">
        <w:t xml:space="preserve">Multiscale Bioengineering, </w:t>
      </w:r>
      <w:r>
        <w:t xml:space="preserve">Technical Faculty, </w:t>
      </w:r>
      <w:r w:rsidRPr="008F5BC4">
        <w:t>Bielefeld University, Bielefeld, Germany</w:t>
      </w:r>
    </w:p>
    <w:p w14:paraId="487323AE" w14:textId="77777777" w:rsidR="006A611D" w:rsidRDefault="006A611D" w:rsidP="00213C32">
      <w:pPr>
        <w:spacing w:after="0" w:line="360" w:lineRule="auto"/>
      </w:pPr>
      <w:r>
        <w:rPr>
          <w:vertAlign w:val="superscript"/>
        </w:rPr>
        <w:t>2</w:t>
      </w:r>
      <w:r w:rsidRPr="006D701A">
        <w:t>CeBiTec, Bielefeld University, Bielefeld, Germany</w:t>
      </w:r>
    </w:p>
    <w:p w14:paraId="042CB0CB" w14:textId="77777777" w:rsidR="006A611D" w:rsidRDefault="006A611D" w:rsidP="00213C32">
      <w:pPr>
        <w:spacing w:after="0" w:line="360" w:lineRule="auto"/>
      </w:pPr>
      <w:r>
        <w:rPr>
          <w:vertAlign w:val="superscript"/>
        </w:rPr>
        <w:t>3</w:t>
      </w:r>
      <w:r w:rsidRPr="00B25485">
        <w:t xml:space="preserve">Industrial Biotechnology Division, Department of </w:t>
      </w:r>
      <w:r>
        <w:t>Life Sciences</w:t>
      </w:r>
      <w:r w:rsidRPr="00B25485">
        <w:t xml:space="preserve">, Chalmers </w:t>
      </w:r>
      <w:r w:rsidRPr="00FF078D">
        <w:t>University of Technology, Gothenburg, Sweden</w:t>
      </w:r>
    </w:p>
    <w:p w14:paraId="41870269" w14:textId="77777777" w:rsidR="006A611D" w:rsidRDefault="006A611D" w:rsidP="00213C32">
      <w:pPr>
        <w:spacing w:after="0" w:line="360" w:lineRule="auto"/>
      </w:pPr>
      <w:r>
        <w:rPr>
          <w:vertAlign w:val="superscript"/>
        </w:rPr>
        <w:t>4</w:t>
      </w:r>
      <w:r w:rsidRPr="001E1ADE">
        <w:t>Microsystems in Bioprocess Engineering, Institute of Process Engineering in Life Sc</w:t>
      </w:r>
      <w:r>
        <w:t xml:space="preserve">iences, Karlsruhe Institute of </w:t>
      </w:r>
      <w:r w:rsidRPr="001E1ADE">
        <w:t>Technology, Karlsruhe, Germany</w:t>
      </w:r>
    </w:p>
    <w:p w14:paraId="554892D3" w14:textId="77777777" w:rsidR="00D07AD6" w:rsidRDefault="00D07AD6" w:rsidP="00213C32">
      <w:pPr>
        <w:spacing w:after="0" w:line="360" w:lineRule="auto"/>
      </w:pPr>
    </w:p>
    <w:p w14:paraId="5F8DF3EF" w14:textId="77777777" w:rsidR="002613A8" w:rsidRDefault="006A611D" w:rsidP="00213C32">
      <w:pPr>
        <w:spacing w:after="0" w:line="360" w:lineRule="auto"/>
      </w:pPr>
      <w:r w:rsidRPr="00FF078D">
        <w:rPr>
          <w:vertAlign w:val="superscript"/>
        </w:rPr>
        <w:t>§</w:t>
      </w:r>
      <w:r w:rsidRPr="00FF078D">
        <w:t>Equal contribution</w:t>
      </w:r>
    </w:p>
    <w:p w14:paraId="55B40F60" w14:textId="77777777" w:rsidR="002613A8" w:rsidRDefault="002613A8" w:rsidP="00213C32">
      <w:pPr>
        <w:spacing w:after="0" w:line="360" w:lineRule="auto"/>
      </w:pPr>
    </w:p>
    <w:p w14:paraId="4A7F2010" w14:textId="07B3C704" w:rsidR="002B0893" w:rsidRDefault="002613A8" w:rsidP="00CA1302">
      <w:pPr>
        <w:spacing w:after="0"/>
      </w:pPr>
      <w:r>
        <w:t>*Correspondence</w:t>
      </w:r>
      <w:r w:rsidR="002B0893">
        <w:t xml:space="preserve">: </w:t>
      </w:r>
      <w:r w:rsidR="002B0893" w:rsidRPr="002B0893">
        <w:t>Alexander Grünberger</w:t>
      </w:r>
      <w:r w:rsidR="002B0893">
        <w:t xml:space="preserve"> (</w:t>
      </w:r>
      <w:hyperlink r:id="rId8" w:history="1">
        <w:r w:rsidR="00CA1302" w:rsidRPr="00EB47EC">
          <w:rPr>
            <w:rStyle w:val="Hyperlink"/>
          </w:rPr>
          <w:t>alexander.gruenberger@kit.edu</w:t>
        </w:r>
      </w:hyperlink>
      <w:r w:rsidR="002B0893">
        <w:t>).</w:t>
      </w:r>
    </w:p>
    <w:p w14:paraId="25B67D31" w14:textId="78C3B05E" w:rsidR="006A611D" w:rsidRDefault="006A611D" w:rsidP="00213C32">
      <w:pPr>
        <w:spacing w:after="0" w:line="360" w:lineRule="auto"/>
      </w:pPr>
      <w:r>
        <w:br w:type="page"/>
      </w:r>
    </w:p>
    <w:p w14:paraId="6A4B2647" w14:textId="51A552EB" w:rsidR="002613A8" w:rsidRDefault="002613A8" w:rsidP="00213C32">
      <w:pPr>
        <w:pStyle w:val="Heading1"/>
      </w:pPr>
      <w:r>
        <w:lastRenderedPageBreak/>
        <w:t>Supplementary Information</w:t>
      </w:r>
    </w:p>
    <w:p w14:paraId="4F52FB24" w14:textId="77777777" w:rsidR="00BA212C" w:rsidRDefault="00BA212C" w:rsidP="00213C32">
      <w:pPr>
        <w:spacing w:line="360" w:lineRule="auto"/>
        <w:jc w:val="both"/>
      </w:pPr>
    </w:p>
    <w:p w14:paraId="6C25649E" w14:textId="77777777" w:rsidR="0095311D" w:rsidRDefault="0095311D" w:rsidP="0095311D">
      <w:pPr>
        <w:spacing w:line="360" w:lineRule="auto"/>
        <w:jc w:val="both"/>
      </w:pPr>
      <w:r>
        <w:t>The “Supplementary Figures” section includes:</w:t>
      </w:r>
    </w:p>
    <w:p w14:paraId="7191F981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Line plots for ATP levels over time (Supplementary Figure S1).</w:t>
      </w:r>
    </w:p>
    <w:p w14:paraId="081DD0AA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Line plots for growth curves (Supplementary Figure S2).</w:t>
      </w:r>
    </w:p>
    <w:p w14:paraId="7ADAB48A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Line plots for budding ratio over time (Supplementary Figure S3).</w:t>
      </w:r>
    </w:p>
    <w:p w14:paraId="334D0779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Line plots for area over time (Supplementary Figure S4).</w:t>
      </w:r>
    </w:p>
    <w:p w14:paraId="2D2471D1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Line plots for circularity over time (Supplementary Figure S5).</w:t>
      </w:r>
    </w:p>
    <w:p w14:paraId="6A2F35FD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Violin plots for the performance of individual chambers (Supplementary Figure S6).</w:t>
      </w:r>
    </w:p>
    <w:p w14:paraId="6FDA07ED" w14:textId="77777777" w:rsid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Violin plots for robustness over time of individual chambers (Supplementary Figure S7).</w:t>
      </w:r>
    </w:p>
    <w:p w14:paraId="377360BC" w14:textId="29AD13B6" w:rsidR="002613A8" w:rsidRPr="0095311D" w:rsidRDefault="0095311D" w:rsidP="0095311D">
      <w:pPr>
        <w:pStyle w:val="ListParagraph"/>
        <w:numPr>
          <w:ilvl w:val="0"/>
          <w:numId w:val="2"/>
        </w:numPr>
        <w:spacing w:line="360" w:lineRule="auto"/>
        <w:jc w:val="both"/>
      </w:pPr>
      <w:r>
        <w:t>Violin plots for robustness across populations of individual chambers (Supplementary Figure S8).</w:t>
      </w:r>
      <w:r w:rsidR="002613A8">
        <w:br w:type="page"/>
      </w:r>
    </w:p>
    <w:p w14:paraId="5461C599" w14:textId="5CDC352C" w:rsidR="002613A8" w:rsidRDefault="00D453FA" w:rsidP="00213C32">
      <w:pPr>
        <w:pStyle w:val="Heading1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C02A4DE" wp14:editId="7AD6525F">
            <wp:simplePos x="0" y="0"/>
            <wp:positionH relativeFrom="margin">
              <wp:align>center</wp:align>
            </wp:positionH>
            <wp:positionV relativeFrom="paragraph">
              <wp:posOffset>388316</wp:posOffset>
            </wp:positionV>
            <wp:extent cx="5370830" cy="6782435"/>
            <wp:effectExtent l="0" t="0" r="1270" b="0"/>
            <wp:wrapTopAndBottom/>
            <wp:docPr id="1027093527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093527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830" cy="678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3A8">
        <w:t>Supplementary Figures</w:t>
      </w:r>
    </w:p>
    <w:p w14:paraId="1F5316F0" w14:textId="25F9025B" w:rsidR="006A76AD" w:rsidRDefault="006A76AD" w:rsidP="0095311D">
      <w:pPr>
        <w:spacing w:line="360" w:lineRule="auto"/>
        <w:jc w:val="both"/>
      </w:pPr>
    </w:p>
    <w:p w14:paraId="05387AF4" w14:textId="3858EC5B" w:rsidR="00213C32" w:rsidRPr="00B674C6" w:rsidRDefault="00213C32" w:rsidP="00213C32">
      <w:pPr>
        <w:spacing w:line="360" w:lineRule="auto"/>
        <w:jc w:val="both"/>
        <w:rPr>
          <w:lang w:val="en-US"/>
        </w:rPr>
      </w:pPr>
      <w:r w:rsidRPr="00222000">
        <w:rPr>
          <w:b/>
          <w:bCs/>
        </w:rPr>
        <w:t>Supplementary Figure S</w:t>
      </w:r>
      <w:r>
        <w:rPr>
          <w:b/>
          <w:bCs/>
        </w:rPr>
        <w:t>1</w:t>
      </w:r>
      <w:r w:rsidRPr="00222000">
        <w:rPr>
          <w:b/>
          <w:bCs/>
        </w:rPr>
        <w:t>.</w:t>
      </w:r>
      <w:r w:rsidRPr="00222000">
        <w:t xml:space="preserve"> </w:t>
      </w:r>
      <w:r>
        <w:rPr>
          <w:b/>
          <w:bCs/>
        </w:rPr>
        <w:t>Line plots for ATP levels over time</w:t>
      </w:r>
      <w:r w:rsidRPr="0004660F">
        <w:rPr>
          <w:b/>
          <w:bCs/>
        </w:rPr>
        <w:t>.</w:t>
      </w:r>
      <w:r>
        <w:t xml:space="preserve"> Line</w:t>
      </w:r>
      <w:r w:rsidR="00016C90">
        <w:t xml:space="preserve"> </w:t>
      </w:r>
      <w:r>
        <w:t>plots for ATP levels</w:t>
      </w:r>
      <w:r w:rsidR="00C17F1D">
        <w:t xml:space="preserve"> measured throughout</w:t>
      </w:r>
      <w:r>
        <w:t xml:space="preserve"> the screening (24 h) </w:t>
      </w:r>
      <w:r w:rsidR="00C17F1D">
        <w:t>in each</w:t>
      </w:r>
      <w:r w:rsidR="00A3287B">
        <w:t xml:space="preserve"> </w:t>
      </w:r>
      <w:r w:rsidR="00C17F1D">
        <w:t>chamber</w:t>
      </w:r>
      <w:r w:rsidR="00206A4C">
        <w:t xml:space="preserve"> (named “XY”)</w:t>
      </w:r>
      <w:r w:rsidR="00A3287B">
        <w:t xml:space="preserve">. </w:t>
      </w:r>
      <w:r w:rsidR="00C17F1D">
        <w:t>Error</w:t>
      </w:r>
      <w:r w:rsidR="00A3287B">
        <w:t xml:space="preserve"> bars refer to the standard deviation of the function </w:t>
      </w:r>
      <w:r w:rsidR="00206A4C">
        <w:t>at</w:t>
      </w:r>
      <w:r w:rsidR="00A3287B">
        <w:t xml:space="preserve"> each time point </w:t>
      </w:r>
      <w:r w:rsidR="00C17F1D">
        <w:t>across</w:t>
      </w:r>
      <w:r w:rsidR="00A3287B">
        <w:t xml:space="preserve"> the </w:t>
      </w:r>
      <w:r w:rsidR="00C17F1D">
        <w:t>entire</w:t>
      </w:r>
      <w:r w:rsidR="00A3287B">
        <w:t xml:space="preserve"> cell population.</w:t>
      </w:r>
      <w:r w:rsidR="0045424D">
        <w:t xml:space="preserve"> </w:t>
      </w:r>
      <w:r w:rsidR="00D06F9C">
        <w:t>The vertical</w:t>
      </w:r>
      <w:r w:rsidR="0045424D">
        <w:t xml:space="preserve"> line at 4 h identifies the </w:t>
      </w:r>
      <w:r w:rsidR="00D06F9C">
        <w:t xml:space="preserve">beginning of the starvation-oscillation </w:t>
      </w:r>
      <w:r w:rsidR="008C403B">
        <w:t>period.</w:t>
      </w:r>
    </w:p>
    <w:p w14:paraId="04EC078A" w14:textId="77777777" w:rsidR="00F91934" w:rsidRDefault="00F91934" w:rsidP="00213C32">
      <w:pPr>
        <w:spacing w:line="360" w:lineRule="auto"/>
      </w:pPr>
      <w:r>
        <w:br w:type="page"/>
      </w:r>
    </w:p>
    <w:p w14:paraId="19806A39" w14:textId="77777777" w:rsidR="009F4250" w:rsidRDefault="009F4250" w:rsidP="00213C32">
      <w:pPr>
        <w:spacing w:line="360" w:lineRule="auto"/>
      </w:pPr>
    </w:p>
    <w:p w14:paraId="02C29B6D" w14:textId="77777777" w:rsidR="00237A24" w:rsidRDefault="00237A24" w:rsidP="00213C32">
      <w:pPr>
        <w:spacing w:line="360" w:lineRule="auto"/>
      </w:pPr>
      <w:r>
        <w:rPr>
          <w:noProof/>
        </w:rPr>
        <w:drawing>
          <wp:inline distT="0" distB="0" distL="0" distR="0" wp14:anchorId="3ED02730" wp14:editId="34403003">
            <wp:extent cx="5760720" cy="7278370"/>
            <wp:effectExtent l="0" t="0" r="0" b="0"/>
            <wp:docPr id="967780850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780850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7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4B796" w14:textId="2517211C" w:rsidR="00206A4C" w:rsidRPr="00B674C6" w:rsidRDefault="00206A4C" w:rsidP="00206A4C">
      <w:pPr>
        <w:spacing w:line="360" w:lineRule="auto"/>
        <w:jc w:val="both"/>
        <w:rPr>
          <w:lang w:val="en-US"/>
        </w:rPr>
      </w:pPr>
      <w:r w:rsidRPr="00222000">
        <w:rPr>
          <w:b/>
          <w:bCs/>
        </w:rPr>
        <w:t>Supplementary Figure S</w:t>
      </w:r>
      <w:r>
        <w:rPr>
          <w:b/>
          <w:bCs/>
        </w:rPr>
        <w:t>2</w:t>
      </w:r>
      <w:r w:rsidRPr="00222000">
        <w:rPr>
          <w:b/>
          <w:bCs/>
        </w:rPr>
        <w:t>.</w:t>
      </w:r>
      <w:r w:rsidRPr="00222000">
        <w:t xml:space="preserve"> </w:t>
      </w:r>
      <w:r>
        <w:rPr>
          <w:b/>
          <w:bCs/>
        </w:rPr>
        <w:t xml:space="preserve">Line plots for growth </w:t>
      </w:r>
      <w:r w:rsidR="008C403B">
        <w:rPr>
          <w:b/>
          <w:bCs/>
        </w:rPr>
        <w:t>c</w:t>
      </w:r>
      <w:r>
        <w:rPr>
          <w:b/>
          <w:bCs/>
        </w:rPr>
        <w:t>urves</w:t>
      </w:r>
      <w:r w:rsidRPr="0004660F">
        <w:rPr>
          <w:b/>
          <w:bCs/>
        </w:rPr>
        <w:t>.</w:t>
      </w:r>
      <w:r>
        <w:t xml:space="preserve"> Line plots for growth curves </w:t>
      </w:r>
      <w:r w:rsidR="00C17F1D">
        <w:t>measured throughout the</w:t>
      </w:r>
      <w:r>
        <w:t xml:space="preserve"> screening (24 h) </w:t>
      </w:r>
      <w:r w:rsidR="00C17F1D">
        <w:t>for each chamber</w:t>
      </w:r>
      <w:r>
        <w:t xml:space="preserve"> (named “XY”).</w:t>
      </w:r>
      <w:r w:rsidR="008C403B" w:rsidRPr="008C403B">
        <w:t xml:space="preserve"> </w:t>
      </w:r>
      <w:r w:rsidR="008C403B">
        <w:t>The vertical line at 4 h identifies the beginning of the starvation-oscillation period.</w:t>
      </w:r>
    </w:p>
    <w:p w14:paraId="413516AE" w14:textId="77777777" w:rsidR="00237A24" w:rsidRDefault="00237A24" w:rsidP="00213C32">
      <w:pPr>
        <w:spacing w:line="360" w:lineRule="auto"/>
      </w:pPr>
      <w:r>
        <w:br w:type="page"/>
      </w:r>
    </w:p>
    <w:p w14:paraId="55AD36A1" w14:textId="1045CA76" w:rsidR="00237A24" w:rsidRPr="008C403B" w:rsidRDefault="00237A24" w:rsidP="008C403B">
      <w:pPr>
        <w:spacing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E52FC71" wp14:editId="009A2313">
            <wp:extent cx="5760720" cy="7278370"/>
            <wp:effectExtent l="0" t="0" r="0" b="0"/>
            <wp:docPr id="235576904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76904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7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6A4C" w:rsidRPr="00206A4C">
        <w:rPr>
          <w:b/>
          <w:bCs/>
        </w:rPr>
        <w:t xml:space="preserve"> </w:t>
      </w:r>
      <w:r w:rsidR="00206A4C" w:rsidRPr="00222000">
        <w:rPr>
          <w:b/>
          <w:bCs/>
        </w:rPr>
        <w:t>Supplementary Figure S</w:t>
      </w:r>
      <w:r w:rsidR="00206A4C">
        <w:rPr>
          <w:b/>
          <w:bCs/>
        </w:rPr>
        <w:t>3</w:t>
      </w:r>
      <w:r w:rsidR="00206A4C" w:rsidRPr="00222000">
        <w:rPr>
          <w:b/>
          <w:bCs/>
        </w:rPr>
        <w:t>.</w:t>
      </w:r>
      <w:r w:rsidR="00206A4C" w:rsidRPr="00222000">
        <w:t xml:space="preserve"> </w:t>
      </w:r>
      <w:r w:rsidR="00206A4C">
        <w:rPr>
          <w:b/>
          <w:bCs/>
        </w:rPr>
        <w:t xml:space="preserve">Line plots for </w:t>
      </w:r>
      <w:r w:rsidR="0045424D">
        <w:rPr>
          <w:b/>
          <w:bCs/>
        </w:rPr>
        <w:t>budding ratio</w:t>
      </w:r>
      <w:r w:rsidR="00206A4C">
        <w:rPr>
          <w:b/>
          <w:bCs/>
        </w:rPr>
        <w:t xml:space="preserve"> over time</w:t>
      </w:r>
      <w:r w:rsidR="00206A4C" w:rsidRPr="0004660F">
        <w:rPr>
          <w:b/>
          <w:bCs/>
        </w:rPr>
        <w:t>.</w:t>
      </w:r>
      <w:r w:rsidR="00206A4C">
        <w:t xml:space="preserve"> Line plots for </w:t>
      </w:r>
      <w:r w:rsidR="00947271">
        <w:t xml:space="preserve">the </w:t>
      </w:r>
      <w:r w:rsidR="0045424D">
        <w:t>budding ratio</w:t>
      </w:r>
      <w:r w:rsidR="00206A4C">
        <w:t xml:space="preserve"> </w:t>
      </w:r>
      <w:r w:rsidR="00C17F1D">
        <w:t>measured throughout the</w:t>
      </w:r>
      <w:r w:rsidR="00206A4C">
        <w:t xml:space="preserve"> screening (24 h) </w:t>
      </w:r>
      <w:r w:rsidR="00C17F1D">
        <w:t xml:space="preserve">for each chamber </w:t>
      </w:r>
      <w:r w:rsidR="00206A4C">
        <w:t xml:space="preserve">(named “XY”). </w:t>
      </w:r>
      <w:r w:rsidR="008C403B">
        <w:t>The vertical line at 4 h identifies the beginning of the starvation-oscillation period.</w:t>
      </w:r>
    </w:p>
    <w:p w14:paraId="6619CDD2" w14:textId="77777777" w:rsidR="00237A24" w:rsidRDefault="00237A24" w:rsidP="00213C32">
      <w:pPr>
        <w:spacing w:line="360" w:lineRule="auto"/>
      </w:pPr>
      <w:r>
        <w:br w:type="page"/>
      </w:r>
    </w:p>
    <w:p w14:paraId="2BB9BCB0" w14:textId="77777777" w:rsidR="00237A24" w:rsidRDefault="00237A24" w:rsidP="00213C32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FEFAEEF" wp14:editId="07A5D99D">
            <wp:extent cx="5760720" cy="7278370"/>
            <wp:effectExtent l="0" t="0" r="0" b="0"/>
            <wp:docPr id="554398117" name="Picture 5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398117" name="Picture 5" descr="A graph of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7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28217" w14:textId="2788FBD4" w:rsidR="008C403B" w:rsidRPr="00B674C6" w:rsidRDefault="008C403B" w:rsidP="008C403B">
      <w:pPr>
        <w:spacing w:line="360" w:lineRule="auto"/>
        <w:jc w:val="both"/>
        <w:rPr>
          <w:lang w:val="en-US"/>
        </w:rPr>
      </w:pPr>
      <w:r w:rsidRPr="00222000">
        <w:rPr>
          <w:b/>
          <w:bCs/>
        </w:rPr>
        <w:t>Supplementary Figure S</w:t>
      </w:r>
      <w:r>
        <w:rPr>
          <w:b/>
          <w:bCs/>
        </w:rPr>
        <w:t>4</w:t>
      </w:r>
      <w:r w:rsidRPr="00222000">
        <w:rPr>
          <w:b/>
          <w:bCs/>
        </w:rPr>
        <w:t>.</w:t>
      </w:r>
      <w:r w:rsidRPr="00222000">
        <w:t xml:space="preserve"> </w:t>
      </w:r>
      <w:r>
        <w:rPr>
          <w:b/>
          <w:bCs/>
        </w:rPr>
        <w:t>Line plots for area over time</w:t>
      </w:r>
      <w:r w:rsidRPr="0004660F">
        <w:rPr>
          <w:b/>
          <w:bCs/>
        </w:rPr>
        <w:t>.</w:t>
      </w:r>
      <w:r>
        <w:t xml:space="preserve"> Line plots for the cellular area </w:t>
      </w:r>
      <w:r w:rsidR="00C17F1D">
        <w:t>measured throughout the</w:t>
      </w:r>
      <w:r>
        <w:t xml:space="preserve"> screening (24 h) </w:t>
      </w:r>
      <w:r w:rsidR="00C17F1D">
        <w:t>for each chamber</w:t>
      </w:r>
      <w:r>
        <w:t xml:space="preserve"> (named “XY”). </w:t>
      </w:r>
      <w:r w:rsidR="00C17F1D">
        <w:t>Error</w:t>
      </w:r>
      <w:r>
        <w:t xml:space="preserve"> bars refer to the standard deviation of the function at each time point </w:t>
      </w:r>
      <w:r w:rsidR="00C17F1D">
        <w:t>across</w:t>
      </w:r>
      <w:r>
        <w:t xml:space="preserve"> the whole cell population. The vertical line at 4 h identifies the beginning of the starvation-oscillation period.</w:t>
      </w:r>
    </w:p>
    <w:p w14:paraId="00FD11F0" w14:textId="77777777" w:rsidR="00237A24" w:rsidRDefault="00237A24" w:rsidP="00213C32">
      <w:pPr>
        <w:spacing w:line="360" w:lineRule="auto"/>
      </w:pPr>
      <w:r>
        <w:br w:type="page"/>
      </w:r>
    </w:p>
    <w:p w14:paraId="30E2B432" w14:textId="40B5DD7F" w:rsidR="00F84FA5" w:rsidRPr="00C36603" w:rsidRDefault="00F84FA5" w:rsidP="00C36603">
      <w:pPr>
        <w:spacing w:line="360" w:lineRule="auto"/>
        <w:jc w:val="both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AC933BC" wp14:editId="338051CB">
            <wp:extent cx="5760720" cy="7278370"/>
            <wp:effectExtent l="0" t="0" r="0" b="0"/>
            <wp:docPr id="1282270956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270956" name="Picture 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7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403B" w:rsidRPr="008C403B">
        <w:rPr>
          <w:b/>
          <w:bCs/>
        </w:rPr>
        <w:t xml:space="preserve"> </w:t>
      </w:r>
      <w:r w:rsidR="008C403B" w:rsidRPr="00222000">
        <w:rPr>
          <w:b/>
          <w:bCs/>
        </w:rPr>
        <w:t>Supplementary Figure S</w:t>
      </w:r>
      <w:r w:rsidR="00C36603">
        <w:rPr>
          <w:b/>
          <w:bCs/>
        </w:rPr>
        <w:t>5</w:t>
      </w:r>
      <w:r w:rsidR="008C403B" w:rsidRPr="00222000">
        <w:rPr>
          <w:b/>
          <w:bCs/>
        </w:rPr>
        <w:t>.</w:t>
      </w:r>
      <w:r w:rsidR="008C403B" w:rsidRPr="00222000">
        <w:t xml:space="preserve"> </w:t>
      </w:r>
      <w:r w:rsidR="008C403B">
        <w:rPr>
          <w:b/>
          <w:bCs/>
        </w:rPr>
        <w:t xml:space="preserve">Line plots for </w:t>
      </w:r>
      <w:r w:rsidR="009001A6">
        <w:rPr>
          <w:b/>
          <w:bCs/>
        </w:rPr>
        <w:t>circularity</w:t>
      </w:r>
      <w:r w:rsidR="008C403B">
        <w:rPr>
          <w:b/>
          <w:bCs/>
        </w:rPr>
        <w:t xml:space="preserve"> over time</w:t>
      </w:r>
      <w:r w:rsidR="008C403B" w:rsidRPr="0004660F">
        <w:rPr>
          <w:b/>
          <w:bCs/>
        </w:rPr>
        <w:t>.</w:t>
      </w:r>
      <w:r w:rsidR="008C403B">
        <w:t xml:space="preserve"> Line plots for cellular </w:t>
      </w:r>
      <w:r w:rsidR="009001A6">
        <w:t>circularity</w:t>
      </w:r>
      <w:r w:rsidR="008C403B">
        <w:t xml:space="preserve"> </w:t>
      </w:r>
      <w:r w:rsidR="00C17F1D">
        <w:t>measured throughout the</w:t>
      </w:r>
      <w:r w:rsidR="008C403B">
        <w:t xml:space="preserve"> screening (24 h) </w:t>
      </w:r>
      <w:r w:rsidR="00FD46D0">
        <w:t>for each chamber</w:t>
      </w:r>
      <w:r w:rsidR="008C403B">
        <w:t xml:space="preserve"> (named “XY”). </w:t>
      </w:r>
      <w:r w:rsidR="00FD46D0">
        <w:t>Error</w:t>
      </w:r>
      <w:r w:rsidR="008C403B">
        <w:t xml:space="preserve"> bars refer to the standard deviation of the function at each time point </w:t>
      </w:r>
      <w:r w:rsidR="00FD46D0">
        <w:t>across</w:t>
      </w:r>
      <w:r w:rsidR="008C403B">
        <w:t xml:space="preserve"> the whole cell population. The vertical line at 4 h identifies the beginning of the starvation-oscillation period.</w:t>
      </w:r>
      <w:r>
        <w:br w:type="page"/>
      </w:r>
    </w:p>
    <w:p w14:paraId="13CC6C2C" w14:textId="04163300" w:rsidR="00F84FA5" w:rsidRDefault="00587BE7" w:rsidP="00CB233B">
      <w:pPr>
        <w:spacing w:line="360" w:lineRule="auto"/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60D247D" wp14:editId="5B7CA78D">
            <wp:simplePos x="0" y="0"/>
            <wp:positionH relativeFrom="margin">
              <wp:align>center</wp:align>
            </wp:positionH>
            <wp:positionV relativeFrom="paragraph">
              <wp:posOffset>303</wp:posOffset>
            </wp:positionV>
            <wp:extent cx="6165215" cy="5669280"/>
            <wp:effectExtent l="0" t="0" r="6985" b="7620"/>
            <wp:wrapTopAndBottom/>
            <wp:docPr id="1069353194" name="Picture 2" descr="A chart of different shap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353194" name="Picture 2" descr="A chart of different shapes and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215" cy="566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176227" w14:textId="7EDB7FD8" w:rsidR="00F84FA5" w:rsidRDefault="00EC7FC9" w:rsidP="00CB233B">
      <w:pPr>
        <w:spacing w:line="360" w:lineRule="auto"/>
        <w:jc w:val="both"/>
      </w:pPr>
      <w:r w:rsidRPr="00222000">
        <w:rPr>
          <w:b/>
          <w:bCs/>
        </w:rPr>
        <w:t>Supplementary Figure S</w:t>
      </w:r>
      <w:r>
        <w:rPr>
          <w:b/>
          <w:bCs/>
        </w:rPr>
        <w:t>6</w:t>
      </w:r>
      <w:r w:rsidRPr="00222000">
        <w:rPr>
          <w:b/>
          <w:bCs/>
        </w:rPr>
        <w:t>.</w:t>
      </w:r>
      <w:r w:rsidRPr="00222000">
        <w:t xml:space="preserve"> </w:t>
      </w:r>
      <w:r>
        <w:rPr>
          <w:b/>
          <w:bCs/>
        </w:rPr>
        <w:t xml:space="preserve">Violin plots </w:t>
      </w:r>
      <w:r w:rsidR="00FD46D0">
        <w:rPr>
          <w:b/>
          <w:bCs/>
        </w:rPr>
        <w:t>showing</w:t>
      </w:r>
      <w:r>
        <w:rPr>
          <w:b/>
          <w:bCs/>
        </w:rPr>
        <w:t xml:space="preserve"> </w:t>
      </w:r>
      <w:r w:rsidR="00CB233B">
        <w:rPr>
          <w:b/>
          <w:bCs/>
        </w:rPr>
        <w:t>the performance of individual chambers</w:t>
      </w:r>
      <w:r w:rsidRPr="0004660F">
        <w:rPr>
          <w:b/>
          <w:bCs/>
        </w:rPr>
        <w:t>.</w:t>
      </w:r>
      <w:r>
        <w:t xml:space="preserve"> </w:t>
      </w:r>
      <w:r w:rsidR="00CB233B">
        <w:t xml:space="preserve">Violin plots showing the distribution of </w:t>
      </w:r>
      <w:r w:rsidR="00ED495E">
        <w:t>performance</w:t>
      </w:r>
      <w:r w:rsidR="00CB233B">
        <w:t xml:space="preserve"> data in </w:t>
      </w:r>
      <w:r>
        <w:t xml:space="preserve">individual chambers (named “XY”). </w:t>
      </w:r>
      <w:r w:rsidR="008254AC">
        <w:t xml:space="preserve">“Merged” refers to the chamber triplicates considered </w:t>
      </w:r>
      <w:r w:rsidR="00146288">
        <w:t>altogether</w:t>
      </w:r>
      <w:r w:rsidR="008254AC">
        <w:t>. The</w:t>
      </w:r>
      <w:r>
        <w:t xml:space="preserve"> </w:t>
      </w:r>
      <w:r w:rsidR="00CB233B">
        <w:t xml:space="preserve">red dot </w:t>
      </w:r>
      <w:r w:rsidR="00947271">
        <w:t>denotes</w:t>
      </w:r>
      <w:r w:rsidR="00CB233B">
        <w:t xml:space="preserve"> the mean across all cells in that chamber. </w:t>
      </w:r>
      <w:r w:rsidR="008254AC">
        <w:t>The dashed</w:t>
      </w:r>
      <w:r w:rsidR="00CB233B">
        <w:t xml:space="preserve"> horizontal line is the mean of the merged </w:t>
      </w:r>
      <w:r w:rsidR="008254AC">
        <w:t>chambers.</w:t>
      </w:r>
      <w:r w:rsidR="00F84FA5">
        <w:br w:type="page"/>
      </w:r>
    </w:p>
    <w:p w14:paraId="3F90F301" w14:textId="74046611" w:rsidR="00E917F1" w:rsidRDefault="00186222" w:rsidP="00213C32">
      <w:pPr>
        <w:spacing w:line="360" w:lineRule="auto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853BFF8" wp14:editId="0EF908A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15685" cy="6115685"/>
            <wp:effectExtent l="0" t="0" r="0" b="0"/>
            <wp:wrapTopAndBottom/>
            <wp:docPr id="1282094621" name="Picture 3" descr="A graph of different sizes and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094621" name="Picture 3" descr="A graph of different sizes and colo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611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B8AE20" w14:textId="58BD5BD5" w:rsidR="00BA71A6" w:rsidRDefault="00BA71A6" w:rsidP="00213C32">
      <w:pPr>
        <w:spacing w:line="360" w:lineRule="auto"/>
        <w:jc w:val="both"/>
      </w:pPr>
      <w:r w:rsidRPr="00BA71A6">
        <w:rPr>
          <w:b/>
          <w:bCs/>
        </w:rPr>
        <w:t xml:space="preserve">Supplementary Figure S7. Violin plots </w:t>
      </w:r>
      <w:r w:rsidR="00FD46D0">
        <w:rPr>
          <w:b/>
          <w:bCs/>
        </w:rPr>
        <w:t>showing</w:t>
      </w:r>
      <w:r w:rsidRPr="00BA71A6">
        <w:rPr>
          <w:b/>
          <w:bCs/>
        </w:rPr>
        <w:t xml:space="preserve"> </w:t>
      </w:r>
      <w:r>
        <w:rPr>
          <w:b/>
          <w:bCs/>
        </w:rPr>
        <w:t>robustness over time</w:t>
      </w:r>
      <w:r w:rsidRPr="00BA71A6">
        <w:rPr>
          <w:b/>
          <w:bCs/>
        </w:rPr>
        <w:t xml:space="preserve"> of individual chambers.</w:t>
      </w:r>
      <w:r w:rsidRPr="00BA71A6">
        <w:t xml:space="preserve"> Violin plots showing the distribution of data</w:t>
      </w:r>
      <w:r>
        <w:t xml:space="preserve"> for robustness over</w:t>
      </w:r>
      <w:r w:rsidR="00C47144">
        <w:t xml:space="preserve"> </w:t>
      </w:r>
      <w:r>
        <w:t>time</w:t>
      </w:r>
      <w:r w:rsidRPr="00BA71A6">
        <w:t xml:space="preserve"> </w:t>
      </w:r>
      <w:r w:rsidR="00C47144">
        <w:t>at single</w:t>
      </w:r>
      <w:r w:rsidR="00146288">
        <w:t>-</w:t>
      </w:r>
      <w:r w:rsidR="00C47144">
        <w:t>cell</w:t>
      </w:r>
      <w:r w:rsidR="00146288">
        <w:t xml:space="preserve"> </w:t>
      </w:r>
      <w:r w:rsidR="00C47144">
        <w:t xml:space="preserve">level </w:t>
      </w:r>
      <w:r w:rsidRPr="00BA71A6">
        <w:t xml:space="preserve">in individual chambers (named “XY”). “Merged” refers to the chamber triplicates considered </w:t>
      </w:r>
      <w:r w:rsidR="00146288">
        <w:t>altogether</w:t>
      </w:r>
      <w:r w:rsidRPr="00BA71A6">
        <w:t xml:space="preserve">. The red dot </w:t>
      </w:r>
      <w:r w:rsidR="00947271">
        <w:t>denotes</w:t>
      </w:r>
      <w:r w:rsidRPr="00BA71A6">
        <w:t xml:space="preserve"> the mean across all cells in that chamber. The dashed horizontal line is the mean of the merged chambers.</w:t>
      </w:r>
    </w:p>
    <w:p w14:paraId="43E50C07" w14:textId="77777777" w:rsidR="00ED495E" w:rsidRDefault="00ED495E"/>
    <w:p w14:paraId="729A4099" w14:textId="77777777" w:rsidR="00ED495E" w:rsidRDefault="00ED495E">
      <w:pPr>
        <w:rPr>
          <w:b/>
          <w:bCs/>
        </w:rPr>
      </w:pPr>
      <w:r>
        <w:rPr>
          <w:b/>
          <w:bCs/>
        </w:rPr>
        <w:br w:type="page"/>
      </w:r>
    </w:p>
    <w:p w14:paraId="523AF654" w14:textId="55A4B016" w:rsidR="00FB3173" w:rsidRDefault="00FB3173" w:rsidP="00213C32">
      <w:pPr>
        <w:spacing w:line="360" w:lineRule="auto"/>
        <w:jc w:val="both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C63EB34" wp14:editId="6A29D1AE">
            <wp:extent cx="5760720" cy="4850130"/>
            <wp:effectExtent l="0" t="0" r="0" b="7620"/>
            <wp:docPr id="2009908344" name="Picture 11" descr="A chart of different types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08344" name="Picture 11" descr="A chart of different types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5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D2E49" w14:textId="7E49D050" w:rsidR="00D03376" w:rsidRDefault="00ED495E" w:rsidP="00213C32">
      <w:pPr>
        <w:spacing w:line="360" w:lineRule="auto"/>
        <w:jc w:val="both"/>
        <w:rPr>
          <w:lang w:val="en-US"/>
        </w:rPr>
      </w:pPr>
      <w:r w:rsidRPr="00BA71A6">
        <w:rPr>
          <w:b/>
          <w:bCs/>
        </w:rPr>
        <w:t>Supplementary Figure S</w:t>
      </w:r>
      <w:r>
        <w:rPr>
          <w:b/>
          <w:bCs/>
        </w:rPr>
        <w:t>8</w:t>
      </w:r>
      <w:r w:rsidRPr="00BA71A6">
        <w:rPr>
          <w:b/>
          <w:bCs/>
        </w:rPr>
        <w:t xml:space="preserve">. Violin plots </w:t>
      </w:r>
      <w:r w:rsidR="00FD46D0">
        <w:rPr>
          <w:b/>
          <w:bCs/>
        </w:rPr>
        <w:t>showing</w:t>
      </w:r>
      <w:r w:rsidRPr="00BA71A6">
        <w:rPr>
          <w:b/>
          <w:bCs/>
        </w:rPr>
        <w:t xml:space="preserve"> </w:t>
      </w:r>
      <w:r>
        <w:rPr>
          <w:b/>
          <w:bCs/>
        </w:rPr>
        <w:t>robustness across populations</w:t>
      </w:r>
      <w:r w:rsidRPr="00BA71A6">
        <w:rPr>
          <w:b/>
          <w:bCs/>
        </w:rPr>
        <w:t xml:space="preserve"> </w:t>
      </w:r>
      <w:r w:rsidR="00FD46D0">
        <w:rPr>
          <w:b/>
          <w:bCs/>
        </w:rPr>
        <w:t>in</w:t>
      </w:r>
      <w:r w:rsidRPr="00BA71A6">
        <w:rPr>
          <w:b/>
          <w:bCs/>
        </w:rPr>
        <w:t xml:space="preserve"> individual chambers.</w:t>
      </w:r>
      <w:r w:rsidRPr="00BA71A6">
        <w:t xml:space="preserve"> Violin plots showing the distribution of data</w:t>
      </w:r>
      <w:r>
        <w:t xml:space="preserve"> for robustness across populations </w:t>
      </w:r>
      <w:r w:rsidRPr="00BA71A6">
        <w:t xml:space="preserve">in individual chambers (named “XY”). “Merged” refers to the chamber triplicates considered </w:t>
      </w:r>
      <w:r w:rsidR="00146288">
        <w:t>altogether</w:t>
      </w:r>
      <w:r w:rsidRPr="00BA71A6">
        <w:t xml:space="preserve">. The red dot </w:t>
      </w:r>
      <w:r w:rsidR="00947271">
        <w:t>denotes</w:t>
      </w:r>
      <w:r w:rsidRPr="00BA71A6">
        <w:t xml:space="preserve"> the mean across all cells in that chamber. The dashed horizontal line is the mean of the merged chambers.</w:t>
      </w:r>
    </w:p>
    <w:sectPr w:rsidR="00D03376" w:rsidSect="00B13C9B">
      <w:footerReference w:type="default" r:id="rId17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ED87C" w14:textId="77777777" w:rsidR="007614D0" w:rsidRDefault="007614D0" w:rsidP="00D07AD6">
      <w:pPr>
        <w:spacing w:after="0" w:line="240" w:lineRule="auto"/>
      </w:pPr>
      <w:r>
        <w:separator/>
      </w:r>
    </w:p>
  </w:endnote>
  <w:endnote w:type="continuationSeparator" w:id="0">
    <w:p w14:paraId="1E2A94D2" w14:textId="77777777" w:rsidR="007614D0" w:rsidRDefault="007614D0" w:rsidP="00D07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EB308" w14:textId="11B765BA" w:rsidR="00D07AD6" w:rsidRDefault="00D07AD6">
    <w:pPr>
      <w:pStyle w:val="Footer"/>
      <w:jc w:val="center"/>
    </w:pPr>
    <w:r>
      <w:t>S</w:t>
    </w:r>
    <w:sdt>
      <w:sdtPr>
        <w:id w:val="-128950643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sdtContent>
    </w:sdt>
  </w:p>
  <w:p w14:paraId="730178BC" w14:textId="77777777" w:rsidR="00D07AD6" w:rsidRDefault="00D07A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81396" w14:textId="77777777" w:rsidR="007614D0" w:rsidRDefault="007614D0" w:rsidP="00D07AD6">
      <w:pPr>
        <w:spacing w:after="0" w:line="240" w:lineRule="auto"/>
      </w:pPr>
      <w:r>
        <w:separator/>
      </w:r>
    </w:p>
  </w:footnote>
  <w:footnote w:type="continuationSeparator" w:id="0">
    <w:p w14:paraId="7A7208DF" w14:textId="77777777" w:rsidR="007614D0" w:rsidRDefault="007614D0" w:rsidP="00D07A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9843E0"/>
    <w:multiLevelType w:val="multilevel"/>
    <w:tmpl w:val="4DD43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D553F8"/>
    <w:multiLevelType w:val="hybridMultilevel"/>
    <w:tmpl w:val="5648680A"/>
    <w:lvl w:ilvl="0" w:tplc="041D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642346171">
    <w:abstractNumId w:val="0"/>
  </w:num>
  <w:num w:numId="2" w16cid:durableId="144534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7C3"/>
    <w:rsid w:val="00014386"/>
    <w:rsid w:val="00016C90"/>
    <w:rsid w:val="00042C13"/>
    <w:rsid w:val="0004660F"/>
    <w:rsid w:val="00063FEC"/>
    <w:rsid w:val="000C1D0E"/>
    <w:rsid w:val="000D3BE2"/>
    <w:rsid w:val="000E2CC9"/>
    <w:rsid w:val="00104782"/>
    <w:rsid w:val="001216B7"/>
    <w:rsid w:val="00125507"/>
    <w:rsid w:val="00137726"/>
    <w:rsid w:val="0014190F"/>
    <w:rsid w:val="0014575A"/>
    <w:rsid w:val="00146288"/>
    <w:rsid w:val="001570C7"/>
    <w:rsid w:val="00186222"/>
    <w:rsid w:val="0019737E"/>
    <w:rsid w:val="001C3F19"/>
    <w:rsid w:val="00203BA7"/>
    <w:rsid w:val="00206A4C"/>
    <w:rsid w:val="00213C32"/>
    <w:rsid w:val="002208A4"/>
    <w:rsid w:val="00222000"/>
    <w:rsid w:val="00237A24"/>
    <w:rsid w:val="002613A8"/>
    <w:rsid w:val="002615E6"/>
    <w:rsid w:val="00270B77"/>
    <w:rsid w:val="002915A3"/>
    <w:rsid w:val="002B0893"/>
    <w:rsid w:val="003117F0"/>
    <w:rsid w:val="00315122"/>
    <w:rsid w:val="00333770"/>
    <w:rsid w:val="00372B67"/>
    <w:rsid w:val="003B1B5F"/>
    <w:rsid w:val="003D47C3"/>
    <w:rsid w:val="003D69DD"/>
    <w:rsid w:val="003D6A1C"/>
    <w:rsid w:val="003D7693"/>
    <w:rsid w:val="003F2FBC"/>
    <w:rsid w:val="00415A2D"/>
    <w:rsid w:val="00426B93"/>
    <w:rsid w:val="0045424D"/>
    <w:rsid w:val="00454644"/>
    <w:rsid w:val="0047042E"/>
    <w:rsid w:val="004775CB"/>
    <w:rsid w:val="00480793"/>
    <w:rsid w:val="00484704"/>
    <w:rsid w:val="004B0CEA"/>
    <w:rsid w:val="00502ABA"/>
    <w:rsid w:val="00587BE7"/>
    <w:rsid w:val="00593F8A"/>
    <w:rsid w:val="005C773D"/>
    <w:rsid w:val="005F148B"/>
    <w:rsid w:val="00640515"/>
    <w:rsid w:val="00644230"/>
    <w:rsid w:val="00654633"/>
    <w:rsid w:val="0065731F"/>
    <w:rsid w:val="00685AB5"/>
    <w:rsid w:val="00694635"/>
    <w:rsid w:val="006A611D"/>
    <w:rsid w:val="006A76AD"/>
    <w:rsid w:val="006E257C"/>
    <w:rsid w:val="006F1900"/>
    <w:rsid w:val="0074460C"/>
    <w:rsid w:val="007614D0"/>
    <w:rsid w:val="00763FDD"/>
    <w:rsid w:val="007764AD"/>
    <w:rsid w:val="0078540E"/>
    <w:rsid w:val="007F3A44"/>
    <w:rsid w:val="00821AAC"/>
    <w:rsid w:val="008254AC"/>
    <w:rsid w:val="00833650"/>
    <w:rsid w:val="00894749"/>
    <w:rsid w:val="008B0FD5"/>
    <w:rsid w:val="008C403B"/>
    <w:rsid w:val="009001A6"/>
    <w:rsid w:val="009420E9"/>
    <w:rsid w:val="00947271"/>
    <w:rsid w:val="0095311D"/>
    <w:rsid w:val="00953887"/>
    <w:rsid w:val="009905FA"/>
    <w:rsid w:val="009A39B7"/>
    <w:rsid w:val="009F005F"/>
    <w:rsid w:val="009F4250"/>
    <w:rsid w:val="009F6661"/>
    <w:rsid w:val="00A22772"/>
    <w:rsid w:val="00A3287B"/>
    <w:rsid w:val="00A812C5"/>
    <w:rsid w:val="00A84B6D"/>
    <w:rsid w:val="00AB1D05"/>
    <w:rsid w:val="00AC12A6"/>
    <w:rsid w:val="00AE3615"/>
    <w:rsid w:val="00B13C9B"/>
    <w:rsid w:val="00B50B31"/>
    <w:rsid w:val="00B65ACC"/>
    <w:rsid w:val="00B674C6"/>
    <w:rsid w:val="00B72EDE"/>
    <w:rsid w:val="00BA212C"/>
    <w:rsid w:val="00BA71A6"/>
    <w:rsid w:val="00BB4CBE"/>
    <w:rsid w:val="00BE3B27"/>
    <w:rsid w:val="00BE5755"/>
    <w:rsid w:val="00BF6ACA"/>
    <w:rsid w:val="00C16EAF"/>
    <w:rsid w:val="00C17F1D"/>
    <w:rsid w:val="00C2028B"/>
    <w:rsid w:val="00C20DF3"/>
    <w:rsid w:val="00C36603"/>
    <w:rsid w:val="00C45A4D"/>
    <w:rsid w:val="00C47144"/>
    <w:rsid w:val="00C7217E"/>
    <w:rsid w:val="00C73E8C"/>
    <w:rsid w:val="00C80BD8"/>
    <w:rsid w:val="00CA1302"/>
    <w:rsid w:val="00CB233B"/>
    <w:rsid w:val="00CB3646"/>
    <w:rsid w:val="00CC0E54"/>
    <w:rsid w:val="00CC41A0"/>
    <w:rsid w:val="00CD6365"/>
    <w:rsid w:val="00CE173F"/>
    <w:rsid w:val="00CE6548"/>
    <w:rsid w:val="00CF19BF"/>
    <w:rsid w:val="00D03376"/>
    <w:rsid w:val="00D06F9C"/>
    <w:rsid w:val="00D07AD6"/>
    <w:rsid w:val="00D173AA"/>
    <w:rsid w:val="00D25488"/>
    <w:rsid w:val="00D270F0"/>
    <w:rsid w:val="00D453FA"/>
    <w:rsid w:val="00D521AB"/>
    <w:rsid w:val="00D62D56"/>
    <w:rsid w:val="00D71B0F"/>
    <w:rsid w:val="00D80D27"/>
    <w:rsid w:val="00D90508"/>
    <w:rsid w:val="00DA3AB2"/>
    <w:rsid w:val="00DC2674"/>
    <w:rsid w:val="00DC3B55"/>
    <w:rsid w:val="00DE162C"/>
    <w:rsid w:val="00DE3507"/>
    <w:rsid w:val="00DF5A6D"/>
    <w:rsid w:val="00E0360D"/>
    <w:rsid w:val="00E10858"/>
    <w:rsid w:val="00E33317"/>
    <w:rsid w:val="00E828F4"/>
    <w:rsid w:val="00E917F1"/>
    <w:rsid w:val="00EC7FC9"/>
    <w:rsid w:val="00ED495E"/>
    <w:rsid w:val="00EE5DF9"/>
    <w:rsid w:val="00F0228B"/>
    <w:rsid w:val="00F0339B"/>
    <w:rsid w:val="00F26BB2"/>
    <w:rsid w:val="00F61461"/>
    <w:rsid w:val="00F8055F"/>
    <w:rsid w:val="00F84FA5"/>
    <w:rsid w:val="00F91934"/>
    <w:rsid w:val="00FB3173"/>
    <w:rsid w:val="00FC5C8E"/>
    <w:rsid w:val="00FD13BF"/>
    <w:rsid w:val="00FD410D"/>
    <w:rsid w:val="00FD46D0"/>
    <w:rsid w:val="00FE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844AB"/>
  <w15:chartTrackingRefBased/>
  <w15:docId w15:val="{B1568D1D-B0D2-4833-9EC6-64754EB9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11D"/>
    <w:pPr>
      <w:keepNext/>
      <w:keepLines/>
      <w:spacing w:before="240" w:after="0" w:line="360" w:lineRule="auto"/>
      <w:jc w:val="both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A611D"/>
  </w:style>
  <w:style w:type="character" w:customStyle="1" w:styleId="Heading1Char">
    <w:name w:val="Heading 1 Char"/>
    <w:basedOn w:val="DefaultParagraphFont"/>
    <w:link w:val="Heading1"/>
    <w:uiPriority w:val="9"/>
    <w:rsid w:val="006A61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A61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611D"/>
    <w:pPr>
      <w:spacing w:line="240" w:lineRule="auto"/>
      <w:jc w:val="both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611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11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41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90F"/>
    <w:pPr>
      <w:jc w:val="left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190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07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AD6"/>
  </w:style>
  <w:style w:type="paragraph" w:styleId="Footer">
    <w:name w:val="footer"/>
    <w:basedOn w:val="Normal"/>
    <w:link w:val="FooterChar"/>
    <w:uiPriority w:val="99"/>
    <w:unhideWhenUsed/>
    <w:rsid w:val="00D07A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AD6"/>
  </w:style>
  <w:style w:type="paragraph" w:styleId="ListParagraph">
    <w:name w:val="List Paragraph"/>
    <w:basedOn w:val="Normal"/>
    <w:uiPriority w:val="34"/>
    <w:qFormat/>
    <w:rsid w:val="00A84B6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13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30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17F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xander.gruenberger@kit.edu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D1A84-F2A7-4811-8D54-1417F620B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587</Words>
  <Characters>3576</Characters>
  <Application>Microsoft Office Word</Application>
  <DocSecurity>0</DocSecurity>
  <Lines>77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Blöbaum</dc:creator>
  <cp:keywords/>
  <dc:description/>
  <cp:lastModifiedBy>Luca Torello Pianale</cp:lastModifiedBy>
  <cp:revision>8</cp:revision>
  <dcterms:created xsi:type="dcterms:W3CDTF">2023-11-07T20:44:00Z</dcterms:created>
  <dcterms:modified xsi:type="dcterms:W3CDTF">2023-11-20T21:29:00Z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f995b3ac092b5751f41a2d6c061adcffbe610c78e9bd47a22c3e1cd266881cf7</vt:lpwstr>
  </property>
</Properties>
</file>