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2 </w:t>
      </w:r>
      <w:r>
        <w:rPr>
          <w:rFonts w:hint="eastAsia" w:ascii="Times New Roman" w:hAnsi="Times New Roman"/>
          <w:b/>
          <w:bCs/>
          <w:sz w:val="24"/>
          <w:szCs w:val="24"/>
        </w:rPr>
        <w:t>Table</w:t>
      </w:r>
      <w:r>
        <w:rPr>
          <w:rFonts w:ascii="Times New Roman" w:hAnsi="Times New Roman"/>
          <w:b/>
          <w:bCs/>
          <w:sz w:val="24"/>
          <w:szCs w:val="24"/>
        </w:rPr>
        <w:t xml:space="preserve"> : </w:t>
      </w:r>
      <w:r>
        <w:rPr>
          <w:rFonts w:ascii="Times New Roman" w:hAnsi="Times New Roman"/>
          <w:sz w:val="24"/>
          <w:szCs w:val="24"/>
        </w:rPr>
        <w:t>Key Information on GWAS Studies Included in Current MR Analysis</w:t>
      </w:r>
    </w:p>
    <w:p>
      <w:pPr>
        <w:spacing w:line="360" w:lineRule="exact"/>
        <w:jc w:val="center"/>
      </w:pPr>
    </w:p>
    <w:tbl>
      <w:tblPr>
        <w:tblStyle w:val="9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1550"/>
        <w:gridCol w:w="1731"/>
        <w:gridCol w:w="1369"/>
        <w:gridCol w:w="1550"/>
        <w:gridCol w:w="1759"/>
        <w:gridCol w:w="1341"/>
        <w:gridCol w:w="155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eastAsia="宋体"/>
                <w:b w:val="0"/>
                <w:i w:val="0"/>
              </w:rPr>
            </w:pPr>
          </w:p>
        </w:tc>
        <w:tc>
          <w:tcPr>
            <w:tcW w:w="155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Data sources</w:t>
            </w:r>
          </w:p>
        </w:tc>
        <w:tc>
          <w:tcPr>
            <w:tcW w:w="1731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Trait ID in GWAS</w:t>
            </w:r>
          </w:p>
        </w:tc>
        <w:tc>
          <w:tcPr>
            <w:tcW w:w="1369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Case/control</w:t>
            </w:r>
          </w:p>
        </w:tc>
        <w:tc>
          <w:tcPr>
            <w:tcW w:w="155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Sample size</w:t>
            </w:r>
          </w:p>
        </w:tc>
        <w:tc>
          <w:tcPr>
            <w:tcW w:w="1759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Number of variants</w:t>
            </w:r>
          </w:p>
        </w:tc>
        <w:tc>
          <w:tcPr>
            <w:tcW w:w="1341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Year</w:t>
            </w:r>
          </w:p>
        </w:tc>
        <w:tc>
          <w:tcPr>
            <w:tcW w:w="1550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Pubmed 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</w:rPr>
              <w:t>Crohn's disease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IIBDGC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ieu-a-30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5956/14927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20883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12276506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2015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26192919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</w:rPr>
              <w:t>Breast cancer（GWAS）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BCAC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ieu-a-1131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14910/17588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32498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10680257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2017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29059683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</w:rPr>
              <w:t>ER+ Breast cancer</w:t>
            </w:r>
          </w:p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</w:rPr>
              <w:t>(Combined Oncoarray; iCOGS; GWAS meta-analysis)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BCAC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ieu-a-1127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69501/105974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175475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10680257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2017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29059683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b/>
                <w:bCs/>
                <w:sz w:val="18"/>
                <w:szCs w:val="18"/>
              </w:rPr>
              <w:t>ER- Breast cancer (GWAS)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BCAC</w:t>
            </w:r>
          </w:p>
        </w:tc>
        <w:tc>
          <w:tcPr>
            <w:tcW w:w="1731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ieu-a-1137</w:t>
            </w:r>
          </w:p>
        </w:tc>
        <w:tc>
          <w:tcPr>
            <w:tcW w:w="1369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4480/17588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22068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10680257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2017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eastAsia="Times New Roman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29059683</w:t>
            </w:r>
          </w:p>
        </w:tc>
      </w:tr>
    </w:tbl>
    <w:p>
      <w:pPr>
        <w:adjustRightInd w:val="0"/>
        <w:rPr>
          <w:rFonts w:ascii="Times New Roman" w:hAnsi="Times New Roman"/>
        </w:rPr>
      </w:pPr>
      <w:r>
        <w:rPr>
          <w:rFonts w:ascii="Times New Roman" w:hAnsi="Times New Roman"/>
          <w:lang w:bidi="ar"/>
        </w:rPr>
        <w:t>MR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Mendelian Randomization; GWAS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genome-wide association studies; IIBDGC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International Inflammatory Bowel Disease Genetics Consortium; BCAC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Breast Cancer Association Consortium</w:t>
      </w:r>
      <w:r>
        <w:rPr>
          <w:rFonts w:hint="eastAsia" w:ascii="Times New Roman" w:hAnsi="Times New Roman"/>
          <w:lang w:bidi="ar"/>
        </w:rPr>
        <w:t>；</w:t>
      </w:r>
      <w:r>
        <w:rPr>
          <w:rFonts w:ascii="Times New Roman" w:hAnsi="Times New Roman"/>
          <w:lang w:bidi="ar"/>
        </w:rPr>
        <w:t>ER+: Estrogen receptor-positive; ER-: Estrogen receptor-negative.</w:t>
      </w:r>
    </w:p>
    <w:p>
      <w:pPr>
        <w:widowControl/>
        <w:jc w:val="left"/>
        <w:rPr>
          <w:rFonts w:ascii="Times New Roman" w:hAnsi="Times New Roman" w:eastAsia="AdvOT1ef757c0"/>
          <w:color w:val="252626"/>
          <w:kern w:val="0"/>
          <w:sz w:val="24"/>
          <w:szCs w:val="24"/>
          <w:lang w:bidi="ar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</w:rPr>
      </w:pPr>
    </w:p>
    <w:p/>
    <w:p/>
    <w:p/>
    <w:p/>
    <w:p/>
    <w:p/>
    <w:p/>
    <w:p/>
    <w:p/>
    <w:p/>
    <w:p/>
    <w:p/>
    <w:p>
      <w:pPr>
        <w:adjustRightInd w:val="0"/>
      </w:pPr>
    </w:p>
    <w:p>
      <w:pPr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Table : </w:t>
      </w:r>
      <w:r>
        <w:rPr>
          <w:rFonts w:ascii="Times New Roman" w:hAnsi="Times New Roman"/>
          <w:sz w:val="24"/>
          <w:szCs w:val="24"/>
        </w:rPr>
        <w:t xml:space="preserve">Causal Effects of CD on BC and </w:t>
      </w:r>
      <w:r>
        <w:rPr>
          <w:rFonts w:hint="eastAsia" w:ascii="Times New Roman" w:hAnsi="Times New Roman"/>
          <w:sz w:val="24"/>
          <w:szCs w:val="24"/>
        </w:rPr>
        <w:t xml:space="preserve">different </w:t>
      </w:r>
      <w:r>
        <w:rPr>
          <w:rFonts w:ascii="Times New Roman" w:hAnsi="Times New Roman"/>
          <w:sz w:val="24"/>
          <w:szCs w:val="24"/>
        </w:rPr>
        <w:t>Subtypes</w:t>
      </w:r>
    </w:p>
    <w:tbl>
      <w:tblPr>
        <w:tblStyle w:val="9"/>
        <w:tblW w:w="0" w:type="auto"/>
        <w:tblInd w:w="-142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282"/>
        <w:gridCol w:w="1561"/>
        <w:gridCol w:w="763"/>
        <w:gridCol w:w="1236"/>
        <w:gridCol w:w="1883"/>
        <w:gridCol w:w="992"/>
        <w:gridCol w:w="1701"/>
        <w:gridCol w:w="1559"/>
        <w:gridCol w:w="205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1072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bCs/>
                <w:i w:val="0"/>
                <w:sz w:val="18"/>
                <w:szCs w:val="18"/>
              </w:rPr>
              <w:t>Exposure</w:t>
            </w:r>
          </w:p>
        </w:tc>
        <w:tc>
          <w:tcPr>
            <w:tcW w:w="1282" w:type="dxa"/>
            <w:vMerge w:val="restart"/>
            <w:tcBorders>
              <w:top w:val="single" w:color="auto" w:sz="12" w:space="0"/>
              <w:bottom w:val="nil"/>
              <w:right w:val="nil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Outcome</w:t>
            </w:r>
          </w:p>
        </w:tc>
        <w:tc>
          <w:tcPr>
            <w:tcW w:w="6435" w:type="dxa"/>
            <w:gridSpan w:val="5"/>
            <w:tcBorders>
              <w:top w:val="single" w:color="auto" w:sz="12" w:space="0"/>
              <w:bottom w:val="single" w:color="auto" w:sz="4" w:space="0"/>
              <w:right w:val="nil"/>
              <w:insideV w:val="nil"/>
              <w:tl2br w:val="nil"/>
              <w:tr2bl w:val="nil"/>
            </w:tcBorders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  <w:t>Results from two sample MR</w:t>
            </w:r>
          </w:p>
        </w:tc>
        <w:tc>
          <w:tcPr>
            <w:tcW w:w="3260" w:type="dxa"/>
            <w:gridSpan w:val="2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  <w:vertAlign w:val="subscript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  <w:vertAlign w:val="subscript"/>
              </w:rPr>
              <w:t>heterogeneity</w:t>
            </w:r>
          </w:p>
        </w:tc>
        <w:tc>
          <w:tcPr>
            <w:tcW w:w="2051" w:type="dxa"/>
            <w:vMerge w:val="restart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jc w:val="center"/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</w:rPr>
            </w:pPr>
            <w:r>
              <w:rPr>
                <w:rFonts w:ascii="Times New Roman" w:hAnsi="Times New Roman" w:eastAsia="宋体"/>
                <w:b/>
                <w:bCs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/>
                <w:b/>
                <w:bCs/>
                <w:i w:val="0"/>
                <w:sz w:val="18"/>
                <w:szCs w:val="18"/>
                <w:vertAlign w:val="subscript"/>
              </w:rPr>
              <w:t>pleiotropy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1072" w:type="dxa"/>
            <w:vMerge w:val="continue"/>
            <w:tcBorders>
              <w:bottom w:val="single" w:color="auto" w:sz="6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color="auto" w:sz="4" w:space="0"/>
              <w:bottom w:val="single" w:color="auto" w:sz="6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method</w:t>
            </w:r>
          </w:p>
        </w:tc>
        <w:tc>
          <w:tcPr>
            <w:tcW w:w="763" w:type="dxa"/>
            <w:tcBorders>
              <w:top w:val="single" w:color="auto" w:sz="4" w:space="0"/>
              <w:bottom w:val="single" w:color="auto" w:sz="6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nSNP</w:t>
            </w:r>
          </w:p>
        </w:tc>
        <w:tc>
          <w:tcPr>
            <w:tcW w:w="1236" w:type="dxa"/>
            <w:tcBorders>
              <w:top w:val="single" w:color="auto" w:sz="4" w:space="0"/>
              <w:bottom w:val="single" w:color="auto" w:sz="6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OR</w:t>
            </w:r>
          </w:p>
        </w:tc>
        <w:tc>
          <w:tcPr>
            <w:tcW w:w="1883" w:type="dxa"/>
            <w:tcBorders>
              <w:top w:val="single" w:color="auto" w:sz="4" w:space="0"/>
              <w:bottom w:val="single" w:color="auto" w:sz="6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95%CI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6" w:space="0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1701" w:type="dxa"/>
            <w:tcBorders>
              <w:bottom w:val="single" w:color="auto" w:sz="6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method</w:t>
            </w:r>
          </w:p>
        </w:tc>
        <w:tc>
          <w:tcPr>
            <w:tcW w:w="1559" w:type="dxa"/>
            <w:tcBorders>
              <w:bottom w:val="single" w:color="auto" w:sz="6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2051" w:type="dxa"/>
            <w:vMerge w:val="continue"/>
            <w:tcBorders>
              <w:bottom w:val="single" w:color="auto" w:sz="6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restart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Crohn's disease  id:ieu-a-30</w:t>
            </w:r>
          </w:p>
        </w:tc>
        <w:tc>
          <w:tcPr>
            <w:tcW w:w="1282" w:type="dxa"/>
            <w:vMerge w:val="restart"/>
            <w:tcBorders>
              <w:top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Breast cancer id:ieu-a-1131</w:t>
            </w:r>
          </w:p>
        </w:tc>
        <w:tc>
          <w:tcPr>
            <w:tcW w:w="156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MR Egger</w:t>
            </w:r>
          </w:p>
        </w:tc>
        <w:tc>
          <w:tcPr>
            <w:tcW w:w="763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1.0522</w:t>
            </w:r>
          </w:p>
        </w:tc>
        <w:tc>
          <w:tcPr>
            <w:tcW w:w="1883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(0.9860-1.1227)</w:t>
            </w:r>
          </w:p>
        </w:tc>
        <w:tc>
          <w:tcPr>
            <w:tcW w:w="992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0.1312</w:t>
            </w:r>
          </w:p>
        </w:tc>
        <w:tc>
          <w:tcPr>
            <w:tcW w:w="170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  <w:t>MR Egger</w:t>
            </w:r>
          </w:p>
        </w:tc>
        <w:tc>
          <w:tcPr>
            <w:tcW w:w="1559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  <w:t>0.6647</w:t>
            </w:r>
          </w:p>
        </w:tc>
        <w:tc>
          <w:tcPr>
            <w:tcW w:w="2051" w:type="dxa"/>
            <w:vMerge w:val="restart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  <w:t>0.7744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Weighted median</w:t>
            </w:r>
          </w:p>
        </w:tc>
        <w:tc>
          <w:tcPr>
            <w:tcW w:w="763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1.0348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(0.9915-1.0780)</w:t>
            </w:r>
          </w:p>
        </w:tc>
        <w:tc>
          <w:tcPr>
            <w:tcW w:w="992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0.1196</w:t>
            </w:r>
          </w:p>
        </w:tc>
        <w:tc>
          <w:tcPr>
            <w:tcW w:w="1701" w:type="dxa"/>
            <w:vMerge w:val="restart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Inverse variance weighted</w:t>
            </w:r>
          </w:p>
        </w:tc>
        <w:tc>
          <w:tcPr>
            <w:tcW w:w="1559" w:type="dxa"/>
            <w:vMerge w:val="restart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0.6982</w:t>
            </w:r>
          </w:p>
        </w:tc>
        <w:tc>
          <w:tcPr>
            <w:tcW w:w="2051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Inverse variance weighted</w:t>
            </w:r>
          </w:p>
        </w:tc>
        <w:tc>
          <w:tcPr>
            <w:tcW w:w="763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1.0431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(1.0149-1.0721)</w:t>
            </w:r>
          </w:p>
        </w:tc>
        <w:tc>
          <w:tcPr>
            <w:tcW w:w="992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0.0025</w:t>
            </w:r>
          </w:p>
        </w:tc>
        <w:tc>
          <w:tcPr>
            <w:tcW w:w="1701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Simple mode</w:t>
            </w:r>
          </w:p>
        </w:tc>
        <w:tc>
          <w:tcPr>
            <w:tcW w:w="763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1.0271</w:t>
            </w:r>
          </w:p>
        </w:tc>
        <w:tc>
          <w:tcPr>
            <w:tcW w:w="1883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(0.9528-1.1071)</w:t>
            </w:r>
          </w:p>
        </w:tc>
        <w:tc>
          <w:tcPr>
            <w:tcW w:w="992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0.4885</w:t>
            </w:r>
          </w:p>
        </w:tc>
        <w:tc>
          <w:tcPr>
            <w:tcW w:w="170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Weighted mode</w:t>
            </w:r>
          </w:p>
        </w:tc>
        <w:tc>
          <w:tcPr>
            <w:tcW w:w="763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1.0369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(0.9822-1.0946)</w:t>
            </w:r>
          </w:p>
        </w:tc>
        <w:tc>
          <w:tcPr>
            <w:tcW w:w="992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0.2051</w:t>
            </w:r>
          </w:p>
        </w:tc>
        <w:tc>
          <w:tcPr>
            <w:tcW w:w="1701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restart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Breast cancer id:ieu-a-1131</w:t>
            </w:r>
          </w:p>
        </w:tc>
        <w:tc>
          <w:tcPr>
            <w:tcW w:w="1282" w:type="dxa"/>
            <w:vMerge w:val="restart"/>
          </w:tcPr>
          <w:p>
            <w:pPr>
              <w:spacing w:line="360" w:lineRule="exact"/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Crohn's disease  id:ieu-a-30</w:t>
            </w: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MR Egger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14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1.0572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(0.7937-1.4083)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0.7102</w:t>
            </w:r>
          </w:p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MR Egger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  <w:t>0.1117</w:t>
            </w:r>
          </w:p>
        </w:tc>
        <w:tc>
          <w:tcPr>
            <w:tcW w:w="2051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0.9450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Weighted median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14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1.0159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(0.8948-1.1535)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0.8074</w:t>
            </w:r>
          </w:p>
        </w:tc>
        <w:tc>
          <w:tcPr>
            <w:tcW w:w="1701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Inverse variance weighted</w:t>
            </w:r>
          </w:p>
        </w:tc>
        <w:tc>
          <w:tcPr>
            <w:tcW w:w="1559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0.1522</w:t>
            </w: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Inverse variance weighted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14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1.0673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(0.9592-1.1876)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0.2317</w:t>
            </w:r>
          </w:p>
        </w:tc>
        <w:tc>
          <w:tcPr>
            <w:tcW w:w="170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Simple mode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14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0.9788</w:t>
            </w:r>
          </w:p>
        </w:tc>
        <w:tc>
          <w:tcPr>
            <w:tcW w:w="1883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(0.7893-1.2139)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  <w:t>0.8486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51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Weighted mode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14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1.0048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(0.8361-1.2074)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0.9603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restart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sz w:val="18"/>
                <w:szCs w:val="18"/>
              </w:rPr>
              <w:t>Crohn's disease  id:ieu-a-30</w:t>
            </w:r>
          </w:p>
        </w:tc>
        <w:tc>
          <w:tcPr>
            <w:tcW w:w="1282" w:type="dxa"/>
            <w:vMerge w:val="restart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ER+ Breast cancer</w:t>
            </w:r>
            <w:r>
              <w:rPr>
                <w:rFonts w:ascii="Times New Roman" w:hAnsi="Times New Roman" w:cs="Times New Roman" w:eastAsiaTheme="minorEastAsia"/>
                <w:b w:val="0"/>
                <w:bCs w:val="0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id:ieu-a-1127</w:t>
            </w: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MR Egger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1.0189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(0.9754-1.0643)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0.4053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MR Egger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eastAsiaTheme="minorEastAsia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051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  <w:t>0.9051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Weighted median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1.0147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(0.9953-1.0346)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0.1389</w:t>
            </w:r>
          </w:p>
        </w:tc>
        <w:tc>
          <w:tcPr>
            <w:tcW w:w="1701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Inverse variance weighted</w:t>
            </w:r>
          </w:p>
        </w:tc>
        <w:tc>
          <w:tcPr>
            <w:tcW w:w="1559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eastAsiaTheme="minorEastAsia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Inverse variance weighted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1.0213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(1.0026-1.0404)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0.0258</w:t>
            </w:r>
          </w:p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Simple mode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1.0191</w:t>
            </w:r>
          </w:p>
        </w:tc>
        <w:tc>
          <w:tcPr>
            <w:tcW w:w="1883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(0.2908-3.5719)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  <w:t>0.6399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51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cs="Times New Roman" w:eastAsiaTheme="minorEastAsi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spacing w:line="360" w:lineRule="exact"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Weighted mode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Theme="minorEastAsia"/>
                <w:sz w:val="18"/>
                <w:szCs w:val="18"/>
              </w:rPr>
            </w:pPr>
            <w:r>
              <w:rPr>
                <w:rFonts w:ascii="Times New Roman" w:hAnsi="Times New Roman" w:eastAsiaTheme="minorEastAsia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1.0139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(0.9923-1.0359)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  <w:t>0.2138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restart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Crohn's disease  id:ieu-a-30</w:t>
            </w:r>
          </w:p>
        </w:tc>
        <w:tc>
          <w:tcPr>
            <w:tcW w:w="1282" w:type="dxa"/>
            <w:vMerge w:val="restart"/>
          </w:tcPr>
          <w:p>
            <w:pPr>
              <w:pStyle w:val="2"/>
              <w:spacing w:line="360" w:lineRule="exact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</w:rPr>
              <w:t>ER- Breast cancer (GWAS)  id:ieu-a-1137</w:t>
            </w: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MR Egger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1.0004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(0.9023-1.1091)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0.9944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MR Egger</w:t>
            </w: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0.5299</w:t>
            </w:r>
          </w:p>
        </w:tc>
        <w:tc>
          <w:tcPr>
            <w:tcW w:w="2051" w:type="dxa"/>
            <w:vMerge w:val="restart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0.7936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Weighted median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0.9930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(0.9269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1.0638)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0.8458</w:t>
            </w:r>
          </w:p>
        </w:tc>
        <w:tc>
          <w:tcPr>
            <w:tcW w:w="1701" w:type="dxa"/>
            <w:vMerge w:val="restart"/>
          </w:tcPr>
          <w:p>
            <w:pPr>
              <w:widowControl/>
              <w:jc w:val="center"/>
              <w:rPr>
                <w:rFonts w:ascii="宋体" w:hAnsi="宋体" w:eastAsia="Times New Roman" w:cs="宋体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Inverse variance weighted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0.5674</w:t>
            </w: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Inverse variance weighted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1.0130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(0.970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5-</w:t>
            </w: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1.057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0.5541</w:t>
            </w:r>
          </w:p>
        </w:tc>
        <w:tc>
          <w:tcPr>
            <w:tcW w:w="170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59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Simple mode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1.0289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(0.8960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1.181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0.6878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282" w:type="dxa"/>
            <w:vMerge w:val="continue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61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Weighted mode</w:t>
            </w:r>
          </w:p>
        </w:tc>
        <w:tc>
          <w:tcPr>
            <w:tcW w:w="763" w:type="dxa"/>
          </w:tcPr>
          <w:p>
            <w:pPr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51</w:t>
            </w:r>
          </w:p>
        </w:tc>
        <w:tc>
          <w:tcPr>
            <w:tcW w:w="1236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0.9978</w:t>
            </w:r>
          </w:p>
        </w:tc>
        <w:tc>
          <w:tcPr>
            <w:tcW w:w="1883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(0.913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1-</w:t>
            </w: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1.090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Times New Roman"/>
                <w:sz w:val="18"/>
                <w:szCs w:val="18"/>
              </w:rPr>
              <w:t>0.962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  <w:tc>
          <w:tcPr>
            <w:tcW w:w="2051" w:type="dxa"/>
            <w:vMerge w:val="continue"/>
          </w:tcPr>
          <w:p>
            <w:pPr>
              <w:widowControl/>
              <w:jc w:val="center"/>
              <w:rPr>
                <w:rFonts w:ascii="Times New Roman" w:hAnsi="Times New Roman" w:eastAsia="Times New Roman"/>
                <w:sz w:val="18"/>
                <w:szCs w:val="18"/>
              </w:rPr>
            </w:pPr>
          </w:p>
        </w:tc>
      </w:tr>
    </w:tbl>
    <w:p>
      <w:pPr>
        <w:adjustRightInd w:val="0"/>
        <w:rPr>
          <w:rFonts w:ascii="Times New Roman" w:hAnsi="Times New Roman"/>
        </w:rPr>
      </w:pPr>
      <w:r>
        <w:rPr>
          <w:rFonts w:ascii="Times New Roman" w:hAnsi="Times New Roman"/>
          <w:lang w:bidi="ar"/>
        </w:rPr>
        <w:t>CD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Crohn's Disease</w:t>
      </w:r>
      <w:r>
        <w:rPr>
          <w:rFonts w:hint="eastAsia" w:ascii="Times New Roman" w:hAnsi="Times New Roman"/>
          <w:lang w:bidi="ar"/>
        </w:rPr>
        <w:t>;</w:t>
      </w:r>
      <w:r>
        <w:rPr>
          <w:rFonts w:ascii="Times New Roman" w:hAnsi="Times New Roman"/>
          <w:lang w:bidi="ar"/>
        </w:rPr>
        <w:t>BC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Breast Cancer</w:t>
      </w:r>
      <w:r>
        <w:rPr>
          <w:rFonts w:hint="eastAsia" w:ascii="Times New Roman" w:hAnsi="Times New Roman"/>
          <w:lang w:bidi="ar"/>
        </w:rPr>
        <w:t>;</w:t>
      </w:r>
      <w:r>
        <w:rPr>
          <w:rFonts w:ascii="Times New Roman" w:hAnsi="Times New Roman"/>
          <w:lang w:bidi="ar"/>
        </w:rPr>
        <w:t>MR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Mendelian Randomization</w:t>
      </w:r>
      <w:r>
        <w:rPr>
          <w:rFonts w:hint="eastAsia" w:ascii="Times New Roman" w:hAnsi="Times New Roman"/>
          <w:lang w:bidi="ar"/>
        </w:rPr>
        <w:t>;</w:t>
      </w:r>
      <w:r>
        <w:rPr>
          <w:rFonts w:ascii="Times New Roman" w:hAnsi="Times New Roman"/>
          <w:sz w:val="24"/>
          <w:szCs w:val="24"/>
          <w:lang w:bidi="ar"/>
        </w:rPr>
        <w:t>SNP: Single Nucleotide Polymorphism</w:t>
      </w:r>
      <w:r>
        <w:rPr>
          <w:rFonts w:hint="eastAsia" w:ascii="Times New Roman" w:hAnsi="Times New Roman"/>
          <w:sz w:val="24"/>
          <w:szCs w:val="24"/>
          <w:lang w:bidi="ar"/>
        </w:rPr>
        <w:t>；</w:t>
      </w:r>
      <w:r>
        <w:rPr>
          <w:rFonts w:ascii="Times New Roman" w:hAnsi="Times New Roman" w:eastAsia="AdvOT1ef757c0"/>
          <w:color w:val="252626"/>
          <w:kern w:val="0"/>
          <w:sz w:val="24"/>
          <w:szCs w:val="24"/>
          <w:lang w:bidi="ar"/>
        </w:rPr>
        <w:t>GWAS</w:t>
      </w:r>
      <w:r>
        <w:rPr>
          <w:rFonts w:hint="eastAsia" w:ascii="Times New Roman" w:hAnsi="Times New Roman" w:eastAsia="AdvOT1ef757c0"/>
          <w:color w:val="252626"/>
          <w:kern w:val="0"/>
          <w:sz w:val="24"/>
          <w:szCs w:val="24"/>
          <w:lang w:bidi="ar"/>
        </w:rPr>
        <w:t>：</w:t>
      </w:r>
      <w:r>
        <w:rPr>
          <w:rFonts w:ascii="Times New Roman" w:hAnsi="Times New Roman" w:eastAsia="AdvOT1ef757c0"/>
          <w:color w:val="252626"/>
          <w:kern w:val="0"/>
          <w:sz w:val="24"/>
          <w:szCs w:val="24"/>
          <w:lang w:bidi="ar"/>
        </w:rPr>
        <w:t>genome-wide association studies</w:t>
      </w:r>
      <w:r>
        <w:rPr>
          <w:rFonts w:hint="eastAsia" w:ascii="Times New Roman" w:hAnsi="Times New Roman"/>
          <w:sz w:val="24"/>
          <w:szCs w:val="24"/>
          <w:lang w:bidi="ar"/>
        </w:rPr>
        <w:t>；</w:t>
      </w:r>
      <w:r>
        <w:rPr>
          <w:rFonts w:ascii="Times New Roman" w:hAnsi="Times New Roman"/>
          <w:lang w:bidi="ar"/>
        </w:rPr>
        <w:t>OR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Odds ratio</w:t>
      </w:r>
      <w:r>
        <w:rPr>
          <w:rFonts w:hint="eastAsia" w:ascii="Times New Roman" w:hAnsi="Times New Roman"/>
          <w:lang w:bidi="ar"/>
        </w:rPr>
        <w:t>;</w:t>
      </w:r>
      <w:r>
        <w:rPr>
          <w:rFonts w:ascii="Times New Roman" w:hAnsi="Times New Roman"/>
          <w:lang w:bidi="ar"/>
        </w:rPr>
        <w:t>CI</w:t>
      </w:r>
      <w:r>
        <w:rPr>
          <w:rFonts w:hint="eastAsia" w:ascii="Times New Roman" w:hAnsi="Times New Roman"/>
          <w:lang w:bidi="ar"/>
        </w:rPr>
        <w:t>：</w:t>
      </w:r>
      <w:r>
        <w:rPr>
          <w:rFonts w:ascii="Times New Roman" w:hAnsi="Times New Roman"/>
          <w:lang w:bidi="ar"/>
        </w:rPr>
        <w:t>Conf</w:t>
      </w:r>
      <w:r>
        <w:rPr>
          <w:rFonts w:hint="eastAsia" w:ascii="Times New Roman" w:hAnsi="Times New Roman"/>
          <w:lang w:bidi="ar"/>
        </w:rPr>
        <w:t>i</w:t>
      </w:r>
      <w:r>
        <w:rPr>
          <w:rFonts w:ascii="Times New Roman" w:hAnsi="Times New Roman"/>
          <w:lang w:bidi="ar"/>
        </w:rPr>
        <w:t>dence interval</w:t>
      </w:r>
      <w:r>
        <w:rPr>
          <w:rFonts w:hint="eastAsia" w:ascii="Times New Roman" w:hAnsi="Times New Roman"/>
          <w:lang w:bidi="ar"/>
        </w:rPr>
        <w:t>；</w:t>
      </w:r>
      <w:r>
        <w:rPr>
          <w:rFonts w:ascii="Times New Roman" w:hAnsi="Times New Roman"/>
          <w:lang w:bidi="ar"/>
        </w:rPr>
        <w:t>ER+: Estrogen receptor-positive; ER-: Estrogen receptor-negative.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vOT1ef757c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QwNjM0tzAyMbUwNjJU0lEKTi0uzszPAykwrAUATLKWViwAAAA="/>
    <w:docVar w:name="commondata" w:val="eyJoZGlkIjoiNjIxNTY0Nzg3MTlhNTNjZTVkOGZkNmNmZjRhMjI0NzIifQ=="/>
  </w:docVars>
  <w:rsids>
    <w:rsidRoot w:val="009A3079"/>
    <w:rsid w:val="000136AD"/>
    <w:rsid w:val="000360FF"/>
    <w:rsid w:val="00037ABC"/>
    <w:rsid w:val="000467DA"/>
    <w:rsid w:val="000545E3"/>
    <w:rsid w:val="000B668E"/>
    <w:rsid w:val="000D3728"/>
    <w:rsid w:val="00117222"/>
    <w:rsid w:val="00117884"/>
    <w:rsid w:val="001249A6"/>
    <w:rsid w:val="00130DE4"/>
    <w:rsid w:val="00165AF0"/>
    <w:rsid w:val="001B10D7"/>
    <w:rsid w:val="001D21B4"/>
    <w:rsid w:val="001D555E"/>
    <w:rsid w:val="002141DC"/>
    <w:rsid w:val="002436B7"/>
    <w:rsid w:val="00284599"/>
    <w:rsid w:val="00285D5C"/>
    <w:rsid w:val="00286403"/>
    <w:rsid w:val="002B680D"/>
    <w:rsid w:val="00307216"/>
    <w:rsid w:val="00314766"/>
    <w:rsid w:val="0033640A"/>
    <w:rsid w:val="00337CE3"/>
    <w:rsid w:val="003703A7"/>
    <w:rsid w:val="003E25B5"/>
    <w:rsid w:val="00407CFF"/>
    <w:rsid w:val="00443F7A"/>
    <w:rsid w:val="00477249"/>
    <w:rsid w:val="004A78AF"/>
    <w:rsid w:val="004D34F2"/>
    <w:rsid w:val="004D3EA6"/>
    <w:rsid w:val="004D6FA5"/>
    <w:rsid w:val="004D780B"/>
    <w:rsid w:val="00505F9B"/>
    <w:rsid w:val="00517FF9"/>
    <w:rsid w:val="0052102C"/>
    <w:rsid w:val="005667A2"/>
    <w:rsid w:val="005D3FA8"/>
    <w:rsid w:val="005D5608"/>
    <w:rsid w:val="005F342F"/>
    <w:rsid w:val="00694722"/>
    <w:rsid w:val="006B6EE8"/>
    <w:rsid w:val="006E1C2D"/>
    <w:rsid w:val="00733074"/>
    <w:rsid w:val="0077304A"/>
    <w:rsid w:val="00837649"/>
    <w:rsid w:val="008503A8"/>
    <w:rsid w:val="00852FF3"/>
    <w:rsid w:val="008F6397"/>
    <w:rsid w:val="00960F38"/>
    <w:rsid w:val="0097115E"/>
    <w:rsid w:val="009A3079"/>
    <w:rsid w:val="009F04B7"/>
    <w:rsid w:val="00AA7378"/>
    <w:rsid w:val="00AB2F97"/>
    <w:rsid w:val="00AC292F"/>
    <w:rsid w:val="00AD580E"/>
    <w:rsid w:val="00B7378B"/>
    <w:rsid w:val="00B84F02"/>
    <w:rsid w:val="00BA0215"/>
    <w:rsid w:val="00BB47B4"/>
    <w:rsid w:val="00D07A12"/>
    <w:rsid w:val="00D275E7"/>
    <w:rsid w:val="00D60412"/>
    <w:rsid w:val="00D834E8"/>
    <w:rsid w:val="00DE16E8"/>
    <w:rsid w:val="00E0212E"/>
    <w:rsid w:val="00E22813"/>
    <w:rsid w:val="00E53D0F"/>
    <w:rsid w:val="00E70105"/>
    <w:rsid w:val="00F254A0"/>
    <w:rsid w:val="00F575E6"/>
    <w:rsid w:val="15400C78"/>
    <w:rsid w:val="261460CA"/>
    <w:rsid w:val="298C1931"/>
    <w:rsid w:val="2A1F2233"/>
    <w:rsid w:val="2A4852BC"/>
    <w:rsid w:val="2CB960AC"/>
    <w:rsid w:val="34C80057"/>
    <w:rsid w:val="366D22E5"/>
    <w:rsid w:val="36F966D7"/>
    <w:rsid w:val="3E1C10F2"/>
    <w:rsid w:val="40415C33"/>
    <w:rsid w:val="41A75102"/>
    <w:rsid w:val="4AE431C4"/>
    <w:rsid w:val="4BCE7A2F"/>
    <w:rsid w:val="4C4F0870"/>
    <w:rsid w:val="51FB5725"/>
    <w:rsid w:val="601D0A47"/>
    <w:rsid w:val="63AE078E"/>
    <w:rsid w:val="71080E6A"/>
    <w:rsid w:val="72BF19FC"/>
    <w:rsid w:val="742A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三线表"/>
    <w:basedOn w:val="6"/>
    <w:qFormat/>
    <w:uiPriority w:val="99"/>
    <w:rPr>
      <w:rFonts w:eastAsia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3 字符"/>
    <w:basedOn w:val="8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1">
    <w:name w:val="标题 2 字符"/>
    <w:basedOn w:val="8"/>
    <w:link w:val="2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2">
    <w:name w:val="页眉 字符"/>
    <w:basedOn w:val="8"/>
    <w:link w:val="5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412</Words>
  <Characters>2349</Characters>
  <Lines>19</Lines>
  <Paragraphs>5</Paragraphs>
  <TotalTime>2</TotalTime>
  <ScaleCrop>false</ScaleCrop>
  <LinksUpToDate>false</LinksUpToDate>
  <CharactersWithSpaces>2756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2023-10-07T16:05:00Z</dcterms:created>
  <dc:creator>新 于</dc:creator>
  <cp:lastModifiedBy>新啦新啦~ </cp:lastModifiedBy>
  <dcterms:modified xsi:type="dcterms:W3CDTF">2023-11-12T12:21:59Z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5319CA90654F4135BE34BFE815EDE86B_12</vt:lpwstr>
  </property>
  <property fmtid="{D5CDD505-2E9C-101B-9397-08002B2CF9AE}" pid="4" name="_DocHome">
    <vt:i4>1385752100</vt:i4>
  </property>
</Properties>
</file>