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180" w:type="dxa"/>
        <w:tblInd w:w="-5" w:type="dxa"/>
        <w:tblLook w:val="04A0" w:firstRow="1" w:lastRow="0" w:firstColumn="1" w:lastColumn="0" w:noHBand="0" w:noVBand="1"/>
      </w:tblPr>
      <w:tblGrid>
        <w:gridCol w:w="2191"/>
        <w:gridCol w:w="1560"/>
        <w:gridCol w:w="937"/>
        <w:gridCol w:w="4682"/>
        <w:gridCol w:w="4810"/>
      </w:tblGrid>
      <w:tr w:rsidR="001623A3" w:rsidRPr="00FF41E7" w14:paraId="7ADE5CC8" w14:textId="2697DF98" w:rsidTr="00FF41E7">
        <w:trPr>
          <w:trHeight w:val="309"/>
        </w:trPr>
        <w:tc>
          <w:tcPr>
            <w:tcW w:w="2191" w:type="dxa"/>
            <w:tcBorders>
              <w:top w:val="nil"/>
              <w:left w:val="nil"/>
              <w:bottom w:val="single" w:sz="4" w:space="0" w:color="auto"/>
              <w:right w:val="nil"/>
            </w:tcBorders>
            <w:vAlign w:val="bottom"/>
          </w:tcPr>
          <w:p w14:paraId="3F353EF2" w14:textId="77777777" w:rsidR="001623A3" w:rsidRPr="00FF41E7" w:rsidRDefault="001623A3" w:rsidP="00FF5592">
            <w:pPr>
              <w:pStyle w:val="Listenabsatz"/>
              <w:spacing w:line="480" w:lineRule="auto"/>
              <w:ind w:left="0"/>
              <w:rPr>
                <w:rFonts w:ascii="Times New Roman" w:hAnsi="Times New Roman" w:cs="Times New Roman"/>
                <w:b/>
                <w:bCs/>
                <w:sz w:val="24"/>
                <w:szCs w:val="24"/>
                <w:lang w:val="en-US"/>
              </w:rPr>
            </w:pPr>
            <w:r w:rsidRPr="00FF41E7">
              <w:rPr>
                <w:rFonts w:ascii="Times New Roman" w:hAnsi="Times New Roman" w:cs="Times New Roman"/>
                <w:b/>
                <w:bCs/>
                <w:color w:val="000000"/>
                <w:sz w:val="24"/>
                <w:szCs w:val="24"/>
                <w:lang w:val="en-US"/>
              </w:rPr>
              <w:t>Method</w:t>
            </w:r>
          </w:p>
        </w:tc>
        <w:tc>
          <w:tcPr>
            <w:tcW w:w="1560" w:type="dxa"/>
            <w:tcBorders>
              <w:top w:val="nil"/>
              <w:left w:val="nil"/>
              <w:bottom w:val="single" w:sz="4" w:space="0" w:color="auto"/>
              <w:right w:val="nil"/>
            </w:tcBorders>
          </w:tcPr>
          <w:p w14:paraId="78BCA03A" w14:textId="77777777" w:rsidR="001623A3" w:rsidRPr="00FF41E7" w:rsidRDefault="001623A3" w:rsidP="00FF5592">
            <w:pPr>
              <w:pStyle w:val="Listenabsatz"/>
              <w:spacing w:line="480" w:lineRule="auto"/>
              <w:ind w:left="0"/>
              <w:rPr>
                <w:rFonts w:ascii="Times New Roman" w:hAnsi="Times New Roman" w:cs="Times New Roman"/>
                <w:b/>
                <w:bCs/>
                <w:sz w:val="24"/>
                <w:szCs w:val="24"/>
                <w:lang w:val="en-US"/>
              </w:rPr>
            </w:pPr>
            <w:r w:rsidRPr="00FF41E7">
              <w:rPr>
                <w:rFonts w:ascii="Times New Roman" w:hAnsi="Times New Roman" w:cs="Times New Roman"/>
                <w:b/>
                <w:bCs/>
                <w:sz w:val="24"/>
                <w:szCs w:val="24"/>
                <w:lang w:val="en-US"/>
              </w:rPr>
              <w:t>Parameter</w:t>
            </w:r>
          </w:p>
        </w:tc>
        <w:tc>
          <w:tcPr>
            <w:tcW w:w="937" w:type="dxa"/>
            <w:tcBorders>
              <w:top w:val="nil"/>
              <w:left w:val="nil"/>
              <w:bottom w:val="single" w:sz="4" w:space="0" w:color="auto"/>
              <w:right w:val="nil"/>
            </w:tcBorders>
          </w:tcPr>
          <w:p w14:paraId="775BDADC" w14:textId="77777777" w:rsidR="001623A3" w:rsidRPr="00FF41E7" w:rsidRDefault="001623A3" w:rsidP="00FF5592">
            <w:pPr>
              <w:pStyle w:val="Listenabsatz"/>
              <w:spacing w:line="480" w:lineRule="auto"/>
              <w:ind w:left="0"/>
              <w:rPr>
                <w:rFonts w:ascii="Times New Roman" w:hAnsi="Times New Roman" w:cs="Times New Roman"/>
                <w:b/>
                <w:bCs/>
                <w:sz w:val="24"/>
                <w:szCs w:val="24"/>
                <w:lang w:val="en-US"/>
              </w:rPr>
            </w:pPr>
            <w:r w:rsidRPr="00FF41E7">
              <w:rPr>
                <w:rFonts w:ascii="Times New Roman" w:hAnsi="Times New Roman" w:cs="Times New Roman"/>
                <w:b/>
                <w:bCs/>
                <w:sz w:val="24"/>
                <w:szCs w:val="24"/>
                <w:lang w:val="en-US"/>
              </w:rPr>
              <w:t>Unit</w:t>
            </w:r>
          </w:p>
        </w:tc>
        <w:tc>
          <w:tcPr>
            <w:tcW w:w="4682" w:type="dxa"/>
            <w:tcBorders>
              <w:top w:val="nil"/>
              <w:left w:val="nil"/>
              <w:bottom w:val="single" w:sz="4" w:space="0" w:color="auto"/>
              <w:right w:val="nil"/>
            </w:tcBorders>
          </w:tcPr>
          <w:p w14:paraId="19E82BA0" w14:textId="77777777" w:rsidR="001623A3" w:rsidRPr="00FF41E7" w:rsidRDefault="001623A3" w:rsidP="00FF5592">
            <w:pPr>
              <w:pStyle w:val="Listenabsatz"/>
              <w:spacing w:line="480" w:lineRule="auto"/>
              <w:ind w:left="0"/>
              <w:rPr>
                <w:rFonts w:ascii="Times New Roman" w:hAnsi="Times New Roman" w:cs="Times New Roman"/>
                <w:b/>
                <w:bCs/>
                <w:sz w:val="24"/>
                <w:szCs w:val="24"/>
                <w:lang w:val="en-US"/>
              </w:rPr>
            </w:pPr>
            <w:proofErr w:type="spellStart"/>
            <w:r w:rsidRPr="00FF41E7">
              <w:rPr>
                <w:rFonts w:ascii="Times New Roman" w:hAnsi="Times New Roman" w:cs="Times New Roman"/>
                <w:b/>
                <w:bCs/>
                <w:sz w:val="24"/>
                <w:szCs w:val="24"/>
                <w:lang w:val="en-US"/>
              </w:rPr>
              <w:t>Definiton</w:t>
            </w:r>
            <w:proofErr w:type="spellEnd"/>
          </w:p>
        </w:tc>
        <w:tc>
          <w:tcPr>
            <w:tcW w:w="4810" w:type="dxa"/>
            <w:tcBorders>
              <w:top w:val="nil"/>
              <w:left w:val="nil"/>
              <w:bottom w:val="single" w:sz="4" w:space="0" w:color="auto"/>
              <w:right w:val="nil"/>
            </w:tcBorders>
          </w:tcPr>
          <w:p w14:paraId="2B6981AB" w14:textId="6580805E" w:rsidR="001623A3" w:rsidRPr="00FF41E7" w:rsidRDefault="001623A3" w:rsidP="00FF5592">
            <w:pPr>
              <w:pStyle w:val="Listenabsatz"/>
              <w:spacing w:line="480" w:lineRule="auto"/>
              <w:ind w:left="0"/>
              <w:rPr>
                <w:rFonts w:ascii="Times New Roman" w:hAnsi="Times New Roman" w:cs="Times New Roman"/>
                <w:b/>
                <w:bCs/>
                <w:sz w:val="24"/>
                <w:szCs w:val="24"/>
                <w:lang w:val="en-US"/>
              </w:rPr>
            </w:pPr>
            <w:r w:rsidRPr="00FF41E7">
              <w:rPr>
                <w:rFonts w:ascii="Times New Roman" w:hAnsi="Times New Roman" w:cs="Times New Roman"/>
                <w:b/>
                <w:bCs/>
                <w:sz w:val="24"/>
                <w:szCs w:val="24"/>
                <w:lang w:val="en-US"/>
              </w:rPr>
              <w:t>Interpretation</w:t>
            </w:r>
          </w:p>
        </w:tc>
      </w:tr>
      <w:tr w:rsidR="001623A3" w:rsidRPr="00FF41E7" w14:paraId="24F70BC6" w14:textId="09A0407C" w:rsidTr="00FF41E7">
        <w:trPr>
          <w:trHeight w:val="309"/>
        </w:trPr>
        <w:tc>
          <w:tcPr>
            <w:tcW w:w="2191" w:type="dxa"/>
            <w:tcBorders>
              <w:top w:val="single" w:sz="4" w:space="0" w:color="auto"/>
              <w:left w:val="nil"/>
              <w:bottom w:val="single" w:sz="4" w:space="0" w:color="auto"/>
              <w:right w:val="nil"/>
            </w:tcBorders>
            <w:vAlign w:val="bottom"/>
          </w:tcPr>
          <w:p w14:paraId="3F9A65AF"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color w:val="000000"/>
                <w:sz w:val="24"/>
                <w:szCs w:val="24"/>
                <w:lang w:val="en-US"/>
              </w:rPr>
              <w:t xml:space="preserve">Time domain </w:t>
            </w:r>
          </w:p>
        </w:tc>
        <w:tc>
          <w:tcPr>
            <w:tcW w:w="1560" w:type="dxa"/>
            <w:tcBorders>
              <w:top w:val="single" w:sz="4" w:space="0" w:color="auto"/>
              <w:left w:val="nil"/>
              <w:bottom w:val="single" w:sz="4" w:space="0" w:color="auto"/>
              <w:right w:val="nil"/>
            </w:tcBorders>
          </w:tcPr>
          <w:p w14:paraId="213BBC53"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937" w:type="dxa"/>
            <w:tcBorders>
              <w:top w:val="single" w:sz="4" w:space="0" w:color="auto"/>
              <w:left w:val="nil"/>
              <w:bottom w:val="single" w:sz="4" w:space="0" w:color="auto"/>
              <w:right w:val="nil"/>
            </w:tcBorders>
          </w:tcPr>
          <w:p w14:paraId="0BB47626"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4682" w:type="dxa"/>
            <w:tcBorders>
              <w:top w:val="single" w:sz="4" w:space="0" w:color="auto"/>
              <w:left w:val="nil"/>
              <w:bottom w:val="single" w:sz="4" w:space="0" w:color="auto"/>
              <w:right w:val="nil"/>
            </w:tcBorders>
          </w:tcPr>
          <w:p w14:paraId="252559E9"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4810" w:type="dxa"/>
            <w:tcBorders>
              <w:top w:val="single" w:sz="4" w:space="0" w:color="auto"/>
              <w:left w:val="nil"/>
              <w:bottom w:val="single" w:sz="4" w:space="0" w:color="auto"/>
              <w:right w:val="nil"/>
            </w:tcBorders>
          </w:tcPr>
          <w:p w14:paraId="63D693D6"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r>
      <w:tr w:rsidR="001623A3" w:rsidRPr="00FF41E7" w14:paraId="1A03C8ED" w14:textId="39F25AD3" w:rsidTr="00FF41E7">
        <w:trPr>
          <w:trHeight w:val="309"/>
        </w:trPr>
        <w:tc>
          <w:tcPr>
            <w:tcW w:w="2191" w:type="dxa"/>
            <w:tcBorders>
              <w:top w:val="single" w:sz="4" w:space="0" w:color="auto"/>
              <w:left w:val="nil"/>
              <w:bottom w:val="nil"/>
              <w:right w:val="nil"/>
            </w:tcBorders>
            <w:vAlign w:val="bottom"/>
          </w:tcPr>
          <w:p w14:paraId="348B7363"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single" w:sz="4" w:space="0" w:color="auto"/>
              <w:left w:val="nil"/>
              <w:bottom w:val="nil"/>
              <w:right w:val="nil"/>
            </w:tcBorders>
          </w:tcPr>
          <w:p w14:paraId="64D6693D" w14:textId="77777777" w:rsidR="001623A3" w:rsidRPr="00FF41E7" w:rsidRDefault="001623A3" w:rsidP="00FF5592">
            <w:pPr>
              <w:pStyle w:val="Listenabsatz"/>
              <w:spacing w:line="480" w:lineRule="auto"/>
              <w:ind w:left="0"/>
              <w:rPr>
                <w:rFonts w:ascii="Times New Roman" w:hAnsi="Times New Roman" w:cs="Times New Roman"/>
                <w:sz w:val="24"/>
                <w:szCs w:val="24"/>
                <w:vertAlign w:val="subscript"/>
                <w:lang w:val="en-US"/>
              </w:rPr>
            </w:pPr>
            <w:r w:rsidRPr="00FF41E7">
              <w:rPr>
                <w:rFonts w:ascii="Times New Roman" w:hAnsi="Times New Roman" w:cs="Times New Roman"/>
                <w:sz w:val="24"/>
                <w:szCs w:val="24"/>
                <w:lang w:val="en-US"/>
              </w:rPr>
              <w:t xml:space="preserve">SDNN </w:t>
            </w:r>
          </w:p>
        </w:tc>
        <w:tc>
          <w:tcPr>
            <w:tcW w:w="937" w:type="dxa"/>
            <w:tcBorders>
              <w:top w:val="single" w:sz="4" w:space="0" w:color="auto"/>
              <w:left w:val="nil"/>
              <w:bottom w:val="nil"/>
              <w:right w:val="nil"/>
            </w:tcBorders>
          </w:tcPr>
          <w:p w14:paraId="109045EB"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roofErr w:type="spellStart"/>
            <w:r w:rsidRPr="00FF41E7">
              <w:rPr>
                <w:rFonts w:ascii="Times New Roman" w:hAnsi="Times New Roman" w:cs="Times New Roman"/>
                <w:sz w:val="24"/>
                <w:szCs w:val="24"/>
                <w:lang w:val="en-US"/>
              </w:rPr>
              <w:t>ms</w:t>
            </w:r>
            <w:proofErr w:type="spellEnd"/>
          </w:p>
        </w:tc>
        <w:tc>
          <w:tcPr>
            <w:tcW w:w="4682" w:type="dxa"/>
            <w:tcBorders>
              <w:top w:val="single" w:sz="4" w:space="0" w:color="auto"/>
              <w:left w:val="nil"/>
              <w:bottom w:val="nil"/>
              <w:right w:val="nil"/>
            </w:tcBorders>
          </w:tcPr>
          <w:p w14:paraId="09D70C69"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Standard deviation of NN intervals</w:t>
            </w:r>
          </w:p>
        </w:tc>
        <w:tc>
          <w:tcPr>
            <w:tcW w:w="4810" w:type="dxa"/>
            <w:tcBorders>
              <w:top w:val="single" w:sz="4" w:space="0" w:color="auto"/>
              <w:left w:val="nil"/>
              <w:bottom w:val="nil"/>
              <w:right w:val="nil"/>
            </w:tcBorders>
          </w:tcPr>
          <w:p w14:paraId="21932194" w14:textId="11895F0E"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Reflects</w:t>
            </w:r>
            <w:r w:rsidR="001623A3" w:rsidRPr="00FF41E7">
              <w:rPr>
                <w:rFonts w:ascii="Times New Roman" w:hAnsi="Times New Roman" w:cs="Times New Roman"/>
                <w:sz w:val="24"/>
                <w:szCs w:val="24"/>
                <w:lang w:val="en-US"/>
              </w:rPr>
              <w:t xml:space="preserve"> the regulatory capacity of the ANS</w:t>
            </w:r>
            <w:r w:rsidR="001623A3" w:rsidRPr="00FF41E7">
              <w:rPr>
                <w:rFonts w:ascii="Times New Roman" w:hAnsi="Times New Roman" w:cs="Times New Roman"/>
                <w:sz w:val="24"/>
                <w:szCs w:val="24"/>
                <w:lang w:val="en-US"/>
              </w:rPr>
              <w:t xml:space="preserve"> [1]</w:t>
            </w:r>
          </w:p>
        </w:tc>
      </w:tr>
      <w:tr w:rsidR="001623A3" w:rsidRPr="00FF41E7" w14:paraId="5318D292" w14:textId="247BE4D6" w:rsidTr="00FF41E7">
        <w:trPr>
          <w:trHeight w:val="309"/>
        </w:trPr>
        <w:tc>
          <w:tcPr>
            <w:tcW w:w="2191" w:type="dxa"/>
            <w:tcBorders>
              <w:top w:val="nil"/>
              <w:left w:val="nil"/>
              <w:bottom w:val="nil"/>
              <w:right w:val="nil"/>
            </w:tcBorders>
            <w:vAlign w:val="bottom"/>
          </w:tcPr>
          <w:p w14:paraId="1E3FE917"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nil"/>
              <w:left w:val="nil"/>
              <w:bottom w:val="nil"/>
              <w:right w:val="nil"/>
            </w:tcBorders>
          </w:tcPr>
          <w:p w14:paraId="14DDEBA7"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RMSSD</w:t>
            </w:r>
          </w:p>
        </w:tc>
        <w:tc>
          <w:tcPr>
            <w:tcW w:w="937" w:type="dxa"/>
            <w:tcBorders>
              <w:top w:val="nil"/>
              <w:left w:val="nil"/>
              <w:bottom w:val="nil"/>
              <w:right w:val="nil"/>
            </w:tcBorders>
          </w:tcPr>
          <w:p w14:paraId="20A62669"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roofErr w:type="spellStart"/>
            <w:r w:rsidRPr="00FF41E7">
              <w:rPr>
                <w:rFonts w:ascii="Times New Roman" w:hAnsi="Times New Roman" w:cs="Times New Roman"/>
                <w:sz w:val="24"/>
                <w:szCs w:val="24"/>
                <w:lang w:val="en-US"/>
              </w:rPr>
              <w:t>ms</w:t>
            </w:r>
            <w:proofErr w:type="spellEnd"/>
          </w:p>
        </w:tc>
        <w:tc>
          <w:tcPr>
            <w:tcW w:w="4682" w:type="dxa"/>
            <w:tcBorders>
              <w:top w:val="nil"/>
              <w:left w:val="nil"/>
              <w:bottom w:val="nil"/>
              <w:right w:val="nil"/>
            </w:tcBorders>
          </w:tcPr>
          <w:p w14:paraId="211C3B3A"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Root Mean Square of successive differences</w:t>
            </w:r>
          </w:p>
        </w:tc>
        <w:tc>
          <w:tcPr>
            <w:tcW w:w="4810" w:type="dxa"/>
            <w:tcBorders>
              <w:top w:val="nil"/>
              <w:left w:val="nil"/>
              <w:bottom w:val="nil"/>
              <w:right w:val="nil"/>
            </w:tcBorders>
          </w:tcPr>
          <w:p w14:paraId="4006B6D1" w14:textId="33D23AF7"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Reflects</w:t>
            </w:r>
            <w:r w:rsidRPr="00FF41E7">
              <w:rPr>
                <w:rFonts w:ascii="Times New Roman" w:hAnsi="Times New Roman" w:cs="Times New Roman"/>
                <w:sz w:val="24"/>
                <w:szCs w:val="24"/>
                <w:lang w:val="en-US"/>
              </w:rPr>
              <w:t xml:space="preserve"> parasympathetic influence </w:t>
            </w:r>
            <w:r w:rsidRPr="00FF41E7">
              <w:rPr>
                <w:rFonts w:ascii="Times New Roman" w:hAnsi="Times New Roman" w:cs="Times New Roman"/>
                <w:sz w:val="24"/>
                <w:szCs w:val="24"/>
                <w:lang w:val="en-US"/>
              </w:rPr>
              <w:t>[2]</w:t>
            </w:r>
          </w:p>
        </w:tc>
      </w:tr>
      <w:tr w:rsidR="001623A3" w:rsidRPr="00FF41E7" w14:paraId="2EA937D5" w14:textId="5CA037EE" w:rsidTr="00FF41E7">
        <w:trPr>
          <w:trHeight w:val="309"/>
        </w:trPr>
        <w:tc>
          <w:tcPr>
            <w:tcW w:w="2191" w:type="dxa"/>
            <w:tcBorders>
              <w:top w:val="single" w:sz="4" w:space="0" w:color="auto"/>
              <w:left w:val="nil"/>
              <w:bottom w:val="nil"/>
              <w:right w:val="nil"/>
            </w:tcBorders>
            <w:vAlign w:val="bottom"/>
          </w:tcPr>
          <w:p w14:paraId="7A531536"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color w:val="000000"/>
                <w:sz w:val="24"/>
                <w:szCs w:val="24"/>
                <w:lang w:val="en-US"/>
              </w:rPr>
              <w:t>Frequency domain</w:t>
            </w:r>
          </w:p>
        </w:tc>
        <w:tc>
          <w:tcPr>
            <w:tcW w:w="1560" w:type="dxa"/>
            <w:tcBorders>
              <w:top w:val="single" w:sz="4" w:space="0" w:color="auto"/>
              <w:left w:val="nil"/>
              <w:bottom w:val="nil"/>
              <w:right w:val="nil"/>
            </w:tcBorders>
          </w:tcPr>
          <w:p w14:paraId="6061A137" w14:textId="77777777" w:rsidR="001623A3" w:rsidRPr="00FF41E7" w:rsidRDefault="001623A3" w:rsidP="00FF5592">
            <w:pPr>
              <w:pStyle w:val="Listenabsatz"/>
              <w:spacing w:line="480" w:lineRule="auto"/>
              <w:ind w:left="0"/>
              <w:rPr>
                <w:rFonts w:ascii="Times New Roman" w:hAnsi="Times New Roman" w:cs="Times New Roman"/>
                <w:sz w:val="24"/>
                <w:szCs w:val="24"/>
                <w:vertAlign w:val="subscript"/>
                <w:lang w:val="en-US"/>
              </w:rPr>
            </w:pPr>
          </w:p>
        </w:tc>
        <w:tc>
          <w:tcPr>
            <w:tcW w:w="937" w:type="dxa"/>
            <w:tcBorders>
              <w:top w:val="single" w:sz="4" w:space="0" w:color="auto"/>
              <w:left w:val="nil"/>
              <w:bottom w:val="nil"/>
              <w:right w:val="nil"/>
            </w:tcBorders>
          </w:tcPr>
          <w:p w14:paraId="1C72AAB3"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4682" w:type="dxa"/>
            <w:tcBorders>
              <w:top w:val="single" w:sz="4" w:space="0" w:color="auto"/>
              <w:left w:val="nil"/>
              <w:bottom w:val="nil"/>
              <w:right w:val="nil"/>
            </w:tcBorders>
          </w:tcPr>
          <w:p w14:paraId="760B6832"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4810" w:type="dxa"/>
            <w:tcBorders>
              <w:top w:val="single" w:sz="4" w:space="0" w:color="auto"/>
              <w:left w:val="nil"/>
              <w:bottom w:val="nil"/>
              <w:right w:val="nil"/>
            </w:tcBorders>
          </w:tcPr>
          <w:p w14:paraId="098E94A8"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r>
      <w:tr w:rsidR="001623A3" w:rsidRPr="00FF41E7" w14:paraId="3AC5458C" w14:textId="3DE9B9C9" w:rsidTr="00FF41E7">
        <w:trPr>
          <w:trHeight w:val="309"/>
        </w:trPr>
        <w:tc>
          <w:tcPr>
            <w:tcW w:w="2191" w:type="dxa"/>
            <w:tcBorders>
              <w:top w:val="single" w:sz="4" w:space="0" w:color="auto"/>
              <w:left w:val="nil"/>
              <w:bottom w:val="nil"/>
              <w:right w:val="nil"/>
            </w:tcBorders>
            <w:vAlign w:val="bottom"/>
          </w:tcPr>
          <w:p w14:paraId="2CCFAEFC"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single" w:sz="4" w:space="0" w:color="auto"/>
              <w:left w:val="nil"/>
              <w:bottom w:val="nil"/>
              <w:right w:val="nil"/>
            </w:tcBorders>
          </w:tcPr>
          <w:p w14:paraId="3678D3C3"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TP</w:t>
            </w:r>
          </w:p>
        </w:tc>
        <w:tc>
          <w:tcPr>
            <w:tcW w:w="937" w:type="dxa"/>
            <w:tcBorders>
              <w:top w:val="single" w:sz="4" w:space="0" w:color="auto"/>
              <w:left w:val="nil"/>
              <w:bottom w:val="nil"/>
              <w:right w:val="nil"/>
            </w:tcBorders>
          </w:tcPr>
          <w:p w14:paraId="5460ADFD" w14:textId="77777777" w:rsidR="001623A3" w:rsidRPr="00FF41E7" w:rsidRDefault="001623A3" w:rsidP="00FF5592">
            <w:pPr>
              <w:pStyle w:val="Listenabsatz"/>
              <w:spacing w:line="480" w:lineRule="auto"/>
              <w:ind w:left="0"/>
              <w:rPr>
                <w:rFonts w:ascii="Times New Roman" w:hAnsi="Times New Roman" w:cs="Times New Roman"/>
                <w:sz w:val="24"/>
                <w:szCs w:val="24"/>
                <w:vertAlign w:val="superscript"/>
                <w:lang w:val="en-US"/>
              </w:rPr>
            </w:pPr>
            <w:r w:rsidRPr="00FF41E7">
              <w:rPr>
                <w:rFonts w:ascii="Times New Roman" w:hAnsi="Times New Roman" w:cs="Times New Roman"/>
                <w:sz w:val="24"/>
                <w:szCs w:val="24"/>
                <w:lang w:val="en-US"/>
              </w:rPr>
              <w:t>ms</w:t>
            </w:r>
            <w:r w:rsidRPr="00FF41E7">
              <w:rPr>
                <w:rFonts w:ascii="Times New Roman" w:hAnsi="Times New Roman" w:cs="Times New Roman"/>
                <w:sz w:val="24"/>
                <w:szCs w:val="24"/>
                <w:vertAlign w:val="superscript"/>
                <w:lang w:val="en-US"/>
              </w:rPr>
              <w:t>2</w:t>
            </w:r>
          </w:p>
        </w:tc>
        <w:tc>
          <w:tcPr>
            <w:tcW w:w="4682" w:type="dxa"/>
            <w:tcBorders>
              <w:top w:val="single" w:sz="4" w:space="0" w:color="auto"/>
              <w:left w:val="nil"/>
              <w:bottom w:val="nil"/>
              <w:right w:val="nil"/>
            </w:tcBorders>
          </w:tcPr>
          <w:p w14:paraId="1BFFAE0F"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Total power</w:t>
            </w:r>
          </w:p>
        </w:tc>
        <w:tc>
          <w:tcPr>
            <w:tcW w:w="4810" w:type="dxa"/>
            <w:tcBorders>
              <w:top w:val="single" w:sz="4" w:space="0" w:color="auto"/>
              <w:left w:val="nil"/>
              <w:bottom w:val="nil"/>
              <w:right w:val="nil"/>
            </w:tcBorders>
          </w:tcPr>
          <w:p w14:paraId="4A893C2B" w14:textId="0015DACA"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Estimation of overall HRV</w:t>
            </w:r>
            <w:r>
              <w:rPr>
                <w:rFonts w:ascii="Times New Roman" w:hAnsi="Times New Roman" w:cs="Times New Roman"/>
                <w:sz w:val="24"/>
                <w:szCs w:val="24"/>
                <w:lang w:val="en-US"/>
              </w:rPr>
              <w:t xml:space="preserve"> </w:t>
            </w:r>
          </w:p>
        </w:tc>
      </w:tr>
      <w:tr w:rsidR="001623A3" w:rsidRPr="00FF41E7" w14:paraId="169EBAAE" w14:textId="0DD629E5" w:rsidTr="00FF41E7">
        <w:trPr>
          <w:trHeight w:val="309"/>
        </w:trPr>
        <w:tc>
          <w:tcPr>
            <w:tcW w:w="2191" w:type="dxa"/>
            <w:tcBorders>
              <w:top w:val="nil"/>
              <w:left w:val="nil"/>
              <w:bottom w:val="nil"/>
              <w:right w:val="nil"/>
            </w:tcBorders>
            <w:vAlign w:val="bottom"/>
          </w:tcPr>
          <w:p w14:paraId="3D09EC5E"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nil"/>
              <w:left w:val="nil"/>
              <w:bottom w:val="nil"/>
              <w:right w:val="nil"/>
            </w:tcBorders>
          </w:tcPr>
          <w:p w14:paraId="40BDAA31"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LF</w:t>
            </w:r>
          </w:p>
        </w:tc>
        <w:tc>
          <w:tcPr>
            <w:tcW w:w="937" w:type="dxa"/>
            <w:tcBorders>
              <w:top w:val="nil"/>
              <w:left w:val="nil"/>
              <w:bottom w:val="nil"/>
              <w:right w:val="nil"/>
            </w:tcBorders>
          </w:tcPr>
          <w:p w14:paraId="4736DDB0"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ms</w:t>
            </w:r>
            <w:r w:rsidRPr="00FF41E7">
              <w:rPr>
                <w:rFonts w:ascii="Times New Roman" w:hAnsi="Times New Roman" w:cs="Times New Roman"/>
                <w:sz w:val="24"/>
                <w:szCs w:val="24"/>
                <w:vertAlign w:val="superscript"/>
                <w:lang w:val="en-US"/>
              </w:rPr>
              <w:t>2</w:t>
            </w:r>
          </w:p>
        </w:tc>
        <w:tc>
          <w:tcPr>
            <w:tcW w:w="4682" w:type="dxa"/>
            <w:tcBorders>
              <w:top w:val="nil"/>
              <w:left w:val="nil"/>
              <w:bottom w:val="nil"/>
              <w:right w:val="nil"/>
            </w:tcBorders>
          </w:tcPr>
          <w:p w14:paraId="1EE37225"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Low frequency power</w:t>
            </w:r>
          </w:p>
        </w:tc>
        <w:tc>
          <w:tcPr>
            <w:tcW w:w="4810" w:type="dxa"/>
            <w:tcBorders>
              <w:top w:val="nil"/>
              <w:left w:val="nil"/>
              <w:bottom w:val="nil"/>
              <w:right w:val="nil"/>
            </w:tcBorders>
          </w:tcPr>
          <w:p w14:paraId="6C11FBB9" w14:textId="337D6E0E"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 xml:space="preserve">Reflects the sympathetic and parasympathetic </w:t>
            </w:r>
            <w:r w:rsidRPr="00FF41E7">
              <w:rPr>
                <w:rFonts w:ascii="Times New Roman" w:hAnsi="Times New Roman" w:cs="Times New Roman"/>
                <w:sz w:val="24"/>
                <w:szCs w:val="24"/>
                <w:lang w:val="en-US"/>
              </w:rPr>
              <w:t>influence</w:t>
            </w:r>
            <w:r>
              <w:rPr>
                <w:rFonts w:ascii="Times New Roman" w:hAnsi="Times New Roman" w:cs="Times New Roman"/>
                <w:sz w:val="24"/>
                <w:szCs w:val="24"/>
                <w:lang w:val="en-US"/>
              </w:rPr>
              <w:t xml:space="preserve"> [</w:t>
            </w:r>
            <w:r w:rsidR="009F646E">
              <w:rPr>
                <w:rFonts w:ascii="Times New Roman" w:hAnsi="Times New Roman" w:cs="Times New Roman"/>
                <w:sz w:val="24"/>
                <w:szCs w:val="24"/>
                <w:lang w:val="en-US"/>
              </w:rPr>
              <w:t>3</w:t>
            </w:r>
            <w:r>
              <w:rPr>
                <w:rFonts w:ascii="Times New Roman" w:hAnsi="Times New Roman" w:cs="Times New Roman"/>
                <w:sz w:val="24"/>
                <w:szCs w:val="24"/>
                <w:lang w:val="en-US"/>
              </w:rPr>
              <w:t>]</w:t>
            </w:r>
          </w:p>
        </w:tc>
      </w:tr>
      <w:tr w:rsidR="001623A3" w:rsidRPr="00FF41E7" w14:paraId="53B3BB42" w14:textId="08F2D7A1" w:rsidTr="00FF41E7">
        <w:trPr>
          <w:trHeight w:val="309"/>
        </w:trPr>
        <w:tc>
          <w:tcPr>
            <w:tcW w:w="2191" w:type="dxa"/>
            <w:tcBorders>
              <w:top w:val="nil"/>
              <w:left w:val="nil"/>
              <w:bottom w:val="nil"/>
              <w:right w:val="nil"/>
            </w:tcBorders>
            <w:vAlign w:val="bottom"/>
          </w:tcPr>
          <w:p w14:paraId="626C5264"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nil"/>
              <w:left w:val="nil"/>
              <w:bottom w:val="nil"/>
              <w:right w:val="nil"/>
            </w:tcBorders>
          </w:tcPr>
          <w:p w14:paraId="70A1B478"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HF</w:t>
            </w:r>
          </w:p>
        </w:tc>
        <w:tc>
          <w:tcPr>
            <w:tcW w:w="937" w:type="dxa"/>
            <w:tcBorders>
              <w:top w:val="nil"/>
              <w:left w:val="nil"/>
              <w:bottom w:val="nil"/>
              <w:right w:val="nil"/>
            </w:tcBorders>
          </w:tcPr>
          <w:p w14:paraId="06956040"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ms</w:t>
            </w:r>
            <w:r w:rsidRPr="00FF41E7">
              <w:rPr>
                <w:rFonts w:ascii="Times New Roman" w:hAnsi="Times New Roman" w:cs="Times New Roman"/>
                <w:sz w:val="24"/>
                <w:szCs w:val="24"/>
                <w:vertAlign w:val="superscript"/>
                <w:lang w:val="en-US"/>
              </w:rPr>
              <w:t>2</w:t>
            </w:r>
          </w:p>
        </w:tc>
        <w:tc>
          <w:tcPr>
            <w:tcW w:w="4682" w:type="dxa"/>
            <w:tcBorders>
              <w:top w:val="nil"/>
              <w:left w:val="nil"/>
              <w:bottom w:val="nil"/>
              <w:right w:val="nil"/>
            </w:tcBorders>
          </w:tcPr>
          <w:p w14:paraId="2B9A2615"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High frequency power</w:t>
            </w:r>
          </w:p>
        </w:tc>
        <w:tc>
          <w:tcPr>
            <w:tcW w:w="4810" w:type="dxa"/>
            <w:tcBorders>
              <w:top w:val="nil"/>
              <w:left w:val="nil"/>
              <w:bottom w:val="nil"/>
              <w:right w:val="nil"/>
            </w:tcBorders>
          </w:tcPr>
          <w:p w14:paraId="6746F2DC" w14:textId="3DB22682"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 xml:space="preserve">Reflects parasympathetic influence </w:t>
            </w:r>
            <w:r>
              <w:rPr>
                <w:rFonts w:ascii="Times New Roman" w:hAnsi="Times New Roman" w:cs="Times New Roman"/>
                <w:sz w:val="24"/>
                <w:szCs w:val="24"/>
                <w:lang w:val="en-US"/>
              </w:rPr>
              <w:t>[</w:t>
            </w:r>
            <w:r w:rsidR="009F646E">
              <w:rPr>
                <w:rFonts w:ascii="Times New Roman" w:hAnsi="Times New Roman" w:cs="Times New Roman"/>
                <w:sz w:val="24"/>
                <w:szCs w:val="24"/>
                <w:lang w:val="en-US"/>
              </w:rPr>
              <w:t>4</w:t>
            </w:r>
            <w:r>
              <w:rPr>
                <w:rFonts w:ascii="Times New Roman" w:hAnsi="Times New Roman" w:cs="Times New Roman"/>
                <w:sz w:val="24"/>
                <w:szCs w:val="24"/>
                <w:lang w:val="en-US"/>
              </w:rPr>
              <w:t>]</w:t>
            </w:r>
          </w:p>
        </w:tc>
      </w:tr>
      <w:tr w:rsidR="001623A3" w:rsidRPr="00FF41E7" w14:paraId="4C33CAD5" w14:textId="27DFC4AE" w:rsidTr="00FF41E7">
        <w:trPr>
          <w:trHeight w:val="309"/>
        </w:trPr>
        <w:tc>
          <w:tcPr>
            <w:tcW w:w="2191" w:type="dxa"/>
            <w:tcBorders>
              <w:top w:val="nil"/>
              <w:left w:val="nil"/>
              <w:bottom w:val="nil"/>
              <w:right w:val="nil"/>
            </w:tcBorders>
            <w:vAlign w:val="bottom"/>
          </w:tcPr>
          <w:p w14:paraId="3123C5B1"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p>
        </w:tc>
        <w:tc>
          <w:tcPr>
            <w:tcW w:w="1560" w:type="dxa"/>
            <w:tcBorders>
              <w:top w:val="nil"/>
              <w:left w:val="nil"/>
              <w:bottom w:val="nil"/>
              <w:right w:val="nil"/>
            </w:tcBorders>
          </w:tcPr>
          <w:p w14:paraId="4463F4A9"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LF/HF Ratio</w:t>
            </w:r>
          </w:p>
        </w:tc>
        <w:tc>
          <w:tcPr>
            <w:tcW w:w="937" w:type="dxa"/>
            <w:tcBorders>
              <w:top w:val="nil"/>
              <w:left w:val="nil"/>
              <w:bottom w:val="nil"/>
              <w:right w:val="nil"/>
            </w:tcBorders>
          </w:tcPr>
          <w:p w14:paraId="49ADDDAC"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ms</w:t>
            </w:r>
            <w:r w:rsidRPr="00FF41E7">
              <w:rPr>
                <w:rFonts w:ascii="Times New Roman" w:hAnsi="Times New Roman" w:cs="Times New Roman"/>
                <w:sz w:val="24"/>
                <w:szCs w:val="24"/>
                <w:vertAlign w:val="superscript"/>
                <w:lang w:val="en-US"/>
              </w:rPr>
              <w:t>2</w:t>
            </w:r>
          </w:p>
        </w:tc>
        <w:tc>
          <w:tcPr>
            <w:tcW w:w="4682" w:type="dxa"/>
            <w:tcBorders>
              <w:top w:val="nil"/>
              <w:left w:val="nil"/>
              <w:bottom w:val="nil"/>
              <w:right w:val="nil"/>
            </w:tcBorders>
          </w:tcPr>
          <w:p w14:paraId="2E1DE701" w14:textId="77777777" w:rsidR="001623A3" w:rsidRPr="00FF41E7" w:rsidRDefault="001623A3"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Ratio of low and high frequency power</w:t>
            </w:r>
          </w:p>
        </w:tc>
        <w:tc>
          <w:tcPr>
            <w:tcW w:w="4810" w:type="dxa"/>
            <w:tcBorders>
              <w:top w:val="nil"/>
              <w:left w:val="nil"/>
              <w:bottom w:val="nil"/>
              <w:right w:val="nil"/>
            </w:tcBorders>
          </w:tcPr>
          <w:p w14:paraId="4E890A1F" w14:textId="125D203B" w:rsidR="001623A3" w:rsidRPr="00FF41E7" w:rsidRDefault="00FF41E7" w:rsidP="00FF5592">
            <w:pPr>
              <w:pStyle w:val="Listenabsatz"/>
              <w:spacing w:line="480" w:lineRule="auto"/>
              <w:ind w:left="0"/>
              <w:rPr>
                <w:rFonts w:ascii="Times New Roman" w:hAnsi="Times New Roman" w:cs="Times New Roman"/>
                <w:sz w:val="24"/>
                <w:szCs w:val="24"/>
                <w:lang w:val="en-US"/>
              </w:rPr>
            </w:pPr>
            <w:r w:rsidRPr="00FF41E7">
              <w:rPr>
                <w:rFonts w:ascii="Times New Roman" w:hAnsi="Times New Roman" w:cs="Times New Roman"/>
                <w:sz w:val="24"/>
                <w:szCs w:val="24"/>
                <w:lang w:val="en-US"/>
              </w:rPr>
              <w:t xml:space="preserve">Reflects </w:t>
            </w:r>
            <w:proofErr w:type="spellStart"/>
            <w:r w:rsidRPr="00FF41E7">
              <w:rPr>
                <w:rFonts w:ascii="Times New Roman" w:hAnsi="Times New Roman" w:cs="Times New Roman"/>
                <w:sz w:val="24"/>
                <w:szCs w:val="24"/>
                <w:lang w:val="en-US"/>
              </w:rPr>
              <w:t>sympathovagal</w:t>
            </w:r>
            <w:proofErr w:type="spellEnd"/>
            <w:r w:rsidRPr="00FF41E7">
              <w:rPr>
                <w:rFonts w:ascii="Times New Roman" w:hAnsi="Times New Roman" w:cs="Times New Roman"/>
                <w:sz w:val="24"/>
                <w:szCs w:val="24"/>
                <w:lang w:val="en-US"/>
              </w:rPr>
              <w:t xml:space="preserve"> balance</w:t>
            </w:r>
            <w:r>
              <w:rPr>
                <w:rFonts w:ascii="Times New Roman" w:hAnsi="Times New Roman" w:cs="Times New Roman"/>
                <w:sz w:val="24"/>
                <w:szCs w:val="24"/>
                <w:lang w:val="en-US"/>
              </w:rPr>
              <w:t xml:space="preserve"> [</w:t>
            </w:r>
            <w:r w:rsidR="009F646E">
              <w:rPr>
                <w:rFonts w:ascii="Times New Roman" w:hAnsi="Times New Roman" w:cs="Times New Roman"/>
                <w:sz w:val="24"/>
                <w:szCs w:val="24"/>
                <w:lang w:val="en-US"/>
              </w:rPr>
              <w:t>5</w:t>
            </w:r>
            <w:r>
              <w:rPr>
                <w:rFonts w:ascii="Times New Roman" w:hAnsi="Times New Roman" w:cs="Times New Roman"/>
                <w:sz w:val="24"/>
                <w:szCs w:val="24"/>
                <w:lang w:val="en-US"/>
              </w:rPr>
              <w:t>]</w:t>
            </w:r>
          </w:p>
        </w:tc>
      </w:tr>
    </w:tbl>
    <w:p w14:paraId="68DED527" w14:textId="15B79FF5" w:rsidR="001623A3" w:rsidRPr="00FF41E7" w:rsidRDefault="001623A3" w:rsidP="001623A3">
      <w:pPr>
        <w:pStyle w:val="Beschriftung"/>
        <w:rPr>
          <w:rFonts w:ascii="Times New Roman" w:hAnsi="Times New Roman" w:cs="Times New Roman"/>
          <w:color w:val="auto"/>
          <w:sz w:val="20"/>
          <w:szCs w:val="20"/>
          <w:lang w:val="en-US"/>
        </w:rPr>
      </w:pPr>
      <w:r w:rsidRPr="00FF41E7">
        <w:rPr>
          <w:rFonts w:ascii="Times New Roman" w:hAnsi="Times New Roman" w:cs="Times New Roman"/>
          <w:color w:val="auto"/>
          <w:sz w:val="20"/>
          <w:szCs w:val="20"/>
          <w:lang w:val="en-US"/>
        </w:rPr>
        <w:t xml:space="preserve">Supplement Table </w:t>
      </w:r>
      <w:r w:rsidRPr="00FF41E7">
        <w:rPr>
          <w:rFonts w:ascii="Times New Roman" w:hAnsi="Times New Roman" w:cs="Times New Roman"/>
          <w:color w:val="auto"/>
          <w:sz w:val="20"/>
          <w:szCs w:val="20"/>
        </w:rPr>
        <w:fldChar w:fldCharType="begin"/>
      </w:r>
      <w:r w:rsidRPr="00FF41E7">
        <w:rPr>
          <w:rFonts w:ascii="Times New Roman" w:hAnsi="Times New Roman" w:cs="Times New Roman"/>
          <w:color w:val="auto"/>
          <w:sz w:val="20"/>
          <w:szCs w:val="20"/>
          <w:lang w:val="en-US"/>
        </w:rPr>
        <w:instrText xml:space="preserve"> SEQ Supplement_Table \* ARABIC </w:instrText>
      </w:r>
      <w:r w:rsidRPr="00FF41E7">
        <w:rPr>
          <w:rFonts w:ascii="Times New Roman" w:hAnsi="Times New Roman" w:cs="Times New Roman"/>
          <w:color w:val="auto"/>
          <w:sz w:val="20"/>
          <w:szCs w:val="20"/>
        </w:rPr>
        <w:fldChar w:fldCharType="separate"/>
      </w:r>
      <w:r w:rsidRPr="00FF41E7">
        <w:rPr>
          <w:rFonts w:ascii="Times New Roman" w:hAnsi="Times New Roman" w:cs="Times New Roman"/>
          <w:noProof/>
          <w:color w:val="auto"/>
          <w:sz w:val="20"/>
          <w:szCs w:val="20"/>
          <w:lang w:val="en-US"/>
        </w:rPr>
        <w:t>1</w:t>
      </w:r>
      <w:r w:rsidRPr="00FF41E7">
        <w:rPr>
          <w:rFonts w:ascii="Times New Roman" w:hAnsi="Times New Roman" w:cs="Times New Roman"/>
          <w:color w:val="auto"/>
          <w:sz w:val="20"/>
          <w:szCs w:val="20"/>
        </w:rPr>
        <w:fldChar w:fldCharType="end"/>
      </w:r>
      <w:r w:rsidRPr="00FF41E7">
        <w:rPr>
          <w:rFonts w:ascii="Times New Roman" w:hAnsi="Times New Roman" w:cs="Times New Roman"/>
          <w:color w:val="auto"/>
          <w:sz w:val="20"/>
          <w:szCs w:val="20"/>
          <w:lang w:val="en-US"/>
        </w:rPr>
        <w:t xml:space="preserve">: </w:t>
      </w:r>
      <w:r w:rsidRPr="00FF41E7">
        <w:rPr>
          <w:rFonts w:ascii="Times New Roman" w:hAnsi="Times New Roman" w:cs="Times New Roman"/>
          <w:color w:val="auto"/>
          <w:sz w:val="20"/>
          <w:szCs w:val="20"/>
          <w:lang w:val="en-US"/>
        </w:rPr>
        <w:t>HRV parameters with units</w:t>
      </w:r>
      <w:r w:rsidR="009F646E">
        <w:rPr>
          <w:rFonts w:ascii="Times New Roman" w:hAnsi="Times New Roman" w:cs="Times New Roman"/>
          <w:color w:val="auto"/>
          <w:sz w:val="20"/>
          <w:szCs w:val="20"/>
          <w:lang w:val="en-US"/>
        </w:rPr>
        <w:t>,</w:t>
      </w:r>
      <w:r w:rsidRPr="00FF41E7">
        <w:rPr>
          <w:rFonts w:ascii="Times New Roman" w:hAnsi="Times New Roman" w:cs="Times New Roman"/>
          <w:color w:val="auto"/>
          <w:sz w:val="20"/>
          <w:szCs w:val="20"/>
          <w:lang w:val="en-US"/>
        </w:rPr>
        <w:t xml:space="preserve"> </w:t>
      </w:r>
      <w:proofErr w:type="gramStart"/>
      <w:r w:rsidR="009F646E" w:rsidRPr="00FF41E7">
        <w:rPr>
          <w:rFonts w:ascii="Times New Roman" w:hAnsi="Times New Roman" w:cs="Times New Roman"/>
          <w:color w:val="auto"/>
          <w:sz w:val="20"/>
          <w:szCs w:val="20"/>
          <w:lang w:val="en-US"/>
        </w:rPr>
        <w:t>definitions</w:t>
      </w:r>
      <w:proofErr w:type="gramEnd"/>
      <w:r w:rsidR="009F646E">
        <w:rPr>
          <w:rFonts w:ascii="Times New Roman" w:hAnsi="Times New Roman" w:cs="Times New Roman"/>
          <w:color w:val="auto"/>
          <w:sz w:val="20"/>
          <w:szCs w:val="20"/>
          <w:lang w:val="en-US"/>
        </w:rPr>
        <w:t xml:space="preserve"> and interpretation</w:t>
      </w:r>
    </w:p>
    <w:p w14:paraId="4BE72E5F" w14:textId="47A42F7B" w:rsidR="00F6586C" w:rsidRDefault="001623A3" w:rsidP="001623A3">
      <w:pPr>
        <w:pStyle w:val="Beschriftung"/>
        <w:rPr>
          <w:rFonts w:ascii="Times New Roman" w:hAnsi="Times New Roman" w:cs="Times New Roman"/>
          <w:color w:val="auto"/>
          <w:sz w:val="20"/>
          <w:szCs w:val="20"/>
          <w:lang w:val="en-US"/>
        </w:rPr>
      </w:pPr>
      <w:r w:rsidRPr="00FF41E7">
        <w:rPr>
          <w:rFonts w:ascii="Times New Roman" w:hAnsi="Times New Roman" w:cs="Times New Roman"/>
          <w:color w:val="auto"/>
          <w:sz w:val="20"/>
          <w:szCs w:val="20"/>
          <w:lang w:val="en-US"/>
        </w:rPr>
        <w:t>Abbreviations: NN intervals = normal intervals between adjacent normal R waves in the ECG</w:t>
      </w:r>
    </w:p>
    <w:p w14:paraId="1EDF859F" w14:textId="77777777" w:rsidR="009F646E" w:rsidRPr="009F646E" w:rsidRDefault="009F646E" w:rsidP="009F646E">
      <w:pPr>
        <w:rPr>
          <w:lang w:val="en-US"/>
        </w:rPr>
      </w:pPr>
    </w:p>
    <w:p w14:paraId="754849D6" w14:textId="09EBB12A" w:rsidR="00FF41E7" w:rsidRPr="009F646E" w:rsidRDefault="00FF41E7" w:rsidP="00FF41E7">
      <w:pPr>
        <w:spacing w:after="0"/>
        <w:rPr>
          <w:rFonts w:ascii="Times New Roman" w:hAnsi="Times New Roman" w:cs="Times New Roman"/>
          <w:sz w:val="20"/>
          <w:szCs w:val="20"/>
          <w:lang w:val="en-US"/>
        </w:rPr>
      </w:pPr>
      <w:r w:rsidRPr="009F646E">
        <w:rPr>
          <w:rFonts w:ascii="Times New Roman" w:hAnsi="Times New Roman" w:cs="Times New Roman"/>
          <w:sz w:val="20"/>
          <w:szCs w:val="20"/>
          <w:lang w:val="en-US"/>
        </w:rPr>
        <w:t xml:space="preserve">[1] </w:t>
      </w:r>
      <w:r w:rsidRPr="009F646E">
        <w:rPr>
          <w:rFonts w:ascii="Times New Roman" w:hAnsi="Times New Roman" w:cs="Times New Roman"/>
          <w:sz w:val="20"/>
          <w:szCs w:val="20"/>
          <w:lang w:val="en-US"/>
        </w:rPr>
        <w:t xml:space="preserve">Malik M. Heart rate variability: Standards of measurement, physiological interpretation, and clinical use: Task force of the European Society of Cardiology and the North American Society for Pacing and Electrophysiology. Annals of Noninvasive </w:t>
      </w:r>
      <w:proofErr w:type="spellStart"/>
      <w:r w:rsidRPr="009F646E">
        <w:rPr>
          <w:rFonts w:ascii="Times New Roman" w:hAnsi="Times New Roman" w:cs="Times New Roman"/>
          <w:sz w:val="20"/>
          <w:szCs w:val="20"/>
          <w:lang w:val="en-US"/>
        </w:rPr>
        <w:t>Electrocardiology</w:t>
      </w:r>
      <w:proofErr w:type="spellEnd"/>
      <w:r w:rsidRPr="009F646E">
        <w:rPr>
          <w:rFonts w:ascii="Times New Roman" w:hAnsi="Times New Roman" w:cs="Times New Roman"/>
          <w:sz w:val="20"/>
          <w:szCs w:val="20"/>
          <w:lang w:val="en-US"/>
        </w:rPr>
        <w:t xml:space="preserve">. </w:t>
      </w:r>
      <w:proofErr w:type="gramStart"/>
      <w:r w:rsidRPr="009F646E">
        <w:rPr>
          <w:rFonts w:ascii="Times New Roman" w:hAnsi="Times New Roman" w:cs="Times New Roman"/>
          <w:sz w:val="20"/>
          <w:szCs w:val="20"/>
          <w:lang w:val="en-US"/>
        </w:rPr>
        <w:t>1996;1:151</w:t>
      </w:r>
      <w:proofErr w:type="gramEnd"/>
      <w:r w:rsidRPr="009F646E">
        <w:rPr>
          <w:rFonts w:ascii="Times New Roman" w:hAnsi="Times New Roman" w:cs="Times New Roman"/>
          <w:sz w:val="20"/>
          <w:szCs w:val="20"/>
          <w:lang w:val="en-US"/>
        </w:rPr>
        <w:t>-81.</w:t>
      </w:r>
    </w:p>
    <w:p w14:paraId="30408A4C" w14:textId="77777777" w:rsidR="00FF41E7" w:rsidRPr="009F646E" w:rsidRDefault="00FF41E7" w:rsidP="00FF41E7">
      <w:pPr>
        <w:pStyle w:val="EndNoteBibliography"/>
        <w:spacing w:after="0"/>
        <w:rPr>
          <w:sz w:val="20"/>
          <w:szCs w:val="20"/>
        </w:rPr>
      </w:pPr>
      <w:r w:rsidRPr="009F646E">
        <w:rPr>
          <w:sz w:val="20"/>
          <w:szCs w:val="20"/>
          <w:lang w:val="de-DE"/>
        </w:rPr>
        <w:t xml:space="preserve">[2] </w:t>
      </w:r>
      <w:r w:rsidRPr="009F646E">
        <w:rPr>
          <w:sz w:val="20"/>
          <w:szCs w:val="20"/>
          <w:lang w:val="de-DE"/>
        </w:rPr>
        <w:t xml:space="preserve">Kleiger RE, Stein PK, Bigger Jr JT. </w:t>
      </w:r>
      <w:r w:rsidRPr="009F646E">
        <w:rPr>
          <w:sz w:val="20"/>
          <w:szCs w:val="20"/>
        </w:rPr>
        <w:t>Heart rate variability: measurement and clinical utility. Annals of Noninvasive Electrocardiology. 2005;10:88-101.</w:t>
      </w:r>
    </w:p>
    <w:p w14:paraId="7EEDD749" w14:textId="54DCB0D1" w:rsidR="00FF41E7" w:rsidRPr="009F646E" w:rsidRDefault="00FF41E7" w:rsidP="00FF41E7">
      <w:pPr>
        <w:pStyle w:val="EndNoteBibliography"/>
        <w:spacing w:after="0"/>
        <w:rPr>
          <w:sz w:val="20"/>
          <w:szCs w:val="20"/>
        </w:rPr>
      </w:pPr>
      <w:r w:rsidRPr="009F646E">
        <w:rPr>
          <w:sz w:val="20"/>
          <w:szCs w:val="20"/>
        </w:rPr>
        <w:t>[3]</w:t>
      </w:r>
      <w:r w:rsidR="009F646E" w:rsidRPr="009F646E">
        <w:rPr>
          <w:sz w:val="20"/>
          <w:szCs w:val="20"/>
        </w:rPr>
        <w:t xml:space="preserve"> </w:t>
      </w:r>
      <w:r w:rsidR="009F646E" w:rsidRPr="009F646E">
        <w:rPr>
          <w:sz w:val="20"/>
          <w:szCs w:val="20"/>
        </w:rPr>
        <w:t>Saul JP. Beat-to-beat variations of heart rate reflect modulation of cardiac autonomic outflow. Physiology. 1990;5:32-7.</w:t>
      </w:r>
    </w:p>
    <w:p w14:paraId="72F3CCDD" w14:textId="058DAE47" w:rsidR="009F646E" w:rsidRPr="009F646E" w:rsidRDefault="009F646E" w:rsidP="009F646E">
      <w:pPr>
        <w:pStyle w:val="EndNoteBibliography"/>
        <w:spacing w:after="0"/>
        <w:rPr>
          <w:sz w:val="20"/>
          <w:szCs w:val="20"/>
        </w:rPr>
      </w:pPr>
      <w:r w:rsidRPr="009F646E">
        <w:rPr>
          <w:sz w:val="20"/>
          <w:szCs w:val="20"/>
          <w:lang w:val="de-DE"/>
        </w:rPr>
        <w:t xml:space="preserve">[4] </w:t>
      </w:r>
      <w:r w:rsidRPr="009F646E">
        <w:rPr>
          <w:sz w:val="20"/>
          <w:szCs w:val="20"/>
          <w:lang w:val="de-DE"/>
        </w:rPr>
        <w:t xml:space="preserve">Berntson GG, Bigger JT, Jr., Eckberg DL, Grossman P, Kaufmann PG, Malik M, et al. </w:t>
      </w:r>
      <w:r w:rsidRPr="009F646E">
        <w:rPr>
          <w:sz w:val="20"/>
          <w:szCs w:val="20"/>
        </w:rPr>
        <w:t>Heart rate variability: origins, methods, and interpretive caveats. Psychophysiology. 1997;34:623-48.</w:t>
      </w:r>
    </w:p>
    <w:p w14:paraId="6735A6BA" w14:textId="520F18B3" w:rsidR="009F646E" w:rsidRPr="009F646E" w:rsidRDefault="009F646E" w:rsidP="00FF41E7">
      <w:pPr>
        <w:pStyle w:val="EndNoteBibliography"/>
        <w:spacing w:after="0"/>
        <w:rPr>
          <w:sz w:val="20"/>
          <w:szCs w:val="20"/>
        </w:rPr>
      </w:pPr>
      <w:r w:rsidRPr="009F646E">
        <w:rPr>
          <w:sz w:val="20"/>
          <w:szCs w:val="20"/>
        </w:rPr>
        <w:t xml:space="preserve">[5] </w:t>
      </w:r>
      <w:r w:rsidRPr="009F646E">
        <w:rPr>
          <w:sz w:val="20"/>
          <w:szCs w:val="20"/>
        </w:rPr>
        <w:t>Montano N, Ruscone TG, Porta A, Lombardi F, Pagani M, Malliani A. Power spectrum analysis of heart rate variability to assess the changes in sympathovagal balance during graded orthostatic tilt. Circulation. 1994;90:1826-31.</w:t>
      </w:r>
    </w:p>
    <w:p w14:paraId="1FDCC1AF" w14:textId="3706624C" w:rsidR="00FF41E7" w:rsidRPr="00FF41E7" w:rsidRDefault="00FF41E7" w:rsidP="00FF41E7">
      <w:pPr>
        <w:rPr>
          <w:lang w:val="en-US"/>
        </w:rPr>
      </w:pPr>
    </w:p>
    <w:sectPr w:rsidR="00FF41E7" w:rsidRPr="00FF41E7" w:rsidSect="001623A3">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3D"/>
    <w:rsid w:val="001623A3"/>
    <w:rsid w:val="004E0B48"/>
    <w:rsid w:val="006E2419"/>
    <w:rsid w:val="008E0010"/>
    <w:rsid w:val="009F646E"/>
    <w:rsid w:val="00B00254"/>
    <w:rsid w:val="00CB545C"/>
    <w:rsid w:val="00D7233D"/>
    <w:rsid w:val="00D94F9C"/>
    <w:rsid w:val="00F6586C"/>
    <w:rsid w:val="00FF41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2A2B"/>
  <w15:chartTrackingRefBased/>
  <w15:docId w15:val="{FD29FDFC-C777-47BF-ACD7-519D03D0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233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7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7233D"/>
    <w:pPr>
      <w:ind w:left="720"/>
      <w:contextualSpacing/>
    </w:pPr>
  </w:style>
  <w:style w:type="paragraph" w:styleId="Beschriftung">
    <w:name w:val="caption"/>
    <w:basedOn w:val="Standard"/>
    <w:next w:val="Standard"/>
    <w:uiPriority w:val="35"/>
    <w:unhideWhenUsed/>
    <w:qFormat/>
    <w:rsid w:val="001623A3"/>
    <w:pPr>
      <w:spacing w:after="200" w:line="240" w:lineRule="auto"/>
    </w:pPr>
    <w:rPr>
      <w:i/>
      <w:iCs/>
      <w:color w:val="44546A" w:themeColor="text2"/>
      <w:sz w:val="18"/>
      <w:szCs w:val="18"/>
    </w:rPr>
  </w:style>
  <w:style w:type="paragraph" w:customStyle="1" w:styleId="EndNoteBibliography">
    <w:name w:val="EndNote Bibliography"/>
    <w:basedOn w:val="Standard"/>
    <w:link w:val="EndNoteBibliographyZchn"/>
    <w:rsid w:val="00FF41E7"/>
    <w:pPr>
      <w:spacing w:line="240" w:lineRule="auto"/>
    </w:pPr>
    <w:rPr>
      <w:rFonts w:ascii="Times New Roman" w:hAnsi="Times New Roman" w:cs="Times New Roman"/>
      <w:noProof/>
      <w:sz w:val="24"/>
      <w:lang w:val="en-US"/>
    </w:rPr>
  </w:style>
  <w:style w:type="character" w:customStyle="1" w:styleId="EndNoteBibliographyZchn">
    <w:name w:val="EndNote Bibliography Zchn"/>
    <w:basedOn w:val="Absatz-Standardschriftart"/>
    <w:link w:val="EndNoteBibliography"/>
    <w:rsid w:val="00FF41E7"/>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53470-C6F9-4709-B802-499180CF8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Keim</dc:creator>
  <cp:keywords/>
  <dc:description/>
  <cp:lastModifiedBy>Ole Keim</cp:lastModifiedBy>
  <cp:revision>2</cp:revision>
  <dcterms:created xsi:type="dcterms:W3CDTF">2022-12-10T11:52:00Z</dcterms:created>
  <dcterms:modified xsi:type="dcterms:W3CDTF">2023-09-20T15:27:00Z</dcterms:modified>
</cp:coreProperties>
</file>