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2694E1" w14:textId="77777777" w:rsidR="000578BE" w:rsidRDefault="000578BE" w:rsidP="000578BE">
      <w:pPr>
        <w:pStyle w:val="Caption"/>
        <w:keepNext/>
        <w:jc w:val="both"/>
        <w:rPr>
          <w:i w:val="0"/>
          <w:iCs w:val="0"/>
          <w:color w:val="000000" w:themeColor="text1"/>
        </w:rPr>
      </w:pPr>
      <w:r>
        <w:rPr>
          <w:b/>
          <w:bCs/>
          <w:i w:val="0"/>
          <w:iCs w:val="0"/>
          <w:color w:val="000000" w:themeColor="text1"/>
        </w:rPr>
        <w:t xml:space="preserve">Table </w:t>
      </w:r>
      <w:r>
        <w:rPr>
          <w:b/>
          <w:bCs/>
          <w:i w:val="0"/>
          <w:iCs w:val="0"/>
          <w:color w:val="000000" w:themeColor="text1"/>
          <w:shd w:val="clear" w:color="auto" w:fill="E6E6E6"/>
        </w:rPr>
        <w:fldChar w:fldCharType="begin"/>
      </w:r>
      <w:r>
        <w:rPr>
          <w:b/>
          <w:bCs/>
          <w:i w:val="0"/>
          <w:iCs w:val="0"/>
          <w:color w:val="000000" w:themeColor="text1"/>
        </w:rPr>
        <w:instrText xml:space="preserve"> SEQ Table \* ARABIC </w:instrText>
      </w:r>
      <w:r>
        <w:rPr>
          <w:b/>
          <w:bCs/>
          <w:i w:val="0"/>
          <w:iCs w:val="0"/>
          <w:color w:val="000000" w:themeColor="text1"/>
          <w:shd w:val="clear" w:color="auto" w:fill="E6E6E6"/>
        </w:rPr>
        <w:fldChar w:fldCharType="separate"/>
      </w:r>
      <w:r>
        <w:rPr>
          <w:b/>
          <w:bCs/>
          <w:i w:val="0"/>
          <w:iCs w:val="0"/>
          <w:noProof/>
          <w:color w:val="000000" w:themeColor="text1"/>
        </w:rPr>
        <w:t>1</w:t>
      </w:r>
      <w:r>
        <w:rPr>
          <w:b/>
          <w:bCs/>
          <w:i w:val="0"/>
          <w:iCs w:val="0"/>
          <w:color w:val="000000" w:themeColor="text1"/>
          <w:shd w:val="clear" w:color="auto" w:fill="E6E6E6"/>
        </w:rPr>
        <w:fldChar w:fldCharType="end"/>
      </w:r>
      <w:r>
        <w:rPr>
          <w:b/>
          <w:bCs/>
          <w:i w:val="0"/>
          <w:iCs w:val="0"/>
          <w:color w:val="000000" w:themeColor="text1"/>
        </w:rPr>
        <w:t xml:space="preserve"> </w:t>
      </w:r>
      <w:proofErr w:type="spellStart"/>
      <w:r>
        <w:rPr>
          <w:i w:val="0"/>
          <w:iCs w:val="0"/>
          <w:color w:val="000000" w:themeColor="text1"/>
        </w:rPr>
        <w:t>Heterocyclization</w:t>
      </w:r>
      <w:proofErr w:type="spellEnd"/>
      <w:r>
        <w:rPr>
          <w:i w:val="0"/>
          <w:iCs w:val="0"/>
          <w:color w:val="000000" w:themeColor="text1"/>
        </w:rPr>
        <w:t xml:space="preserve"> reactions with the different </w:t>
      </w:r>
      <w:proofErr w:type="spellStart"/>
      <w:r>
        <w:rPr>
          <w:i w:val="0"/>
          <w:iCs w:val="0"/>
          <w:color w:val="000000" w:themeColor="text1"/>
        </w:rPr>
        <w:t>heterocyclase</w:t>
      </w:r>
      <w:proofErr w:type="spellEnd"/>
      <w:r>
        <w:rPr>
          <w:i w:val="0"/>
          <w:iCs w:val="0"/>
          <w:color w:val="000000" w:themeColor="text1"/>
        </w:rPr>
        <w:t xml:space="preserve"> enzymes with the genetically fused leader peptide. The substrate peptide sequences indicate the core peptide in black and the C-terminal recognition motif in red. The two columns </w:t>
      </w:r>
      <w:proofErr w:type="spellStart"/>
      <w:r>
        <w:rPr>
          <w:i w:val="0"/>
          <w:iCs w:val="0"/>
          <w:color w:val="000000" w:themeColor="text1"/>
        </w:rPr>
        <w:t>thiazoline</w:t>
      </w:r>
      <w:proofErr w:type="spellEnd"/>
      <w:r>
        <w:rPr>
          <w:i w:val="0"/>
          <w:iCs w:val="0"/>
          <w:color w:val="000000" w:themeColor="text1"/>
        </w:rPr>
        <w:t xml:space="preserve"> and </w:t>
      </w:r>
      <w:proofErr w:type="spellStart"/>
      <w:r>
        <w:rPr>
          <w:i w:val="0"/>
          <w:iCs w:val="0"/>
          <w:color w:val="000000" w:themeColor="text1"/>
        </w:rPr>
        <w:t>oxazoline</w:t>
      </w:r>
      <w:proofErr w:type="spellEnd"/>
      <w:r>
        <w:rPr>
          <w:i w:val="0"/>
          <w:iCs w:val="0"/>
          <w:color w:val="000000" w:themeColor="text1"/>
        </w:rPr>
        <w:t xml:space="preserve"> indicate how much </w:t>
      </w:r>
      <w:proofErr w:type="spellStart"/>
      <w:r>
        <w:rPr>
          <w:i w:val="0"/>
          <w:iCs w:val="0"/>
          <w:color w:val="000000" w:themeColor="text1"/>
        </w:rPr>
        <w:t>heterocyclization</w:t>
      </w:r>
      <w:proofErr w:type="spellEnd"/>
      <w:r>
        <w:rPr>
          <w:i w:val="0"/>
          <w:iCs w:val="0"/>
          <w:color w:val="000000" w:themeColor="text1"/>
        </w:rPr>
        <w:t xml:space="preserve"> was present in the major product of the </w:t>
      </w:r>
      <w:proofErr w:type="spellStart"/>
      <w:r>
        <w:rPr>
          <w:i w:val="0"/>
          <w:iCs w:val="0"/>
          <w:color w:val="000000" w:themeColor="text1"/>
        </w:rPr>
        <w:t>thiazoline</w:t>
      </w:r>
      <w:proofErr w:type="spellEnd"/>
      <w:r>
        <w:rPr>
          <w:i w:val="0"/>
          <w:iCs w:val="0"/>
          <w:color w:val="000000" w:themeColor="text1"/>
        </w:rPr>
        <w:t xml:space="preserve"> (1) from cysteine and the </w:t>
      </w:r>
      <w:proofErr w:type="spellStart"/>
      <w:r>
        <w:rPr>
          <w:i w:val="0"/>
          <w:iCs w:val="0"/>
          <w:color w:val="000000" w:themeColor="text1"/>
        </w:rPr>
        <w:t>oxazoline</w:t>
      </w:r>
      <w:proofErr w:type="spellEnd"/>
      <w:r>
        <w:rPr>
          <w:i w:val="0"/>
          <w:iCs w:val="0"/>
          <w:color w:val="000000" w:themeColor="text1"/>
        </w:rPr>
        <w:t xml:space="preserve"> (2) from threonine, respectively. Reaction conditions were 500 µM peptide and 50 µM enzyme in 50 mM HEPES, 250 mM NaCl, 5 mM ATP, 1 mM MgCl</w:t>
      </w:r>
      <w:r>
        <w:rPr>
          <w:i w:val="0"/>
          <w:iCs w:val="0"/>
          <w:color w:val="000000" w:themeColor="text1"/>
          <w:vertAlign w:val="subscript"/>
        </w:rPr>
        <w:t>2</w:t>
      </w:r>
      <w:r>
        <w:rPr>
          <w:i w:val="0"/>
          <w:iCs w:val="0"/>
          <w:color w:val="000000" w:themeColor="text1"/>
        </w:rPr>
        <w:t>,</w:t>
      </w:r>
      <w:r>
        <w:rPr>
          <w:i w:val="0"/>
          <w:iCs w:val="0"/>
          <w:color w:val="000000" w:themeColor="text1"/>
          <w:vertAlign w:val="subscript"/>
        </w:rPr>
        <w:t xml:space="preserve"> </w:t>
      </w:r>
      <w:r>
        <w:rPr>
          <w:i w:val="0"/>
          <w:iCs w:val="0"/>
          <w:color w:val="000000" w:themeColor="text1"/>
        </w:rPr>
        <w:t>1mM DTT, and</w:t>
      </w:r>
      <w:r>
        <w:rPr>
          <w:i w:val="0"/>
          <w:iCs w:val="0"/>
          <w:color w:val="000000" w:themeColor="text1"/>
          <w:vertAlign w:val="subscript"/>
        </w:rPr>
        <w:t xml:space="preserve"> </w:t>
      </w:r>
      <w:r>
        <w:rPr>
          <w:i w:val="0"/>
          <w:iCs w:val="0"/>
          <w:color w:val="000000" w:themeColor="text1"/>
        </w:rPr>
        <w:t>pH 7.2 at 30°C for 12h.</w:t>
      </w:r>
    </w:p>
    <w:p w14:paraId="2C2A6696" w14:textId="6AC806D5" w:rsidR="000578BE" w:rsidRDefault="000578BE" w:rsidP="000578BE">
      <w:r>
        <w:rPr>
          <w:noProof/>
          <w:color w:val="2B579A"/>
          <w:shd w:val="clear" w:color="auto" w:fill="E6E6E6"/>
        </w:rPr>
        <w:drawing>
          <wp:inline distT="0" distB="0" distL="0" distR="0" wp14:anchorId="41EDDC3B" wp14:editId="48AB32C8">
            <wp:extent cx="5943600" cy="10553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917457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055370"/>
                    </a:xfrm>
                    <a:prstGeom prst="rect">
                      <a:avLst/>
                    </a:prstGeom>
                    <a:noFill/>
                    <a:ln>
                      <a:noFill/>
                    </a:ln>
                  </pic:spPr>
                </pic:pic>
              </a:graphicData>
            </a:graphic>
          </wp:inline>
        </w:drawing>
      </w:r>
      <w:r>
        <w:t xml:space="preserve"> </w:t>
      </w:r>
    </w:p>
    <w:p w14:paraId="71AE6314" w14:textId="77777777" w:rsidR="000578BE" w:rsidRDefault="000578BE" w:rsidP="000578BE"/>
    <w:p w14:paraId="1CE8B30E" w14:textId="77777777" w:rsidR="000578BE" w:rsidRDefault="000578BE" w:rsidP="000578BE">
      <w:pPr>
        <w:pStyle w:val="Caption"/>
        <w:keepNext/>
        <w:rPr>
          <w:i w:val="0"/>
          <w:iCs w:val="0"/>
          <w:color w:val="auto"/>
        </w:rPr>
      </w:pPr>
      <w:r>
        <w:rPr>
          <w:b/>
          <w:bCs/>
          <w:i w:val="0"/>
          <w:iCs w:val="0"/>
          <w:color w:val="auto"/>
        </w:rPr>
        <w:t xml:space="preserve">Table </w:t>
      </w:r>
      <w:r>
        <w:rPr>
          <w:b/>
          <w:bCs/>
          <w:i w:val="0"/>
          <w:iCs w:val="0"/>
          <w:color w:val="auto"/>
          <w:shd w:val="clear" w:color="auto" w:fill="E6E6E6"/>
        </w:rPr>
        <w:fldChar w:fldCharType="begin"/>
      </w:r>
      <w:r>
        <w:rPr>
          <w:b/>
          <w:bCs/>
          <w:i w:val="0"/>
          <w:iCs w:val="0"/>
          <w:color w:val="auto"/>
        </w:rPr>
        <w:instrText xml:space="preserve"> SEQ Table \* ARABIC </w:instrText>
      </w:r>
      <w:r>
        <w:rPr>
          <w:b/>
          <w:bCs/>
          <w:i w:val="0"/>
          <w:iCs w:val="0"/>
          <w:color w:val="auto"/>
          <w:shd w:val="clear" w:color="auto" w:fill="E6E6E6"/>
        </w:rPr>
        <w:fldChar w:fldCharType="separate"/>
      </w:r>
      <w:r>
        <w:rPr>
          <w:b/>
          <w:bCs/>
          <w:i w:val="0"/>
          <w:iCs w:val="0"/>
          <w:noProof/>
          <w:color w:val="auto"/>
        </w:rPr>
        <w:t>2</w:t>
      </w:r>
      <w:r>
        <w:rPr>
          <w:b/>
          <w:bCs/>
          <w:i w:val="0"/>
          <w:iCs w:val="0"/>
          <w:color w:val="auto"/>
          <w:shd w:val="clear" w:color="auto" w:fill="E6E6E6"/>
        </w:rPr>
        <w:fldChar w:fldCharType="end"/>
      </w:r>
      <w:r>
        <w:rPr>
          <w:b/>
          <w:bCs/>
          <w:i w:val="0"/>
          <w:iCs w:val="0"/>
          <w:color w:val="auto"/>
        </w:rPr>
        <w:t xml:space="preserve"> </w:t>
      </w:r>
      <w:r>
        <w:rPr>
          <w:i w:val="0"/>
          <w:iCs w:val="0"/>
          <w:color w:val="auto"/>
        </w:rPr>
        <w:t xml:space="preserve">Conversions of hetero- and macrocyclization reactions in a one-pot tandem reaction of substrates </w:t>
      </w:r>
      <w:r>
        <w:rPr>
          <w:b/>
          <w:bCs/>
          <w:i w:val="0"/>
          <w:iCs w:val="0"/>
          <w:color w:val="auto"/>
        </w:rPr>
        <w:t>2-7</w:t>
      </w:r>
      <w:r>
        <w:rPr>
          <w:i w:val="0"/>
          <w:iCs w:val="0"/>
          <w:color w:val="auto"/>
        </w:rPr>
        <w:t>. The C-terminal leaving group is colored in red and residues capable of forming heterocycles are bold. Greyed out fields are products that cannot be formed in the respective reaction. Linear peptides without or just a single heterocycle as well as macrocycles without heterocycles were not detected.</w:t>
      </w:r>
    </w:p>
    <w:p w14:paraId="2629D2AA" w14:textId="46A4AF74" w:rsidR="000578BE" w:rsidRDefault="000578BE" w:rsidP="000578BE">
      <w:r>
        <w:rPr>
          <w:noProof/>
        </w:rPr>
        <w:drawing>
          <wp:inline distT="0" distB="0" distL="0" distR="0" wp14:anchorId="4F44C93B" wp14:editId="60876E70">
            <wp:extent cx="3798570" cy="17030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042376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98570" cy="1703070"/>
                    </a:xfrm>
                    <a:prstGeom prst="rect">
                      <a:avLst/>
                    </a:prstGeom>
                    <a:noFill/>
                    <a:ln>
                      <a:noFill/>
                    </a:ln>
                  </pic:spPr>
                </pic:pic>
              </a:graphicData>
            </a:graphic>
          </wp:inline>
        </w:drawing>
      </w:r>
    </w:p>
    <w:p w14:paraId="2D838E8A" w14:textId="77777777" w:rsidR="000578BE" w:rsidRDefault="000578BE" w:rsidP="000578BE">
      <w:pPr>
        <w:rPr>
          <w:b/>
          <w:bCs/>
        </w:rPr>
      </w:pPr>
    </w:p>
    <w:p w14:paraId="7D025E19"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8BE"/>
    <w:rsid w:val="000578BE"/>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C451C"/>
  <w15:chartTrackingRefBased/>
  <w15:docId w15:val="{63BA5D37-0AA4-4074-BD58-4EBC05628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78BE"/>
    <w:pPr>
      <w:spacing w:line="256" w:lineRule="auto"/>
    </w:pPr>
    <w:rPr>
      <w:rFonts w:ascii="Arial" w:hAnsi="Arial" w:cs="Arial"/>
      <w:kern w:val="2"/>
      <w:sz w:val="20"/>
      <w:szCs w:val="2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semiHidden/>
    <w:unhideWhenUsed/>
    <w:qFormat/>
    <w:rsid w:val="000578BE"/>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8801421">
      <w:bodyDiv w:val="1"/>
      <w:marLeft w:val="0"/>
      <w:marRight w:val="0"/>
      <w:marTop w:val="0"/>
      <w:marBottom w:val="0"/>
      <w:divBdr>
        <w:top w:val="none" w:sz="0" w:space="0" w:color="auto"/>
        <w:left w:val="none" w:sz="0" w:space="0" w:color="auto"/>
        <w:bottom w:val="none" w:sz="0" w:space="0" w:color="auto"/>
        <w:right w:val="none" w:sz="0" w:space="0" w:color="auto"/>
      </w:divBdr>
    </w:div>
    <w:div w:id="1417247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155</Words>
  <Characters>885</Characters>
  <Application>Microsoft Office Word</Application>
  <DocSecurity>0</DocSecurity>
  <Lines>7</Lines>
  <Paragraphs>2</Paragraphs>
  <ScaleCrop>false</ScaleCrop>
  <Company>Springer Nature</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2023-11-30T08:43:00Z</dcterms:created>
  <dcterms:modified xsi:type="dcterms:W3CDTF">2023-11-30T08:44:00Z</dcterms:modified>
</cp:coreProperties>
</file>