
<file path=[Content_Types].xml><?xml version="1.0" encoding="utf-8"?>
<Types xmlns="http://schemas.openxmlformats.org/package/2006/content-types">
  <Default Extension="tiff" ContentType="image/tiff"/>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5"/>
        <w:spacing w:line="360" w:lineRule="auto"/>
        <w:rPr>
          <w:rFonts w:ascii="Arial" w:hAnsi="Arial" w:eastAsia="Arial" w:cs="Arial"/>
          <w:b w:val="0"/>
          <w:sz w:val="32"/>
          <w:szCs w:val="32"/>
        </w:rPr>
      </w:pPr>
      <w:r>
        <w:rPr>
          <w:rFonts w:ascii="Arial" w:hAnsi="Arial" w:eastAsia="Arial" w:cs="Arial"/>
          <w:b w:val="0"/>
          <w:sz w:val="32"/>
          <w:szCs w:val="32"/>
        </w:rPr>
        <w:t xml:space="preserve">Supporting Information </w:t>
      </w:r>
    </w:p>
    <w:p>
      <w:pPr>
        <w:pStyle w:val="54"/>
        <w:spacing w:line="240" w:lineRule="auto"/>
        <w:jc w:val="both"/>
        <w:rPr>
          <w:rFonts w:eastAsia="宋体"/>
          <w:b/>
          <w:sz w:val="36"/>
          <w:szCs w:val="36"/>
          <w:lang w:val="en-US" w:eastAsia="zh-CN"/>
        </w:rPr>
      </w:pPr>
      <w:r>
        <w:rPr>
          <w:rFonts w:hint="eastAsia" w:eastAsia="宋体"/>
          <w:b/>
          <w:sz w:val="36"/>
          <w:szCs w:val="36"/>
          <w:lang w:val="en-US" w:eastAsia="zh-CN"/>
        </w:rPr>
        <w:t xml:space="preserve">Identification of </w:t>
      </w:r>
      <w:r>
        <w:rPr>
          <w:b/>
          <w:sz w:val="36"/>
          <w:szCs w:val="36"/>
          <w:lang w:val="en-US"/>
        </w:rPr>
        <w:t>Cu-N</w:t>
      </w:r>
      <w:r>
        <w:rPr>
          <w:b/>
          <w:sz w:val="36"/>
          <w:szCs w:val="36"/>
          <w:vertAlign w:val="subscript"/>
          <w:lang w:val="en-US"/>
        </w:rPr>
        <w:t>2</w:t>
      </w:r>
      <w:r>
        <w:rPr>
          <w:b/>
          <w:sz w:val="36"/>
          <w:szCs w:val="36"/>
          <w:lang w:val="en-US"/>
        </w:rPr>
        <w:t xml:space="preserve"> sites for</w:t>
      </w:r>
      <w:r>
        <w:rPr>
          <w:rFonts w:hint="eastAsia" w:eastAsia="宋体"/>
          <w:b/>
          <w:sz w:val="36"/>
          <w:szCs w:val="36"/>
          <w:lang w:val="en-US" w:eastAsia="zh-CN"/>
        </w:rPr>
        <w:t xml:space="preserve"> </w:t>
      </w:r>
      <w:r>
        <w:rPr>
          <w:rFonts w:hint="eastAsia"/>
          <w:b/>
          <w:sz w:val="36"/>
          <w:szCs w:val="36"/>
          <w:lang w:val="en-US"/>
        </w:rPr>
        <w:t>Zn-air batteries</w:t>
      </w:r>
      <w:r>
        <w:rPr>
          <w:rFonts w:hint="eastAsia" w:eastAsia="宋体"/>
          <w:b/>
          <w:sz w:val="36"/>
          <w:szCs w:val="36"/>
          <w:lang w:val="en-US" w:eastAsia="zh-CN"/>
        </w:rPr>
        <w:t xml:space="preserve"> in harsh electrolytes: </w:t>
      </w:r>
      <w:r>
        <w:rPr>
          <w:rFonts w:eastAsia="宋体" w:cs="Arial"/>
          <w:b/>
          <w:sz w:val="36"/>
          <w:szCs w:val="36"/>
        </w:rPr>
        <w:t>from computer virtual screening to practical application</w:t>
      </w:r>
    </w:p>
    <w:p>
      <w:pPr>
        <w:pStyle w:val="41"/>
        <w:spacing w:line="360" w:lineRule="auto"/>
        <w:rPr>
          <w:rFonts w:ascii="Arial" w:hAnsi="Arial" w:cs="Arial"/>
          <w:sz w:val="18"/>
          <w:szCs w:val="18"/>
        </w:rPr>
      </w:pPr>
    </w:p>
    <w:p>
      <w:pPr>
        <w:pStyle w:val="41"/>
        <w:spacing w:line="360" w:lineRule="auto"/>
        <w:rPr>
          <w:rFonts w:hint="eastAsia" w:ascii="Arial" w:hAnsi="Yu Mincho" w:eastAsia="宋体" w:cs="Yu Mincho"/>
          <w:i/>
          <w:iCs w:val="0"/>
          <w:sz w:val="21"/>
          <w:szCs w:val="21"/>
          <w:lang w:eastAsia="zh-CN"/>
        </w:rPr>
      </w:pPr>
      <w:r>
        <w:rPr>
          <w:rFonts w:ascii="Arial" w:hAnsi="Yu Mincho" w:cs="Yu Mincho" w:eastAsiaTheme="minorEastAsia"/>
          <w:i/>
          <w:iCs w:val="0"/>
          <w:sz w:val="21"/>
          <w:szCs w:val="21"/>
        </w:rPr>
        <w:t>Chenxi Xu</w:t>
      </w:r>
      <w:r>
        <w:rPr>
          <w:rFonts w:ascii="Arial" w:hAnsi="MS Mincho" w:cs="MS Mincho"/>
          <w:i/>
          <w:iCs w:val="0"/>
          <w:sz w:val="21"/>
          <w:szCs w:val="21"/>
        </w:rPr>
        <w:t>,</w:t>
      </w:r>
      <w:r>
        <w:rPr>
          <w:rFonts w:hint="eastAsia" w:ascii="Arial" w:hAnsi="Yu Mincho" w:eastAsia="宋体" w:cs="Yu Mincho"/>
          <w:i/>
          <w:iCs w:val="0"/>
          <w:sz w:val="21"/>
          <w:szCs w:val="21"/>
          <w:vertAlign w:val="superscript"/>
          <w:lang w:val="en-US" w:eastAsia="zh-CN"/>
        </w:rPr>
        <w:t>1,</w:t>
      </w:r>
      <w:r>
        <w:rPr>
          <w:rFonts w:ascii="Arial" w:hAnsi="Yu Mincho" w:cs="Yu Mincho" w:eastAsiaTheme="minorEastAsia"/>
          <w:i/>
          <w:iCs w:val="0"/>
          <w:sz w:val="21"/>
          <w:szCs w:val="21"/>
          <w:vertAlign w:val="superscript"/>
        </w:rPr>
        <w:t>=</w:t>
      </w:r>
      <w:r>
        <w:rPr>
          <w:rFonts w:ascii="Arial" w:hAnsi="MS Mincho" w:cs="MS Mincho"/>
          <w:i/>
          <w:iCs w:val="0"/>
          <w:sz w:val="21"/>
          <w:szCs w:val="21"/>
        </w:rPr>
        <w:t xml:space="preserve"> </w:t>
      </w:r>
      <w:r>
        <w:rPr>
          <w:rFonts w:ascii="Arial" w:hAnsi="等线" w:eastAsia="等线" w:cs="等线"/>
          <w:i/>
          <w:iCs w:val="0"/>
          <w:sz w:val="21"/>
          <w:szCs w:val="21"/>
        </w:rPr>
        <w:t>Kaiqi Li,</w:t>
      </w:r>
      <w:r>
        <w:rPr>
          <w:rFonts w:hint="eastAsia" w:ascii="Arial" w:hAnsi="Yu Mincho" w:eastAsia="宋体" w:cs="Yu Mincho"/>
          <w:i/>
          <w:iCs w:val="0"/>
          <w:sz w:val="21"/>
          <w:szCs w:val="21"/>
          <w:vertAlign w:val="superscript"/>
          <w:lang w:val="en-US" w:eastAsia="zh-CN"/>
        </w:rPr>
        <w:t>2,</w:t>
      </w:r>
      <w:r>
        <w:rPr>
          <w:rFonts w:ascii="Arial" w:hAnsi="Yu Mincho" w:cs="Yu Mincho" w:eastAsiaTheme="minorEastAsia"/>
          <w:i/>
          <w:iCs w:val="0"/>
          <w:sz w:val="21"/>
          <w:szCs w:val="21"/>
          <w:vertAlign w:val="superscript"/>
        </w:rPr>
        <w:t>=</w:t>
      </w:r>
      <w:r>
        <w:rPr>
          <w:rFonts w:hint="eastAsia" w:ascii="Arial" w:hAnsi="Yu Mincho" w:eastAsia="宋体" w:cs="Yu Mincho"/>
          <w:i/>
          <w:iCs w:val="0"/>
          <w:sz w:val="21"/>
          <w:szCs w:val="21"/>
          <w:lang w:eastAsia="zh-CN"/>
        </w:rPr>
        <w:t xml:space="preserve"> </w:t>
      </w:r>
      <w:r>
        <w:rPr>
          <w:rFonts w:ascii="Arial" w:hAnsi="Yu Mincho" w:cs="Yu Mincho" w:eastAsiaTheme="minorEastAsia"/>
          <w:i/>
          <w:iCs w:val="0"/>
          <w:sz w:val="21"/>
          <w:szCs w:val="21"/>
        </w:rPr>
        <w:t>Haihui Zhou</w:t>
      </w:r>
      <w:r>
        <w:rPr>
          <w:rFonts w:hint="eastAsia" w:ascii="Arial" w:hAnsi="Yu Mincho" w:eastAsia="宋体" w:cs="Yu Mincho"/>
          <w:i/>
          <w:iCs w:val="0"/>
          <w:sz w:val="21"/>
          <w:szCs w:val="21"/>
          <w:lang w:eastAsia="zh-CN"/>
        </w:rPr>
        <w:t>,</w:t>
      </w:r>
      <w:r>
        <w:rPr>
          <w:rFonts w:hint="eastAsia" w:ascii="Arial" w:hAnsi="Yu Mincho" w:eastAsia="宋体" w:cs="Yu Mincho"/>
          <w:i/>
          <w:iCs w:val="0"/>
          <w:sz w:val="21"/>
          <w:szCs w:val="21"/>
          <w:vertAlign w:val="superscript"/>
          <w:lang w:val="en-US" w:eastAsia="zh-CN"/>
        </w:rPr>
        <w:t>1</w:t>
      </w:r>
      <w:r>
        <w:rPr>
          <w:rFonts w:hint="eastAsia" w:ascii="Arial" w:hAnsi="Yu Mincho" w:cs="Yu Mincho" w:eastAsiaTheme="minorEastAsia"/>
          <w:i/>
          <w:iCs w:val="0"/>
          <w:sz w:val="21"/>
          <w:szCs w:val="21"/>
          <w:vertAlign w:val="baseline"/>
        </w:rPr>
        <w:t>*</w:t>
      </w:r>
      <w:r>
        <w:rPr>
          <w:rFonts w:hint="eastAsia" w:ascii="Arial" w:hAnsi="Yu Mincho" w:eastAsia="宋体" w:cs="Yu Mincho"/>
          <w:i/>
          <w:iCs w:val="0"/>
          <w:sz w:val="21"/>
          <w:szCs w:val="21"/>
          <w:lang w:eastAsia="zh-CN"/>
        </w:rPr>
        <w:t xml:space="preserve"> </w:t>
      </w:r>
      <w:r>
        <w:rPr>
          <w:rFonts w:hint="eastAsia" w:ascii="Arial" w:hAnsi="Yu Mincho" w:eastAsia="宋体" w:cs="Yu Mincho"/>
          <w:i/>
          <w:iCs w:val="0"/>
          <w:sz w:val="21"/>
          <w:szCs w:val="21"/>
          <w:lang w:val="en-US" w:eastAsia="zh-CN"/>
        </w:rPr>
        <w:t>Subash Sharma,</w:t>
      </w:r>
      <w:r>
        <w:rPr>
          <w:rFonts w:hint="eastAsia" w:ascii="Arial" w:hAnsi="Yu Mincho" w:eastAsia="宋体" w:cs="Yu Mincho"/>
          <w:i/>
          <w:iCs w:val="0"/>
          <w:sz w:val="21"/>
          <w:szCs w:val="21"/>
          <w:vertAlign w:val="superscript"/>
          <w:lang w:val="en-US" w:eastAsia="zh-CN"/>
        </w:rPr>
        <w:t>3</w:t>
      </w:r>
      <w:r>
        <w:rPr>
          <w:rFonts w:hint="eastAsia" w:ascii="Arial" w:hAnsi="Yu Mincho" w:eastAsia="宋体" w:cs="Yu Mincho"/>
          <w:i/>
          <w:iCs w:val="0"/>
          <w:sz w:val="21"/>
          <w:szCs w:val="21"/>
          <w:lang w:eastAsia="zh-CN"/>
        </w:rPr>
        <w:t xml:space="preserve"> </w:t>
      </w:r>
      <w:r>
        <w:rPr>
          <w:rFonts w:ascii="Arial" w:hAnsi="Yu Mincho" w:cs="Yu Mincho" w:eastAsiaTheme="minorEastAsia"/>
          <w:i/>
          <w:iCs w:val="0"/>
          <w:sz w:val="21"/>
          <w:szCs w:val="21"/>
        </w:rPr>
        <w:t>Jincan Zhang,</w:t>
      </w:r>
      <w:r>
        <w:rPr>
          <w:rFonts w:hint="eastAsia" w:ascii="Arial" w:hAnsi="Yu Mincho" w:eastAsia="宋体" w:cs="Yu Mincho"/>
          <w:i/>
          <w:iCs w:val="0"/>
          <w:sz w:val="21"/>
          <w:szCs w:val="21"/>
          <w:vertAlign w:val="superscript"/>
          <w:lang w:val="en-US" w:eastAsia="zh-CN"/>
        </w:rPr>
        <w:t>3</w:t>
      </w:r>
      <w:r>
        <w:rPr>
          <w:rFonts w:hint="eastAsia" w:ascii="Arial" w:hAnsi="Yu Mincho" w:eastAsia="宋体" w:cs="Yu Mincho"/>
          <w:i/>
          <w:iCs w:val="0"/>
          <w:sz w:val="21"/>
          <w:szCs w:val="21"/>
          <w:lang w:eastAsia="zh-CN"/>
        </w:rPr>
        <w:t xml:space="preserve"> </w:t>
      </w:r>
      <w:r>
        <w:rPr>
          <w:rFonts w:ascii="Arial" w:hAnsi="Yu Mincho" w:cs="Yu Mincho" w:eastAsiaTheme="minorEastAsia"/>
          <w:i/>
          <w:iCs w:val="0"/>
          <w:sz w:val="21"/>
          <w:szCs w:val="21"/>
        </w:rPr>
        <w:t>Boyang Mao,</w:t>
      </w:r>
      <w:r>
        <w:rPr>
          <w:rFonts w:hint="eastAsia" w:ascii="Arial" w:hAnsi="Yu Mincho" w:eastAsia="宋体" w:cs="Yu Mincho"/>
          <w:i/>
          <w:iCs w:val="0"/>
          <w:sz w:val="21"/>
          <w:szCs w:val="21"/>
          <w:vertAlign w:val="superscript"/>
          <w:lang w:val="en-US" w:eastAsia="zh-CN"/>
        </w:rPr>
        <w:t>3</w:t>
      </w:r>
      <w:r>
        <w:rPr>
          <w:rFonts w:hint="eastAsia" w:ascii="Arial" w:hAnsi="Yu Mincho" w:eastAsia="宋体" w:cs="Yu Mincho"/>
          <w:i/>
          <w:iCs w:val="0"/>
          <w:sz w:val="21"/>
          <w:szCs w:val="21"/>
          <w:lang w:eastAsia="zh-CN"/>
        </w:rPr>
        <w:t xml:space="preserve"> Hao Zhang,</w:t>
      </w:r>
      <w:r>
        <w:rPr>
          <w:rFonts w:hint="eastAsia" w:ascii="Arial" w:hAnsi="Yu Mincho" w:eastAsia="宋体" w:cs="Yu Mincho"/>
          <w:i/>
          <w:iCs w:val="0"/>
          <w:sz w:val="21"/>
          <w:szCs w:val="21"/>
          <w:vertAlign w:val="superscript"/>
          <w:lang w:val="en-US" w:eastAsia="zh-CN"/>
        </w:rPr>
        <w:t>4</w:t>
      </w:r>
      <w:r>
        <w:rPr>
          <w:rFonts w:hint="eastAsia" w:ascii="Arial" w:hAnsi="Yu Mincho" w:eastAsia="宋体" w:cs="Yu Mincho"/>
          <w:i/>
          <w:iCs w:val="0"/>
          <w:sz w:val="21"/>
          <w:szCs w:val="21"/>
          <w:lang w:val="en-US" w:eastAsia="zh-CN"/>
        </w:rPr>
        <w:t xml:space="preserve"> </w:t>
      </w:r>
      <w:r>
        <w:rPr>
          <w:rFonts w:hint="eastAsia" w:ascii="Arial" w:hAnsi="Yu Mincho" w:eastAsia="宋体" w:cs="Yu Mincho"/>
          <w:i/>
          <w:iCs w:val="0"/>
          <w:sz w:val="21"/>
          <w:szCs w:val="21"/>
          <w:lang w:eastAsia="zh-CN"/>
        </w:rPr>
        <w:t>Bingcheng Luo,</w:t>
      </w:r>
      <w:r>
        <w:rPr>
          <w:rFonts w:hint="eastAsia" w:ascii="Arial" w:hAnsi="Yu Mincho" w:eastAsia="宋体" w:cs="Yu Mincho"/>
          <w:i/>
          <w:iCs w:val="0"/>
          <w:sz w:val="21"/>
          <w:szCs w:val="21"/>
          <w:vertAlign w:val="superscript"/>
          <w:lang w:val="en-US" w:eastAsia="zh-CN"/>
        </w:rPr>
        <w:t>5</w:t>
      </w:r>
      <w:r>
        <w:rPr>
          <w:rFonts w:ascii="Arial" w:hAnsi="宋体" w:eastAsia="宋体" w:cs="宋体"/>
          <w:i/>
          <w:iCs w:val="0"/>
          <w:sz w:val="21"/>
          <w:szCs w:val="21"/>
        </w:rPr>
        <w:t xml:space="preserve"> </w:t>
      </w:r>
      <w:r>
        <w:rPr>
          <w:rFonts w:hint="eastAsia" w:ascii="Arial" w:hAnsi="Yu Mincho" w:eastAsia="宋体" w:cs="Yu Mincho"/>
          <w:i/>
          <w:iCs w:val="0"/>
          <w:sz w:val="21"/>
          <w:szCs w:val="21"/>
          <w:lang w:val="en-US" w:eastAsia="zh-CN"/>
        </w:rPr>
        <w:t>Yi Gong,</w:t>
      </w:r>
      <w:r>
        <w:rPr>
          <w:rFonts w:hint="eastAsia" w:ascii="Arial" w:hAnsi="Yu Mincho" w:eastAsia="宋体" w:cs="Yu Mincho"/>
          <w:i/>
          <w:iCs w:val="0"/>
          <w:sz w:val="21"/>
          <w:szCs w:val="21"/>
          <w:vertAlign w:val="superscript"/>
          <w:lang w:val="en-US" w:eastAsia="zh-CN"/>
        </w:rPr>
        <w:t>6</w:t>
      </w:r>
      <w:r>
        <w:rPr>
          <w:rFonts w:hint="eastAsia" w:ascii="Arial" w:hAnsi="Yu Mincho" w:eastAsia="宋体" w:cs="Yu Mincho"/>
          <w:i/>
          <w:iCs w:val="0"/>
          <w:sz w:val="21"/>
          <w:szCs w:val="21"/>
          <w:lang w:val="en-US" w:eastAsia="zh-CN"/>
        </w:rPr>
        <w:t xml:space="preserve"> </w:t>
      </w:r>
      <w:r>
        <w:rPr>
          <w:rFonts w:hint="eastAsia" w:ascii="Arial" w:hAnsi="Yu Mincho" w:eastAsia="宋体" w:cs="Yu Mincho"/>
          <w:i/>
          <w:iCs w:val="0"/>
          <w:sz w:val="21"/>
          <w:szCs w:val="21"/>
          <w:lang w:eastAsia="zh-CN"/>
        </w:rPr>
        <w:t>Kai Yang,</w:t>
      </w:r>
      <w:r>
        <w:rPr>
          <w:rFonts w:hint="eastAsia" w:ascii="Arial" w:hAnsi="Yu Mincho" w:eastAsia="宋体" w:cs="Yu Mincho"/>
          <w:i/>
          <w:iCs w:val="0"/>
          <w:sz w:val="21"/>
          <w:szCs w:val="21"/>
          <w:vertAlign w:val="superscript"/>
          <w:lang w:val="en-US" w:eastAsia="zh-CN"/>
        </w:rPr>
        <w:t>6</w:t>
      </w:r>
      <w:r>
        <w:rPr>
          <w:rFonts w:hint="eastAsia" w:ascii="Arial" w:hAnsi="Yu Mincho" w:eastAsia="宋体" w:cs="Yu Mincho"/>
          <w:i/>
          <w:iCs w:val="0"/>
          <w:sz w:val="21"/>
          <w:szCs w:val="21"/>
          <w:lang w:eastAsia="zh-CN"/>
        </w:rPr>
        <w:t xml:space="preserve"> Jianan Wang,</w:t>
      </w:r>
      <w:r>
        <w:rPr>
          <w:rFonts w:hint="eastAsia" w:ascii="Arial" w:hAnsi="Yu Mincho" w:eastAsia="宋体" w:cs="Yu Mincho"/>
          <w:i/>
          <w:iCs w:val="0"/>
          <w:sz w:val="21"/>
          <w:szCs w:val="21"/>
          <w:highlight w:val="none"/>
          <w:vertAlign w:val="superscript"/>
          <w:lang w:val="en-US" w:eastAsia="zh-CN"/>
        </w:rPr>
        <w:t>7</w:t>
      </w:r>
      <w:r>
        <w:rPr>
          <w:rFonts w:hint="eastAsia" w:ascii="Arial" w:hAnsi="Yu Mincho" w:eastAsia="宋体" w:cs="Yu Mincho"/>
          <w:i/>
          <w:iCs w:val="0"/>
          <w:sz w:val="21"/>
          <w:szCs w:val="21"/>
          <w:highlight w:val="none"/>
          <w:lang w:eastAsia="zh-CN"/>
        </w:rPr>
        <w:t xml:space="preserve"> </w:t>
      </w:r>
      <w:r>
        <w:rPr>
          <w:rFonts w:hint="eastAsia" w:ascii="Arial" w:hAnsi="Yu Mincho" w:eastAsia="宋体" w:cs="Yu Mincho"/>
          <w:i/>
          <w:iCs w:val="0"/>
          <w:sz w:val="21"/>
          <w:szCs w:val="21"/>
          <w:highlight w:val="none"/>
          <w:lang w:val="en-US" w:eastAsia="zh-CN"/>
        </w:rPr>
        <w:t>Kai Xi,</w:t>
      </w:r>
      <w:r>
        <w:rPr>
          <w:rFonts w:hint="eastAsia" w:ascii="Arial" w:hAnsi="Yu Mincho" w:eastAsia="宋体" w:cs="Yu Mincho"/>
          <w:i/>
          <w:iCs w:val="0"/>
          <w:sz w:val="21"/>
          <w:szCs w:val="21"/>
          <w:vertAlign w:val="superscript"/>
          <w:lang w:val="en-US" w:eastAsia="zh-CN"/>
        </w:rPr>
        <w:t>7</w:t>
      </w:r>
      <w:r>
        <w:rPr>
          <w:rFonts w:hint="eastAsia" w:ascii="Arial" w:hAnsi="Yu Mincho" w:eastAsia="宋体" w:cs="Yu Mincho"/>
          <w:i/>
          <w:iCs w:val="0"/>
          <w:sz w:val="21"/>
          <w:szCs w:val="21"/>
          <w:lang w:val="en-US" w:eastAsia="zh-CN"/>
        </w:rPr>
        <w:t xml:space="preserve"> </w:t>
      </w:r>
      <w:r>
        <w:rPr>
          <w:rFonts w:ascii="Arial" w:hAnsi="Yu Mincho" w:cs="Yu Mincho" w:eastAsiaTheme="minorEastAsia"/>
          <w:i/>
          <w:iCs w:val="0"/>
          <w:sz w:val="21"/>
          <w:szCs w:val="21"/>
        </w:rPr>
        <w:t>Chaopeng Fu,</w:t>
      </w:r>
      <w:r>
        <w:rPr>
          <w:rFonts w:hint="eastAsia" w:ascii="Arial" w:hAnsi="等线" w:eastAsia="等线" w:cs="等线"/>
          <w:i/>
          <w:sz w:val="21"/>
          <w:szCs w:val="21"/>
          <w:vertAlign w:val="superscript"/>
          <w:lang w:val="en-GB" w:eastAsia="zh-CN" w:bidi="ar-SA"/>
        </w:rPr>
        <w:t>8</w:t>
      </w:r>
      <w:r>
        <w:rPr>
          <w:rFonts w:hint="eastAsia" w:ascii="Arial" w:hAnsi="Yu Mincho" w:eastAsia="宋体" w:cs="Yu Mincho"/>
          <w:i/>
          <w:iCs w:val="0"/>
          <w:sz w:val="21"/>
          <w:szCs w:val="21"/>
          <w:lang w:eastAsia="zh-CN"/>
        </w:rPr>
        <w:t xml:space="preserve"> Yunlong Zhao,</w:t>
      </w:r>
      <w:r>
        <w:rPr>
          <w:rFonts w:hint="eastAsia" w:ascii="Arial" w:hAnsi="等线" w:eastAsia="等线" w:cs="等线"/>
          <w:i/>
          <w:sz w:val="21"/>
          <w:szCs w:val="21"/>
          <w:vertAlign w:val="superscript"/>
          <w:lang w:val="en-US" w:eastAsia="zh-CN" w:bidi="ar-SA"/>
        </w:rPr>
        <w:t>9</w:t>
      </w:r>
      <w:r>
        <w:rPr>
          <w:rFonts w:hint="eastAsia" w:ascii="Arial" w:hAnsi="Yu Mincho" w:eastAsia="宋体" w:cs="Yu Mincho"/>
          <w:i/>
          <w:iCs w:val="0"/>
          <w:sz w:val="21"/>
          <w:szCs w:val="21"/>
          <w:lang w:eastAsia="zh-CN"/>
        </w:rPr>
        <w:t xml:space="preserve"> Guoliang Chai,</w:t>
      </w:r>
      <w:r>
        <w:rPr>
          <w:rFonts w:hint="eastAsia" w:ascii="Arial" w:hAnsi="等线" w:eastAsia="等线" w:cs="等线"/>
          <w:i/>
          <w:sz w:val="21"/>
          <w:szCs w:val="21"/>
          <w:vertAlign w:val="superscript"/>
          <w:lang w:val="en-US" w:eastAsia="zh-CN" w:bidi="ar-SA"/>
        </w:rPr>
        <w:t>10</w:t>
      </w:r>
      <w:r>
        <w:rPr>
          <w:rFonts w:hint="eastAsia" w:ascii="Arial" w:hAnsi="Yu Mincho" w:eastAsia="宋体" w:cs="Yu Mincho"/>
          <w:i/>
          <w:iCs w:val="0"/>
          <w:sz w:val="21"/>
          <w:szCs w:val="21"/>
          <w:lang w:eastAsia="zh-CN"/>
        </w:rPr>
        <w:t xml:space="preserve"> </w:t>
      </w:r>
      <w:r>
        <w:rPr>
          <w:rFonts w:ascii="Arial" w:hAnsi="Yu Mincho" w:cs="Yu Mincho" w:eastAsiaTheme="minorEastAsia"/>
          <w:i/>
          <w:iCs w:val="0"/>
          <w:sz w:val="21"/>
          <w:szCs w:val="21"/>
        </w:rPr>
        <w:t>Guanjie He,</w:t>
      </w:r>
      <w:r>
        <w:rPr>
          <w:rFonts w:hint="eastAsia" w:ascii="Arial" w:hAnsi="等线" w:eastAsia="等线" w:cs="等线"/>
          <w:i/>
          <w:sz w:val="21"/>
          <w:szCs w:val="21"/>
          <w:vertAlign w:val="superscript"/>
          <w:lang w:val="en-US" w:eastAsia="zh-CN" w:bidi="ar-SA"/>
        </w:rPr>
        <w:t>2</w:t>
      </w:r>
      <w:r>
        <w:rPr>
          <w:rFonts w:ascii="Arial" w:hAnsi="Yu Mincho" w:cs="Yu Mincho" w:eastAsiaTheme="minorEastAsia"/>
          <w:i/>
          <w:iCs w:val="0"/>
          <w:sz w:val="21"/>
          <w:szCs w:val="21"/>
        </w:rPr>
        <w:t xml:space="preserve"> </w:t>
      </w:r>
      <w:r>
        <w:rPr>
          <w:rFonts w:hint="eastAsia" w:ascii="Arial" w:hAnsi="Yu Mincho" w:eastAsia="宋体" w:cs="Yu Mincho"/>
          <w:i/>
          <w:iCs w:val="0"/>
          <w:sz w:val="21"/>
          <w:szCs w:val="21"/>
          <w:lang w:eastAsia="zh-CN"/>
        </w:rPr>
        <w:t>Ivan Parkin</w:t>
      </w:r>
      <w:r>
        <w:rPr>
          <w:rFonts w:hint="eastAsia" w:ascii="Arial" w:hAnsi="Yu Mincho" w:eastAsia="宋体" w:cs="Yu Mincho"/>
          <w:i/>
          <w:iCs w:val="0"/>
          <w:sz w:val="21"/>
          <w:szCs w:val="21"/>
          <w:lang w:val="en-US" w:eastAsia="zh-CN"/>
        </w:rPr>
        <w:t>,</w:t>
      </w:r>
      <w:r>
        <w:rPr>
          <w:rFonts w:hint="eastAsia" w:ascii="Arial" w:hAnsi="等线" w:eastAsia="等线" w:cs="等线"/>
          <w:i/>
          <w:sz w:val="21"/>
          <w:szCs w:val="21"/>
          <w:vertAlign w:val="superscript"/>
          <w:lang w:val="en-US" w:eastAsia="zh-CN" w:bidi="ar-SA"/>
        </w:rPr>
        <w:t>2</w:t>
      </w:r>
      <w:r>
        <w:rPr>
          <w:rFonts w:hint="eastAsia" w:ascii="Arial" w:hAnsi="Yu Mincho" w:cs="Yu Mincho" w:eastAsiaTheme="minorEastAsia"/>
          <w:i/>
          <w:iCs w:val="0"/>
          <w:sz w:val="21"/>
          <w:szCs w:val="21"/>
          <w:vertAlign w:val="baseline"/>
        </w:rPr>
        <w:t>*</w:t>
      </w:r>
      <w:r>
        <w:rPr>
          <w:rFonts w:hint="eastAsia" w:ascii="Arial" w:hAnsi="Yu Mincho" w:eastAsia="宋体" w:cs="Yu Mincho"/>
          <w:i/>
          <w:iCs w:val="0"/>
          <w:sz w:val="21"/>
          <w:szCs w:val="21"/>
          <w:vertAlign w:val="baseline"/>
          <w:lang w:val="en-US" w:eastAsia="zh-CN"/>
        </w:rPr>
        <w:t xml:space="preserve"> </w:t>
      </w:r>
      <w:r>
        <w:rPr>
          <w:rFonts w:ascii="Arial" w:hAnsi="Yu Mincho" w:cs="Yu Mincho" w:eastAsiaTheme="minorEastAsia"/>
          <w:i/>
          <w:iCs w:val="0"/>
          <w:sz w:val="21"/>
          <w:szCs w:val="21"/>
        </w:rPr>
        <w:t>Huanxin Li</w:t>
      </w:r>
      <w:r>
        <w:rPr>
          <w:rFonts w:hint="eastAsia" w:ascii="Arial" w:hAnsi="Yu Mincho" w:eastAsia="宋体" w:cs="Yu Mincho"/>
          <w:i/>
          <w:iCs w:val="0"/>
          <w:sz w:val="21"/>
          <w:szCs w:val="21"/>
          <w:lang w:eastAsia="zh-CN"/>
        </w:rPr>
        <w:t>,</w:t>
      </w:r>
      <w:r>
        <w:rPr>
          <w:rFonts w:hint="eastAsia" w:ascii="Arial" w:hAnsi="Yu Mincho" w:eastAsia="宋体" w:cs="Yu Mincho"/>
          <w:i/>
          <w:iCs w:val="0"/>
          <w:sz w:val="21"/>
          <w:szCs w:val="21"/>
          <w:vertAlign w:val="superscript"/>
          <w:lang w:val="en-US" w:eastAsia="zh-CN"/>
        </w:rPr>
        <w:t>1,2,3,4</w:t>
      </w:r>
      <w:r>
        <w:rPr>
          <w:rFonts w:hint="eastAsia" w:ascii="Arial" w:hAnsi="Yu Mincho" w:cs="Yu Mincho" w:eastAsiaTheme="minorEastAsia"/>
          <w:i/>
          <w:iCs w:val="0"/>
          <w:sz w:val="21"/>
          <w:szCs w:val="21"/>
          <w:vertAlign w:val="baseline"/>
        </w:rPr>
        <w:t>*</w:t>
      </w:r>
      <w:r>
        <w:rPr>
          <w:rFonts w:hint="eastAsia" w:ascii="Arial" w:hAnsi="Yu Mincho" w:eastAsia="宋体" w:cs="Yu Mincho"/>
          <w:i/>
          <w:iCs w:val="0"/>
          <w:sz w:val="21"/>
          <w:szCs w:val="21"/>
          <w:lang w:eastAsia="zh-CN"/>
        </w:rPr>
        <w:t xml:space="preserve"> </w:t>
      </w:r>
    </w:p>
    <w:p>
      <w:pPr>
        <w:pStyle w:val="41"/>
        <w:spacing w:line="360" w:lineRule="auto"/>
        <w:rPr>
          <w:rFonts w:hint="eastAsia" w:ascii="Arial" w:hAnsi="等线" w:eastAsia="等线" w:cs="等线"/>
          <w:i/>
          <w:sz w:val="21"/>
          <w:szCs w:val="21"/>
          <w:lang w:val="en-US" w:eastAsia="zh-CN" w:bidi="ar-SA"/>
        </w:rPr>
      </w:pPr>
    </w:p>
    <w:p>
      <w:pPr>
        <w:pStyle w:val="32"/>
        <w:spacing w:line="360" w:lineRule="auto"/>
        <w:rPr>
          <w:rFonts w:hint="eastAsia" w:ascii="Arial" w:hAnsi="等线" w:eastAsia="等线" w:cs="等线"/>
          <w:i/>
          <w:sz w:val="21"/>
          <w:szCs w:val="21"/>
          <w:lang w:val="en-GB" w:eastAsia="zh-CN" w:bidi="ar-SA"/>
        </w:rPr>
      </w:pPr>
      <w:r>
        <w:rPr>
          <w:rFonts w:hint="eastAsia" w:ascii="Arial" w:hAnsi="等线" w:eastAsia="等线" w:cs="等线"/>
          <w:i/>
          <w:sz w:val="21"/>
          <w:szCs w:val="21"/>
          <w:vertAlign w:val="superscript"/>
          <w:lang w:val="en-GB" w:eastAsia="zh-CN" w:bidi="ar-SA"/>
        </w:rPr>
        <w:t>1</w:t>
      </w:r>
      <w:r>
        <w:rPr>
          <w:rFonts w:hint="eastAsia" w:ascii="Arial" w:hAnsi="等线" w:eastAsia="等线" w:cs="等线"/>
          <w:i/>
          <w:sz w:val="21"/>
          <w:szCs w:val="21"/>
          <w:lang w:val="en-GB" w:eastAsia="zh-CN" w:bidi="ar-SA"/>
        </w:rPr>
        <w:t xml:space="preserve"> State Key Laboratory for Chemo/Biosensing and Chemometrics, College of Chemistry and Chemical Engineering, Hunan University, Changsha, Hunan, 410082, China</w:t>
      </w:r>
    </w:p>
    <w:p>
      <w:pPr>
        <w:pStyle w:val="32"/>
        <w:spacing w:line="360" w:lineRule="auto"/>
        <w:rPr>
          <w:rFonts w:hint="eastAsia" w:ascii="Arial" w:hAnsi="等线" w:eastAsia="等线" w:cs="等线"/>
          <w:i/>
          <w:sz w:val="21"/>
          <w:szCs w:val="21"/>
          <w:lang w:val="en-GB" w:eastAsia="zh-CN" w:bidi="ar-SA"/>
        </w:rPr>
      </w:pPr>
      <w:r>
        <w:rPr>
          <w:rFonts w:hint="eastAsia" w:ascii="Arial" w:hAnsi="等线" w:eastAsia="等线" w:cs="等线"/>
          <w:i/>
          <w:sz w:val="21"/>
          <w:szCs w:val="21"/>
          <w:vertAlign w:val="superscript"/>
          <w:lang w:val="en-US" w:eastAsia="zh-CN" w:bidi="ar-SA"/>
        </w:rPr>
        <w:t>2</w:t>
      </w:r>
      <w:r>
        <w:rPr>
          <w:rFonts w:hint="eastAsia" w:ascii="Arial" w:hAnsi="等线" w:eastAsia="等线" w:cs="等线"/>
          <w:i/>
          <w:sz w:val="21"/>
          <w:szCs w:val="21"/>
          <w:lang w:val="en-US" w:eastAsia="zh-CN" w:bidi="ar-SA"/>
        </w:rPr>
        <w:t xml:space="preserve"> </w:t>
      </w:r>
      <w:r>
        <w:rPr>
          <w:rFonts w:hint="eastAsia" w:ascii="Arial" w:hAnsi="等线" w:eastAsia="等线" w:cs="等线"/>
          <w:i/>
          <w:sz w:val="21"/>
          <w:szCs w:val="21"/>
          <w:lang w:val="en-GB" w:eastAsia="zh-CN" w:bidi="ar-SA"/>
        </w:rPr>
        <w:t>Christopher Ingold Laboratory, Department of Chemistry, University College London,</w:t>
      </w:r>
      <w:r>
        <w:rPr>
          <w:rFonts w:hint="eastAsia" w:ascii="Arial" w:hAnsi="等线" w:eastAsia="等线" w:cs="等线"/>
          <w:i/>
          <w:sz w:val="21"/>
          <w:szCs w:val="21"/>
          <w:lang w:val="en-US" w:eastAsia="zh-CN" w:bidi="ar-SA"/>
        </w:rPr>
        <w:t xml:space="preserve"> </w:t>
      </w:r>
      <w:r>
        <w:rPr>
          <w:rFonts w:hint="eastAsia" w:ascii="Arial" w:hAnsi="等线" w:eastAsia="等线" w:cs="等线"/>
          <w:i/>
          <w:sz w:val="21"/>
          <w:szCs w:val="21"/>
          <w:lang w:val="en-GB" w:eastAsia="zh-CN" w:bidi="ar-SA"/>
        </w:rPr>
        <w:t>London WC1H 0AJ, United Kingdom</w:t>
      </w:r>
    </w:p>
    <w:p>
      <w:pPr>
        <w:pStyle w:val="32"/>
        <w:spacing w:line="360" w:lineRule="auto"/>
        <w:rPr>
          <w:rFonts w:hint="eastAsia" w:ascii="Arial" w:hAnsi="等线" w:eastAsia="等线" w:cs="等线"/>
          <w:i/>
          <w:sz w:val="21"/>
          <w:szCs w:val="21"/>
          <w:lang w:val="en-GB" w:eastAsia="zh-CN" w:bidi="ar-SA"/>
        </w:rPr>
      </w:pPr>
      <w:r>
        <w:rPr>
          <w:rFonts w:hint="eastAsia" w:ascii="Arial" w:hAnsi="等线" w:eastAsia="等线" w:cs="等线"/>
          <w:i/>
          <w:sz w:val="21"/>
          <w:szCs w:val="21"/>
          <w:vertAlign w:val="superscript"/>
          <w:lang w:val="en-US" w:eastAsia="zh-CN" w:bidi="ar-SA"/>
        </w:rPr>
        <w:t>3</w:t>
      </w:r>
      <w:r>
        <w:rPr>
          <w:rFonts w:hint="eastAsia" w:ascii="Arial" w:hAnsi="等线" w:eastAsia="等线" w:cs="等线"/>
          <w:i/>
          <w:sz w:val="21"/>
          <w:szCs w:val="21"/>
          <w:lang w:val="en-GB" w:eastAsia="zh-CN" w:bidi="ar-SA"/>
        </w:rPr>
        <w:t xml:space="preserve"> Department of Engineering, University of Cambridge, 9 JJ Thomson Avenue, Cambridge, CB3 0FA, United Kingdom</w:t>
      </w:r>
    </w:p>
    <w:p>
      <w:pPr>
        <w:pStyle w:val="32"/>
        <w:spacing w:line="360" w:lineRule="auto"/>
        <w:rPr>
          <w:rFonts w:hint="eastAsia" w:ascii="Arial" w:hAnsi="等线" w:eastAsia="等线" w:cs="等线"/>
          <w:i/>
          <w:sz w:val="21"/>
          <w:szCs w:val="21"/>
          <w:lang w:val="en-GB" w:eastAsia="zh-CN" w:bidi="ar-SA"/>
        </w:rPr>
      </w:pPr>
      <w:r>
        <w:rPr>
          <w:rFonts w:hint="eastAsia" w:ascii="Arial" w:hAnsi="等线" w:eastAsia="等线" w:cs="等线"/>
          <w:i/>
          <w:sz w:val="21"/>
          <w:szCs w:val="21"/>
          <w:vertAlign w:val="superscript"/>
          <w:lang w:val="en-US" w:eastAsia="zh-CN" w:bidi="ar-SA"/>
        </w:rPr>
        <w:t>4</w:t>
      </w:r>
      <w:r>
        <w:rPr>
          <w:rFonts w:hint="eastAsia" w:ascii="Arial" w:hAnsi="等线" w:eastAsia="等线" w:cs="等线"/>
          <w:i/>
          <w:sz w:val="21"/>
          <w:szCs w:val="21"/>
          <w:lang w:val="en-GB" w:eastAsia="zh-CN" w:bidi="ar-SA"/>
        </w:rPr>
        <w:t xml:space="preserve"> </w:t>
      </w:r>
      <w:bookmarkStart w:id="0" w:name="_Hlk136196397"/>
      <w:r>
        <w:rPr>
          <w:rFonts w:hint="eastAsia" w:ascii="Arial" w:hAnsi="等线" w:eastAsia="等线" w:cs="等线"/>
          <w:i/>
          <w:sz w:val="21"/>
          <w:szCs w:val="21"/>
          <w:lang w:val="en-GB" w:eastAsia="zh-CN" w:bidi="ar-SA"/>
        </w:rPr>
        <w:t>Department of Chemistry, Physical &amp; Theoretical Chemistry Laboratory, University of Oxford, South Parks Road, Oxford, OX1 3QZ, United Kingdom</w:t>
      </w:r>
    </w:p>
    <w:bookmarkEnd w:id="0"/>
    <w:p>
      <w:pPr>
        <w:pStyle w:val="32"/>
        <w:spacing w:line="360" w:lineRule="auto"/>
        <w:rPr>
          <w:rFonts w:hint="eastAsia" w:ascii="Arial" w:hAnsi="等线" w:eastAsia="等线" w:cs="等线"/>
          <w:i/>
          <w:sz w:val="21"/>
          <w:szCs w:val="21"/>
          <w:lang w:val="en-GB" w:eastAsia="zh-CN" w:bidi="ar-SA"/>
        </w:rPr>
      </w:pPr>
      <w:bookmarkStart w:id="1" w:name="_Hlk136196420"/>
      <w:r>
        <w:rPr>
          <w:rFonts w:hint="eastAsia" w:ascii="Arial" w:hAnsi="等线" w:eastAsia="等线" w:cs="等线"/>
          <w:i/>
          <w:sz w:val="21"/>
          <w:szCs w:val="21"/>
          <w:vertAlign w:val="superscript"/>
          <w:lang w:val="en-US" w:eastAsia="zh-CN" w:bidi="ar-SA"/>
        </w:rPr>
        <w:t>5</w:t>
      </w:r>
      <w:r>
        <w:rPr>
          <w:rFonts w:hint="eastAsia" w:ascii="Arial" w:hAnsi="等线" w:eastAsia="等线" w:cs="等线"/>
          <w:i/>
          <w:sz w:val="21"/>
          <w:szCs w:val="21"/>
          <w:lang w:val="en-GB" w:eastAsia="zh-CN" w:bidi="ar-SA"/>
        </w:rPr>
        <w:t xml:space="preserve"> </w:t>
      </w:r>
      <w:bookmarkEnd w:id="1"/>
      <w:r>
        <w:rPr>
          <w:rFonts w:hint="eastAsia" w:ascii="Arial" w:hAnsi="等线" w:eastAsia="等线" w:cs="等线"/>
          <w:i/>
          <w:sz w:val="21"/>
          <w:szCs w:val="21"/>
          <w:lang w:val="en-GB" w:eastAsia="zh-CN" w:bidi="ar-SA"/>
        </w:rPr>
        <w:t>College of Science, China Agricultural University, Beijing, 100083 P. R. China</w:t>
      </w:r>
    </w:p>
    <w:p>
      <w:pPr>
        <w:pStyle w:val="32"/>
        <w:spacing w:line="360" w:lineRule="auto"/>
        <w:rPr>
          <w:rFonts w:hint="eastAsia" w:ascii="Arial" w:hAnsi="等线" w:eastAsia="等线" w:cs="等线"/>
          <w:i/>
          <w:sz w:val="21"/>
          <w:szCs w:val="21"/>
          <w:lang w:val="en-GB" w:eastAsia="zh-CN" w:bidi="ar-SA"/>
        </w:rPr>
      </w:pPr>
      <w:r>
        <w:rPr>
          <w:rFonts w:hint="eastAsia" w:ascii="Arial" w:hAnsi="等线" w:eastAsia="等线" w:cs="等线"/>
          <w:i/>
          <w:sz w:val="21"/>
          <w:szCs w:val="21"/>
          <w:vertAlign w:val="superscript"/>
          <w:lang w:val="en-GB" w:eastAsia="zh-CN" w:bidi="ar-SA"/>
        </w:rPr>
        <w:t>6</w:t>
      </w:r>
      <w:r>
        <w:rPr>
          <w:rFonts w:hint="eastAsia" w:ascii="Arial" w:hAnsi="等线" w:eastAsia="等线" w:cs="等线"/>
          <w:i/>
          <w:sz w:val="21"/>
          <w:szCs w:val="21"/>
          <w:lang w:val="en-GB" w:eastAsia="zh-CN" w:bidi="ar-SA"/>
        </w:rPr>
        <w:t xml:space="preserve"> Advanced Technology Institute, University of Surrey, Guildford, Surrey GU2 7XH, United Kingdom</w:t>
      </w:r>
    </w:p>
    <w:p>
      <w:pPr>
        <w:pStyle w:val="32"/>
        <w:spacing w:line="360" w:lineRule="auto"/>
        <w:rPr>
          <w:rFonts w:hint="eastAsia" w:ascii="Arial" w:hAnsi="等线" w:eastAsia="等线" w:cs="等线"/>
          <w:i/>
          <w:sz w:val="21"/>
          <w:szCs w:val="21"/>
          <w:lang w:val="en-GB" w:eastAsia="zh-CN" w:bidi="ar-SA"/>
        </w:rPr>
      </w:pPr>
      <w:r>
        <w:rPr>
          <w:rFonts w:hint="eastAsia" w:ascii="Arial" w:hAnsi="等线" w:eastAsia="等线" w:cs="等线"/>
          <w:i/>
          <w:sz w:val="21"/>
          <w:szCs w:val="21"/>
          <w:vertAlign w:val="superscript"/>
          <w:lang w:val="en-GB" w:eastAsia="zh-CN" w:bidi="ar-SA"/>
        </w:rPr>
        <w:t>7</w:t>
      </w:r>
      <w:r>
        <w:rPr>
          <w:rFonts w:hint="eastAsia" w:ascii="Arial" w:hAnsi="等线" w:eastAsia="等线" w:cs="等线"/>
          <w:i/>
          <w:sz w:val="21"/>
          <w:szCs w:val="21"/>
          <w:lang w:val="en-GB" w:eastAsia="zh-CN" w:bidi="ar-SA"/>
        </w:rPr>
        <w:t xml:space="preserve"> Department of Environmental Science and Engineering, School of Energy and Power</w:t>
      </w:r>
      <w:r>
        <w:rPr>
          <w:rFonts w:hint="eastAsia" w:ascii="Arial" w:hAnsi="等线" w:eastAsia="等线" w:cs="等线"/>
          <w:i/>
          <w:sz w:val="21"/>
          <w:szCs w:val="21"/>
          <w:lang w:val="en-US" w:eastAsia="zh-CN" w:bidi="ar-SA"/>
        </w:rPr>
        <w:t xml:space="preserve"> </w:t>
      </w:r>
      <w:r>
        <w:rPr>
          <w:rFonts w:hint="eastAsia" w:ascii="Arial" w:hAnsi="等线" w:eastAsia="等线" w:cs="等线"/>
          <w:i/>
          <w:sz w:val="21"/>
          <w:szCs w:val="21"/>
          <w:lang w:val="en-GB" w:eastAsia="zh-CN" w:bidi="ar-SA"/>
        </w:rPr>
        <w:t>Engineering, Xi’an Jiaotong University, 28 Xianning West Road, Xi’an 710049, China</w:t>
      </w:r>
    </w:p>
    <w:p>
      <w:pPr>
        <w:pStyle w:val="32"/>
        <w:spacing w:line="360" w:lineRule="auto"/>
        <w:rPr>
          <w:rFonts w:hint="eastAsia" w:ascii="Arial" w:hAnsi="等线" w:eastAsia="等线" w:cs="等线"/>
          <w:i/>
          <w:sz w:val="21"/>
          <w:szCs w:val="21"/>
          <w:lang w:val="en-GB" w:eastAsia="zh-CN" w:bidi="ar-SA"/>
        </w:rPr>
      </w:pPr>
      <w:r>
        <w:rPr>
          <w:rFonts w:hint="eastAsia" w:ascii="Arial" w:hAnsi="等线" w:eastAsia="等线" w:cs="等线"/>
          <w:i/>
          <w:sz w:val="21"/>
          <w:szCs w:val="21"/>
          <w:vertAlign w:val="superscript"/>
          <w:lang w:val="en-GB" w:eastAsia="zh-CN" w:bidi="ar-SA"/>
        </w:rPr>
        <w:t>8</w:t>
      </w:r>
      <w:r>
        <w:rPr>
          <w:rFonts w:hint="eastAsia" w:ascii="Arial" w:hAnsi="等线" w:eastAsia="等线" w:cs="等线"/>
          <w:i/>
          <w:sz w:val="21"/>
          <w:szCs w:val="21"/>
          <w:lang w:val="en-GB" w:eastAsia="zh-CN" w:bidi="ar-SA"/>
        </w:rPr>
        <w:t xml:space="preserve"> School of Materials Science and Engineering, Shanghai Jiao Tong University, Shanghai, 200240, China</w:t>
      </w:r>
    </w:p>
    <w:p>
      <w:pPr>
        <w:pStyle w:val="32"/>
        <w:spacing w:line="360" w:lineRule="auto"/>
        <w:rPr>
          <w:rFonts w:hint="eastAsia" w:ascii="Arial" w:hAnsi="等线" w:eastAsia="等线" w:cs="等线"/>
          <w:i/>
          <w:sz w:val="21"/>
          <w:szCs w:val="21"/>
          <w:lang w:val="en-GB" w:eastAsia="zh-CN" w:bidi="ar-SA"/>
        </w:rPr>
      </w:pPr>
      <w:r>
        <w:rPr>
          <w:rFonts w:hint="eastAsia" w:ascii="Arial" w:hAnsi="等线" w:eastAsia="等线" w:cs="等线"/>
          <w:i/>
          <w:sz w:val="21"/>
          <w:szCs w:val="21"/>
          <w:vertAlign w:val="superscript"/>
          <w:lang w:val="en-GB" w:eastAsia="zh-CN" w:bidi="ar-SA"/>
        </w:rPr>
        <w:t>9</w:t>
      </w:r>
      <w:r>
        <w:rPr>
          <w:rFonts w:hint="eastAsia" w:ascii="Arial" w:hAnsi="等线" w:eastAsia="等线" w:cs="等线"/>
          <w:i/>
          <w:sz w:val="21"/>
          <w:szCs w:val="21"/>
          <w:lang w:val="en-GB" w:eastAsia="zh-CN" w:bidi="ar-SA"/>
        </w:rPr>
        <w:t xml:space="preserve"> Dyson School of Design Engineering, Imperial College London, London SW7 2BX, United Kingdom</w:t>
      </w:r>
    </w:p>
    <w:p>
      <w:pPr>
        <w:pStyle w:val="32"/>
        <w:spacing w:line="360" w:lineRule="auto"/>
        <w:rPr>
          <w:rFonts w:hint="eastAsia" w:ascii="Arial" w:hAnsi="等线" w:eastAsia="等线" w:cs="等线"/>
          <w:i/>
          <w:sz w:val="21"/>
          <w:szCs w:val="21"/>
          <w:lang w:val="en-GB" w:eastAsia="zh-CN" w:bidi="ar-SA"/>
        </w:rPr>
      </w:pPr>
      <w:r>
        <w:rPr>
          <w:rFonts w:hint="eastAsia" w:ascii="Arial" w:hAnsi="等线" w:eastAsia="等线" w:cs="等线"/>
          <w:i/>
          <w:sz w:val="21"/>
          <w:szCs w:val="21"/>
          <w:vertAlign w:val="superscript"/>
          <w:lang w:val="en-GB" w:eastAsia="zh-CN" w:bidi="ar-SA"/>
        </w:rPr>
        <w:t>10</w:t>
      </w:r>
      <w:r>
        <w:rPr>
          <w:rFonts w:hint="eastAsia" w:ascii="Arial" w:hAnsi="等线" w:eastAsia="等线" w:cs="等线"/>
          <w:i/>
          <w:sz w:val="21"/>
          <w:szCs w:val="21"/>
          <w:lang w:val="en-GB" w:eastAsia="zh-CN" w:bidi="ar-SA"/>
        </w:rPr>
        <w:t xml:space="preserve"> State Key Laboratory of Structural Chemistry, Fujian Institute of Research on the Structure of Matter, Chinese Academy of Sciences (CAS), Fuzhou, Fujian, 350002 P.R. China</w:t>
      </w:r>
    </w:p>
    <w:p>
      <w:pPr>
        <w:pStyle w:val="32"/>
        <w:spacing w:line="360" w:lineRule="auto"/>
        <w:rPr>
          <w:rFonts w:eastAsia="等线"/>
          <w:lang w:val="en-US" w:eastAsia="zh-CN"/>
        </w:rPr>
      </w:pPr>
      <w:r>
        <w:rPr>
          <w:rFonts w:ascii="Arial" w:hAnsi="Yu Mincho" w:cs="Yu Mincho" w:eastAsiaTheme="minorEastAsia"/>
          <w:i/>
          <w:iCs w:val="0"/>
          <w:sz w:val="21"/>
          <w:szCs w:val="21"/>
          <w:vertAlign w:val="superscript"/>
        </w:rPr>
        <w:t>=</w:t>
      </w:r>
      <w:r>
        <w:rPr>
          <w:rFonts w:hint="eastAsia" w:ascii="Arial" w:hAnsi="等线" w:eastAsia="等线" w:cs="等线"/>
          <w:i/>
          <w:sz w:val="21"/>
          <w:szCs w:val="21"/>
          <w:lang w:val="en-GB" w:eastAsia="zh-CN" w:bidi="ar-SA"/>
        </w:rPr>
        <w:t xml:space="preserve"> These authors contributed equally</w:t>
      </w:r>
    </w:p>
    <w:p/>
    <w:p/>
    <w:p>
      <w:pPr>
        <w:spacing w:line="360" w:lineRule="auto"/>
        <w:jc w:val="both"/>
        <w:rPr>
          <w:rFonts w:ascii="Arial" w:hAnsi="Arial" w:eastAsia="Arial" w:cs="Arial"/>
          <w:lang w:val="en-US"/>
        </w:rPr>
      </w:pPr>
      <w:bookmarkStart w:id="9" w:name="_GoBack"/>
      <w:bookmarkEnd w:id="9"/>
    </w:p>
    <w:p>
      <w:pPr>
        <w:spacing w:line="360" w:lineRule="auto"/>
        <w:jc w:val="both"/>
        <w:rPr>
          <w:rFonts w:ascii="Arial" w:hAnsi="Arial" w:eastAsia="Arial" w:cs="Arial"/>
          <w:lang w:val="en-US"/>
        </w:rPr>
      </w:pPr>
    </w:p>
    <w:p>
      <w:pPr>
        <w:rPr>
          <w:rFonts w:ascii="Arial" w:hAnsi="Arial" w:eastAsia="Arial" w:cs="Arial"/>
          <w:b/>
          <w:lang w:val="en-US" w:eastAsia="zh-CN"/>
        </w:rPr>
      </w:pPr>
      <w:r>
        <w:rPr>
          <w:rFonts w:ascii="Arial" w:hAnsi="Arial" w:eastAsia="Arial" w:cs="Arial"/>
          <w:b/>
          <w:lang w:val="en-US" w:eastAsia="zh-CN"/>
        </w:rPr>
        <w:br w:type="page"/>
      </w:r>
    </w:p>
    <w:p>
      <w:pPr>
        <w:spacing w:line="480" w:lineRule="auto"/>
        <w:jc w:val="both"/>
        <w:rPr>
          <w:rFonts w:ascii="Arial" w:hAnsi="Arial" w:eastAsia="Arial" w:cs="Arial"/>
          <w:b/>
          <w:lang w:val="en-US" w:eastAsia="zh-CN"/>
        </w:rPr>
      </w:pPr>
      <w:r>
        <w:rPr>
          <w:rFonts w:ascii="Arial" w:hAnsi="Arial" w:eastAsia="Arial" w:cs="Arial"/>
          <w:b/>
          <w:lang w:val="en-US" w:eastAsia="zh-CN"/>
        </w:rPr>
        <w:t>List of content:</w:t>
      </w:r>
    </w:p>
    <w:p>
      <w:pPr>
        <w:numPr>
          <w:ilvl w:val="0"/>
          <w:numId w:val="1"/>
        </w:numPr>
        <w:spacing w:line="480" w:lineRule="auto"/>
        <w:jc w:val="both"/>
        <w:rPr>
          <w:rFonts w:ascii="Arial" w:hAnsi="Arial" w:eastAsia="Arial" w:cs="Arial"/>
          <w:b/>
          <w:lang w:val="en-US" w:eastAsia="zh-CN"/>
        </w:rPr>
      </w:pPr>
      <w:r>
        <w:rPr>
          <w:rFonts w:ascii="Arial" w:hAnsi="Arial" w:eastAsia="Arial" w:cs="Arial"/>
          <w:b/>
          <w:lang w:val="en-US" w:eastAsia="zh-CN"/>
        </w:rPr>
        <w:t>Supplementary Notes</w:t>
      </w:r>
    </w:p>
    <w:p>
      <w:pPr>
        <w:numPr>
          <w:ilvl w:val="0"/>
          <w:numId w:val="1"/>
        </w:numPr>
        <w:spacing w:line="480" w:lineRule="auto"/>
        <w:jc w:val="both"/>
        <w:rPr>
          <w:rFonts w:ascii="Arial" w:hAnsi="Arial" w:eastAsia="Arial" w:cs="Arial"/>
          <w:b/>
          <w:lang w:val="en-US" w:eastAsia="zh-CN"/>
        </w:rPr>
      </w:pPr>
      <w:r>
        <w:rPr>
          <w:rFonts w:ascii="Arial" w:hAnsi="Arial" w:eastAsia="Arial" w:cs="Arial"/>
          <w:b/>
          <w:lang w:val="en-US" w:eastAsia="zh-CN"/>
        </w:rPr>
        <w:t>Supplementary Figures</w:t>
      </w:r>
    </w:p>
    <w:p>
      <w:pPr>
        <w:numPr>
          <w:ilvl w:val="0"/>
          <w:numId w:val="1"/>
        </w:numPr>
        <w:spacing w:line="480" w:lineRule="auto"/>
        <w:jc w:val="both"/>
        <w:rPr>
          <w:rFonts w:ascii="Arial" w:hAnsi="Arial" w:eastAsia="Arial" w:cs="Arial"/>
          <w:b/>
          <w:lang w:val="en-US" w:eastAsia="zh-CN"/>
        </w:rPr>
      </w:pPr>
      <w:r>
        <w:rPr>
          <w:rFonts w:ascii="Arial" w:hAnsi="Arial" w:eastAsia="Arial" w:cs="Arial"/>
          <w:b/>
          <w:lang w:val="en-US" w:eastAsia="zh-CN"/>
        </w:rPr>
        <w:t>Supplementary Table</w:t>
      </w:r>
    </w:p>
    <w:p>
      <w:pPr>
        <w:numPr>
          <w:ilvl w:val="0"/>
          <w:numId w:val="1"/>
        </w:numPr>
        <w:spacing w:line="480" w:lineRule="auto"/>
        <w:jc w:val="both"/>
        <w:rPr>
          <w:rFonts w:ascii="Arial" w:hAnsi="Arial" w:eastAsia="Arial" w:cs="Arial"/>
          <w:b/>
          <w:lang w:val="en-US" w:eastAsia="zh-CN"/>
        </w:rPr>
      </w:pPr>
      <w:r>
        <w:rPr>
          <w:rFonts w:ascii="Arial" w:hAnsi="Arial" w:eastAsia="Arial" w:cs="Arial"/>
          <w:b/>
          <w:lang w:val="en-US" w:eastAsia="zh-CN"/>
        </w:rPr>
        <w:t xml:space="preserve">Supplementary </w:t>
      </w:r>
      <w:r>
        <w:rPr>
          <w:rFonts w:ascii="Arial" w:hAnsi="Arial Unicode MS" w:eastAsia="Arial Unicode MS" w:cs="Arial Unicode MS"/>
          <w:b/>
          <w:sz w:val="24"/>
          <w:szCs w:val="24"/>
        </w:rPr>
        <w:t>References</w:t>
      </w:r>
    </w:p>
    <w:p>
      <w:pPr>
        <w:rPr>
          <w:rFonts w:ascii="Arial" w:hAnsi="Arial" w:eastAsia="Arial" w:cs="Arial"/>
          <w:lang w:val="en-US"/>
        </w:rPr>
      </w:pPr>
      <w:r>
        <w:br w:type="page"/>
      </w:r>
    </w:p>
    <w:p>
      <w:pPr>
        <w:numPr>
          <w:ilvl w:val="0"/>
          <w:numId w:val="2"/>
        </w:numPr>
        <w:spacing w:line="480" w:lineRule="auto"/>
        <w:ind w:left="284" w:hanging="284"/>
        <w:jc w:val="both"/>
        <w:rPr>
          <w:rFonts w:ascii="Arial" w:hAnsi="Arial" w:eastAsia="Arial" w:cs="Arial"/>
          <w:b/>
          <w:sz w:val="28"/>
          <w:szCs w:val="28"/>
          <w:lang w:val="en-US" w:eastAsia="zh-CN"/>
        </w:rPr>
      </w:pPr>
      <w:r>
        <w:rPr>
          <w:rFonts w:ascii="Arial" w:hAnsi="Arial" w:eastAsia="Arial" w:cs="Arial"/>
          <w:b/>
          <w:sz w:val="28"/>
          <w:szCs w:val="28"/>
          <w:lang w:val="en-US" w:eastAsia="zh-CN"/>
        </w:rPr>
        <w:t>Supplementary Notes</w:t>
      </w:r>
    </w:p>
    <w:p>
      <w:pPr>
        <w:spacing w:line="480" w:lineRule="auto"/>
        <w:jc w:val="both"/>
        <w:rPr>
          <w:rFonts w:ascii="Arial" w:hAnsi="Arial" w:eastAsia="Arial" w:cs="Arial"/>
          <w:b/>
          <w:bCs/>
          <w:color w:val="000000"/>
          <w:lang w:val="en-US" w:eastAsia="zh-CN"/>
        </w:rPr>
      </w:pPr>
      <w:r>
        <w:rPr>
          <w:rFonts w:hint="eastAsia" w:ascii="Arial" w:hAnsi="Arial" w:eastAsia="Arial" w:cs="Arial"/>
          <w:b/>
          <w:bCs/>
          <w:color w:val="000000"/>
          <w:lang w:val="en-US" w:eastAsia="zh-CN"/>
        </w:rPr>
        <w:t xml:space="preserve">1.1 </w:t>
      </w:r>
      <w:r>
        <w:rPr>
          <w:rFonts w:ascii="Arial" w:hAnsi="Arial" w:eastAsia="Arial" w:cs="Arial"/>
          <w:b/>
          <w:bCs/>
          <w:color w:val="000000"/>
          <w:lang w:val="en-US" w:eastAsia="zh-CN"/>
        </w:rPr>
        <w:t>Simulation details</w:t>
      </w:r>
    </w:p>
    <w:p>
      <w:pPr>
        <w:spacing w:line="480" w:lineRule="auto"/>
        <w:ind w:firstLine="480"/>
        <w:jc w:val="both"/>
        <w:rPr>
          <w:rFonts w:ascii="Arial" w:hAnsi="Arial" w:eastAsia="Arial" w:cs="Arial"/>
          <w:color w:val="000000"/>
          <w:lang w:val="en-US" w:eastAsia="zh-CN"/>
        </w:rPr>
      </w:pPr>
      <w:r>
        <w:rPr>
          <w:rFonts w:ascii="Arial" w:hAnsi="Arial" w:eastAsia="Arial" w:cs="Arial"/>
          <w:color w:val="000000"/>
          <w:lang w:val="en-US" w:eastAsia="zh-CN"/>
        </w:rPr>
        <w:t>The standard protocol for computer VS was proposed to predict effective oxygen reduction electrocatalysis for Zn-air batteries. The input dataset was generated as following workflow.</w:t>
      </w:r>
    </w:p>
    <w:p>
      <w:pPr>
        <w:spacing w:line="480" w:lineRule="auto"/>
        <w:ind w:firstLine="480"/>
        <w:jc w:val="both"/>
        <w:rPr>
          <w:rFonts w:ascii="Arial" w:hAnsi="Arial" w:eastAsia="Arial" w:cs="Arial"/>
          <w:color w:val="000000"/>
          <w:lang w:val="en-US" w:eastAsia="zh-CN"/>
        </w:rPr>
      </w:pPr>
      <w:r>
        <w:rPr>
          <w:rFonts w:ascii="Arial" w:hAnsi="Arial" w:eastAsia="Arial" w:cs="Arial"/>
          <w:color w:val="000000"/>
          <w:lang w:val="en-US" w:eastAsia="zh-CN"/>
        </w:rPr>
        <w:t xml:space="preserve">A. The promitive </w:t>
      </w:r>
      <w:r>
        <w:rPr>
          <w:rFonts w:hint="eastAsia" w:ascii="Arial" w:hAnsi="Arial" w:eastAsia="Arial" w:cs="Arial"/>
          <w:color w:val="000000"/>
          <w:lang w:val="en-US" w:eastAsia="zh-CN"/>
        </w:rPr>
        <w:t>M</w:t>
      </w:r>
      <w:r>
        <w:rPr>
          <w:rFonts w:ascii="Arial" w:hAnsi="Arial" w:eastAsia="Arial" w:cs="Arial"/>
          <w:color w:val="000000"/>
          <w:lang w:val="en-US" w:eastAsia="zh-CN"/>
        </w:rPr>
        <w:t>-N</w:t>
      </w:r>
      <w:r>
        <w:rPr>
          <w:rFonts w:ascii="Arial" w:hAnsi="Arial" w:eastAsia="Arial" w:cs="Arial"/>
          <w:color w:val="000000"/>
          <w:vertAlign w:val="subscript"/>
          <w:lang w:val="en-US" w:eastAsia="zh-CN"/>
        </w:rPr>
        <w:t>x</w:t>
      </w:r>
      <w:r>
        <w:rPr>
          <w:rFonts w:ascii="Arial" w:hAnsi="Arial" w:eastAsia="Arial" w:cs="Arial"/>
          <w:color w:val="000000"/>
          <w:lang w:val="en-US" w:eastAsia="zh-CN"/>
        </w:rPr>
        <w:t xml:space="preserve">-C (x=2, 3, 4, 5) was built with Materials Studio software, and then we performed 100 stochastic surface walking steps running with the following neural network potential input setting, which yielded 100+ structures. This setting allows the structure to change from initial </w:t>
      </w:r>
      <w:r>
        <w:rPr>
          <w:rFonts w:hint="eastAsia" w:ascii="Arial" w:hAnsi="Arial" w:eastAsia="Arial" w:cs="Arial"/>
          <w:color w:val="000000"/>
          <w:lang w:val="en-US" w:eastAsia="zh-CN"/>
        </w:rPr>
        <w:t>M</w:t>
      </w:r>
      <w:r>
        <w:rPr>
          <w:rFonts w:ascii="Arial" w:hAnsi="Arial" w:eastAsia="Arial" w:cs="Arial"/>
          <w:color w:val="000000"/>
          <w:lang w:val="en-US" w:eastAsia="zh-CN"/>
        </w:rPr>
        <w:t>-N</w:t>
      </w:r>
      <w:r>
        <w:rPr>
          <w:rFonts w:ascii="Arial" w:hAnsi="Arial" w:eastAsia="Arial" w:cs="Arial"/>
          <w:color w:val="000000"/>
          <w:vertAlign w:val="subscript"/>
          <w:lang w:val="en-US" w:eastAsia="zh-CN"/>
        </w:rPr>
        <w:t>x</w:t>
      </w:r>
      <w:r>
        <w:rPr>
          <w:rFonts w:ascii="Arial" w:hAnsi="Arial" w:eastAsia="Arial" w:cs="Arial"/>
          <w:color w:val="000000"/>
          <w:lang w:val="en-US" w:eastAsia="zh-CN"/>
        </w:rPr>
        <w:t>-C structure but the obtained structures could have high energy.</w:t>
      </w:r>
    </w:p>
    <w:p>
      <w:pPr>
        <w:spacing w:line="480" w:lineRule="auto"/>
        <w:ind w:firstLine="480"/>
        <w:jc w:val="both"/>
        <w:rPr>
          <w:rFonts w:ascii="Arial" w:hAnsi="Arial" w:eastAsia="Arial" w:cs="Arial"/>
          <w:color w:val="000000"/>
          <w:lang w:val="en-US" w:eastAsia="zh-CN"/>
        </w:rPr>
      </w:pPr>
      <w:r>
        <w:rPr>
          <w:rFonts w:ascii="Arial" w:hAnsi="Arial" w:eastAsia="Arial" w:cs="Arial"/>
          <w:color w:val="000000"/>
          <w:lang w:val="en-US" w:eastAsia="zh-CN"/>
        </w:rPr>
        <w:t xml:space="preserve">B. The as-obtained </w:t>
      </w:r>
      <w:r>
        <w:rPr>
          <w:rFonts w:hint="eastAsia" w:ascii="Arial" w:hAnsi="Arial" w:eastAsia="Arial" w:cs="Arial"/>
          <w:color w:val="000000"/>
          <w:lang w:val="en-US" w:eastAsia="zh-CN"/>
        </w:rPr>
        <w:t>M</w:t>
      </w:r>
      <w:r>
        <w:rPr>
          <w:rFonts w:ascii="Arial" w:hAnsi="Arial" w:eastAsia="Arial" w:cs="Arial"/>
          <w:color w:val="000000"/>
          <w:lang w:val="en-US" w:eastAsia="zh-CN"/>
        </w:rPr>
        <w:t>-N</w:t>
      </w:r>
      <w:r>
        <w:rPr>
          <w:rFonts w:ascii="Arial" w:hAnsi="Arial" w:eastAsia="Arial" w:cs="Arial"/>
          <w:color w:val="000000"/>
          <w:vertAlign w:val="subscript"/>
          <w:lang w:val="en-US" w:eastAsia="zh-CN"/>
        </w:rPr>
        <w:t>x</w:t>
      </w:r>
      <w:r>
        <w:rPr>
          <w:rFonts w:ascii="Arial" w:hAnsi="Arial" w:eastAsia="Arial" w:cs="Arial"/>
          <w:color w:val="000000"/>
          <w:lang w:val="en-US" w:eastAsia="zh-CN"/>
        </w:rPr>
        <w:t>-C structures were initially checked to ensure the bond lengths of C-C, C-N and C</w:t>
      </w:r>
      <w:r>
        <w:rPr>
          <w:rFonts w:hint="eastAsia" w:ascii="Arial" w:hAnsi="Arial" w:eastAsia="Arial" w:cs="Arial"/>
          <w:color w:val="000000"/>
          <w:lang w:val="en-US" w:eastAsia="zh-CN"/>
        </w:rPr>
        <w:t>M</w:t>
      </w:r>
      <w:r>
        <w:rPr>
          <w:rFonts w:ascii="Arial" w:hAnsi="Arial" w:eastAsia="Arial" w:cs="Arial"/>
          <w:color w:val="000000"/>
          <w:lang w:val="en-US" w:eastAsia="zh-CN"/>
        </w:rPr>
        <w:t>N are within rational range. The data of the atom spatial coordinates from VESTA were collected to calculate the bond lengths.</w:t>
      </w:r>
    </w:p>
    <w:p>
      <w:pPr>
        <w:spacing w:line="480" w:lineRule="auto"/>
        <w:ind w:firstLine="480"/>
        <w:jc w:val="both"/>
        <w:rPr>
          <w:rFonts w:ascii="Arial" w:hAnsi="Arial" w:eastAsia="Arial" w:cs="Arial"/>
          <w:color w:val="000000"/>
          <w:lang w:val="en-US" w:eastAsia="zh-CN"/>
        </w:rPr>
      </w:pPr>
      <w:r>
        <w:rPr>
          <w:rFonts w:ascii="Arial" w:hAnsi="Arial" w:eastAsia="Arial" w:cs="Arial"/>
          <w:color w:val="000000"/>
          <w:lang w:val="en-US" w:eastAsia="zh-CN"/>
        </w:rPr>
        <w:t xml:space="preserve">C. The LAMMPS Molecular Dynamics Simulator was used to confirm the stability of input rational structures at both room temperature @300 K and high temperature @3300 K within 50 fs. </w:t>
      </w:r>
    </w:p>
    <w:p>
      <w:pPr>
        <w:spacing w:line="480" w:lineRule="auto"/>
        <w:ind w:firstLine="480"/>
        <w:jc w:val="both"/>
        <w:rPr>
          <w:rFonts w:ascii="Arial" w:hAnsi="Arial" w:eastAsia="Arial" w:cs="Arial"/>
          <w:color w:val="000000"/>
          <w:lang w:val="en-US" w:eastAsia="zh-CN"/>
        </w:rPr>
      </w:pPr>
      <w:r>
        <w:rPr>
          <w:rFonts w:ascii="Arial" w:hAnsi="Arial" w:eastAsia="Arial" w:cs="Arial"/>
          <w:color w:val="000000"/>
          <w:lang w:val="en-US" w:eastAsia="zh-CN"/>
        </w:rPr>
        <w:t>D. The last step is to carry out DFT calculations on the selected structures to verify the catalytic activities by evaluating their adsorption energies for intermediates, e.g. *O2, *OOH, *O, and *OH in oxygen-related catalysts</w:t>
      </w:r>
      <w:r>
        <w:rPr>
          <w:rFonts w:hint="eastAsia" w:ascii="Arial" w:hAnsi="Arial" w:eastAsia="Arial" w:cs="Arial"/>
          <w:color w:val="000000"/>
          <w:lang w:val="en-US" w:eastAsia="zh-CN"/>
        </w:rPr>
        <w:t xml:space="preserve">, to determine the </w:t>
      </w:r>
      <w:r>
        <w:rPr>
          <w:rFonts w:hint="default" w:ascii="Arial" w:hAnsi="Arial" w:eastAsia="宋体" w:cs="Arial"/>
          <w:lang w:val="en-US" w:eastAsia="zh-CN"/>
        </w:rPr>
        <w:t>“Volcano plot</w:t>
      </w:r>
      <w:r>
        <w:rPr>
          <w:rFonts w:hint="eastAsia" w:ascii="Arial" w:hAnsi="Arial" w:eastAsia="宋体" w:cs="Arial"/>
          <w:lang w:val="en-US" w:eastAsia="zh-CN"/>
        </w:rPr>
        <w:t>s</w:t>
      </w:r>
      <w:r>
        <w:rPr>
          <w:rFonts w:hint="default" w:ascii="Arial" w:hAnsi="Arial" w:eastAsia="宋体" w:cs="Arial"/>
          <w:lang w:val="en-US" w:eastAsia="zh-CN"/>
        </w:rPr>
        <w:t>”</w:t>
      </w:r>
      <w:r>
        <w:rPr>
          <w:rFonts w:hint="eastAsia" w:ascii="Arial" w:hAnsi="Arial" w:eastAsia="宋体" w:cs="Arial"/>
          <w:lang w:val="en-US" w:eastAsia="zh-CN"/>
        </w:rPr>
        <w:t xml:space="preserve"> and filter out promising candidates</w:t>
      </w:r>
      <w:r>
        <w:rPr>
          <w:rFonts w:ascii="Arial" w:hAnsi="Arial" w:eastAsia="Arial" w:cs="Arial"/>
          <w:color w:val="000000"/>
          <w:lang w:val="en-US" w:eastAsia="zh-CN"/>
        </w:rPr>
        <w:t>.</w:t>
      </w:r>
    </w:p>
    <w:p>
      <w:pPr>
        <w:spacing w:line="480" w:lineRule="auto"/>
        <w:jc w:val="both"/>
        <w:rPr>
          <w:rFonts w:hint="default" w:ascii="Arial" w:hAnsi="Arial" w:eastAsia="Arial" w:cs="Arial"/>
          <w:b/>
          <w:bCs/>
          <w:color w:val="000000"/>
          <w:lang w:val="en-US" w:eastAsia="zh-CN"/>
        </w:rPr>
      </w:pPr>
      <w:r>
        <w:rPr>
          <w:rFonts w:hint="eastAsia" w:ascii="Arial" w:hAnsi="Arial" w:eastAsia="Arial" w:cs="Arial"/>
          <w:b/>
          <w:bCs/>
          <w:color w:val="000000"/>
          <w:lang w:val="en-US" w:eastAsia="zh-CN"/>
        </w:rPr>
        <w:t xml:space="preserve">1.2 Computational simulations </w:t>
      </w:r>
    </w:p>
    <w:p>
      <w:pPr>
        <w:spacing w:line="480" w:lineRule="auto"/>
        <w:jc w:val="both"/>
        <w:rPr>
          <w:rFonts w:hint="eastAsia" w:ascii="Arial" w:hAnsi="Arial" w:eastAsia="Arial" w:cs="Arial"/>
          <w:color w:val="000000"/>
          <w:lang w:val="en-US" w:eastAsia="zh-CN"/>
        </w:rPr>
      </w:pPr>
      <w:r>
        <w:rPr>
          <w:rFonts w:hint="eastAsia" w:ascii="Arial" w:hAnsi="Arial" w:eastAsia="Arial" w:cs="Arial"/>
          <w:color w:val="000000"/>
          <w:lang w:val="en-US" w:eastAsia="zh-CN"/>
        </w:rPr>
        <w:t>The density functional theory (DFT) calculations were executed using the Vienna Ab initio Simulation Package (VASP). The generalized gradient approximation (GGA) method, specifically the Perdew, Burke, and Ernzerhof (PBE) formulation, was employed to describe the exchange-correlation functional component of the Hamiltonian. The DFT+U formalism was applied to compute free energies and electron–ion interactions, utilizing the GGA-PBE functional with a U–J value of 3.0 eV for Fe. Electron–ion interactions were modeled using projected augmented wave potentials, and a plane-wave cutoff energy of 500 eV was employed. The model structures underwent full optimization, and a 5 × 5 × 1 grid was utilized for k-point sampling, with convergence thresholds set at 10</w:t>
      </w:r>
      <w:r>
        <w:rPr>
          <w:rFonts w:hint="eastAsia" w:ascii="Arial" w:hAnsi="Arial" w:eastAsia="Arial" w:cs="Arial"/>
          <w:color w:val="000000"/>
          <w:vertAlign w:val="superscript"/>
          <w:lang w:val="en-US" w:eastAsia="zh-CN"/>
        </w:rPr>
        <w:t>−6</w:t>
      </w:r>
      <w:r>
        <w:rPr>
          <w:rFonts w:hint="eastAsia" w:ascii="Arial" w:hAnsi="Arial" w:eastAsia="Arial" w:cs="Arial"/>
          <w:color w:val="000000"/>
          <w:lang w:val="en-US" w:eastAsia="zh-CN"/>
        </w:rPr>
        <w:t xml:space="preserve"> eV for energy and 0.05 eV Å</w:t>
      </w:r>
      <w:r>
        <w:rPr>
          <w:rFonts w:hint="eastAsia" w:ascii="Arial" w:hAnsi="Arial" w:eastAsia="Arial" w:cs="Arial"/>
          <w:color w:val="000000"/>
          <w:vertAlign w:val="superscript"/>
          <w:lang w:val="en-US" w:eastAsia="zh-CN"/>
        </w:rPr>
        <w:t>−1</w:t>
      </w:r>
      <w:r>
        <w:rPr>
          <w:rFonts w:hint="eastAsia" w:ascii="Arial" w:hAnsi="Arial" w:eastAsia="Arial" w:cs="Arial"/>
          <w:color w:val="000000"/>
          <w:lang w:val="en-US" w:eastAsia="zh-CN"/>
        </w:rPr>
        <w:t xml:space="preserve"> for force. A vacuum distance exceeding 10 Å was implemented to eliminate interactions between successive slabs. Additional details can be found in </w:t>
      </w:r>
      <w:r>
        <w:rPr>
          <w:rFonts w:hint="eastAsia" w:ascii="Arial" w:hAnsi="Arial" w:eastAsia="Arial" w:cs="Arial"/>
          <w:b/>
          <w:bCs/>
          <w:color w:val="000000"/>
          <w:lang w:val="en-US" w:eastAsia="zh-CN"/>
        </w:rPr>
        <w:t>Tables S3-S5</w:t>
      </w:r>
      <w:r>
        <w:rPr>
          <w:rFonts w:hint="eastAsia" w:ascii="Arial" w:hAnsi="Arial" w:eastAsia="Arial" w:cs="Arial"/>
          <w:color w:val="000000"/>
          <w:lang w:val="en-US" w:eastAsia="zh-CN"/>
        </w:rPr>
        <w:t>.</w:t>
      </w:r>
    </w:p>
    <w:p>
      <w:pPr>
        <w:spacing w:line="480" w:lineRule="auto"/>
        <w:jc w:val="both"/>
        <w:rPr>
          <w:rFonts w:hint="eastAsia" w:ascii="Arial" w:hAnsi="Arial" w:eastAsia="Arial" w:cs="Arial"/>
          <w:color w:val="000000"/>
          <w:lang w:val="en-US" w:eastAsia="zh-CN"/>
        </w:rPr>
      </w:pPr>
      <w:r>
        <w:rPr>
          <w:rFonts w:hint="eastAsia" w:ascii="Arial" w:hAnsi="Arial" w:eastAsia="Arial" w:cs="Arial"/>
          <w:color w:val="000000"/>
          <w:lang w:val="en-US" w:eastAsia="zh-CN"/>
        </w:rPr>
        <w:t>Molecular dynamics (MD) simulations were performed using the large-scale atomic/molecular massively parallel simulator.</w:t>
      </w:r>
      <w:r>
        <w:rPr>
          <w:rFonts w:hint="eastAsia" w:ascii="Arial" w:hAnsi="Arial" w:eastAsia="Arial" w:cs="Arial"/>
          <w:color w:val="000000"/>
          <w:vertAlign w:val="superscript"/>
          <w:lang w:val="en-US" w:eastAsia="zh-CN"/>
        </w:rPr>
        <w:t>S1, S2</w:t>
      </w:r>
      <w:r>
        <w:rPr>
          <w:rFonts w:hint="eastAsia" w:ascii="Arial" w:hAnsi="Arial" w:eastAsia="Arial" w:cs="Arial"/>
          <w:color w:val="000000"/>
          <w:lang w:val="en-US" w:eastAsia="zh-CN"/>
        </w:rPr>
        <w:t>. The ReaxFF force field and NVT ensemble with a Nosé-Hoover thermostat at temperatures of 300, 500, 1000, 1500 and 2000 K were employed.</w:t>
      </w:r>
      <w:r>
        <w:rPr>
          <w:rFonts w:hint="eastAsia" w:ascii="Arial" w:hAnsi="Arial" w:eastAsia="Arial" w:cs="Arial"/>
          <w:color w:val="000000"/>
          <w:vertAlign w:val="superscript"/>
          <w:lang w:val="en-US" w:eastAsia="zh-CN"/>
        </w:rPr>
        <w:t>S3</w:t>
      </w:r>
      <w:r>
        <w:rPr>
          <w:rFonts w:hint="eastAsia" w:ascii="Arial" w:hAnsi="Arial" w:eastAsia="Arial" w:cs="Arial"/>
          <w:color w:val="000000"/>
          <w:lang w:val="en-US" w:eastAsia="zh-CN"/>
        </w:rPr>
        <w:t xml:space="preserve"> The NVT-MD simulation comprised 10,000 steps with a time step of 1.0 fs, resulting in a total simulation time of 100 ps (</w:t>
      </w:r>
      <w:r>
        <w:rPr>
          <w:rFonts w:hint="eastAsia" w:ascii="Arial" w:hAnsi="Arial" w:eastAsia="Arial" w:cs="Arial"/>
          <w:b/>
          <w:bCs/>
          <w:color w:val="000000"/>
          <w:lang w:val="en-US" w:eastAsia="zh-CN"/>
        </w:rPr>
        <w:t>Figure S16</w:t>
      </w:r>
      <w:r>
        <w:rPr>
          <w:rFonts w:hint="eastAsia" w:ascii="Arial" w:hAnsi="Arial" w:eastAsia="Arial" w:cs="Arial"/>
          <w:color w:val="000000"/>
          <w:lang w:val="en-US" w:eastAsia="zh-CN"/>
        </w:rPr>
        <w:t>).</w:t>
      </w:r>
    </w:p>
    <w:p>
      <w:pPr>
        <w:spacing w:line="480" w:lineRule="auto"/>
        <w:jc w:val="both"/>
        <w:rPr>
          <w:rFonts w:hint="eastAsia" w:ascii="Arial" w:hAnsi="Arial" w:eastAsia="Arial" w:cs="Arial"/>
          <w:color w:val="000000"/>
          <w:lang w:val="en-US" w:eastAsia="zh-CN"/>
        </w:rPr>
      </w:pPr>
      <w:r>
        <w:rPr>
          <w:rFonts w:hint="eastAsia" w:ascii="Arial" w:hAnsi="Arial" w:eastAsia="Arial" w:cs="Arial"/>
          <w:b/>
          <w:bCs/>
          <w:color w:val="000000"/>
          <w:lang w:val="en-US" w:eastAsia="zh-CN"/>
        </w:rPr>
        <w:t>S1</w:t>
      </w:r>
      <w:r>
        <w:rPr>
          <w:rFonts w:hint="eastAsia" w:ascii="Arial" w:hAnsi="Arial" w:eastAsia="Arial" w:cs="Arial"/>
          <w:color w:val="000000"/>
          <w:lang w:val="en-US" w:eastAsia="zh-CN"/>
        </w:rPr>
        <w:t>. Plimpton, S. Fast Parallel Algorithms for Short-Range Molecular Dynamics. Journal of Computational Physics 117, 1-19, doi:10.1006/jcph.1995.1039 (1995).</w:t>
      </w:r>
    </w:p>
    <w:p>
      <w:pPr>
        <w:spacing w:line="480" w:lineRule="auto"/>
        <w:jc w:val="both"/>
        <w:rPr>
          <w:rFonts w:hint="eastAsia" w:ascii="Arial" w:hAnsi="Arial" w:eastAsia="Arial" w:cs="Arial"/>
          <w:color w:val="000000"/>
          <w:lang w:val="en-US" w:eastAsia="zh-CN"/>
        </w:rPr>
      </w:pPr>
      <w:r>
        <w:rPr>
          <w:rFonts w:hint="eastAsia" w:ascii="Arial" w:hAnsi="Arial" w:eastAsia="Arial" w:cs="Arial"/>
          <w:b/>
          <w:bCs/>
          <w:color w:val="000000"/>
          <w:lang w:val="en-US" w:eastAsia="zh-CN"/>
        </w:rPr>
        <w:t>S2</w:t>
      </w:r>
      <w:r>
        <w:rPr>
          <w:rFonts w:hint="eastAsia" w:ascii="Arial" w:hAnsi="Arial" w:eastAsia="Arial" w:cs="Arial"/>
          <w:color w:val="000000"/>
          <w:lang w:val="en-US" w:eastAsia="zh-CN"/>
        </w:rPr>
        <w:t xml:space="preserve">. Thompson, A. P. et al. LAMMPS - a flexible simulation tool for particle-based materials modeling at the atomic, meso, and continuum scales. Computer Physics Communications 271, 108171, doi:https://doi.org/10.1016/j.cpc.2021.108171 (2022). </w:t>
      </w:r>
      <w:r>
        <w:rPr>
          <w:rFonts w:hint="eastAsia" w:ascii="Arial" w:hAnsi="Arial" w:eastAsia="Arial" w:cs="Arial"/>
          <w:b/>
          <w:bCs/>
          <w:color w:val="000000"/>
          <w:lang w:val="en-US" w:eastAsia="zh-CN"/>
        </w:rPr>
        <w:t>S3</w:t>
      </w:r>
      <w:r>
        <w:rPr>
          <w:rFonts w:hint="eastAsia" w:ascii="Arial" w:hAnsi="Arial" w:eastAsia="Arial" w:cs="Arial"/>
          <w:color w:val="000000"/>
          <w:lang w:val="en-US" w:eastAsia="zh-CN"/>
        </w:rPr>
        <w:t>. Aktulga, H. M., Fogarty, J. C., Pandit, S. A. &amp; Grama, A. Y. Parallel reactive molecular dynamics: Numerical methods and algorithmic techniques. Parallel Computing 38, 245-259, doi:https://doi.org/10.1016/j.parco.2011.08.005 (2012).</w:t>
      </w:r>
    </w:p>
    <w:p>
      <w:pPr>
        <w:spacing w:line="480" w:lineRule="auto"/>
        <w:jc w:val="both"/>
        <w:rPr>
          <w:rFonts w:hint="eastAsia" w:ascii="Arial" w:hAnsi="Arial" w:eastAsia="Arial" w:cs="Arial"/>
          <w:color w:val="000000"/>
          <w:lang w:val="en-US" w:eastAsia="zh-CN"/>
        </w:rPr>
      </w:pPr>
    </w:p>
    <w:p>
      <w:pPr>
        <w:spacing w:line="480" w:lineRule="auto"/>
        <w:jc w:val="both"/>
        <w:rPr>
          <w:rFonts w:hint="default" w:ascii="Arial" w:hAnsi="Arial" w:eastAsia="Arial" w:cs="Arial"/>
          <w:b/>
          <w:bCs/>
          <w:color w:val="000000"/>
          <w:lang w:val="en-US" w:eastAsia="zh-CN"/>
        </w:rPr>
      </w:pPr>
      <w:r>
        <w:rPr>
          <w:rFonts w:hint="eastAsia" w:ascii="Arial" w:hAnsi="Arial" w:eastAsia="Arial" w:cs="Arial"/>
          <w:b/>
          <w:bCs/>
          <w:color w:val="000000"/>
          <w:lang w:val="en-US" w:eastAsia="zh-CN"/>
        </w:rPr>
        <w:t xml:space="preserve">1.3 </w:t>
      </w:r>
      <w:r>
        <w:rPr>
          <w:rFonts w:ascii="Arial" w:hAnsi="Arial" w:eastAsia="Arial" w:cs="Arial"/>
          <w:b/>
          <w:bCs/>
          <w:color w:val="000000"/>
          <w:lang w:val="en-US" w:eastAsia="zh-CN"/>
        </w:rPr>
        <w:t xml:space="preserve">Material </w:t>
      </w:r>
      <w:r>
        <w:rPr>
          <w:rFonts w:hint="eastAsia" w:ascii="Arial" w:hAnsi="Arial" w:eastAsia="Arial" w:cs="Arial"/>
          <w:b/>
          <w:bCs/>
          <w:color w:val="000000"/>
          <w:lang w:val="en-US" w:eastAsia="zh-CN"/>
        </w:rPr>
        <w:t>synthesis strategy</w:t>
      </w:r>
    </w:p>
    <w:p>
      <w:pPr>
        <w:spacing w:line="480" w:lineRule="auto"/>
        <w:jc w:val="both"/>
        <w:rPr>
          <w:rFonts w:hint="eastAsia" w:ascii="Arial" w:hAnsi="Arial" w:eastAsia="Arial" w:cs="Arial"/>
          <w:color w:val="000000"/>
          <w:lang w:val="en-US" w:eastAsia="zh-CN"/>
        </w:rPr>
      </w:pPr>
      <w:r>
        <w:rPr>
          <w:rFonts w:hint="eastAsia" w:ascii="Arial" w:hAnsi="Arial" w:eastAsia="Arial" w:cs="Arial"/>
          <w:color w:val="000000"/>
          <w:lang w:val="en-US" w:eastAsia="zh-CN"/>
        </w:rPr>
        <w:t>W</w:t>
      </w:r>
      <w:r>
        <w:rPr>
          <w:rFonts w:hint="default" w:ascii="Arial" w:hAnsi="Arial" w:eastAsia="Arial" w:cs="Arial"/>
          <w:color w:val="000000"/>
          <w:lang w:val="en-US" w:eastAsia="zh-CN"/>
        </w:rPr>
        <w:t xml:space="preserve">e adopted a facile </w:t>
      </w:r>
      <w:r>
        <w:rPr>
          <w:rFonts w:hint="default" w:ascii="Arial" w:hAnsi="Arial" w:eastAsia="Arial" w:cs="Arial"/>
          <w:i/>
          <w:iCs/>
          <w:color w:val="000000"/>
          <w:lang w:val="en-US" w:eastAsia="zh-CN"/>
        </w:rPr>
        <w:t>in–situ</w:t>
      </w:r>
      <w:r>
        <w:rPr>
          <w:rFonts w:hint="default" w:ascii="Arial" w:hAnsi="Arial" w:eastAsia="Arial" w:cs="Arial"/>
          <w:color w:val="000000"/>
          <w:lang w:val="en-US" w:eastAsia="zh-CN"/>
        </w:rPr>
        <w:t xml:space="preserve"> self–template induced strategy to fabricate densely unsaturated Cu–N</w:t>
      </w:r>
      <w:r>
        <w:rPr>
          <w:rFonts w:hint="default" w:ascii="Arial" w:hAnsi="Arial" w:eastAsia="Arial" w:cs="Arial"/>
          <w:color w:val="000000"/>
          <w:vertAlign w:val="subscript"/>
          <w:lang w:val="en-US" w:eastAsia="zh-CN"/>
        </w:rPr>
        <w:t>2</w:t>
      </w:r>
      <w:r>
        <w:rPr>
          <w:rFonts w:hint="default" w:ascii="Arial" w:hAnsi="Arial" w:eastAsia="Arial" w:cs="Arial"/>
          <w:color w:val="000000"/>
          <w:lang w:val="en-US" w:eastAsia="zh-CN"/>
        </w:rPr>
        <w:t xml:space="preserve"> sites decorated hollow nitrogen–doped octahedron carbon (Cu–N</w:t>
      </w:r>
      <w:r>
        <w:rPr>
          <w:rFonts w:hint="default" w:ascii="Arial" w:hAnsi="Arial" w:eastAsia="Arial" w:cs="Arial"/>
          <w:color w:val="000000"/>
          <w:vertAlign w:val="subscript"/>
          <w:lang w:val="en-US" w:eastAsia="zh-CN"/>
        </w:rPr>
        <w:t>2</w:t>
      </w:r>
      <w:r>
        <w:rPr>
          <w:rFonts w:hint="default" w:ascii="Arial" w:hAnsi="Arial" w:eastAsia="Arial" w:cs="Arial"/>
          <w:color w:val="000000"/>
          <w:lang w:val="en-US" w:eastAsia="zh-CN"/>
        </w:rPr>
        <w:t>@HNOC), in which the valence state of Cu is close to +1 in linear type Cu–N</w:t>
      </w:r>
      <w:r>
        <w:rPr>
          <w:rFonts w:hint="default" w:ascii="Arial" w:hAnsi="Arial" w:eastAsia="Arial" w:cs="Arial"/>
          <w:color w:val="000000"/>
          <w:vertAlign w:val="subscript"/>
          <w:lang w:val="en-US" w:eastAsia="zh-CN"/>
        </w:rPr>
        <w:t>2</w:t>
      </w:r>
      <w:r>
        <w:rPr>
          <w:rFonts w:hint="default" w:ascii="Arial" w:hAnsi="Arial" w:eastAsia="Arial" w:cs="Arial"/>
          <w:color w:val="000000"/>
          <w:lang w:val="en-US" w:eastAsia="zh-CN"/>
        </w:rPr>
        <w:t xml:space="preserve"> sites. Firstly, CuO octahedrons were served as sacrificial template and pyrrole monomer was dispersed around them. Then, acid solution was added drop by drop and the released Cu</w:t>
      </w:r>
      <w:r>
        <w:rPr>
          <w:rFonts w:hint="default" w:ascii="Arial" w:hAnsi="Arial" w:eastAsia="Arial" w:cs="Arial"/>
          <w:color w:val="000000"/>
          <w:vertAlign w:val="superscript"/>
          <w:lang w:val="en-US" w:eastAsia="zh-CN"/>
        </w:rPr>
        <w:t>2+</w:t>
      </w:r>
      <w:r>
        <w:rPr>
          <w:rFonts w:hint="default" w:ascii="Arial" w:hAnsi="Arial" w:eastAsia="Arial" w:cs="Arial"/>
          <w:color w:val="000000"/>
          <w:lang w:val="en-US" w:eastAsia="zh-CN"/>
        </w:rPr>
        <w:t xml:space="preserve"> ions as oxidant initiate the polymerization of pyrrole monomer on the surface of CuO octahedrons. And the Cu</w:t>
      </w:r>
      <w:r>
        <w:rPr>
          <w:rFonts w:hint="default" w:ascii="Arial" w:hAnsi="Arial" w:eastAsia="Arial" w:cs="Arial"/>
          <w:color w:val="000000"/>
          <w:vertAlign w:val="superscript"/>
          <w:lang w:val="en-US" w:eastAsia="zh-CN"/>
        </w:rPr>
        <w:t>2+</w:t>
      </w:r>
      <w:r>
        <w:rPr>
          <w:rFonts w:hint="default" w:ascii="Arial" w:hAnsi="Arial" w:eastAsia="Arial" w:cs="Arial"/>
          <w:color w:val="000000"/>
          <w:lang w:val="en-US" w:eastAsia="zh-CN"/>
        </w:rPr>
        <w:t xml:space="preserve"> ions will be continually reduced </w:t>
      </w:r>
      <w:r>
        <w:rPr>
          <w:rFonts w:hint="eastAsia" w:ascii="Arial" w:hAnsi="Arial" w:eastAsia="Arial" w:cs="Arial"/>
          <w:color w:val="000000"/>
          <w:lang w:val="en-US" w:eastAsia="zh-CN"/>
        </w:rPr>
        <w:t xml:space="preserve">into </w:t>
      </w:r>
      <w:r>
        <w:rPr>
          <w:rFonts w:hint="default" w:ascii="Arial" w:hAnsi="Arial" w:eastAsia="Arial" w:cs="Arial"/>
          <w:color w:val="000000"/>
          <w:lang w:val="en-US" w:eastAsia="zh-CN"/>
        </w:rPr>
        <w:t>Cu</w:t>
      </w:r>
      <w:r>
        <w:rPr>
          <w:rFonts w:hint="default" w:ascii="Arial" w:hAnsi="Arial" w:eastAsia="Arial" w:cs="Arial"/>
          <w:color w:val="000000"/>
          <w:vertAlign w:val="superscript"/>
          <w:lang w:val="en-US" w:eastAsia="zh-CN"/>
        </w:rPr>
        <w:t>+</w:t>
      </w:r>
      <w:r>
        <w:rPr>
          <w:rFonts w:hint="eastAsia" w:ascii="Arial" w:hAnsi="Arial" w:eastAsia="Arial" w:cs="Arial"/>
          <w:color w:val="000000"/>
          <w:vertAlign w:val="superscript"/>
          <w:lang w:val="en-US" w:eastAsia="zh-CN"/>
        </w:rPr>
        <w:t xml:space="preserve"> </w:t>
      </w:r>
      <w:r>
        <w:rPr>
          <w:rFonts w:hint="default" w:ascii="Arial" w:hAnsi="Arial" w:eastAsia="Arial" w:cs="Arial"/>
          <w:color w:val="000000"/>
          <w:lang w:val="en-US" w:eastAsia="zh-CN"/>
        </w:rPr>
        <w:t>and subsequently captured by polypyrrole until the CuO octahedrons were completely dissolved. Finally, the obtained Cu–containing hollow octahedrons polypyrrole was pyrolyzed to acquire the targeted sample of Cu–N</w:t>
      </w:r>
      <w:r>
        <w:rPr>
          <w:rFonts w:hint="default" w:ascii="Arial" w:hAnsi="Arial" w:eastAsia="Arial" w:cs="Arial"/>
          <w:color w:val="000000"/>
          <w:vertAlign w:val="subscript"/>
          <w:lang w:val="en-US" w:eastAsia="zh-CN"/>
        </w:rPr>
        <w:t>2</w:t>
      </w:r>
      <w:r>
        <w:rPr>
          <w:rFonts w:hint="default" w:ascii="Arial" w:hAnsi="Arial" w:eastAsia="Arial" w:cs="Arial"/>
          <w:color w:val="000000"/>
          <w:lang w:val="en-US" w:eastAsia="zh-CN"/>
        </w:rPr>
        <w:t xml:space="preserve">@HNOC. </w:t>
      </w:r>
      <w:r>
        <w:rPr>
          <w:rFonts w:hint="eastAsia" w:ascii="Arial" w:hAnsi="Arial" w:eastAsia="Arial" w:cs="Arial"/>
          <w:color w:val="000000"/>
          <w:lang w:val="en-US" w:eastAsia="zh-CN"/>
        </w:rPr>
        <w:t xml:space="preserve">The low </w:t>
      </w:r>
      <w:r>
        <w:rPr>
          <w:rFonts w:hint="default" w:ascii="Arial" w:hAnsi="Arial" w:eastAsia="Arial" w:cs="Arial"/>
          <w:color w:val="000000"/>
          <w:lang w:val="en-US" w:eastAsia="zh-CN"/>
        </w:rPr>
        <w:t>valence state Cu</w:t>
      </w:r>
      <w:r>
        <w:rPr>
          <w:rFonts w:hint="default" w:ascii="Arial" w:hAnsi="Arial" w:eastAsia="Arial" w:cs="Arial"/>
          <w:color w:val="000000"/>
          <w:vertAlign w:val="superscript"/>
          <w:lang w:val="en-US" w:eastAsia="zh-CN"/>
        </w:rPr>
        <w:t>+</w:t>
      </w:r>
      <w:r>
        <w:rPr>
          <w:rFonts w:hint="eastAsia" w:ascii="Arial" w:hAnsi="Arial" w:eastAsia="Arial" w:cs="Arial"/>
          <w:color w:val="000000"/>
          <w:vertAlign w:val="superscript"/>
          <w:lang w:val="en-US" w:eastAsia="zh-CN"/>
        </w:rPr>
        <w:t xml:space="preserve"> </w:t>
      </w:r>
      <w:r>
        <w:rPr>
          <w:rFonts w:hint="eastAsia" w:ascii="Arial" w:hAnsi="Arial" w:eastAsia="Arial" w:cs="Arial"/>
          <w:color w:val="000000"/>
          <w:lang w:val="en-US" w:eastAsia="zh-CN"/>
        </w:rPr>
        <w:t xml:space="preserve">and tends to form low coordination compounds, and results in </w:t>
      </w:r>
      <w:r>
        <w:rPr>
          <w:rFonts w:hint="default" w:ascii="Arial" w:hAnsi="Arial" w:eastAsia="Arial" w:cs="Arial"/>
          <w:color w:val="000000"/>
          <w:lang w:val="en-US" w:eastAsia="zh-CN"/>
        </w:rPr>
        <w:t>unsaturated</w:t>
      </w:r>
      <w:r>
        <w:rPr>
          <w:rFonts w:hint="eastAsia" w:ascii="Arial" w:hAnsi="Arial" w:eastAsia="Arial" w:cs="Arial"/>
          <w:color w:val="000000"/>
          <w:lang w:val="en-US" w:eastAsia="zh-CN"/>
        </w:rPr>
        <w:t xml:space="preserve"> </w:t>
      </w:r>
      <w:r>
        <w:rPr>
          <w:rFonts w:hint="default" w:ascii="Arial" w:hAnsi="Arial" w:eastAsia="Arial" w:cs="Arial"/>
          <w:color w:val="000000"/>
          <w:lang w:val="en-US" w:eastAsia="zh-CN"/>
        </w:rPr>
        <w:t>Cu–N</w:t>
      </w:r>
      <w:r>
        <w:rPr>
          <w:rFonts w:hint="default" w:ascii="Arial" w:hAnsi="Arial" w:eastAsia="Arial" w:cs="Arial"/>
          <w:color w:val="000000"/>
          <w:vertAlign w:val="subscript"/>
          <w:lang w:val="en-US" w:eastAsia="zh-CN"/>
        </w:rPr>
        <w:t>2</w:t>
      </w:r>
      <w:r>
        <w:rPr>
          <w:rFonts w:hint="default" w:ascii="Arial" w:hAnsi="Arial" w:eastAsia="Arial" w:cs="Arial"/>
          <w:color w:val="000000"/>
          <w:lang w:val="en-US" w:eastAsia="zh-CN"/>
        </w:rPr>
        <w:t xml:space="preserve"> sites</w:t>
      </w:r>
      <w:r>
        <w:rPr>
          <w:rFonts w:hint="eastAsia" w:ascii="Arial" w:hAnsi="Arial" w:eastAsia="Arial" w:cs="Arial"/>
          <w:color w:val="000000"/>
          <w:lang w:val="en-US" w:eastAsia="zh-CN"/>
        </w:rPr>
        <w:t xml:space="preserve">. </w:t>
      </w:r>
      <w:r>
        <w:rPr>
          <w:rFonts w:hint="default" w:ascii="Arial" w:hAnsi="Arial" w:eastAsia="Arial" w:cs="Arial"/>
          <w:color w:val="000000"/>
          <w:lang w:val="en-US" w:eastAsia="zh-CN"/>
        </w:rPr>
        <w:t>In addition, it is notably that our adopted</w:t>
      </w:r>
      <w:r>
        <w:rPr>
          <w:rFonts w:hint="default" w:ascii="Arial" w:hAnsi="Arial" w:eastAsia="Arial" w:cs="Arial"/>
          <w:i/>
          <w:iCs/>
          <w:color w:val="000000"/>
          <w:lang w:val="en-US" w:eastAsia="zh-CN"/>
        </w:rPr>
        <w:t xml:space="preserve"> in–situ</w:t>
      </w:r>
      <w:r>
        <w:rPr>
          <w:rFonts w:hint="default" w:ascii="Arial" w:hAnsi="Arial" w:eastAsia="Arial" w:cs="Arial"/>
          <w:color w:val="000000"/>
          <w:lang w:val="en-US" w:eastAsia="zh-CN"/>
        </w:rPr>
        <w:t xml:space="preserve"> polymerization rationally designing is available to avoid the adverse impact of template removal and overuse of reducing agents. Obviously, it is an innovative and green synthetic approach to high–efficiency Cu–based electrocatalysts. </w:t>
      </w:r>
    </w:p>
    <w:p>
      <w:pPr>
        <w:spacing w:line="480" w:lineRule="auto"/>
        <w:jc w:val="both"/>
        <w:rPr>
          <w:rFonts w:ascii="Arial" w:hAnsi="Arial" w:eastAsia="Arial" w:cs="Arial"/>
          <w:b/>
          <w:bCs/>
          <w:color w:val="000000"/>
          <w:lang w:val="en-US" w:eastAsia="zh-CN"/>
        </w:rPr>
      </w:pPr>
      <w:r>
        <w:rPr>
          <w:rFonts w:hint="eastAsia" w:ascii="Arial" w:hAnsi="Arial" w:eastAsia="Arial" w:cs="Arial"/>
          <w:b/>
          <w:bCs/>
          <w:color w:val="000000"/>
          <w:lang w:val="en-US" w:eastAsia="zh-CN"/>
        </w:rPr>
        <w:t xml:space="preserve">1.4 </w:t>
      </w:r>
      <w:r>
        <w:rPr>
          <w:rFonts w:ascii="Arial" w:hAnsi="Arial" w:eastAsia="Arial" w:cs="Arial"/>
          <w:b/>
          <w:bCs/>
          <w:color w:val="000000"/>
          <w:lang w:val="en-US" w:eastAsia="zh-CN"/>
        </w:rPr>
        <w:t>Material characterizations</w:t>
      </w:r>
    </w:p>
    <w:p>
      <w:pPr>
        <w:spacing w:line="480" w:lineRule="auto"/>
        <w:ind w:firstLine="480"/>
        <w:jc w:val="both"/>
        <w:rPr>
          <w:rFonts w:ascii="Arial" w:hAnsi="Arial" w:eastAsia="Arial" w:cs="Arial"/>
          <w:color w:val="000000"/>
          <w:lang w:val="en-US" w:eastAsia="zh-CN"/>
        </w:rPr>
      </w:pPr>
      <w:r>
        <w:rPr>
          <w:rFonts w:hint="eastAsia" w:ascii="Arial" w:hAnsi="Arial" w:eastAsia="Arial" w:cs="Arial"/>
          <w:color w:val="000000"/>
          <w:lang w:val="en-US" w:eastAsia="zh-CN"/>
        </w:rPr>
        <w:t>M</w:t>
      </w:r>
      <w:r>
        <w:rPr>
          <w:rFonts w:ascii="Arial" w:hAnsi="Arial" w:eastAsia="Arial" w:cs="Arial"/>
          <w:color w:val="000000"/>
          <w:lang w:val="en-US" w:eastAsia="zh-CN"/>
        </w:rPr>
        <w:t>orphologies and microstructure</w:t>
      </w:r>
      <w:r>
        <w:rPr>
          <w:rFonts w:hint="eastAsia" w:ascii="Arial" w:hAnsi="Arial" w:eastAsia="Arial" w:cs="Arial"/>
          <w:color w:val="000000"/>
          <w:lang w:val="en-US" w:eastAsia="zh-CN"/>
        </w:rPr>
        <w:t xml:space="preserve"> was </w:t>
      </w:r>
      <w:r>
        <w:rPr>
          <w:rFonts w:ascii="Arial" w:hAnsi="Arial" w:eastAsia="Arial" w:cs="Arial"/>
          <w:color w:val="000000"/>
          <w:lang w:val="en-US" w:eastAsia="zh-CN"/>
        </w:rPr>
        <w:t>observed</w:t>
      </w:r>
      <w:r>
        <w:rPr>
          <w:rFonts w:hint="eastAsia" w:ascii="Arial" w:hAnsi="Arial" w:eastAsia="Arial" w:cs="Arial"/>
          <w:color w:val="000000"/>
          <w:lang w:val="en-US" w:eastAsia="zh-CN"/>
        </w:rPr>
        <w:t xml:space="preserve"> by s</w:t>
      </w:r>
      <w:r>
        <w:rPr>
          <w:rFonts w:ascii="Arial" w:hAnsi="Arial" w:eastAsia="Arial" w:cs="Arial"/>
          <w:color w:val="000000"/>
          <w:lang w:val="en-US" w:eastAsia="zh-CN"/>
        </w:rPr>
        <w:t xml:space="preserve">canning electron microscopy (SEM, Hitachi S–4800), transmission electron microscopy (TEM, Thermo scientific (3.2)) </w:t>
      </w:r>
      <w:r>
        <w:rPr>
          <w:rFonts w:hint="eastAsia" w:ascii="Arial" w:hAnsi="Arial" w:eastAsia="Arial" w:cs="Arial"/>
          <w:color w:val="000000"/>
          <w:lang w:val="en-US" w:eastAsia="zh-CN"/>
        </w:rPr>
        <w:t>M</w:t>
      </w:r>
      <w:r>
        <w:rPr>
          <w:rFonts w:ascii="Arial" w:hAnsi="Arial" w:eastAsia="Arial" w:cs="Arial"/>
          <w:color w:val="000000"/>
          <w:lang w:val="en-US" w:eastAsia="zh-CN"/>
        </w:rPr>
        <w:t xml:space="preserve">icrostructure and defect nature </w:t>
      </w:r>
      <w:r>
        <w:rPr>
          <w:rFonts w:hint="eastAsia" w:ascii="Arial" w:hAnsi="Arial" w:eastAsia="Arial" w:cs="Arial"/>
          <w:color w:val="000000"/>
          <w:lang w:val="en-US" w:eastAsia="zh-CN"/>
        </w:rPr>
        <w:t xml:space="preserve">was measured by </w:t>
      </w:r>
      <w:r>
        <w:rPr>
          <w:rFonts w:ascii="Arial" w:hAnsi="Arial" w:eastAsia="Arial" w:cs="Arial"/>
          <w:color w:val="000000"/>
          <w:lang w:val="en-US" w:eastAsia="zh-CN"/>
        </w:rPr>
        <w:t>X–ray diffraction (Bruker D8 advanced powder X</w:t>
      </w:r>
      <w:bookmarkStart w:id="2" w:name="_Hlk65482822"/>
      <w:r>
        <w:rPr>
          <w:rFonts w:ascii="Arial" w:hAnsi="Arial" w:eastAsia="Arial" w:cs="Arial"/>
          <w:color w:val="000000"/>
          <w:lang w:val="en-US" w:eastAsia="zh-CN"/>
        </w:rPr>
        <w:t>–</w:t>
      </w:r>
      <w:bookmarkEnd w:id="2"/>
      <w:r>
        <w:rPr>
          <w:rFonts w:ascii="Arial" w:hAnsi="Arial" w:eastAsia="Arial" w:cs="Arial"/>
          <w:color w:val="000000"/>
          <w:lang w:val="en-US" w:eastAsia="zh-CN"/>
        </w:rPr>
        <w:t xml:space="preserve">ray diffractometer) and </w:t>
      </w:r>
      <w:r>
        <w:rPr>
          <w:rFonts w:hint="eastAsia" w:ascii="Arial" w:hAnsi="Arial" w:eastAsia="Arial" w:cs="Arial"/>
          <w:color w:val="000000"/>
          <w:lang w:val="en-US" w:eastAsia="zh-CN"/>
        </w:rPr>
        <w:t>r</w:t>
      </w:r>
      <w:r>
        <w:rPr>
          <w:rFonts w:ascii="Arial" w:hAnsi="Arial" w:eastAsia="Arial" w:cs="Arial"/>
          <w:color w:val="000000"/>
          <w:lang w:val="en-US" w:eastAsia="zh-CN"/>
        </w:rPr>
        <w:t>aman spectroscopy (Renishaw</w:t>
      </w:r>
      <w:r>
        <w:rPr>
          <w:rFonts w:hint="eastAsia" w:ascii="Arial" w:hAnsi="Arial" w:eastAsia="Arial" w:cs="Arial"/>
          <w:color w:val="000000"/>
          <w:lang w:val="en-US" w:eastAsia="zh-CN"/>
        </w:rPr>
        <w:t xml:space="preserve"> </w:t>
      </w:r>
      <w:r>
        <w:rPr>
          <w:rFonts w:ascii="Arial" w:hAnsi="Arial" w:eastAsia="Arial" w:cs="Arial"/>
          <w:color w:val="000000"/>
          <w:lang w:val="en-US" w:eastAsia="zh-CN"/>
        </w:rPr>
        <w:t>invia-reflex)</w:t>
      </w:r>
      <w:r>
        <w:rPr>
          <w:rFonts w:hint="eastAsia" w:ascii="Arial" w:hAnsi="Arial" w:eastAsia="Arial" w:cs="Arial"/>
          <w:color w:val="000000"/>
          <w:lang w:val="en-US" w:eastAsia="zh-CN"/>
        </w:rPr>
        <w:t>.</w:t>
      </w:r>
      <w:r>
        <w:rPr>
          <w:rFonts w:ascii="Arial" w:hAnsi="Arial" w:eastAsia="Arial" w:cs="Arial"/>
          <w:color w:val="000000"/>
          <w:lang w:val="en-US" w:eastAsia="zh-CN"/>
        </w:rPr>
        <w:t xml:space="preserve"> The specific surface area and pore size distributions were </w:t>
      </w:r>
      <w:r>
        <w:rPr>
          <w:rFonts w:hint="eastAsia" w:ascii="Arial" w:hAnsi="Arial" w:eastAsia="Arial" w:cs="Arial"/>
          <w:color w:val="000000"/>
          <w:lang w:val="en-US" w:eastAsia="zh-CN"/>
        </w:rPr>
        <w:t>tested</w:t>
      </w:r>
      <w:r>
        <w:rPr>
          <w:rFonts w:ascii="Arial" w:hAnsi="Arial" w:eastAsia="Arial" w:cs="Arial"/>
          <w:color w:val="000000"/>
          <w:lang w:val="en-US" w:eastAsia="zh-CN"/>
        </w:rPr>
        <w:t xml:space="preserve"> by BET analyzer (Micromeritics, ASAP 2020 HD). The chemical composition was manifested by X–ray photoelectron spectroscopy (XPS, ESCALAB250). </w:t>
      </w:r>
      <w:bookmarkStart w:id="3" w:name="OLE_LINK18"/>
      <w:bookmarkStart w:id="4" w:name="OLE_LINK19"/>
      <w:r>
        <w:rPr>
          <w:rFonts w:hint="eastAsia" w:ascii="Arial" w:hAnsi="Arial" w:eastAsia="Arial" w:cs="Arial"/>
          <w:color w:val="000000"/>
          <w:lang w:val="en-US" w:eastAsia="zh-CN"/>
        </w:rPr>
        <w:t xml:space="preserve">The content of Cu was </w:t>
      </w:r>
      <w:r>
        <w:rPr>
          <w:rFonts w:ascii="Arial" w:hAnsi="Arial" w:eastAsia="Arial" w:cs="Arial"/>
          <w:color w:val="000000"/>
          <w:lang w:val="en-US" w:eastAsia="zh-CN"/>
        </w:rPr>
        <w:t xml:space="preserve">evaluated </w:t>
      </w:r>
      <w:r>
        <w:rPr>
          <w:rFonts w:hint="eastAsia" w:ascii="Arial" w:hAnsi="Arial" w:eastAsia="Arial" w:cs="Arial"/>
          <w:color w:val="000000"/>
          <w:lang w:val="en-US" w:eastAsia="zh-CN"/>
        </w:rPr>
        <w:t xml:space="preserve">by </w:t>
      </w:r>
      <w:r>
        <w:rPr>
          <w:rFonts w:ascii="Arial" w:hAnsi="Arial" w:eastAsia="Arial" w:cs="Arial"/>
          <w:color w:val="000000"/>
          <w:lang w:val="en-US" w:eastAsia="zh-CN"/>
        </w:rPr>
        <w:t>inductively coupled plasma</w:t>
      </w:r>
      <w:r>
        <w:rPr>
          <w:rFonts w:hint="eastAsia" w:ascii="Arial" w:hAnsi="Arial" w:eastAsia="Arial" w:cs="Arial"/>
          <w:color w:val="000000"/>
          <w:lang w:val="en-US" w:eastAsia="zh-CN"/>
        </w:rPr>
        <w:t xml:space="preserve"> </w:t>
      </w:r>
      <w:r>
        <w:rPr>
          <w:rFonts w:ascii="Arial" w:hAnsi="Arial" w:eastAsia="Arial" w:cs="Arial"/>
          <w:color w:val="000000"/>
          <w:lang w:val="en-US" w:eastAsia="zh-CN"/>
        </w:rPr>
        <w:t>mass spectrometry (ICP-MS)</w:t>
      </w:r>
      <w:r>
        <w:rPr>
          <w:rFonts w:hint="eastAsia" w:ascii="Arial" w:hAnsi="Arial" w:eastAsia="Arial" w:cs="Arial"/>
          <w:color w:val="000000"/>
          <w:lang w:val="en-US" w:eastAsia="zh-CN"/>
        </w:rPr>
        <w:t>. T</w:t>
      </w:r>
      <w:r>
        <w:rPr>
          <w:rFonts w:ascii="Arial" w:hAnsi="Arial" w:eastAsia="Arial" w:cs="Arial"/>
          <w:color w:val="000000"/>
          <w:lang w:val="en-US" w:eastAsia="zh-CN"/>
        </w:rPr>
        <w:t>hermogravimetric analy</w:t>
      </w:r>
      <w:r>
        <w:rPr>
          <w:rFonts w:hint="eastAsia" w:ascii="Arial" w:hAnsi="Arial" w:eastAsia="Arial" w:cs="Arial"/>
          <w:color w:val="000000"/>
          <w:lang w:val="en-US" w:eastAsia="zh-CN"/>
        </w:rPr>
        <w:t>zer</w:t>
      </w:r>
      <w:r>
        <w:rPr>
          <w:rFonts w:ascii="Arial" w:hAnsi="Arial" w:eastAsia="Arial" w:cs="Arial"/>
          <w:color w:val="000000"/>
          <w:lang w:val="en-US" w:eastAsia="zh-CN"/>
        </w:rPr>
        <w:t xml:space="preserve"> (TGA</w:t>
      </w:r>
      <w:r>
        <w:rPr>
          <w:rFonts w:hint="eastAsia" w:ascii="Arial" w:hAnsi="Arial" w:eastAsia="Arial" w:cs="Arial"/>
          <w:color w:val="000000"/>
          <w:lang w:val="en-US" w:eastAsia="zh-CN"/>
        </w:rPr>
        <w:t xml:space="preserve">, </w:t>
      </w:r>
      <w:r>
        <w:rPr>
          <w:rFonts w:ascii="Arial" w:hAnsi="Arial" w:eastAsia="Arial" w:cs="Arial"/>
          <w:color w:val="000000"/>
          <w:lang w:val="en-US" w:eastAsia="zh-CN"/>
        </w:rPr>
        <w:t xml:space="preserve">STA449-C) was </w:t>
      </w:r>
      <w:r>
        <w:rPr>
          <w:rFonts w:hint="eastAsia" w:ascii="Arial" w:hAnsi="Arial" w:eastAsia="Arial" w:cs="Arial"/>
          <w:color w:val="000000"/>
          <w:lang w:val="en-US" w:eastAsia="zh-CN"/>
        </w:rPr>
        <w:t xml:space="preserve">employed to </w:t>
      </w:r>
      <w:r>
        <w:rPr>
          <w:rFonts w:ascii="Arial" w:hAnsi="Arial" w:eastAsia="Arial" w:cs="Arial"/>
          <w:color w:val="000000"/>
          <w:lang w:val="en-US" w:eastAsia="zh-CN"/>
        </w:rPr>
        <w:t>reflect mass</w:t>
      </w:r>
      <w:r>
        <w:rPr>
          <w:rFonts w:hint="eastAsia" w:ascii="Arial" w:hAnsi="Arial" w:eastAsia="Arial" w:cs="Arial"/>
          <w:color w:val="000000"/>
          <w:lang w:val="en-US" w:eastAsia="zh-CN"/>
        </w:rPr>
        <w:t xml:space="preserve"> loss process</w:t>
      </w:r>
      <w:r>
        <w:rPr>
          <w:rFonts w:ascii="Arial" w:hAnsi="Arial" w:eastAsia="Arial" w:cs="Arial"/>
          <w:color w:val="000000"/>
          <w:lang w:val="en-US" w:eastAsia="zh-CN"/>
        </w:rPr>
        <w:t>.</w:t>
      </w:r>
      <w:bookmarkEnd w:id="3"/>
      <w:bookmarkEnd w:id="4"/>
      <w:r>
        <w:rPr>
          <w:rFonts w:ascii="Arial" w:hAnsi="Arial" w:eastAsia="Arial" w:cs="Arial"/>
          <w:color w:val="000000"/>
          <w:lang w:val="en-US" w:eastAsia="zh-CN"/>
        </w:rPr>
        <w:t xml:space="preserve"> </w:t>
      </w:r>
    </w:p>
    <w:p>
      <w:pPr>
        <w:spacing w:line="480" w:lineRule="auto"/>
        <w:jc w:val="both"/>
        <w:rPr>
          <w:rFonts w:ascii="Arial" w:hAnsi="Arial" w:eastAsia="Arial" w:cs="Arial"/>
          <w:b/>
          <w:bCs/>
          <w:color w:val="000000"/>
          <w:lang w:val="en-US" w:eastAsia="zh-CN"/>
        </w:rPr>
      </w:pPr>
      <w:r>
        <w:rPr>
          <w:rFonts w:hint="eastAsia" w:ascii="Arial" w:hAnsi="Arial" w:eastAsia="Arial" w:cs="Arial"/>
          <w:b/>
          <w:bCs/>
          <w:color w:val="000000"/>
          <w:lang w:val="en-US" w:eastAsia="zh-CN"/>
        </w:rPr>
        <w:t xml:space="preserve">1.5 </w:t>
      </w:r>
      <w:r>
        <w:rPr>
          <w:rFonts w:ascii="Arial" w:hAnsi="Arial" w:eastAsia="Arial" w:cs="Arial"/>
          <w:b/>
          <w:bCs/>
          <w:color w:val="000000"/>
          <w:lang w:val="en-US" w:eastAsia="zh-CN"/>
        </w:rPr>
        <w:t>ORR catalytic performance</w:t>
      </w:r>
    </w:p>
    <w:p>
      <w:pPr>
        <w:spacing w:line="480" w:lineRule="auto"/>
        <w:ind w:firstLine="480"/>
        <w:jc w:val="both"/>
        <w:rPr>
          <w:rFonts w:ascii="Arial" w:hAnsi="Arial" w:eastAsia="Arial" w:cs="Arial"/>
          <w:color w:val="000000"/>
          <w:lang w:val="en-US" w:eastAsia="zh-CN"/>
        </w:rPr>
      </w:pPr>
      <w:r>
        <w:rPr>
          <w:rFonts w:ascii="Arial" w:hAnsi="Arial" w:eastAsia="Arial" w:cs="Arial"/>
          <w:color w:val="000000"/>
          <w:lang w:val="en-US" w:eastAsia="zh-CN"/>
        </w:rPr>
        <w:t xml:space="preserve">All the electrochemical measurement was experimented by CHI 660D electrochemical workstation in three–electrode cell. </w:t>
      </w:r>
      <w:r>
        <w:rPr>
          <w:rFonts w:hint="eastAsia" w:ascii="Arial" w:hAnsi="Arial" w:eastAsia="Arial" w:cs="Arial"/>
          <w:color w:val="000000"/>
          <w:lang w:val="en-US" w:eastAsia="zh-CN"/>
        </w:rPr>
        <w:t>Herein, a</w:t>
      </w:r>
      <w:r>
        <w:rPr>
          <w:rFonts w:ascii="Arial" w:hAnsi="Arial" w:eastAsia="Arial" w:cs="Arial"/>
          <w:color w:val="000000"/>
          <w:lang w:val="en-US" w:eastAsia="zh-CN"/>
        </w:rPr>
        <w:t xml:space="preserve"> rotating disk electrode (RDE), graphic</w:t>
      </w:r>
      <w:r>
        <w:rPr>
          <w:rFonts w:hint="eastAsia" w:ascii="Arial" w:hAnsi="Arial" w:eastAsia="Arial" w:cs="Arial"/>
          <w:color w:val="000000"/>
          <w:lang w:val="en-US" w:eastAsia="zh-CN"/>
        </w:rPr>
        <w:t xml:space="preserve"> rod</w:t>
      </w:r>
      <w:r>
        <w:rPr>
          <w:rFonts w:ascii="Arial" w:hAnsi="Arial" w:eastAsia="Arial" w:cs="Arial"/>
          <w:color w:val="000000"/>
          <w:lang w:val="en-US" w:eastAsia="zh-CN"/>
        </w:rPr>
        <w:t xml:space="preserve"> and Ag/AgCl electrode was </w:t>
      </w:r>
      <w:r>
        <w:rPr>
          <w:rFonts w:hint="eastAsia" w:ascii="Arial" w:hAnsi="Arial" w:eastAsia="Arial" w:cs="Arial"/>
          <w:color w:val="000000"/>
          <w:lang w:val="en-US" w:eastAsia="zh-CN"/>
        </w:rPr>
        <w:t>used</w:t>
      </w:r>
      <w:r>
        <w:rPr>
          <w:rFonts w:ascii="Arial" w:hAnsi="Arial" w:eastAsia="Arial" w:cs="Arial"/>
          <w:color w:val="000000"/>
          <w:lang w:val="en-US" w:eastAsia="zh-CN"/>
        </w:rPr>
        <w:t xml:space="preserve"> as working, counter and reference electrodes respectively. All the potentials can be converted to RHE potential according to the following equation: E (RHE) = E (Ag/AgCl) + 0.059 pH + 0.197. The electron transfer numbers (n) at various potential were determined by the </w:t>
      </w:r>
      <w:r>
        <w:rPr>
          <w:rFonts w:ascii="Arial" w:hAnsi="Arial" w:eastAsia="Arial" w:cs="Arial"/>
          <w:i/>
          <w:color w:val="000000"/>
          <w:lang w:val="en-US" w:eastAsia="zh-CN"/>
        </w:rPr>
        <w:t xml:space="preserve">Koutecky–Levich </w:t>
      </w:r>
      <w:r>
        <w:rPr>
          <w:rFonts w:ascii="Arial" w:hAnsi="Arial" w:eastAsia="Arial" w:cs="Arial"/>
          <w:color w:val="000000"/>
          <w:lang w:val="en-US" w:eastAsia="zh-CN"/>
        </w:rPr>
        <w:t xml:space="preserve">equation: </w:t>
      </w:r>
      <m:oMath>
        <m:f>
          <m:fPr>
            <m:ctrlPr>
              <w:rPr>
                <w:i/>
                <w:color w:val="000000"/>
                <w:sz w:val="24"/>
              </w:rPr>
            </m:ctrlPr>
          </m:fPr>
          <m:num>
            <m:r>
              <m:rPr>
                <m:sty m:val="p"/>
              </m:rPr>
              <w:rPr>
                <w:color w:val="000000"/>
                <w:sz w:val="24"/>
              </w:rPr>
              <m:t>1</m:t>
            </m:r>
            <m:ctrlPr>
              <w:rPr>
                <w:i/>
                <w:color w:val="000000"/>
                <w:sz w:val="24"/>
              </w:rPr>
            </m:ctrlPr>
          </m:num>
          <m:den>
            <m:r>
              <m:rPr>
                <m:sty m:val="p"/>
              </m:rPr>
              <w:rPr>
                <w:color w:val="000000"/>
                <w:sz w:val="24"/>
              </w:rPr>
              <m:t>J</m:t>
            </m:r>
            <m:ctrlPr>
              <w:rPr>
                <w:i/>
                <w:color w:val="000000"/>
                <w:sz w:val="24"/>
              </w:rPr>
            </m:ctrlPr>
          </m:den>
        </m:f>
        <m:r>
          <m:rPr>
            <m:sty m:val="p"/>
          </m:rPr>
          <w:rPr>
            <w:color w:val="000000"/>
            <w:sz w:val="24"/>
          </w:rPr>
          <m:t>=</m:t>
        </m:r>
        <m:f>
          <m:fPr>
            <m:ctrlPr>
              <w:rPr>
                <w:i/>
                <w:color w:val="000000"/>
                <w:sz w:val="24"/>
              </w:rPr>
            </m:ctrlPr>
          </m:fPr>
          <m:num>
            <m:r>
              <m:rPr>
                <m:sty m:val="p"/>
              </m:rPr>
              <w:rPr>
                <w:color w:val="000000"/>
                <w:sz w:val="24"/>
              </w:rPr>
              <m:t>1</m:t>
            </m:r>
            <m:ctrlPr>
              <w:rPr>
                <w:i/>
                <w:color w:val="000000"/>
                <w:sz w:val="24"/>
              </w:rPr>
            </m:ctrlPr>
          </m:num>
          <m:den>
            <m:sSub>
              <m:sSubPr>
                <m:ctrlPr>
                  <w:rPr>
                    <w:i/>
                    <w:color w:val="000000"/>
                    <w:sz w:val="24"/>
                  </w:rPr>
                </m:ctrlPr>
              </m:sSubPr>
              <m:e>
                <m:r>
                  <m:rPr>
                    <m:sty m:val="p"/>
                  </m:rPr>
                  <w:rPr>
                    <w:color w:val="000000"/>
                    <w:sz w:val="24"/>
                  </w:rPr>
                  <m:t>J</m:t>
                </m:r>
                <m:ctrlPr>
                  <w:rPr>
                    <w:i/>
                    <w:color w:val="000000"/>
                    <w:sz w:val="24"/>
                  </w:rPr>
                </m:ctrlPr>
              </m:e>
              <m:sub>
                <m:r>
                  <m:rPr>
                    <m:sty m:val="p"/>
                  </m:rPr>
                  <w:rPr>
                    <w:color w:val="000000"/>
                    <w:sz w:val="16"/>
                  </w:rPr>
                  <m:t>k</m:t>
                </m:r>
                <m:ctrlPr>
                  <w:rPr>
                    <w:i/>
                    <w:color w:val="000000"/>
                    <w:sz w:val="24"/>
                  </w:rPr>
                </m:ctrlPr>
              </m:sub>
            </m:sSub>
            <m:ctrlPr>
              <w:rPr>
                <w:i/>
                <w:color w:val="000000"/>
                <w:sz w:val="24"/>
              </w:rPr>
            </m:ctrlPr>
          </m:den>
        </m:f>
        <m:r>
          <m:rPr>
            <m:sty m:val="p"/>
          </m:rPr>
          <w:rPr>
            <w:color w:val="000000"/>
            <w:sz w:val="24"/>
          </w:rPr>
          <m:t>+</m:t>
        </m:r>
        <m:f>
          <m:fPr>
            <m:ctrlPr>
              <w:rPr>
                <w:i/>
                <w:color w:val="000000"/>
                <w:sz w:val="24"/>
              </w:rPr>
            </m:ctrlPr>
          </m:fPr>
          <m:num>
            <m:r>
              <m:rPr>
                <m:sty m:val="p"/>
              </m:rPr>
              <w:rPr>
                <w:color w:val="000000"/>
                <w:sz w:val="24"/>
              </w:rPr>
              <m:t>1</m:t>
            </m:r>
            <m:ctrlPr>
              <w:rPr>
                <w:i/>
                <w:color w:val="000000"/>
                <w:sz w:val="24"/>
              </w:rPr>
            </m:ctrlPr>
          </m:num>
          <m:den>
            <m:r>
              <m:rPr>
                <m:sty m:val="p"/>
              </m:rPr>
              <w:rPr>
                <w:color w:val="000000"/>
                <w:sz w:val="24"/>
              </w:rPr>
              <m:t>0.62nF</m:t>
            </m:r>
            <m:sSub>
              <m:sSubPr>
                <m:ctrlPr>
                  <w:rPr>
                    <w:i/>
                    <w:color w:val="000000"/>
                    <w:sz w:val="24"/>
                  </w:rPr>
                </m:ctrlPr>
              </m:sSubPr>
              <m:e>
                <m:r>
                  <m:rPr>
                    <m:sty m:val="p"/>
                  </m:rPr>
                  <w:rPr>
                    <w:color w:val="000000"/>
                    <w:sz w:val="24"/>
                  </w:rPr>
                  <m:t>C</m:t>
                </m:r>
                <m:ctrlPr>
                  <w:rPr>
                    <w:i/>
                    <w:color w:val="000000"/>
                    <w:sz w:val="24"/>
                  </w:rPr>
                </m:ctrlPr>
              </m:e>
              <m:sub>
                <m:r>
                  <m:rPr>
                    <m:sty m:val="p"/>
                  </m:rPr>
                  <w:rPr>
                    <w:color w:val="000000"/>
                    <w:sz w:val="16"/>
                  </w:rPr>
                  <m:t>0</m:t>
                </m:r>
                <m:ctrlPr>
                  <w:rPr>
                    <w:i/>
                    <w:color w:val="000000"/>
                    <w:sz w:val="24"/>
                  </w:rPr>
                </m:ctrlPr>
              </m:sub>
            </m:sSub>
            <m:sSubSup>
              <m:sSubSupPr>
                <m:ctrlPr>
                  <w:rPr>
                    <w:i/>
                    <w:color w:val="000000"/>
                    <w:sz w:val="24"/>
                  </w:rPr>
                </m:ctrlPr>
              </m:sSubSupPr>
              <m:e>
                <m:r>
                  <m:rPr>
                    <m:sty m:val="p"/>
                  </m:rPr>
                  <w:rPr>
                    <w:color w:val="000000"/>
                    <w:sz w:val="24"/>
                  </w:rPr>
                  <m:t>D</m:t>
                </m:r>
                <m:ctrlPr>
                  <w:rPr>
                    <w:i/>
                    <w:color w:val="000000"/>
                    <w:sz w:val="24"/>
                  </w:rPr>
                </m:ctrlPr>
              </m:e>
              <m:sub>
                <m:r>
                  <m:rPr>
                    <m:sty m:val="p"/>
                  </m:rPr>
                  <w:rPr>
                    <w:color w:val="000000"/>
                    <w:sz w:val="16"/>
                  </w:rPr>
                  <m:t>0</m:t>
                </m:r>
                <m:ctrlPr>
                  <w:rPr>
                    <w:i/>
                    <w:color w:val="000000"/>
                    <w:sz w:val="24"/>
                  </w:rPr>
                </m:ctrlPr>
              </m:sub>
              <m:sup>
                <m:f>
                  <m:fPr>
                    <m:type m:val="lin"/>
                    <m:ctrlPr>
                      <w:rPr>
                        <w:i/>
                        <w:color w:val="000000"/>
                        <w:sz w:val="16"/>
                      </w:rPr>
                    </m:ctrlPr>
                  </m:fPr>
                  <m:num>
                    <m:r>
                      <m:rPr>
                        <m:sty m:val="p"/>
                      </m:rPr>
                      <w:rPr>
                        <w:color w:val="000000"/>
                        <w:sz w:val="16"/>
                      </w:rPr>
                      <m:t>2</m:t>
                    </m:r>
                    <m:ctrlPr>
                      <w:rPr>
                        <w:i/>
                        <w:color w:val="000000"/>
                        <w:sz w:val="16"/>
                      </w:rPr>
                    </m:ctrlPr>
                  </m:num>
                  <m:den>
                    <m:r>
                      <m:rPr>
                        <m:sty m:val="p"/>
                      </m:rPr>
                      <w:rPr>
                        <w:color w:val="000000"/>
                        <w:sz w:val="16"/>
                      </w:rPr>
                      <m:t>3</m:t>
                    </m:r>
                    <m:ctrlPr>
                      <w:rPr>
                        <w:i/>
                        <w:color w:val="000000"/>
                        <w:sz w:val="16"/>
                      </w:rPr>
                    </m:ctrlPr>
                  </m:den>
                </m:f>
                <m:ctrlPr>
                  <w:rPr>
                    <w:i/>
                    <w:color w:val="000000"/>
                    <w:sz w:val="24"/>
                  </w:rPr>
                </m:ctrlPr>
              </m:sup>
            </m:sSubSup>
            <m:sSup>
              <m:sSupPr>
                <m:ctrlPr>
                  <w:rPr>
                    <w:i/>
                    <w:color w:val="000000"/>
                    <w:sz w:val="24"/>
                  </w:rPr>
                </m:ctrlPr>
              </m:sSupPr>
              <m:e>
                <m:r>
                  <m:rPr>
                    <m:sty m:val="p"/>
                  </m:rPr>
                  <w:rPr>
                    <w:color w:val="000000"/>
                    <w:sz w:val="24"/>
                  </w:rPr>
                  <m:t>ν</m:t>
                </m:r>
                <m:ctrlPr>
                  <w:rPr>
                    <w:i/>
                    <w:color w:val="000000"/>
                    <w:sz w:val="24"/>
                  </w:rPr>
                </m:ctrlPr>
              </m:e>
              <m:sup>
                <m:f>
                  <m:fPr>
                    <m:type m:val="lin"/>
                    <m:ctrlPr>
                      <w:rPr>
                        <w:i/>
                        <w:color w:val="000000"/>
                        <w:sz w:val="16"/>
                      </w:rPr>
                    </m:ctrlPr>
                  </m:fPr>
                  <m:num>
                    <m:r>
                      <m:rPr>
                        <m:sty m:val="p"/>
                      </m:rPr>
                      <w:rPr>
                        <w:color w:val="000000"/>
                        <w:sz w:val="16"/>
                      </w:rPr>
                      <m:t>1</m:t>
                    </m:r>
                    <m:ctrlPr>
                      <w:rPr>
                        <w:i/>
                        <w:color w:val="000000"/>
                        <w:sz w:val="16"/>
                      </w:rPr>
                    </m:ctrlPr>
                  </m:num>
                  <m:den>
                    <m:r>
                      <m:rPr>
                        <m:sty m:val="p"/>
                      </m:rPr>
                      <w:rPr>
                        <w:color w:val="000000"/>
                        <w:sz w:val="16"/>
                      </w:rPr>
                      <m:t>6</m:t>
                    </m:r>
                    <m:ctrlPr>
                      <w:rPr>
                        <w:i/>
                        <w:color w:val="000000"/>
                        <w:sz w:val="16"/>
                      </w:rPr>
                    </m:ctrlPr>
                  </m:den>
                </m:f>
                <m:ctrlPr>
                  <w:rPr>
                    <w:i/>
                    <w:color w:val="000000"/>
                    <w:sz w:val="24"/>
                  </w:rPr>
                </m:ctrlPr>
              </m:sup>
            </m:sSup>
            <m:sSup>
              <m:sSupPr>
                <m:ctrlPr>
                  <w:rPr>
                    <w:i/>
                    <w:color w:val="000000"/>
                    <w:sz w:val="24"/>
                  </w:rPr>
                </m:ctrlPr>
              </m:sSupPr>
              <m:e>
                <m:r>
                  <m:rPr>
                    <m:sty m:val="p"/>
                  </m:rPr>
                  <w:rPr>
                    <w:color w:val="000000"/>
                    <w:sz w:val="24"/>
                  </w:rPr>
                  <m:t>ω</m:t>
                </m:r>
                <m:ctrlPr>
                  <w:rPr>
                    <w:i/>
                    <w:color w:val="000000"/>
                    <w:sz w:val="24"/>
                  </w:rPr>
                </m:ctrlPr>
              </m:e>
              <m:sup>
                <m:f>
                  <m:fPr>
                    <m:type m:val="lin"/>
                    <m:ctrlPr>
                      <w:rPr>
                        <w:i/>
                        <w:color w:val="000000"/>
                        <w:sz w:val="16"/>
                      </w:rPr>
                    </m:ctrlPr>
                  </m:fPr>
                  <m:num>
                    <m:r>
                      <m:rPr>
                        <m:sty m:val="p"/>
                      </m:rPr>
                      <w:rPr>
                        <w:color w:val="000000"/>
                        <w:sz w:val="16"/>
                      </w:rPr>
                      <m:t>1</m:t>
                    </m:r>
                    <m:ctrlPr>
                      <w:rPr>
                        <w:i/>
                        <w:color w:val="000000"/>
                        <w:sz w:val="16"/>
                      </w:rPr>
                    </m:ctrlPr>
                  </m:num>
                  <m:den>
                    <m:r>
                      <m:rPr>
                        <m:sty m:val="p"/>
                      </m:rPr>
                      <w:rPr>
                        <w:color w:val="000000"/>
                        <w:sz w:val="16"/>
                      </w:rPr>
                      <m:t>2</m:t>
                    </m:r>
                    <m:ctrlPr>
                      <w:rPr>
                        <w:i/>
                        <w:color w:val="000000"/>
                        <w:sz w:val="16"/>
                      </w:rPr>
                    </m:ctrlPr>
                  </m:den>
                </m:f>
                <m:ctrlPr>
                  <w:rPr>
                    <w:i/>
                    <w:color w:val="000000"/>
                    <w:sz w:val="24"/>
                  </w:rPr>
                </m:ctrlPr>
              </m:sup>
            </m:sSup>
            <m:ctrlPr>
              <w:rPr>
                <w:i/>
                <w:color w:val="000000"/>
                <w:sz w:val="24"/>
              </w:rPr>
            </m:ctrlPr>
          </m:den>
        </m:f>
      </m:oMath>
      <w:r>
        <w:rPr>
          <w:rFonts w:ascii="Arial" w:hAnsi="Arial" w:eastAsia="Arial" w:cs="Arial"/>
          <w:color w:val="000000"/>
          <w:lang w:val="en-US" w:eastAsia="zh-CN"/>
        </w:rPr>
        <w:t xml:space="preserve">, where </w:t>
      </w:r>
      <w:r>
        <w:rPr>
          <w:rFonts w:ascii="Arial" w:hAnsi="Arial" w:eastAsia="Arial" w:cs="Arial"/>
          <w:i/>
          <w:color w:val="000000"/>
          <w:lang w:val="en-US" w:eastAsia="zh-CN"/>
        </w:rPr>
        <w:t>J</w:t>
      </w:r>
      <w:r>
        <w:rPr>
          <w:rFonts w:ascii="Arial" w:hAnsi="Arial" w:eastAsia="Arial" w:cs="Arial"/>
          <w:color w:val="000000"/>
          <w:lang w:val="en-US" w:eastAsia="zh-CN"/>
        </w:rPr>
        <w:t xml:space="preserve"> and </w:t>
      </w:r>
      <w:r>
        <w:rPr>
          <w:rFonts w:ascii="Arial" w:hAnsi="Arial" w:eastAsia="Arial" w:cs="Arial"/>
          <w:i/>
          <w:color w:val="000000"/>
          <w:lang w:val="en-US" w:eastAsia="zh-CN"/>
        </w:rPr>
        <w:t>J</w:t>
      </w:r>
      <w:r>
        <w:rPr>
          <w:rFonts w:ascii="Arial" w:hAnsi="Arial" w:eastAsia="Arial" w:cs="Arial"/>
          <w:color w:val="000000"/>
          <w:vertAlign w:val="subscript"/>
          <w:lang w:val="en-US" w:eastAsia="zh-CN"/>
        </w:rPr>
        <w:t>k</w:t>
      </w:r>
      <w:r>
        <w:rPr>
          <w:rFonts w:ascii="Arial" w:hAnsi="Arial" w:eastAsia="Arial" w:cs="Arial"/>
          <w:color w:val="000000"/>
          <w:lang w:val="en-US" w:eastAsia="zh-CN"/>
        </w:rPr>
        <w:t xml:space="preserve"> represents current density and </w:t>
      </w:r>
      <w:r>
        <w:rPr>
          <w:rFonts w:hint="eastAsia" w:ascii="Arial" w:hAnsi="Arial" w:eastAsia="Arial" w:cs="Arial"/>
          <w:color w:val="000000"/>
          <w:lang w:val="en-US" w:eastAsia="zh-CN"/>
        </w:rPr>
        <w:t xml:space="preserve">kinetic </w:t>
      </w:r>
      <w:r>
        <w:rPr>
          <w:rFonts w:ascii="Arial" w:hAnsi="Arial" w:eastAsia="Arial" w:cs="Arial"/>
          <w:color w:val="000000"/>
          <w:lang w:val="en-US" w:eastAsia="zh-CN"/>
        </w:rPr>
        <w:t xml:space="preserve">diffusion–limiting current density respectively. </w:t>
      </w:r>
      <w:r>
        <w:rPr>
          <w:rFonts w:ascii="Arial" w:hAnsi="Arial" w:eastAsia="Arial" w:cs="Arial"/>
          <w:i/>
          <w:color w:val="000000"/>
          <w:lang w:val="en-US" w:eastAsia="zh-CN"/>
        </w:rPr>
        <w:t>n</w:t>
      </w:r>
      <w:r>
        <w:rPr>
          <w:rFonts w:ascii="Arial" w:hAnsi="Arial" w:eastAsia="Arial" w:cs="Arial"/>
          <w:color w:val="000000"/>
          <w:lang w:val="en-US" w:eastAsia="zh-CN"/>
        </w:rPr>
        <w:t xml:space="preserve"> signifies the electron transfer number, </w:t>
      </w:r>
      <w:r>
        <w:rPr>
          <w:rFonts w:ascii="Arial" w:hAnsi="Arial" w:eastAsia="Arial" w:cs="Arial"/>
          <w:i/>
          <w:color w:val="000000"/>
          <w:lang w:val="en-US" w:eastAsia="zh-CN"/>
        </w:rPr>
        <w:t>F</w:t>
      </w:r>
      <w:r>
        <w:rPr>
          <w:rFonts w:ascii="Arial" w:hAnsi="Arial" w:eastAsia="Arial" w:cs="Arial"/>
          <w:color w:val="000000"/>
          <w:lang w:val="en-US" w:eastAsia="zh-CN"/>
        </w:rPr>
        <w:t xml:space="preserve"> is the Faraday constant, </w:t>
      </w:r>
      <w:r>
        <w:rPr>
          <w:rFonts w:ascii="Arial" w:hAnsi="Arial" w:eastAsia="Arial" w:cs="Arial"/>
          <w:i/>
          <w:color w:val="000000"/>
          <w:lang w:val="en-US" w:eastAsia="zh-CN"/>
        </w:rPr>
        <w:t>C</w:t>
      </w:r>
      <w:r>
        <w:rPr>
          <w:rFonts w:ascii="Arial" w:hAnsi="Arial" w:eastAsia="Arial" w:cs="Arial"/>
          <w:color w:val="000000"/>
          <w:vertAlign w:val="subscript"/>
          <w:lang w:val="en-US" w:eastAsia="zh-CN"/>
        </w:rPr>
        <w:t>0</w:t>
      </w:r>
      <w:r>
        <w:rPr>
          <w:rFonts w:ascii="Arial" w:hAnsi="Arial" w:eastAsia="Arial" w:cs="Arial"/>
          <w:color w:val="000000"/>
          <w:lang w:val="en-US" w:eastAsia="zh-CN"/>
        </w:rPr>
        <w:t xml:space="preserve"> is the saturated concentration of oxygen, </w:t>
      </w:r>
      <w:r>
        <w:rPr>
          <w:rFonts w:ascii="Arial" w:hAnsi="Arial" w:eastAsia="Arial" w:cs="Arial"/>
          <w:i/>
          <w:color w:val="000000"/>
          <w:lang w:val="en-US" w:eastAsia="zh-CN"/>
        </w:rPr>
        <w:t>D</w:t>
      </w:r>
      <w:r>
        <w:rPr>
          <w:rFonts w:ascii="Arial" w:hAnsi="Arial" w:eastAsia="Arial" w:cs="Arial"/>
          <w:color w:val="000000"/>
          <w:vertAlign w:val="subscript"/>
          <w:lang w:val="en-US" w:eastAsia="zh-CN"/>
        </w:rPr>
        <w:t>0</w:t>
      </w:r>
      <w:r>
        <w:rPr>
          <w:rFonts w:ascii="Arial" w:hAnsi="Arial" w:eastAsia="Arial" w:cs="Arial"/>
          <w:color w:val="000000"/>
          <w:lang w:val="en-US" w:eastAsia="zh-CN"/>
        </w:rPr>
        <w:t xml:space="preserve"> is the diffusion coefficient of oxygen in the bulk solution, </w:t>
      </w:r>
      <w:r>
        <w:rPr>
          <w:rFonts w:ascii="Arial" w:hAnsi="Arial" w:eastAsia="Arial" w:cs="Arial"/>
          <w:i/>
          <w:color w:val="000000"/>
          <w:lang w:val="en-US" w:eastAsia="zh-CN"/>
        </w:rPr>
        <w:t>ν</w:t>
      </w:r>
      <w:r>
        <w:rPr>
          <w:rFonts w:ascii="Arial" w:hAnsi="Arial" w:eastAsia="Arial" w:cs="Arial"/>
          <w:color w:val="000000"/>
          <w:lang w:val="en-US" w:eastAsia="zh-CN"/>
        </w:rPr>
        <w:t xml:space="preserve"> is the kinematic viscosity and </w:t>
      </w:r>
      <w:r>
        <w:rPr>
          <w:rFonts w:ascii="Arial" w:hAnsi="Arial" w:eastAsia="Arial" w:cs="Arial"/>
          <w:i/>
          <w:color w:val="000000"/>
          <w:lang w:val="en-US" w:eastAsia="zh-CN"/>
        </w:rPr>
        <w:t>ω</w:t>
      </w:r>
      <w:r>
        <w:rPr>
          <w:rFonts w:ascii="Arial" w:hAnsi="Arial" w:eastAsia="Arial" w:cs="Arial"/>
          <w:color w:val="000000"/>
          <w:lang w:val="en-US" w:eastAsia="zh-CN"/>
        </w:rPr>
        <w:t xml:space="preserve"> is the angular speed of the disk. For the rotating ring–disk electrode (RRDE) test, the electrode was prepared as same as that for RDE. Peroxide yield (</w:t>
      </w:r>
      <w:bookmarkStart w:id="5" w:name="OLE_LINK7"/>
      <w:r>
        <w:rPr>
          <w:rFonts w:ascii="Arial" w:hAnsi="Arial" w:eastAsia="Arial" w:cs="Arial"/>
          <w:color w:val="000000"/>
          <w:lang w:val="en-US" w:eastAsia="zh-CN"/>
        </w:rPr>
        <w:t>HO</w:t>
      </w:r>
      <w:r>
        <w:rPr>
          <w:rFonts w:ascii="Arial" w:hAnsi="Arial" w:eastAsia="Arial" w:cs="Arial"/>
          <w:color w:val="000000"/>
          <w:vertAlign w:val="superscript"/>
          <w:lang w:val="en-US" w:eastAsia="zh-CN"/>
        </w:rPr>
        <w:t>2–</w:t>
      </w:r>
      <w:r>
        <w:rPr>
          <w:rFonts w:ascii="Arial" w:hAnsi="Arial" w:eastAsia="Arial" w:cs="Arial"/>
          <w:color w:val="000000"/>
          <w:lang w:val="en-US" w:eastAsia="zh-CN"/>
        </w:rPr>
        <w:t xml:space="preserve"> %</w:t>
      </w:r>
      <w:bookmarkEnd w:id="5"/>
      <w:r>
        <w:rPr>
          <w:rFonts w:ascii="Arial" w:hAnsi="Arial" w:eastAsia="Arial" w:cs="Arial"/>
          <w:color w:val="000000"/>
          <w:lang w:val="en-US" w:eastAsia="zh-CN"/>
        </w:rPr>
        <w:t>) and transferred electron number (</w:t>
      </w:r>
      <w:r>
        <w:rPr>
          <w:rFonts w:ascii="Arial" w:hAnsi="Arial" w:eastAsia="Arial" w:cs="Arial"/>
          <w:i/>
          <w:color w:val="000000"/>
          <w:lang w:val="en-US" w:eastAsia="zh-CN"/>
        </w:rPr>
        <w:t>n</w:t>
      </w:r>
      <w:r>
        <w:rPr>
          <w:rFonts w:ascii="Arial" w:hAnsi="Arial" w:eastAsia="Arial" w:cs="Arial"/>
          <w:color w:val="000000"/>
          <w:lang w:val="en-US" w:eastAsia="zh-CN"/>
        </w:rPr>
        <w:t>) was calculated by the equations as follows: HO</w:t>
      </w:r>
      <w:r>
        <w:rPr>
          <w:rFonts w:ascii="Arial" w:hAnsi="Arial" w:eastAsia="Arial" w:cs="Arial"/>
          <w:color w:val="000000"/>
          <w:vertAlign w:val="superscript"/>
          <w:lang w:val="en-US" w:eastAsia="zh-CN"/>
        </w:rPr>
        <w:t>2–</w:t>
      </w:r>
      <w:r>
        <w:rPr>
          <w:rFonts w:ascii="Arial" w:hAnsi="Arial" w:eastAsia="Arial" w:cs="Arial"/>
          <w:color w:val="000000"/>
          <w:lang w:val="en-US" w:eastAsia="zh-CN"/>
        </w:rPr>
        <w:t xml:space="preserve"> %</w:t>
      </w:r>
      <m:oMath>
        <m:r>
          <m:rPr>
            <m:sty m:val="p"/>
          </m:rPr>
          <w:rPr>
            <w:color w:val="000000"/>
            <w:sz w:val="24"/>
          </w:rPr>
          <m:t>=200</m:t>
        </m:r>
        <m:f>
          <m:fPr>
            <m:ctrlPr>
              <w:rPr>
                <w:i/>
                <w:color w:val="000000"/>
                <w:sz w:val="24"/>
              </w:rPr>
            </m:ctrlPr>
          </m:fPr>
          <m:num>
            <m:f>
              <m:fPr>
                <m:type m:val="skw"/>
                <m:ctrlPr>
                  <w:rPr>
                    <w:i/>
                    <w:color w:val="000000"/>
                    <w:sz w:val="24"/>
                  </w:rPr>
                </m:ctrlPr>
              </m:fPr>
              <m:num>
                <m:r>
                  <m:rPr>
                    <m:sty m:val="p"/>
                  </m:rPr>
                  <w:rPr>
                    <w:color w:val="000000"/>
                    <w:sz w:val="24"/>
                  </w:rPr>
                  <m:t>Ir</m:t>
                </m:r>
                <m:ctrlPr>
                  <w:rPr>
                    <w:i/>
                    <w:color w:val="000000"/>
                    <w:sz w:val="24"/>
                  </w:rPr>
                </m:ctrlPr>
              </m:num>
              <m:den>
                <m:r>
                  <m:rPr>
                    <m:sty m:val="p"/>
                  </m:rPr>
                  <w:rPr>
                    <w:color w:val="000000"/>
                    <w:sz w:val="24"/>
                  </w:rPr>
                  <m:t>N</m:t>
                </m:r>
                <m:ctrlPr>
                  <w:rPr>
                    <w:i/>
                    <w:color w:val="000000"/>
                    <w:sz w:val="24"/>
                  </w:rPr>
                </m:ctrlPr>
              </m:den>
            </m:f>
            <m:ctrlPr>
              <w:rPr>
                <w:i/>
                <w:color w:val="000000"/>
                <w:sz w:val="24"/>
              </w:rPr>
            </m:ctrlPr>
          </m:num>
          <m:den>
            <m:r>
              <m:rPr>
                <m:sty m:val="p"/>
              </m:rPr>
              <w:rPr>
                <w:color w:val="000000"/>
                <w:sz w:val="24"/>
              </w:rPr>
              <m:t>Id+</m:t>
            </m:r>
            <m:f>
              <m:fPr>
                <m:type m:val="skw"/>
                <m:ctrlPr>
                  <w:rPr>
                    <w:i/>
                    <w:color w:val="000000"/>
                    <w:sz w:val="24"/>
                  </w:rPr>
                </m:ctrlPr>
              </m:fPr>
              <m:num>
                <m:r>
                  <m:rPr>
                    <m:sty m:val="p"/>
                  </m:rPr>
                  <w:rPr>
                    <w:color w:val="000000"/>
                    <w:sz w:val="24"/>
                  </w:rPr>
                  <m:t>Ir</m:t>
                </m:r>
                <m:ctrlPr>
                  <w:rPr>
                    <w:i/>
                    <w:color w:val="000000"/>
                    <w:sz w:val="24"/>
                  </w:rPr>
                </m:ctrlPr>
              </m:num>
              <m:den>
                <m:r>
                  <m:rPr>
                    <m:sty m:val="p"/>
                  </m:rPr>
                  <w:rPr>
                    <w:color w:val="000000"/>
                    <w:sz w:val="24"/>
                  </w:rPr>
                  <m:t>N</m:t>
                </m:r>
                <m:ctrlPr>
                  <w:rPr>
                    <w:i/>
                    <w:color w:val="000000"/>
                    <w:sz w:val="24"/>
                  </w:rPr>
                </m:ctrlPr>
              </m:den>
            </m:f>
            <m:ctrlPr>
              <w:rPr>
                <w:i/>
                <w:color w:val="000000"/>
                <w:sz w:val="24"/>
              </w:rPr>
            </m:ctrlPr>
          </m:den>
        </m:f>
      </m:oMath>
      <w:r>
        <w:rPr>
          <w:rFonts w:ascii="Arial" w:hAnsi="Arial" w:eastAsia="Arial" w:cs="Arial"/>
          <w:color w:val="000000"/>
          <w:lang w:val="en-US" w:eastAsia="zh-CN"/>
        </w:rPr>
        <w:t xml:space="preserve">  </w:t>
      </w:r>
      <w:r>
        <w:rPr>
          <w:rFonts w:ascii="Arial" w:hAnsi="Arial" w:eastAsia="Arial" w:cs="Arial"/>
          <w:i/>
          <w:color w:val="000000"/>
          <w:lang w:val="en-US" w:eastAsia="zh-CN"/>
        </w:rPr>
        <w:t>n</w:t>
      </w:r>
      <w:r>
        <w:rPr>
          <w:rFonts w:ascii="Arial" w:hAnsi="Arial" w:eastAsia="Arial" w:cs="Arial"/>
          <w:color w:val="000000"/>
          <w:lang w:val="en-US" w:eastAsia="zh-CN"/>
        </w:rPr>
        <w:t>=</w:t>
      </w:r>
      <m:oMath>
        <m:f>
          <m:fPr>
            <m:ctrlPr>
              <w:rPr>
                <w:i/>
                <w:color w:val="000000"/>
                <w:sz w:val="24"/>
              </w:rPr>
            </m:ctrlPr>
          </m:fPr>
          <m:num>
            <m:r>
              <m:rPr>
                <m:sty m:val="p"/>
              </m:rPr>
              <w:rPr>
                <w:color w:val="000000"/>
                <w:sz w:val="24"/>
              </w:rPr>
              <m:t>4×Id</m:t>
            </m:r>
            <m:ctrlPr>
              <w:rPr>
                <w:i/>
                <w:color w:val="000000"/>
                <w:sz w:val="24"/>
              </w:rPr>
            </m:ctrlPr>
          </m:num>
          <m:den>
            <m:r>
              <m:rPr>
                <m:sty m:val="p"/>
              </m:rPr>
              <w:rPr>
                <w:color w:val="000000"/>
                <w:sz w:val="24"/>
              </w:rPr>
              <m:t>Id+</m:t>
            </m:r>
            <m:f>
              <m:fPr>
                <m:type m:val="skw"/>
                <m:ctrlPr>
                  <w:rPr>
                    <w:i/>
                    <w:color w:val="000000"/>
                    <w:sz w:val="24"/>
                  </w:rPr>
                </m:ctrlPr>
              </m:fPr>
              <m:num>
                <m:r>
                  <m:rPr>
                    <m:sty m:val="p"/>
                  </m:rPr>
                  <w:rPr>
                    <w:color w:val="000000"/>
                    <w:sz w:val="24"/>
                  </w:rPr>
                  <m:t>Ir</m:t>
                </m:r>
                <m:ctrlPr>
                  <w:rPr>
                    <w:i/>
                    <w:color w:val="000000"/>
                    <w:sz w:val="24"/>
                  </w:rPr>
                </m:ctrlPr>
              </m:num>
              <m:den>
                <m:r>
                  <m:rPr>
                    <m:sty m:val="p"/>
                  </m:rPr>
                  <w:rPr>
                    <w:color w:val="000000"/>
                    <w:sz w:val="24"/>
                  </w:rPr>
                  <m:t>N</m:t>
                </m:r>
                <m:ctrlPr>
                  <w:rPr>
                    <w:i/>
                    <w:color w:val="000000"/>
                    <w:sz w:val="24"/>
                  </w:rPr>
                </m:ctrlPr>
              </m:den>
            </m:f>
            <m:ctrlPr>
              <w:rPr>
                <w:i/>
                <w:color w:val="000000"/>
                <w:sz w:val="24"/>
              </w:rPr>
            </m:ctrlPr>
          </m:den>
        </m:f>
      </m:oMath>
      <w:r>
        <w:rPr>
          <w:rFonts w:ascii="Arial" w:hAnsi="Arial" w:eastAsia="Arial" w:cs="Arial"/>
          <w:color w:val="000000"/>
          <w:lang w:val="en-US" w:eastAsia="zh-CN"/>
        </w:rPr>
        <w:t xml:space="preserve">. Herein, </w:t>
      </w:r>
      <w:r>
        <w:rPr>
          <w:rFonts w:ascii="Arial" w:hAnsi="Arial" w:eastAsia="Arial" w:cs="Arial"/>
          <w:i/>
          <w:color w:val="000000"/>
          <w:lang w:val="en-US" w:eastAsia="zh-CN"/>
        </w:rPr>
        <w:t>I</w:t>
      </w:r>
      <w:r>
        <w:rPr>
          <w:rFonts w:ascii="Arial" w:hAnsi="Arial" w:eastAsia="Arial" w:cs="Arial"/>
          <w:color w:val="000000"/>
          <w:vertAlign w:val="subscript"/>
          <w:lang w:val="en-US" w:eastAsia="zh-CN"/>
        </w:rPr>
        <w:t>d</w:t>
      </w:r>
      <w:r>
        <w:rPr>
          <w:rFonts w:ascii="Arial" w:hAnsi="Arial" w:eastAsia="Arial" w:cs="Arial"/>
          <w:color w:val="000000"/>
          <w:lang w:val="en-US" w:eastAsia="zh-CN"/>
        </w:rPr>
        <w:t xml:space="preserve"> and </w:t>
      </w:r>
      <w:r>
        <w:rPr>
          <w:rFonts w:ascii="Arial" w:hAnsi="Arial" w:eastAsia="Arial" w:cs="Arial"/>
          <w:i/>
          <w:color w:val="000000"/>
          <w:lang w:val="en-US" w:eastAsia="zh-CN"/>
        </w:rPr>
        <w:t>I</w:t>
      </w:r>
      <w:r>
        <w:rPr>
          <w:rFonts w:ascii="Arial" w:hAnsi="Arial" w:eastAsia="Arial" w:cs="Arial"/>
          <w:color w:val="000000"/>
          <w:vertAlign w:val="subscript"/>
          <w:lang w:val="en-US" w:eastAsia="zh-CN"/>
        </w:rPr>
        <w:t>r</w:t>
      </w:r>
      <w:r>
        <w:rPr>
          <w:rFonts w:ascii="Arial" w:hAnsi="Arial" w:eastAsia="Arial" w:cs="Arial"/>
          <w:color w:val="000000"/>
          <w:lang w:val="en-US" w:eastAsia="zh-CN"/>
        </w:rPr>
        <w:t xml:space="preserve"> correspond to the current of disk and ring respectively. </w:t>
      </w:r>
      <w:r>
        <w:rPr>
          <w:rFonts w:ascii="Arial" w:hAnsi="Arial" w:eastAsia="Arial" w:cs="Arial"/>
          <w:i/>
          <w:color w:val="000000"/>
          <w:lang w:val="en-US" w:eastAsia="zh-CN"/>
        </w:rPr>
        <w:t>N</w:t>
      </w:r>
      <w:r>
        <w:rPr>
          <w:rFonts w:ascii="Arial" w:hAnsi="Arial" w:eastAsia="Arial" w:cs="Arial"/>
          <w:color w:val="000000"/>
          <w:lang w:val="en-US" w:eastAsia="zh-CN"/>
        </w:rPr>
        <w:t xml:space="preserve"> is current collection efficiency of Pt ring. In our work the value of </w:t>
      </w:r>
      <w:r>
        <w:rPr>
          <w:rFonts w:ascii="Arial" w:hAnsi="Arial" w:eastAsia="Arial" w:cs="Arial"/>
          <w:i/>
          <w:color w:val="000000"/>
          <w:lang w:val="en-US" w:eastAsia="zh-CN"/>
        </w:rPr>
        <w:t>N</w:t>
      </w:r>
      <w:r>
        <w:rPr>
          <w:rFonts w:ascii="Arial" w:hAnsi="Arial" w:eastAsia="Arial" w:cs="Arial"/>
          <w:color w:val="000000"/>
          <w:lang w:val="en-US" w:eastAsia="zh-CN"/>
        </w:rPr>
        <w:t xml:space="preserve"> is 0.37.</w:t>
      </w:r>
    </w:p>
    <w:p>
      <w:pPr>
        <w:spacing w:line="480" w:lineRule="auto"/>
        <w:jc w:val="both"/>
        <w:rPr>
          <w:rFonts w:ascii="Arial" w:hAnsi="Arial" w:eastAsia="Arial" w:cs="Arial"/>
          <w:b/>
          <w:bCs/>
          <w:color w:val="000000"/>
          <w:lang w:val="en-US" w:eastAsia="zh-CN"/>
        </w:rPr>
      </w:pPr>
      <w:r>
        <w:rPr>
          <w:rFonts w:hint="eastAsia" w:ascii="Arial" w:hAnsi="Arial" w:eastAsia="Arial" w:cs="Arial"/>
          <w:b/>
          <w:bCs/>
          <w:color w:val="000000"/>
          <w:lang w:val="en-US" w:eastAsia="zh-CN"/>
        </w:rPr>
        <w:t xml:space="preserve">1.6 Tests of </w:t>
      </w:r>
      <w:r>
        <w:rPr>
          <w:rFonts w:ascii="Arial" w:hAnsi="Arial" w:eastAsia="Arial" w:cs="Arial"/>
          <w:b/>
          <w:bCs/>
          <w:color w:val="000000"/>
          <w:lang w:val="en-US" w:eastAsia="zh-CN"/>
        </w:rPr>
        <w:t xml:space="preserve">Zn–air batteries </w:t>
      </w:r>
    </w:p>
    <w:p>
      <w:pPr>
        <w:spacing w:line="480" w:lineRule="auto"/>
        <w:ind w:firstLine="480"/>
        <w:jc w:val="both"/>
        <w:rPr>
          <w:rFonts w:ascii="Arial" w:hAnsi="Arial" w:eastAsia="Arial" w:cs="Arial"/>
          <w:color w:val="000000"/>
          <w:lang w:val="en-US" w:eastAsia="zh-CN"/>
        </w:rPr>
      </w:pPr>
      <w:r>
        <w:rPr>
          <w:rFonts w:ascii="Arial" w:hAnsi="Arial" w:eastAsia="Arial" w:cs="Arial"/>
          <w:color w:val="000000"/>
          <w:lang w:val="en-US" w:eastAsia="zh-CN"/>
        </w:rPr>
        <w:t xml:space="preserve">The home–made liquid Zn–air batteries (ZABs) </w:t>
      </w:r>
      <w:r>
        <w:rPr>
          <w:rFonts w:hint="eastAsia" w:ascii="Arial" w:hAnsi="Arial" w:eastAsia="Arial" w:cs="Arial"/>
          <w:color w:val="000000"/>
          <w:lang w:val="en-US" w:eastAsia="zh-CN"/>
        </w:rPr>
        <w:t xml:space="preserve">consist of </w:t>
      </w:r>
      <w:r>
        <w:rPr>
          <w:rFonts w:ascii="Arial" w:hAnsi="Arial" w:eastAsia="Arial" w:cs="Arial"/>
          <w:color w:val="000000"/>
          <w:lang w:val="en-US" w:eastAsia="zh-CN"/>
        </w:rPr>
        <w:t xml:space="preserve">air cathode, anode and electrolyte. Air cathode was prepared by loading catalyst ink on carbon </w:t>
      </w:r>
      <w:r>
        <w:rPr>
          <w:rFonts w:hint="eastAsia" w:ascii="Arial" w:hAnsi="Arial" w:eastAsia="Arial" w:cs="Arial"/>
          <w:color w:val="000000"/>
          <w:lang w:val="en-US" w:eastAsia="zh-CN"/>
        </w:rPr>
        <w:t>cloth</w:t>
      </w:r>
      <w:r>
        <w:rPr>
          <w:rFonts w:ascii="Arial" w:hAnsi="Arial" w:eastAsia="Arial" w:cs="Arial"/>
          <w:color w:val="000000"/>
          <w:lang w:val="en-US" w:eastAsia="zh-CN"/>
        </w:rPr>
        <w:t xml:space="preserve"> with a mass loading of ~1 mg/cm</w:t>
      </w:r>
      <w:r>
        <w:rPr>
          <w:rFonts w:ascii="Arial" w:hAnsi="Arial" w:eastAsia="Arial" w:cs="Arial"/>
          <w:color w:val="000000"/>
          <w:vertAlign w:val="superscript"/>
          <w:lang w:val="en-US" w:eastAsia="zh-CN"/>
        </w:rPr>
        <w:t>2</w:t>
      </w:r>
      <w:r>
        <w:rPr>
          <w:rFonts w:ascii="Arial" w:hAnsi="Arial" w:eastAsia="Arial" w:cs="Arial"/>
          <w:color w:val="000000"/>
          <w:lang w:val="en-US" w:eastAsia="zh-CN"/>
        </w:rPr>
        <w:t xml:space="preserve">. </w:t>
      </w:r>
      <w:r>
        <w:rPr>
          <w:rFonts w:hint="eastAsia" w:ascii="Arial" w:hAnsi="Arial" w:eastAsia="Arial" w:cs="Arial"/>
          <w:color w:val="000000"/>
          <w:lang w:val="en-US" w:eastAsia="zh-CN"/>
        </w:rPr>
        <w:t>P</w:t>
      </w:r>
      <w:r>
        <w:rPr>
          <w:rFonts w:ascii="Arial" w:hAnsi="Arial" w:eastAsia="Arial" w:cs="Arial"/>
          <w:color w:val="000000"/>
          <w:lang w:val="en-US" w:eastAsia="zh-CN"/>
        </w:rPr>
        <w:t xml:space="preserve">olished Zn foil was </w:t>
      </w:r>
      <w:r>
        <w:rPr>
          <w:rFonts w:hint="eastAsia" w:ascii="Arial" w:hAnsi="Arial" w:eastAsia="Arial" w:cs="Arial"/>
          <w:color w:val="000000"/>
          <w:lang w:val="en-US" w:eastAsia="zh-CN"/>
        </w:rPr>
        <w:t>employed</w:t>
      </w:r>
      <w:r>
        <w:rPr>
          <w:rFonts w:ascii="Arial" w:hAnsi="Arial" w:eastAsia="Arial" w:cs="Arial"/>
          <w:color w:val="000000"/>
          <w:lang w:val="en-US" w:eastAsia="zh-CN"/>
        </w:rPr>
        <w:t xml:space="preserve"> as anode. 6 M KOH solutions with 0.2 M zinc acetate was utilized as electrolyte. All the electrochemical tests were carried out under ambient condition on a CHI 660E electrochemical workstation and LAND–CT2011A battery testing system. All the solid–state ZABs were also assembled by anode, cathode and </w:t>
      </w:r>
      <w:r>
        <w:rPr>
          <w:rFonts w:hint="eastAsia" w:ascii="Arial" w:hAnsi="Arial" w:eastAsia="Arial" w:cs="Arial"/>
          <w:color w:val="000000"/>
          <w:lang w:val="en-US" w:eastAsia="zh-CN"/>
        </w:rPr>
        <w:t xml:space="preserve">gel </w:t>
      </w:r>
      <w:r>
        <w:rPr>
          <w:rFonts w:ascii="Arial" w:hAnsi="Arial" w:eastAsia="Arial" w:cs="Arial"/>
          <w:color w:val="000000"/>
          <w:lang w:val="en-US" w:eastAsia="zh-CN"/>
        </w:rPr>
        <w:t>electrolyte. Specifically</w:t>
      </w:r>
      <w:r>
        <w:rPr>
          <w:rFonts w:hint="eastAsia" w:ascii="Arial" w:hAnsi="Arial" w:eastAsia="Arial" w:cs="Arial"/>
          <w:color w:val="000000"/>
          <w:lang w:val="en-US" w:eastAsia="zh-CN"/>
        </w:rPr>
        <w:t>,</w:t>
      </w:r>
      <w:r>
        <w:rPr>
          <w:rFonts w:ascii="Arial" w:hAnsi="Arial" w:eastAsia="Arial" w:cs="Arial"/>
          <w:color w:val="000000"/>
          <w:lang w:val="en-US" w:eastAsia="zh-CN"/>
        </w:rPr>
        <w:t xml:space="preserve"> </w:t>
      </w:r>
      <w:r>
        <w:rPr>
          <w:rFonts w:hint="eastAsia" w:ascii="Arial" w:hAnsi="Arial" w:eastAsia="Arial" w:cs="Arial"/>
          <w:color w:val="000000"/>
          <w:lang w:val="en-US" w:eastAsia="zh-CN"/>
        </w:rPr>
        <w:t>t</w:t>
      </w:r>
      <w:r>
        <w:rPr>
          <w:rFonts w:ascii="Arial" w:hAnsi="Arial" w:eastAsia="Arial" w:cs="Arial"/>
          <w:color w:val="000000"/>
          <w:lang w:val="en-US" w:eastAsia="zh-CN"/>
        </w:rPr>
        <w:t>he carbon cloth with catalyst and Zn plate were putted on the two sides of the gel polymer, and then pressed together by roll–pressing</w:t>
      </w:r>
      <w:r>
        <w:rPr>
          <w:rFonts w:hint="eastAsia" w:ascii="Arial" w:hAnsi="Arial" w:eastAsia="Arial" w:cs="Arial"/>
          <w:color w:val="000000"/>
          <w:lang w:val="en-US" w:eastAsia="zh-CN"/>
        </w:rPr>
        <w:t xml:space="preserve"> under the assistant of nickel foam</w:t>
      </w:r>
      <w:r>
        <w:rPr>
          <w:rFonts w:ascii="Arial" w:hAnsi="Arial" w:eastAsia="Arial" w:cs="Arial"/>
          <w:color w:val="000000"/>
          <w:lang w:val="en-US" w:eastAsia="zh-CN"/>
        </w:rPr>
        <w:t xml:space="preserve">. </w:t>
      </w:r>
    </w:p>
    <w:p>
      <w:pPr>
        <w:rPr>
          <w:rFonts w:ascii="Arial" w:hAnsi="Arial" w:eastAsia="Arial" w:cs="Arial"/>
          <w:sz w:val="14"/>
          <w:szCs w:val="14"/>
          <w:lang w:val="en-US" w:eastAsia="zh-CN"/>
        </w:rPr>
      </w:pPr>
    </w:p>
    <w:p>
      <w:pPr>
        <w:rPr>
          <w:rFonts w:ascii="Arial" w:hAnsi="Arial" w:eastAsia="Arial" w:cs="Arial"/>
          <w:sz w:val="14"/>
          <w:szCs w:val="14"/>
          <w:lang w:val="en-US" w:eastAsia="zh-CN"/>
        </w:rPr>
      </w:pPr>
      <w:r>
        <w:br w:type="page"/>
      </w:r>
    </w:p>
    <w:p>
      <w:pPr>
        <w:numPr>
          <w:ilvl w:val="0"/>
          <w:numId w:val="3"/>
        </w:numPr>
        <w:spacing w:line="480" w:lineRule="auto"/>
        <w:jc w:val="both"/>
        <w:rPr>
          <w:rFonts w:ascii="Arial" w:hAnsi="Arial" w:eastAsia="Arial" w:cs="Arial"/>
          <w:b/>
          <w:sz w:val="28"/>
          <w:szCs w:val="28"/>
          <w:lang w:val="en-US" w:eastAsia="zh-CN"/>
        </w:rPr>
      </w:pPr>
      <w:r>
        <w:rPr>
          <w:rFonts w:ascii="Arial" w:hAnsi="Arial" w:eastAsia="Arial" w:cs="Arial"/>
          <w:b/>
          <w:sz w:val="28"/>
          <w:szCs w:val="28"/>
          <w:lang w:val="en-US" w:eastAsia="zh-CN"/>
        </w:rPr>
        <w:t>Supplementary Figures</w:t>
      </w:r>
    </w:p>
    <w:p>
      <w:pPr>
        <w:jc w:val="both"/>
        <w:rPr>
          <w:rFonts w:ascii="Arial" w:hAnsi="Arial" w:eastAsia="Arial" w:cs="Arial"/>
          <w:lang w:val="en-US" w:eastAsia="zh-CN"/>
        </w:rPr>
      </w:pPr>
      <w:r>
        <w:rPr>
          <w:sz w:val="20"/>
        </w:rPr>
        <w:drawing>
          <wp:inline distT="0" distB="0" distL="0" distR="0">
            <wp:extent cx="5283835" cy="2110105"/>
            <wp:effectExtent l="19050" t="0" r="2540" b="0"/>
            <wp:docPr id="15" name="图片 4" descr="s1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descr="s1a.tif"/>
                    <pic:cNvPicPr>
                      <a:picLocks noChangeAspect="1" noChangeArrowheads="1"/>
                    </pic:cNvPicPr>
                  </pic:nvPicPr>
                  <pic:blipFill>
                    <a:blip r:embed="rId6" cstate="print"/>
                    <a:stretch>
                      <a:fillRect/>
                    </a:stretch>
                  </pic:blipFill>
                  <pic:spPr>
                    <a:xfrm>
                      <a:off x="0" y="0"/>
                      <a:ext cx="5284470" cy="2110740"/>
                    </a:xfrm>
                    <a:prstGeom prst="rect">
                      <a:avLst/>
                    </a:prstGeom>
                    <a:ln cap="flat"/>
                  </pic:spPr>
                </pic:pic>
              </a:graphicData>
            </a:graphic>
          </wp:inline>
        </w:drawing>
      </w:r>
    </w:p>
    <w:p>
      <w:pPr>
        <w:spacing w:line="480" w:lineRule="auto"/>
        <w:jc w:val="both"/>
        <w:rPr>
          <w:rFonts w:ascii="Arial" w:hAnsi="Arial" w:eastAsia="Arial" w:cs="Arial"/>
          <w:lang w:val="en-US" w:eastAsia="zh-CN"/>
        </w:rPr>
      </w:pPr>
      <w:r>
        <w:rPr>
          <w:rFonts w:ascii="Arial" w:hAnsi="Arial" w:eastAsia="Arial" w:cs="Arial"/>
          <w:b/>
          <w:lang w:val="en-US" w:eastAsia="zh-CN"/>
        </w:rPr>
        <w:t>Figure S</w:t>
      </w:r>
      <w:r>
        <w:rPr>
          <w:rFonts w:hint="eastAsia" w:ascii="Arial" w:hAnsi="Arial" w:eastAsia="Arial" w:cs="Arial"/>
          <w:b/>
          <w:lang w:val="en-US" w:eastAsia="zh-CN"/>
        </w:rPr>
        <w:t>1</w:t>
      </w:r>
      <w:r>
        <w:rPr>
          <w:rFonts w:ascii="Arial" w:hAnsi="Arial" w:eastAsia="Arial" w:cs="Arial"/>
          <w:lang w:val="en-US" w:eastAsia="zh-CN"/>
        </w:rPr>
        <w:t xml:space="preserve">. The </w:t>
      </w:r>
      <w:r>
        <w:rPr>
          <w:rFonts w:hint="eastAsia" w:ascii="Arial" w:hAnsi="Arial" w:eastAsia="Arial" w:cs="Arial"/>
          <w:lang w:val="en-US" w:eastAsia="zh-CN"/>
        </w:rPr>
        <w:t>XRD patterns (a)</w:t>
      </w:r>
      <w:r>
        <w:rPr>
          <w:rFonts w:ascii="Arial" w:hAnsi="Arial" w:eastAsia="Arial" w:cs="Arial"/>
          <w:lang w:val="en-US" w:eastAsia="zh-CN"/>
        </w:rPr>
        <w:t xml:space="preserve"> of</w:t>
      </w:r>
      <w:r>
        <w:rPr>
          <w:rFonts w:hint="eastAsia" w:ascii="Arial" w:hAnsi="Arial" w:eastAsia="Arial" w:cs="Arial"/>
          <w:lang w:val="en-US" w:eastAsia="zh-CN"/>
        </w:rPr>
        <w:t xml:space="preserve"> different samples and </w:t>
      </w:r>
      <w:r>
        <w:rPr>
          <w:rFonts w:ascii="Arial" w:hAnsi="Arial" w:eastAsia="Arial" w:cs="Arial"/>
          <w:lang w:val="en-US" w:eastAsia="zh-CN"/>
        </w:rPr>
        <w:t>Raman spectrum</w:t>
      </w:r>
      <w:r>
        <w:rPr>
          <w:rFonts w:hint="eastAsia" w:ascii="Arial" w:hAnsi="Arial" w:eastAsia="Arial" w:cs="Arial"/>
          <w:lang w:val="en-US" w:eastAsia="zh-CN"/>
        </w:rPr>
        <w:t xml:space="preserve"> (b) of </w:t>
      </w:r>
      <w:r>
        <w:rPr>
          <w:rFonts w:ascii="Arial" w:hAnsi="Arial" w:eastAsia="Arial" w:cs="Arial"/>
          <w:lang w:val="en-US" w:eastAsia="zh-CN"/>
        </w:rPr>
        <w:t>Cu</w:t>
      </w:r>
      <w:r>
        <w:rPr>
          <w:rFonts w:hint="eastAsia" w:ascii="Arial" w:hAnsi="Arial" w:eastAsia="Arial" w:cs="Arial"/>
          <w:lang w:val="en-US" w:eastAsia="zh-CN"/>
        </w:rPr>
        <w:t xml:space="preserve">O </w:t>
      </w:r>
      <w:r>
        <w:rPr>
          <w:rFonts w:ascii="Arial" w:hAnsi="Arial" w:eastAsia="Arial" w:cs="Arial"/>
          <w:lang w:val="en-US" w:eastAsia="zh-CN"/>
        </w:rPr>
        <w:t>octahedron</w:t>
      </w:r>
      <w:r>
        <w:rPr>
          <w:rFonts w:hint="eastAsia" w:ascii="Arial" w:hAnsi="Arial" w:eastAsia="Arial" w:cs="Arial"/>
          <w:lang w:val="en-US" w:eastAsia="zh-CN"/>
        </w:rPr>
        <w:t>.</w:t>
      </w:r>
    </w:p>
    <w:p>
      <w:pPr>
        <w:spacing w:line="480" w:lineRule="auto"/>
        <w:jc w:val="both"/>
        <w:rPr>
          <w:rFonts w:ascii="Arial" w:hAnsi="Arial" w:eastAsia="Arial" w:cs="Arial"/>
          <w:lang w:val="en-US" w:eastAsia="zh-CN"/>
        </w:rPr>
      </w:pPr>
      <w:r>
        <w:rPr>
          <w:rFonts w:ascii="Arial" w:hAnsi="Arial" w:eastAsia="Arial" w:cs="Arial"/>
          <w:lang w:val="en-US" w:eastAsia="zh-CN"/>
        </w:rPr>
        <w:t>Note:</w:t>
      </w:r>
      <w:r>
        <w:rPr>
          <w:rFonts w:hint="eastAsia" w:ascii="Arial" w:hAnsi="Arial" w:eastAsia="Arial" w:cs="Arial"/>
          <w:lang w:val="en-US" w:eastAsia="zh-CN"/>
        </w:rPr>
        <w:t xml:space="preserve"> (a) The</w:t>
      </w:r>
      <w:r>
        <w:rPr>
          <w:rFonts w:ascii="Arial" w:hAnsi="Arial" w:eastAsia="Arial" w:cs="Arial"/>
          <w:lang w:val="en-US" w:eastAsia="zh-CN"/>
        </w:rPr>
        <w:t xml:space="preserve"> </w:t>
      </w:r>
      <w:r>
        <w:rPr>
          <w:rFonts w:hint="eastAsia" w:ascii="Arial" w:hAnsi="Arial" w:eastAsia="Arial" w:cs="Arial"/>
          <w:lang w:val="en-US" w:eastAsia="zh-CN"/>
        </w:rPr>
        <w:t>curve in black</w:t>
      </w:r>
      <w:r>
        <w:rPr>
          <w:rFonts w:ascii="Arial" w:hAnsi="Arial" w:eastAsia="Arial" w:cs="Arial"/>
          <w:lang w:val="en-US" w:eastAsia="zh-CN"/>
        </w:rPr>
        <w:t xml:space="preserve"> </w:t>
      </w:r>
      <w:r>
        <w:rPr>
          <w:rFonts w:hint="eastAsia" w:ascii="Arial" w:hAnsi="Arial" w:eastAsia="Arial" w:cs="Arial"/>
          <w:lang w:val="en-US" w:eastAsia="zh-CN"/>
        </w:rPr>
        <w:t>can be</w:t>
      </w:r>
      <w:r>
        <w:rPr>
          <w:rFonts w:ascii="Arial" w:hAnsi="Arial" w:eastAsia="Arial" w:cs="Arial"/>
          <w:lang w:val="en-US" w:eastAsia="zh-CN"/>
        </w:rPr>
        <w:t xml:space="preserve"> </w:t>
      </w:r>
      <w:r>
        <w:rPr>
          <w:rFonts w:hint="eastAsia" w:ascii="Arial" w:hAnsi="Arial" w:eastAsia="Arial" w:cs="Arial"/>
          <w:lang w:val="en-US" w:eastAsia="zh-CN"/>
        </w:rPr>
        <w:t>assigned</w:t>
      </w:r>
      <w:r>
        <w:rPr>
          <w:rFonts w:ascii="Arial" w:hAnsi="Arial" w:eastAsia="Arial" w:cs="Arial"/>
          <w:lang w:val="en-US" w:eastAsia="zh-CN"/>
        </w:rPr>
        <w:t xml:space="preserve"> to </w:t>
      </w:r>
      <w:r>
        <w:rPr>
          <w:rFonts w:hint="eastAsia" w:ascii="Arial" w:hAnsi="Arial" w:eastAsia="Arial" w:cs="Arial"/>
          <w:lang w:val="en-US" w:eastAsia="zh-CN"/>
        </w:rPr>
        <w:t xml:space="preserve">the </w:t>
      </w:r>
      <w:r>
        <w:rPr>
          <w:rFonts w:ascii="Arial" w:hAnsi="Arial" w:eastAsia="Arial" w:cs="Arial"/>
          <w:lang w:val="en-US" w:eastAsia="zh-CN"/>
        </w:rPr>
        <w:t>dominant peaks of CuO (PDF#89–5899)</w:t>
      </w:r>
      <w:r>
        <w:rPr>
          <w:rFonts w:hint="eastAsia" w:ascii="Arial" w:hAnsi="Arial" w:eastAsia="Arial" w:cs="Arial"/>
          <w:lang w:val="en-US" w:eastAsia="zh-CN"/>
        </w:rPr>
        <w:t>.</w:t>
      </w:r>
    </w:p>
    <w:p>
      <w:pPr>
        <w:spacing w:line="480" w:lineRule="auto"/>
        <w:jc w:val="both"/>
        <w:rPr>
          <w:rFonts w:ascii="Arial" w:hAnsi="Arial" w:eastAsia="Arial" w:cs="Arial"/>
          <w:vertAlign w:val="superscript"/>
          <w:lang w:val="en-US" w:eastAsia="zh-CN"/>
        </w:rPr>
      </w:pPr>
      <w:r>
        <w:rPr>
          <w:rFonts w:hint="eastAsia" w:ascii="Arial" w:hAnsi="Arial" w:eastAsia="Arial" w:cs="Arial"/>
          <w:lang w:val="en-US" w:eastAsia="zh-CN"/>
        </w:rPr>
        <w:t xml:space="preserve">(b) </w:t>
      </w:r>
      <w:r>
        <w:rPr>
          <w:rFonts w:ascii="Arial" w:hAnsi="Arial" w:eastAsia="Arial" w:cs="Arial"/>
          <w:lang w:val="en-US" w:eastAsia="zh-CN"/>
        </w:rPr>
        <w:t>There are three strong peak</w:t>
      </w:r>
      <w:r>
        <w:rPr>
          <w:rFonts w:hint="eastAsia" w:ascii="Arial" w:hAnsi="Arial" w:eastAsia="Arial" w:cs="Arial"/>
          <w:lang w:val="en-US" w:eastAsia="zh-CN"/>
        </w:rPr>
        <w:t>s</w:t>
      </w:r>
      <w:r>
        <w:rPr>
          <w:rFonts w:ascii="Arial" w:hAnsi="Arial" w:eastAsia="Arial" w:cs="Arial"/>
          <w:lang w:val="en-US" w:eastAsia="zh-CN"/>
        </w:rPr>
        <w:t xml:space="preserve"> centered at 295 cm</w:t>
      </w:r>
      <w:r>
        <w:rPr>
          <w:rFonts w:ascii="Arial" w:hAnsi="Arial" w:eastAsia="Arial" w:cs="Arial"/>
          <w:vertAlign w:val="superscript"/>
          <w:lang w:val="en-US" w:eastAsia="zh-CN"/>
        </w:rPr>
        <w:t>−1</w:t>
      </w:r>
      <w:r>
        <w:rPr>
          <w:rFonts w:ascii="Arial" w:hAnsi="Arial" w:eastAsia="Arial" w:cs="Arial"/>
          <w:lang w:val="en-US" w:eastAsia="zh-CN"/>
        </w:rPr>
        <w:t>, 342 cm</w:t>
      </w:r>
      <w:r>
        <w:rPr>
          <w:rFonts w:ascii="Arial" w:hAnsi="Arial" w:eastAsia="Arial" w:cs="Arial"/>
          <w:vertAlign w:val="superscript"/>
          <w:lang w:val="en-US" w:eastAsia="zh-CN"/>
        </w:rPr>
        <w:t>−1</w:t>
      </w:r>
      <w:r>
        <w:rPr>
          <w:rFonts w:ascii="Arial" w:hAnsi="Arial" w:eastAsia="Arial" w:cs="Arial"/>
          <w:lang w:val="en-US" w:eastAsia="zh-CN"/>
        </w:rPr>
        <w:t>and 628 cm</w:t>
      </w:r>
      <w:r>
        <w:rPr>
          <w:rFonts w:ascii="Arial" w:hAnsi="Arial" w:eastAsia="Arial" w:cs="Arial"/>
          <w:vertAlign w:val="superscript"/>
          <w:lang w:val="en-US" w:eastAsia="zh-CN"/>
        </w:rPr>
        <w:t>−1</w:t>
      </w:r>
      <w:r>
        <w:rPr>
          <w:rFonts w:hint="eastAsia" w:ascii="Arial" w:hAnsi="Arial" w:eastAsia="Arial" w:cs="Arial"/>
          <w:vertAlign w:val="subscript"/>
          <w:lang w:val="en-US" w:eastAsia="zh-CN"/>
        </w:rPr>
        <w:t xml:space="preserve"> </w:t>
      </w:r>
      <w:r>
        <w:rPr>
          <w:rFonts w:ascii="Arial" w:hAnsi="Arial" w:eastAsia="Arial" w:cs="Arial"/>
          <w:lang w:val="en-US" w:eastAsia="zh-CN"/>
        </w:rPr>
        <w:t>in the Raman spectrum</w:t>
      </w:r>
      <w:r>
        <w:rPr>
          <w:rFonts w:hint="eastAsia" w:ascii="Arial" w:hAnsi="Arial" w:eastAsia="Arial" w:cs="Arial"/>
          <w:lang w:val="en-US" w:eastAsia="zh-CN"/>
        </w:rPr>
        <w:t xml:space="preserve">, </w:t>
      </w:r>
      <w:r>
        <w:rPr>
          <w:rFonts w:ascii="Arial" w:hAnsi="Arial" w:eastAsia="Arial" w:cs="Arial"/>
          <w:lang w:val="en-US" w:eastAsia="zh-CN"/>
        </w:rPr>
        <w:t>which corresponds to the A</w:t>
      </w:r>
      <w:r>
        <w:rPr>
          <w:rFonts w:ascii="Arial" w:hAnsi="Arial" w:eastAsia="Arial" w:cs="Arial"/>
          <w:vertAlign w:val="subscript"/>
          <w:lang w:val="en-US" w:eastAsia="zh-CN"/>
        </w:rPr>
        <w:t>g</w:t>
      </w:r>
      <w:r>
        <w:rPr>
          <w:rFonts w:ascii="Arial" w:hAnsi="Arial" w:eastAsia="Arial" w:cs="Arial"/>
          <w:lang w:val="en-US" w:eastAsia="zh-CN"/>
        </w:rPr>
        <w:t>, B</w:t>
      </w:r>
      <w:r>
        <w:rPr>
          <w:rFonts w:ascii="Arial" w:hAnsi="Arial" w:eastAsia="Arial" w:cs="Arial"/>
          <w:vertAlign w:val="subscript"/>
          <w:lang w:val="en-US" w:eastAsia="zh-CN"/>
        </w:rPr>
        <w:t>1g</w:t>
      </w:r>
      <w:r>
        <w:rPr>
          <w:rFonts w:ascii="Arial" w:hAnsi="Arial" w:eastAsia="Arial" w:cs="Arial"/>
          <w:lang w:val="en-US" w:eastAsia="zh-CN"/>
        </w:rPr>
        <w:t>, and B</w:t>
      </w:r>
      <w:r>
        <w:rPr>
          <w:rFonts w:ascii="Arial" w:hAnsi="Arial" w:eastAsia="Arial" w:cs="Arial"/>
          <w:vertAlign w:val="subscript"/>
          <w:lang w:val="en-US" w:eastAsia="zh-CN"/>
        </w:rPr>
        <w:t>2g</w:t>
      </w:r>
      <w:r>
        <w:rPr>
          <w:rFonts w:hint="eastAsia" w:ascii="Arial" w:hAnsi="Arial" w:eastAsia="Arial" w:cs="Arial"/>
          <w:lang w:val="en-US" w:eastAsia="zh-CN"/>
        </w:rPr>
        <w:t xml:space="preserve"> </w:t>
      </w:r>
      <w:r>
        <w:rPr>
          <w:rFonts w:ascii="Arial" w:hAnsi="Arial" w:eastAsia="Arial" w:cs="Arial"/>
          <w:lang w:val="en-US" w:eastAsia="zh-CN"/>
        </w:rPr>
        <w:t>characteristic modes of CuO with monoclinic crystal symmetry</w:t>
      </w:r>
      <w:r>
        <w:rPr>
          <w:rFonts w:ascii="Arial" w:hAnsi="Arial" w:eastAsia="Arial" w:cs="Arial"/>
          <w:vertAlign w:val="superscript"/>
          <w:lang w:val="en-US" w:eastAsia="zh-CN"/>
        </w:rPr>
        <w:t xml:space="preserve"> [1,2]</w:t>
      </w:r>
    </w:p>
    <w:p>
      <w:pPr>
        <w:spacing w:line="480" w:lineRule="auto"/>
        <w:jc w:val="center"/>
        <w:rPr>
          <w:rFonts w:ascii="Arial" w:hAnsi="Arial" w:eastAsia="Arial" w:cs="Arial"/>
          <w:lang w:val="en-US" w:eastAsia="zh-CN"/>
        </w:rPr>
      </w:pPr>
      <w:r>
        <w:rPr>
          <w:sz w:val="20"/>
        </w:rPr>
        <w:drawing>
          <wp:inline distT="0" distB="0" distL="0" distR="0">
            <wp:extent cx="3442970" cy="2618105"/>
            <wp:effectExtent l="19050" t="0" r="0" b="0"/>
            <wp:docPr id="16" name="图片 2" descr="t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tga.jpg"/>
                    <pic:cNvPicPr>
                      <a:picLocks noChangeAspect="1" noChangeArrowheads="1"/>
                    </pic:cNvPicPr>
                  </pic:nvPicPr>
                  <pic:blipFill>
                    <a:blip r:embed="rId7" cstate="print"/>
                    <a:srcRect l="7377" t="5894" r="9276" b="4500"/>
                    <a:stretch>
                      <a:fillRect/>
                    </a:stretch>
                  </pic:blipFill>
                  <pic:spPr>
                    <a:xfrm>
                      <a:off x="0" y="0"/>
                      <a:ext cx="3443605" cy="2618740"/>
                    </a:xfrm>
                    <a:prstGeom prst="rect">
                      <a:avLst/>
                    </a:prstGeom>
                    <a:ln cap="flat"/>
                  </pic:spPr>
                </pic:pic>
              </a:graphicData>
            </a:graphic>
          </wp:inline>
        </w:drawing>
      </w:r>
    </w:p>
    <w:p>
      <w:pPr>
        <w:spacing w:line="480" w:lineRule="auto"/>
        <w:jc w:val="center"/>
        <w:rPr>
          <w:rFonts w:ascii="Arial" w:hAnsi="Arial" w:eastAsia="Arial" w:cs="Arial"/>
          <w:color w:val="000000"/>
          <w:lang w:val="en-US" w:eastAsia="zh-CN"/>
        </w:rPr>
      </w:pPr>
      <w:r>
        <w:rPr>
          <w:rFonts w:hint="eastAsia" w:ascii="Arial" w:hAnsi="Arial" w:eastAsia="Arial" w:cs="Arial"/>
          <w:b/>
          <w:color w:val="000000"/>
          <w:lang w:val="en-US" w:eastAsia="zh-CN"/>
        </w:rPr>
        <w:t>Figure S2</w:t>
      </w:r>
      <w:r>
        <w:rPr>
          <w:rFonts w:hint="eastAsia" w:ascii="Arial" w:hAnsi="Arial" w:eastAsia="Arial" w:cs="Arial"/>
          <w:color w:val="000000"/>
          <w:lang w:val="en-US" w:eastAsia="zh-CN"/>
        </w:rPr>
        <w:t>.</w:t>
      </w:r>
      <w:r>
        <w:rPr>
          <w:rFonts w:ascii="Arial" w:hAnsi="Arial" w:eastAsia="Arial" w:cs="Arial"/>
          <w:color w:val="000000"/>
          <w:lang w:val="en-US" w:eastAsia="zh-CN"/>
        </w:rPr>
        <w:t xml:space="preserve"> The TGA result of </w:t>
      </w:r>
      <w:bookmarkStart w:id="6" w:name="OLE_LINK32"/>
      <w:bookmarkStart w:id="7" w:name="OLE_LINK31"/>
      <w:bookmarkStart w:id="8" w:name="OLE_LINK54"/>
      <w:r>
        <w:rPr>
          <w:rFonts w:ascii="Arial" w:hAnsi="Arial" w:eastAsia="Arial" w:cs="Arial"/>
          <w:color w:val="000000"/>
          <w:lang w:val="en-US" w:eastAsia="zh-CN"/>
        </w:rPr>
        <w:t>Cu-N</w:t>
      </w:r>
      <w:r>
        <w:rPr>
          <w:rFonts w:hint="eastAsia" w:ascii="Arial" w:hAnsi="Arial" w:eastAsia="Arial" w:cs="Arial"/>
          <w:color w:val="000000"/>
          <w:vertAlign w:val="subscript"/>
          <w:lang w:val="en-US" w:eastAsia="zh-CN"/>
        </w:rPr>
        <w:t>2</w:t>
      </w:r>
      <w:r>
        <w:rPr>
          <w:rFonts w:hint="eastAsia" w:ascii="Arial" w:hAnsi="Arial" w:eastAsia="Arial" w:cs="Arial"/>
          <w:color w:val="000000"/>
          <w:lang w:val="en-US" w:eastAsia="zh-CN"/>
        </w:rPr>
        <w:t>@HNOC</w:t>
      </w:r>
      <w:bookmarkEnd w:id="6"/>
      <w:bookmarkEnd w:id="7"/>
      <w:r>
        <w:rPr>
          <w:rFonts w:ascii="Arial" w:hAnsi="Arial" w:eastAsia="Arial" w:cs="Arial"/>
          <w:color w:val="000000"/>
          <w:lang w:val="en-US" w:eastAsia="zh-CN"/>
        </w:rPr>
        <w:t xml:space="preserve"> </w:t>
      </w:r>
    </w:p>
    <w:p>
      <w:pPr>
        <w:spacing w:line="480" w:lineRule="auto"/>
        <w:jc w:val="both"/>
        <w:rPr>
          <w:rFonts w:ascii="Arial" w:hAnsi="Arial" w:eastAsia="Arial" w:cs="Arial"/>
          <w:color w:val="000000"/>
          <w:lang w:val="en-US" w:eastAsia="zh-CN"/>
        </w:rPr>
      </w:pPr>
      <w:r>
        <w:rPr>
          <w:rFonts w:ascii="Arial" w:hAnsi="Arial" w:eastAsia="Arial" w:cs="Arial"/>
          <w:color w:val="000000"/>
          <w:lang w:val="en-US" w:eastAsia="zh-CN"/>
        </w:rPr>
        <w:t>Note</w:t>
      </w:r>
      <w:bookmarkEnd w:id="8"/>
      <w:r>
        <w:rPr>
          <w:rFonts w:ascii="Arial" w:hAnsi="Arial" w:eastAsia="Arial" w:cs="Arial"/>
          <w:color w:val="000000"/>
          <w:lang w:val="en-US" w:eastAsia="zh-CN"/>
        </w:rPr>
        <w:t>: The TGA test was conducted under O</w:t>
      </w:r>
      <w:r>
        <w:rPr>
          <w:rFonts w:ascii="Arial" w:hAnsi="Arial" w:eastAsia="Arial" w:cs="Arial"/>
          <w:color w:val="000000"/>
          <w:vertAlign w:val="subscript"/>
          <w:lang w:val="en-US" w:eastAsia="zh-CN"/>
        </w:rPr>
        <w:t>2</w:t>
      </w:r>
      <w:r>
        <w:rPr>
          <w:rFonts w:ascii="Arial" w:hAnsi="Arial" w:eastAsia="Arial" w:cs="Arial"/>
          <w:color w:val="000000"/>
          <w:lang w:val="en-US" w:eastAsia="zh-CN"/>
        </w:rPr>
        <w:t xml:space="preserve"> flow. With the temperature increas</w:t>
      </w:r>
      <w:r>
        <w:rPr>
          <w:rFonts w:hint="eastAsia" w:ascii="Arial" w:hAnsi="Arial" w:eastAsia="Arial" w:cs="Arial"/>
          <w:color w:val="000000"/>
          <w:lang w:val="en-US" w:eastAsia="zh-CN"/>
        </w:rPr>
        <w:t>ing</w:t>
      </w:r>
      <w:r>
        <w:rPr>
          <w:rFonts w:ascii="Arial" w:hAnsi="Arial" w:eastAsia="Arial" w:cs="Arial"/>
          <w:color w:val="000000"/>
          <w:lang w:val="en-US" w:eastAsia="zh-CN"/>
        </w:rPr>
        <w:t xml:space="preserve">, carbon skeleton was gradually decomposed and </w:t>
      </w:r>
      <w:r>
        <w:rPr>
          <w:rFonts w:hint="eastAsia" w:ascii="Arial" w:hAnsi="Arial" w:eastAsia="Arial" w:cs="Arial"/>
          <w:color w:val="000000"/>
          <w:lang w:val="en-US" w:eastAsia="zh-CN"/>
        </w:rPr>
        <w:t>Cu</w:t>
      </w:r>
      <w:r>
        <w:rPr>
          <w:rFonts w:ascii="Arial" w:hAnsi="Arial" w:eastAsia="Arial" w:cs="Arial"/>
          <w:color w:val="000000"/>
          <w:lang w:val="en-US" w:eastAsia="zh-CN"/>
        </w:rPr>
        <w:t xml:space="preserve"> species can be oxidized into </w:t>
      </w:r>
      <w:r>
        <w:rPr>
          <w:rFonts w:hint="eastAsia" w:ascii="Arial" w:hAnsi="Arial" w:eastAsia="Arial" w:cs="Arial"/>
          <w:color w:val="000000"/>
          <w:lang w:val="en-US" w:eastAsia="zh-CN"/>
        </w:rPr>
        <w:t>CuO</w:t>
      </w:r>
      <w:r>
        <w:rPr>
          <w:rFonts w:ascii="Arial" w:hAnsi="Arial" w:eastAsia="Arial" w:cs="Arial"/>
          <w:color w:val="000000"/>
          <w:lang w:val="en-US" w:eastAsia="zh-CN"/>
        </w:rPr>
        <w:t xml:space="preserve">, so the content of </w:t>
      </w:r>
      <w:r>
        <w:rPr>
          <w:rFonts w:hint="eastAsia" w:ascii="Arial" w:hAnsi="Arial" w:eastAsia="Arial" w:cs="Arial"/>
          <w:color w:val="000000"/>
          <w:lang w:val="en-US" w:eastAsia="zh-CN"/>
        </w:rPr>
        <w:t>Cu</w:t>
      </w:r>
      <w:r>
        <w:rPr>
          <w:rFonts w:ascii="Arial" w:hAnsi="Arial" w:eastAsia="Arial" w:cs="Arial"/>
          <w:color w:val="000000"/>
          <w:lang w:val="en-US" w:eastAsia="zh-CN"/>
        </w:rPr>
        <w:t xml:space="preserve"> can be </w:t>
      </w:r>
      <w:r>
        <w:rPr>
          <w:rFonts w:hint="eastAsia" w:ascii="Arial" w:hAnsi="Arial" w:eastAsia="Arial" w:cs="Arial"/>
          <w:color w:val="000000"/>
          <w:lang w:val="en-US" w:eastAsia="zh-CN"/>
        </w:rPr>
        <w:t>deduced</w:t>
      </w:r>
      <w:r>
        <w:rPr>
          <w:rFonts w:ascii="Arial" w:hAnsi="Arial" w:eastAsia="Arial" w:cs="Arial"/>
          <w:color w:val="000000"/>
          <w:lang w:val="en-US" w:eastAsia="zh-CN"/>
        </w:rPr>
        <w:t xml:space="preserve"> to be </w:t>
      </w:r>
      <w:r>
        <w:rPr>
          <w:rFonts w:hint="eastAsia" w:ascii="Arial" w:hAnsi="Arial" w:eastAsia="Arial" w:cs="Arial"/>
          <w:color w:val="000000"/>
          <w:lang w:val="en-US" w:eastAsia="zh-CN"/>
        </w:rPr>
        <w:t>12.4</w:t>
      </w:r>
      <w:r>
        <w:rPr>
          <w:rFonts w:ascii="Arial" w:hAnsi="Arial" w:eastAsia="Arial" w:cs="Arial"/>
          <w:color w:val="000000"/>
          <w:lang w:val="en-US" w:eastAsia="zh-CN"/>
        </w:rPr>
        <w:t xml:space="preserve"> % according</w:t>
      </w:r>
      <w:r>
        <w:rPr>
          <w:rFonts w:hint="eastAsia" w:ascii="Arial" w:hAnsi="Arial" w:eastAsia="Arial" w:cs="Arial"/>
          <w:color w:val="000000"/>
          <w:lang w:val="en-US" w:eastAsia="zh-CN"/>
        </w:rPr>
        <w:t xml:space="preserve"> to</w:t>
      </w:r>
      <w:r>
        <w:rPr>
          <w:rFonts w:ascii="Arial" w:hAnsi="Arial" w:eastAsia="Arial" w:cs="Arial"/>
          <w:color w:val="000000"/>
          <w:lang w:val="en-US" w:eastAsia="zh-CN"/>
        </w:rPr>
        <w:t xml:space="preserve"> the mass of </w:t>
      </w:r>
      <w:r>
        <w:rPr>
          <w:rFonts w:hint="eastAsia" w:ascii="Arial" w:hAnsi="Arial" w:eastAsia="Arial" w:cs="Arial"/>
          <w:color w:val="000000"/>
          <w:lang w:val="en-US" w:eastAsia="zh-CN"/>
        </w:rPr>
        <w:t>CuO</w:t>
      </w:r>
      <w:r>
        <w:rPr>
          <w:rFonts w:ascii="Arial" w:hAnsi="Arial" w:eastAsia="Arial" w:cs="Arial"/>
          <w:color w:val="000000"/>
          <w:lang w:val="en-US" w:eastAsia="zh-CN"/>
        </w:rPr>
        <w:t xml:space="preserve">. </w:t>
      </w:r>
    </w:p>
    <w:p>
      <w:pPr>
        <w:spacing w:line="480" w:lineRule="auto"/>
        <w:jc w:val="center"/>
        <w:rPr>
          <w:rFonts w:ascii="Arial" w:hAnsi="Arial" w:eastAsia="Arial" w:cs="Arial"/>
          <w:lang w:val="en-US" w:eastAsia="zh-CN"/>
        </w:rPr>
      </w:pPr>
      <w:r>
        <w:rPr>
          <w:sz w:val="20"/>
        </w:rPr>
        <w:drawing>
          <wp:inline distT="0" distB="0" distL="0" distR="0">
            <wp:extent cx="2889250" cy="2320290"/>
            <wp:effectExtent l="19050" t="0" r="0" b="0"/>
            <wp:docPr id="17" name="图片 2" descr="s4 xps总谱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s4 xps总谱图.jpg"/>
                    <pic:cNvPicPr>
                      <a:picLocks noChangeAspect="1" noChangeArrowheads="1"/>
                    </pic:cNvPicPr>
                  </pic:nvPicPr>
                  <pic:blipFill>
                    <a:blip r:embed="rId8" cstate="print"/>
                    <a:srcRect l="8609" t="5140" r="7616"/>
                    <a:stretch>
                      <a:fillRect/>
                    </a:stretch>
                  </pic:blipFill>
                  <pic:spPr>
                    <a:xfrm>
                      <a:off x="0" y="0"/>
                      <a:ext cx="2889885" cy="2320925"/>
                    </a:xfrm>
                    <a:prstGeom prst="rect">
                      <a:avLst/>
                    </a:prstGeom>
                    <a:ln cap="flat"/>
                  </pic:spPr>
                </pic:pic>
              </a:graphicData>
            </a:graphic>
          </wp:inline>
        </w:drawing>
      </w:r>
      <w:r>
        <w:rPr>
          <w:rFonts w:hint="eastAsia" w:ascii="Arial" w:hAnsi="Arial" w:eastAsia="Arial" w:cs="Arial"/>
          <w:lang w:val="en-US" w:eastAsia="zh-CN"/>
        </w:rPr>
        <w:t xml:space="preserve"> </w:t>
      </w:r>
    </w:p>
    <w:p>
      <w:pPr>
        <w:spacing w:line="480" w:lineRule="auto"/>
        <w:jc w:val="center"/>
        <w:rPr>
          <w:rFonts w:ascii="Arial" w:hAnsi="Arial" w:eastAsia="Arial" w:cs="Arial"/>
          <w:color w:val="000000"/>
          <w:lang w:val="en-US" w:eastAsia="zh-CN"/>
        </w:rPr>
      </w:pPr>
      <w:r>
        <w:rPr>
          <w:rFonts w:hint="eastAsia" w:ascii="Arial" w:hAnsi="Arial" w:eastAsia="Arial" w:cs="Arial"/>
          <w:b/>
          <w:color w:val="000000"/>
          <w:lang w:val="en-US" w:eastAsia="zh-CN"/>
        </w:rPr>
        <w:t>Figure S3</w:t>
      </w:r>
      <w:r>
        <w:rPr>
          <w:rFonts w:hint="eastAsia" w:ascii="Arial" w:hAnsi="Arial" w:eastAsia="Arial" w:cs="Arial"/>
          <w:color w:val="000000"/>
          <w:lang w:val="en-US" w:eastAsia="zh-CN"/>
        </w:rPr>
        <w:t>. The XPS survey spectra of the as-prepared samples</w:t>
      </w:r>
    </w:p>
    <w:p>
      <w:pPr>
        <w:spacing w:line="480" w:lineRule="auto"/>
        <w:jc w:val="center"/>
        <w:rPr>
          <w:rFonts w:ascii="Arial" w:hAnsi="Arial" w:eastAsia="Arial" w:cs="Arial"/>
          <w:color w:val="FF0000"/>
          <w:lang w:val="en-US" w:eastAsia="zh-CN"/>
        </w:rPr>
      </w:pPr>
    </w:p>
    <w:p>
      <w:pPr>
        <w:spacing w:line="480" w:lineRule="auto"/>
        <w:jc w:val="center"/>
        <w:rPr>
          <w:rFonts w:ascii="Arial" w:hAnsi="Arial" w:eastAsia="Arial" w:cs="Arial"/>
          <w:lang w:val="en-US" w:eastAsia="zh-CN"/>
        </w:rPr>
      </w:pPr>
      <w:r>
        <w:rPr>
          <w:sz w:val="20"/>
        </w:rPr>
        <w:drawing>
          <wp:inline distT="0" distB="0" distL="0" distR="0">
            <wp:extent cx="5283835" cy="2228850"/>
            <wp:effectExtent l="19050" t="0" r="2540" b="0"/>
            <wp:docPr id="18" name="图片 0" descr="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0" descr="s4.tif"/>
                    <pic:cNvPicPr>
                      <a:picLocks noChangeAspect="1" noChangeArrowheads="1"/>
                    </pic:cNvPicPr>
                  </pic:nvPicPr>
                  <pic:blipFill>
                    <a:blip r:embed="rId9" cstate="print"/>
                    <a:stretch>
                      <a:fillRect/>
                    </a:stretch>
                  </pic:blipFill>
                  <pic:spPr>
                    <a:xfrm>
                      <a:off x="0" y="0"/>
                      <a:ext cx="5284470" cy="2229485"/>
                    </a:xfrm>
                    <a:prstGeom prst="rect">
                      <a:avLst/>
                    </a:prstGeom>
                    <a:ln cap="flat"/>
                  </pic:spPr>
                </pic:pic>
              </a:graphicData>
            </a:graphic>
          </wp:inline>
        </w:drawing>
      </w:r>
    </w:p>
    <w:p>
      <w:pPr>
        <w:spacing w:line="480" w:lineRule="auto"/>
        <w:jc w:val="both"/>
        <w:rPr>
          <w:rFonts w:ascii="Arial" w:hAnsi="Arial" w:eastAsia="Arial" w:cs="Arial"/>
          <w:color w:val="000000"/>
          <w:lang w:val="en-US" w:eastAsia="zh-CN"/>
        </w:rPr>
      </w:pPr>
      <w:r>
        <w:rPr>
          <w:rFonts w:hint="eastAsia" w:ascii="Arial" w:hAnsi="Arial" w:eastAsia="Arial" w:cs="Arial"/>
          <w:b/>
          <w:color w:val="000000"/>
          <w:lang w:val="en-US" w:eastAsia="zh-CN"/>
        </w:rPr>
        <w:t>Figure S4.</w:t>
      </w:r>
      <w:r>
        <w:rPr>
          <w:rFonts w:hint="eastAsia" w:ascii="Arial" w:hAnsi="Arial" w:eastAsia="Arial" w:cs="Arial"/>
          <w:color w:val="000000"/>
          <w:lang w:val="en-US" w:eastAsia="zh-CN"/>
        </w:rPr>
        <w:t xml:space="preserve"> The h</w:t>
      </w:r>
      <w:r>
        <w:rPr>
          <w:rFonts w:ascii="Arial" w:hAnsi="Arial" w:eastAsia="Arial" w:cs="Arial"/>
          <w:color w:val="000000"/>
          <w:lang w:val="en-US" w:eastAsia="zh-CN"/>
        </w:rPr>
        <w:t>igh-resolution XPS spectr</w:t>
      </w:r>
      <w:r>
        <w:rPr>
          <w:rFonts w:hint="eastAsia" w:ascii="Arial" w:hAnsi="Arial" w:eastAsia="Arial" w:cs="Arial"/>
          <w:color w:val="000000"/>
          <w:lang w:val="en-US" w:eastAsia="zh-CN"/>
        </w:rPr>
        <w:t>a</w:t>
      </w:r>
      <w:r>
        <w:rPr>
          <w:rFonts w:ascii="Arial" w:hAnsi="Arial" w:eastAsia="Arial" w:cs="Arial"/>
          <w:color w:val="000000"/>
          <w:lang w:val="en-US" w:eastAsia="zh-CN"/>
        </w:rPr>
        <w:t xml:space="preserve"> of </w:t>
      </w:r>
      <w:r>
        <w:rPr>
          <w:rFonts w:hint="eastAsia" w:ascii="Arial" w:hAnsi="Arial" w:eastAsia="Arial" w:cs="Arial"/>
          <w:color w:val="000000"/>
          <w:lang w:val="en-US" w:eastAsia="zh-CN"/>
        </w:rPr>
        <w:t xml:space="preserve">N </w:t>
      </w:r>
      <w:r>
        <w:rPr>
          <w:rFonts w:hint="eastAsia" w:ascii="Arial" w:hAnsi="Arial" w:eastAsia="Arial" w:cs="Arial"/>
          <w:i/>
          <w:color w:val="000000"/>
          <w:lang w:val="en-US" w:eastAsia="zh-CN"/>
        </w:rPr>
        <w:t>1s</w:t>
      </w:r>
      <w:r>
        <w:rPr>
          <w:rFonts w:hint="eastAsia" w:ascii="Arial" w:hAnsi="Arial" w:eastAsia="Arial" w:cs="Arial"/>
          <w:color w:val="000000"/>
          <w:lang w:val="en-US" w:eastAsia="zh-CN"/>
        </w:rPr>
        <w:t xml:space="preserve"> (a) and Cu </w:t>
      </w:r>
      <w:r>
        <w:rPr>
          <w:rFonts w:hint="eastAsia" w:ascii="Arial" w:hAnsi="Arial" w:eastAsia="Arial" w:cs="Arial"/>
          <w:i/>
          <w:color w:val="000000"/>
          <w:lang w:val="en-US" w:eastAsia="zh-CN"/>
        </w:rPr>
        <w:t>2p</w:t>
      </w:r>
      <w:r>
        <w:rPr>
          <w:rFonts w:ascii="Arial" w:hAnsi="Arial" w:eastAsia="Arial" w:cs="Arial"/>
          <w:color w:val="000000"/>
          <w:lang w:val="en-US" w:eastAsia="zh-CN"/>
        </w:rPr>
        <w:t xml:space="preserve"> </w:t>
      </w:r>
      <w:r>
        <w:rPr>
          <w:rFonts w:hint="eastAsia" w:ascii="Arial" w:hAnsi="Arial" w:eastAsia="Arial" w:cs="Arial"/>
          <w:color w:val="000000"/>
          <w:lang w:val="en-US" w:eastAsia="zh-CN"/>
        </w:rPr>
        <w:t xml:space="preserve">(b) </w:t>
      </w:r>
      <w:r>
        <w:rPr>
          <w:rFonts w:ascii="Arial" w:hAnsi="Arial" w:eastAsia="Arial" w:cs="Arial"/>
          <w:color w:val="000000"/>
          <w:lang w:val="en-US" w:eastAsia="zh-CN"/>
        </w:rPr>
        <w:t>for Cu–N</w:t>
      </w:r>
      <w:r>
        <w:rPr>
          <w:rFonts w:ascii="Arial" w:hAnsi="Arial" w:eastAsia="Arial" w:cs="Arial"/>
          <w:color w:val="000000"/>
          <w:vertAlign w:val="subscript"/>
          <w:lang w:val="en-US" w:eastAsia="zh-CN"/>
        </w:rPr>
        <w:t>2</w:t>
      </w:r>
      <w:r>
        <w:rPr>
          <w:rFonts w:ascii="Arial" w:hAnsi="Arial" w:eastAsia="Arial" w:cs="Arial"/>
          <w:color w:val="000000"/>
          <w:lang w:val="en-US" w:eastAsia="zh-CN"/>
        </w:rPr>
        <w:t>@HNOC</w:t>
      </w:r>
    </w:p>
    <w:p>
      <w:pPr>
        <w:spacing w:line="480" w:lineRule="auto"/>
        <w:jc w:val="center"/>
        <w:rPr>
          <w:rFonts w:ascii="Arial" w:hAnsi="Arial" w:eastAsia="Arial" w:cs="Arial"/>
          <w:color w:val="000000"/>
          <w:lang w:val="en-US" w:eastAsia="zh-CN"/>
        </w:rPr>
      </w:pPr>
    </w:p>
    <w:p>
      <w:pPr>
        <w:spacing w:line="480" w:lineRule="auto"/>
        <w:jc w:val="center"/>
        <w:rPr>
          <w:rFonts w:ascii="Arial" w:hAnsi="Arial" w:eastAsia="Arial" w:cs="Arial"/>
          <w:lang w:val="en-US" w:eastAsia="zh-CN"/>
        </w:rPr>
      </w:pPr>
      <w:r>
        <w:rPr>
          <w:sz w:val="20"/>
        </w:rPr>
        <w:drawing>
          <wp:inline distT="0" distB="0" distL="0" distR="0">
            <wp:extent cx="3747135" cy="29902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0" cstate="print"/>
                    <a:stretch>
                      <a:fillRect/>
                    </a:stretch>
                  </pic:blipFill>
                  <pic:spPr>
                    <a:xfrm>
                      <a:off x="0" y="0"/>
                      <a:ext cx="3747770" cy="2990850"/>
                    </a:xfrm>
                    <a:prstGeom prst="rect">
                      <a:avLst/>
                    </a:prstGeom>
                    <a:ln cap="flat"/>
                  </pic:spPr>
                </pic:pic>
              </a:graphicData>
            </a:graphic>
          </wp:inline>
        </w:drawing>
      </w:r>
    </w:p>
    <w:p>
      <w:pPr>
        <w:spacing w:line="480" w:lineRule="auto"/>
        <w:jc w:val="both"/>
        <w:rPr>
          <w:rFonts w:ascii="Arial" w:hAnsi="Arial" w:eastAsia="Arial" w:cs="Arial"/>
          <w:lang w:val="en-US" w:eastAsia="zh-CN"/>
        </w:rPr>
      </w:pPr>
      <w:r>
        <w:rPr>
          <w:rFonts w:hint="eastAsia" w:ascii="Arial" w:hAnsi="Arial" w:eastAsia="Arial" w:cs="Arial"/>
          <w:b/>
          <w:lang w:val="en-US" w:eastAsia="zh-CN"/>
        </w:rPr>
        <w:t>Figure S5</w:t>
      </w:r>
      <w:r>
        <w:rPr>
          <w:rFonts w:hint="eastAsia" w:ascii="Arial" w:hAnsi="Arial" w:eastAsia="Arial" w:cs="Arial"/>
          <w:lang w:val="en-US" w:eastAsia="zh-CN"/>
        </w:rPr>
        <w:t>.</w:t>
      </w:r>
      <w:r>
        <w:rPr>
          <w:rFonts w:ascii="Arial" w:hAnsi="Arial" w:eastAsia="Arial" w:cs="Arial"/>
          <w:color w:val="000000"/>
          <w:lang w:val="en-US" w:eastAsia="zh-CN"/>
        </w:rPr>
        <w:t xml:space="preserve"> </w:t>
      </w:r>
      <w:r>
        <w:rPr>
          <w:rFonts w:ascii="Arial" w:hAnsi="Arial" w:eastAsia="Arial" w:cs="Arial"/>
          <w:i/>
          <w:color w:val="000000"/>
          <w:lang w:val="en-US" w:eastAsia="zh-CN"/>
        </w:rPr>
        <w:t>k</w:t>
      </w:r>
      <w:r>
        <w:rPr>
          <w:rFonts w:ascii="Arial" w:hAnsi="Arial" w:eastAsia="Arial" w:cs="Arial"/>
          <w:color w:val="000000"/>
          <w:lang w:val="en-US" w:eastAsia="zh-CN"/>
        </w:rPr>
        <w:t>-space EXAFS spectra of Cu foil, CuO, Cu</w:t>
      </w:r>
      <w:r>
        <w:rPr>
          <w:rFonts w:ascii="Arial" w:hAnsi="Arial" w:eastAsia="Arial" w:cs="Arial"/>
          <w:color w:val="000000"/>
          <w:vertAlign w:val="subscript"/>
          <w:lang w:val="en-US" w:eastAsia="zh-CN"/>
        </w:rPr>
        <w:t>2</w:t>
      </w:r>
      <w:r>
        <w:rPr>
          <w:rFonts w:ascii="Arial" w:hAnsi="Arial" w:eastAsia="Arial" w:cs="Arial"/>
          <w:color w:val="000000"/>
          <w:lang w:val="en-US" w:eastAsia="zh-CN"/>
        </w:rPr>
        <w:t>O, CuPc and Cu–N</w:t>
      </w:r>
      <w:r>
        <w:rPr>
          <w:rFonts w:ascii="Arial" w:hAnsi="Arial" w:eastAsia="Arial" w:cs="Arial"/>
          <w:color w:val="000000"/>
          <w:vertAlign w:val="subscript"/>
          <w:lang w:val="en-US" w:eastAsia="zh-CN"/>
        </w:rPr>
        <w:t>2</w:t>
      </w:r>
      <w:r>
        <w:rPr>
          <w:rFonts w:ascii="Arial" w:hAnsi="Arial" w:eastAsia="Arial" w:cs="Arial"/>
          <w:color w:val="000000"/>
          <w:lang w:val="en-US" w:eastAsia="zh-CN"/>
        </w:rPr>
        <w:t>@HNOC samples.</w:t>
      </w:r>
    </w:p>
    <w:p>
      <w:pPr>
        <w:spacing w:line="480" w:lineRule="auto"/>
        <w:jc w:val="both"/>
      </w:pPr>
      <w:r>
        <w:drawing>
          <wp:inline distT="0" distB="0" distL="114300" distR="114300">
            <wp:extent cx="5752465" cy="2563495"/>
            <wp:effectExtent l="0" t="0" r="635" b="1905"/>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11"/>
                    <a:stretch>
                      <a:fillRect/>
                    </a:stretch>
                  </pic:blipFill>
                  <pic:spPr>
                    <a:xfrm>
                      <a:off x="0" y="0"/>
                      <a:ext cx="5752465" cy="2563495"/>
                    </a:xfrm>
                    <a:prstGeom prst="rect">
                      <a:avLst/>
                    </a:prstGeom>
                    <a:noFill/>
                    <a:ln>
                      <a:noFill/>
                    </a:ln>
                  </pic:spPr>
                </pic:pic>
              </a:graphicData>
            </a:graphic>
          </wp:inline>
        </w:drawing>
      </w:r>
    </w:p>
    <w:p>
      <w:pPr>
        <w:spacing w:line="480" w:lineRule="auto"/>
        <w:jc w:val="both"/>
        <w:rPr>
          <w:rFonts w:ascii="Arial" w:hAnsi="Arial" w:eastAsia="Arial" w:cs="Arial"/>
          <w:lang w:val="en-US" w:eastAsia="zh-CN"/>
        </w:rPr>
      </w:pPr>
      <w:r>
        <w:rPr>
          <w:rFonts w:hint="eastAsia" w:ascii="Arial" w:hAnsi="Arial" w:eastAsia="Arial" w:cs="Arial"/>
          <w:b/>
          <w:lang w:val="en-US" w:eastAsia="zh-CN"/>
        </w:rPr>
        <w:t>Figure S6</w:t>
      </w:r>
      <w:r>
        <w:rPr>
          <w:rFonts w:hint="eastAsia" w:ascii="Arial" w:hAnsi="Arial" w:eastAsia="Arial" w:cs="Arial"/>
          <w:lang w:val="en-US" w:eastAsia="zh-CN"/>
        </w:rPr>
        <w:t>.</w:t>
      </w:r>
      <w:r>
        <w:rPr>
          <w:rFonts w:ascii="Arial" w:hAnsi="Arial" w:eastAsia="Arial" w:cs="Arial"/>
          <w:color w:val="000000"/>
          <w:lang w:val="en-US" w:eastAsia="zh-CN"/>
        </w:rPr>
        <w:t xml:space="preserve"> </w:t>
      </w:r>
      <w:r>
        <w:rPr>
          <w:rFonts w:hint="eastAsia" w:ascii="Arial" w:hAnsi="Arial" w:eastAsia="Arial" w:cs="Arial"/>
          <w:color w:val="000000"/>
          <w:lang w:val="en-US" w:eastAsia="zh-CN"/>
        </w:rPr>
        <w:t>The R</w:t>
      </w:r>
      <w:r>
        <w:rPr>
          <w:rFonts w:ascii="Arial" w:hAnsi="Arial" w:eastAsia="Arial" w:cs="Arial"/>
          <w:color w:val="000000"/>
          <w:lang w:val="en-US" w:eastAsia="zh-CN"/>
        </w:rPr>
        <w:t>-space EXAFS spectra</w:t>
      </w:r>
      <w:r>
        <w:rPr>
          <w:rFonts w:hint="eastAsia" w:ascii="Arial" w:hAnsi="Arial" w:eastAsia="Arial" w:cs="Arial"/>
          <w:color w:val="000000"/>
          <w:lang w:val="en-US" w:eastAsia="zh-CN"/>
        </w:rPr>
        <w:t xml:space="preserve"> fitting</w:t>
      </w:r>
      <w:r>
        <w:rPr>
          <w:rFonts w:ascii="Arial" w:hAnsi="Arial" w:eastAsia="Arial" w:cs="Arial"/>
          <w:color w:val="000000"/>
          <w:lang w:val="en-US" w:eastAsia="zh-CN"/>
        </w:rPr>
        <w:t xml:space="preserve"> of Cu–N</w:t>
      </w:r>
      <w:r>
        <w:rPr>
          <w:rFonts w:ascii="Arial" w:hAnsi="Arial" w:eastAsia="Arial" w:cs="Arial"/>
          <w:color w:val="000000"/>
          <w:vertAlign w:val="subscript"/>
          <w:lang w:val="en-US" w:eastAsia="zh-CN"/>
        </w:rPr>
        <w:t>2</w:t>
      </w:r>
      <w:r>
        <w:rPr>
          <w:rFonts w:ascii="Arial" w:hAnsi="Arial" w:eastAsia="Arial" w:cs="Arial"/>
          <w:color w:val="000000"/>
          <w:lang w:val="en-US" w:eastAsia="zh-CN"/>
        </w:rPr>
        <w:t>@HNOC</w:t>
      </w:r>
      <w:r>
        <w:rPr>
          <w:rFonts w:hint="eastAsia" w:ascii="Arial" w:hAnsi="Arial" w:eastAsia="Arial" w:cs="Arial"/>
          <w:color w:val="000000"/>
          <w:lang w:val="en-US" w:eastAsia="zh-CN"/>
        </w:rPr>
        <w:t xml:space="preserve"> with angled Cu-N</w:t>
      </w:r>
      <w:r>
        <w:rPr>
          <w:rFonts w:hint="eastAsia" w:ascii="Arial" w:hAnsi="Arial" w:eastAsia="Arial" w:cs="Arial"/>
          <w:color w:val="000000"/>
          <w:vertAlign w:val="subscript"/>
          <w:lang w:val="en-US" w:eastAsia="zh-CN"/>
        </w:rPr>
        <w:t>2</w:t>
      </w:r>
      <w:r>
        <w:rPr>
          <w:rFonts w:hint="eastAsia" w:ascii="Arial" w:hAnsi="Arial" w:eastAsia="Arial" w:cs="Arial"/>
          <w:color w:val="000000"/>
          <w:lang w:val="en-US" w:eastAsia="zh-CN"/>
        </w:rPr>
        <w:t>-C, linear Cu-N</w:t>
      </w:r>
      <w:r>
        <w:rPr>
          <w:rFonts w:hint="eastAsia" w:ascii="Arial" w:hAnsi="Arial" w:eastAsia="Arial" w:cs="Arial"/>
          <w:color w:val="000000"/>
          <w:vertAlign w:val="subscript"/>
          <w:lang w:val="en-US" w:eastAsia="zh-CN"/>
        </w:rPr>
        <w:t>2</w:t>
      </w:r>
      <w:r>
        <w:rPr>
          <w:rFonts w:hint="eastAsia" w:ascii="Arial" w:hAnsi="Arial" w:eastAsia="Arial" w:cs="Arial"/>
          <w:color w:val="000000"/>
          <w:lang w:val="en-US" w:eastAsia="zh-CN"/>
        </w:rPr>
        <w:t>-C, Cu-N</w:t>
      </w:r>
      <w:r>
        <w:rPr>
          <w:rFonts w:hint="eastAsia" w:ascii="Arial" w:hAnsi="Arial" w:eastAsia="Arial" w:cs="Arial"/>
          <w:color w:val="000000"/>
          <w:vertAlign w:val="subscript"/>
          <w:lang w:val="en-US" w:eastAsia="zh-CN"/>
        </w:rPr>
        <w:t>3</w:t>
      </w:r>
      <w:r>
        <w:rPr>
          <w:rFonts w:hint="eastAsia" w:ascii="Arial" w:hAnsi="Arial" w:eastAsia="Arial" w:cs="Arial"/>
          <w:color w:val="000000"/>
          <w:lang w:val="en-US" w:eastAsia="zh-CN"/>
        </w:rPr>
        <w:t>-C and Cu-N</w:t>
      </w:r>
      <w:r>
        <w:rPr>
          <w:rFonts w:hint="eastAsia" w:ascii="Arial" w:hAnsi="Arial" w:eastAsia="Arial" w:cs="Arial"/>
          <w:color w:val="000000"/>
          <w:vertAlign w:val="subscript"/>
          <w:lang w:val="en-US" w:eastAsia="zh-CN"/>
        </w:rPr>
        <w:t>4</w:t>
      </w:r>
      <w:r>
        <w:rPr>
          <w:rFonts w:hint="eastAsia" w:ascii="Arial" w:hAnsi="Arial" w:eastAsia="Arial" w:cs="Arial"/>
          <w:color w:val="000000"/>
          <w:lang w:val="en-US" w:eastAsia="zh-CN"/>
        </w:rPr>
        <w:t>-C models</w:t>
      </w:r>
      <w:r>
        <w:rPr>
          <w:rFonts w:ascii="Arial" w:hAnsi="Arial" w:eastAsia="Arial" w:cs="Arial"/>
          <w:color w:val="000000"/>
          <w:lang w:val="en-US" w:eastAsia="zh-CN"/>
        </w:rPr>
        <w:t>.</w:t>
      </w:r>
    </w:p>
    <w:p>
      <w:pPr>
        <w:spacing w:line="480" w:lineRule="auto"/>
        <w:jc w:val="both"/>
        <w:rPr>
          <w:lang w:val="en-US" w:eastAsia="zh-CN"/>
        </w:rPr>
      </w:pPr>
    </w:p>
    <w:p>
      <w:pPr>
        <w:spacing w:line="480" w:lineRule="auto"/>
        <w:jc w:val="both"/>
        <w:rPr>
          <w:rFonts w:ascii="Arial" w:hAnsi="Arial" w:eastAsia="Arial" w:cs="Arial"/>
          <w:lang w:val="en-US" w:eastAsia="zh-CN"/>
        </w:rPr>
      </w:pPr>
      <w:r>
        <w:rPr>
          <w:sz w:val="20"/>
        </w:rPr>
        <w:drawing>
          <wp:inline distT="0" distB="0" distL="0" distR="0">
            <wp:extent cx="5719445" cy="1506220"/>
            <wp:effectExtent l="19050" t="0" r="0" b="0"/>
            <wp:docPr id="20" name="图片 0" descr="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0" descr="S6.tif"/>
                    <pic:cNvPicPr>
                      <a:picLocks noChangeAspect="1" noChangeArrowheads="1"/>
                    </pic:cNvPicPr>
                  </pic:nvPicPr>
                  <pic:blipFill>
                    <a:blip r:embed="rId12" cstate="print"/>
                    <a:stretch>
                      <a:fillRect/>
                    </a:stretch>
                  </pic:blipFill>
                  <pic:spPr>
                    <a:xfrm>
                      <a:off x="0" y="0"/>
                      <a:ext cx="5720080" cy="1506855"/>
                    </a:xfrm>
                    <a:prstGeom prst="rect">
                      <a:avLst/>
                    </a:prstGeom>
                    <a:ln cap="flat"/>
                  </pic:spPr>
                </pic:pic>
              </a:graphicData>
            </a:graphic>
          </wp:inline>
        </w:drawing>
      </w:r>
    </w:p>
    <w:p>
      <w:pPr>
        <w:spacing w:line="480" w:lineRule="auto"/>
        <w:jc w:val="both"/>
        <w:rPr>
          <w:rFonts w:ascii="Arial" w:hAnsi="Arial" w:eastAsia="Arial" w:cs="Arial"/>
          <w:lang w:val="en-US" w:eastAsia="zh-CN"/>
        </w:rPr>
      </w:pPr>
      <w:r>
        <w:rPr>
          <w:rFonts w:hint="eastAsia" w:ascii="Arial" w:hAnsi="Arial" w:eastAsia="Arial" w:cs="Arial"/>
          <w:b/>
          <w:bCs/>
          <w:lang w:val="en-US" w:eastAsia="zh-CN"/>
        </w:rPr>
        <w:t>Figure S7.</w:t>
      </w:r>
      <w:r>
        <w:rPr>
          <w:rFonts w:hint="eastAsia" w:ascii="Arial" w:hAnsi="Arial" w:eastAsia="Arial" w:cs="Arial"/>
          <w:lang w:val="en-US" w:eastAsia="zh-CN"/>
        </w:rPr>
        <w:t xml:space="preserve"> (a) N</w:t>
      </w:r>
      <w:r>
        <w:rPr>
          <w:rFonts w:hint="eastAsia" w:ascii="Arial" w:hAnsi="Arial" w:eastAsia="Arial" w:cs="Arial"/>
          <w:vertAlign w:val="subscript"/>
          <w:lang w:val="en-US" w:eastAsia="zh-CN"/>
        </w:rPr>
        <w:t>2</w:t>
      </w:r>
      <w:r>
        <w:rPr>
          <w:rFonts w:hint="eastAsia" w:ascii="Arial" w:hAnsi="Arial" w:eastAsia="Arial" w:cs="Arial"/>
          <w:lang w:val="en-US" w:eastAsia="zh-CN"/>
        </w:rPr>
        <w:t xml:space="preserve"> adsorption/desorption isotherm for </w:t>
      </w:r>
      <w:r>
        <w:rPr>
          <w:rFonts w:ascii="Arial" w:hAnsi="Arial" w:eastAsia="Arial" w:cs="Arial"/>
          <w:lang w:val="en-US" w:eastAsia="zh-CN"/>
        </w:rPr>
        <w:t>Cu-N</w:t>
      </w:r>
      <w:r>
        <w:rPr>
          <w:rFonts w:hint="eastAsia" w:ascii="Arial" w:hAnsi="Arial" w:eastAsia="Arial" w:cs="Arial"/>
          <w:vertAlign w:val="subscript"/>
          <w:lang w:val="en-US" w:eastAsia="zh-CN"/>
        </w:rPr>
        <w:t>2</w:t>
      </w:r>
      <w:r>
        <w:rPr>
          <w:rFonts w:ascii="Arial" w:hAnsi="Arial" w:eastAsia="Arial" w:cs="Arial"/>
          <w:lang w:val="en-US" w:eastAsia="zh-CN"/>
        </w:rPr>
        <w:t>@HNOC</w:t>
      </w:r>
      <w:r>
        <w:rPr>
          <w:rFonts w:hint="eastAsia" w:ascii="Arial" w:hAnsi="Arial" w:eastAsia="Arial" w:cs="Arial"/>
          <w:lang w:val="en-US" w:eastAsia="zh-CN"/>
        </w:rPr>
        <w:t xml:space="preserve">; (b) XRD patterns and (c) Raman spectra for </w:t>
      </w:r>
      <w:r>
        <w:rPr>
          <w:rFonts w:ascii="Arial" w:hAnsi="Arial" w:eastAsia="Arial" w:cs="Arial"/>
          <w:lang w:val="en-US" w:eastAsia="zh-CN"/>
        </w:rPr>
        <w:t>Cu-N</w:t>
      </w:r>
      <w:r>
        <w:rPr>
          <w:rFonts w:hint="eastAsia" w:ascii="Arial" w:hAnsi="Arial" w:eastAsia="Arial" w:cs="Arial"/>
          <w:vertAlign w:val="subscript"/>
          <w:lang w:val="en-US" w:eastAsia="zh-CN"/>
        </w:rPr>
        <w:t>2</w:t>
      </w:r>
      <w:r>
        <w:rPr>
          <w:rFonts w:ascii="Arial" w:hAnsi="Arial" w:eastAsia="Arial" w:cs="Arial"/>
          <w:lang w:val="en-US" w:eastAsia="zh-CN"/>
        </w:rPr>
        <w:t>@HNOC</w:t>
      </w:r>
      <w:r>
        <w:rPr>
          <w:rFonts w:hint="eastAsia" w:ascii="Arial" w:hAnsi="Arial" w:eastAsia="Arial" w:cs="Arial"/>
          <w:lang w:val="en-US" w:eastAsia="zh-CN"/>
        </w:rPr>
        <w:t xml:space="preserve"> and </w:t>
      </w:r>
      <w:r>
        <w:rPr>
          <w:rFonts w:ascii="Arial" w:hAnsi="Arial" w:eastAsia="Arial" w:cs="Arial"/>
          <w:lang w:val="en-US" w:eastAsia="zh-CN"/>
        </w:rPr>
        <w:t>HNOC</w:t>
      </w:r>
      <w:r>
        <w:rPr>
          <w:rFonts w:hint="eastAsia" w:ascii="Arial" w:hAnsi="Arial" w:eastAsia="Arial" w:cs="Arial"/>
          <w:lang w:val="en-US" w:eastAsia="zh-CN"/>
        </w:rPr>
        <w:t>.</w:t>
      </w:r>
    </w:p>
    <w:p>
      <w:pPr>
        <w:spacing w:line="480" w:lineRule="auto"/>
        <w:jc w:val="both"/>
        <w:rPr>
          <w:rFonts w:ascii="Arial" w:hAnsi="Arial" w:eastAsia="Arial" w:cs="Arial"/>
          <w:lang w:val="en-US" w:eastAsia="zh-CN"/>
        </w:rPr>
      </w:pPr>
    </w:p>
    <w:p>
      <w:pPr>
        <w:spacing w:line="480" w:lineRule="auto"/>
        <w:jc w:val="center"/>
        <w:rPr>
          <w:rFonts w:ascii="Arial" w:hAnsi="Arial" w:eastAsia="Arial" w:cs="Arial"/>
          <w:lang w:val="en-US" w:eastAsia="zh-CN"/>
        </w:rPr>
      </w:pPr>
      <w:r>
        <w:rPr>
          <w:sz w:val="20"/>
        </w:rPr>
        <w:drawing>
          <wp:inline distT="0" distB="0" distL="0" distR="0">
            <wp:extent cx="2732405" cy="2094865"/>
            <wp:effectExtent l="0" t="0" r="0" b="0"/>
            <wp:docPr id="21" name="图片 16" descr="Grap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descr="Graph5.jpg"/>
                    <pic:cNvPicPr>
                      <a:picLocks noChangeAspect="1" noChangeArrowheads="1"/>
                    </pic:cNvPicPr>
                  </pic:nvPicPr>
                  <pic:blipFill>
                    <a:blip r:embed="rId13" cstate="print"/>
                    <a:srcRect l="7404" t="9949" r="12406" b="3316"/>
                    <a:stretch>
                      <a:fillRect/>
                    </a:stretch>
                  </pic:blipFill>
                  <pic:spPr>
                    <a:xfrm>
                      <a:off x="0" y="0"/>
                      <a:ext cx="2733040" cy="2095500"/>
                    </a:xfrm>
                    <a:prstGeom prst="rect">
                      <a:avLst/>
                    </a:prstGeom>
                    <a:ln cap="flat"/>
                  </pic:spPr>
                </pic:pic>
              </a:graphicData>
            </a:graphic>
          </wp:inline>
        </w:drawing>
      </w:r>
    </w:p>
    <w:p>
      <w:pPr>
        <w:spacing w:line="480" w:lineRule="auto"/>
        <w:jc w:val="both"/>
        <w:rPr>
          <w:rFonts w:ascii="Arial" w:hAnsi="Arial" w:eastAsia="Arial" w:cs="Arial"/>
          <w:lang w:val="en-US" w:eastAsia="zh-CN"/>
        </w:rPr>
      </w:pPr>
      <w:r>
        <w:rPr>
          <w:rFonts w:hint="eastAsia" w:ascii="Arial" w:hAnsi="Arial" w:eastAsia="Arial" w:cs="Arial"/>
          <w:b/>
          <w:bCs/>
          <w:lang w:val="en-US" w:eastAsia="zh-CN"/>
        </w:rPr>
        <w:t>Figure S8.</w:t>
      </w:r>
      <w:r>
        <w:rPr>
          <w:rFonts w:hint="eastAsia" w:ascii="Arial" w:hAnsi="Arial" w:eastAsia="Arial" w:cs="Arial"/>
          <w:lang w:val="en-US" w:eastAsia="zh-CN"/>
        </w:rPr>
        <w:t xml:space="preserve"> Effect of SCN</w:t>
      </w:r>
      <w:r>
        <w:rPr>
          <w:rFonts w:hint="eastAsia" w:ascii="Arial" w:hAnsi="Arial" w:eastAsia="Arial" w:cs="Arial"/>
          <w:vertAlign w:val="superscript"/>
          <w:lang w:val="en-US" w:eastAsia="zh-CN"/>
        </w:rPr>
        <w:t>-</w:t>
      </w:r>
      <w:r>
        <w:rPr>
          <w:rFonts w:hint="eastAsia" w:ascii="Arial" w:hAnsi="Arial" w:eastAsia="Arial" w:cs="Arial"/>
          <w:lang w:val="en-US" w:eastAsia="zh-CN"/>
        </w:rPr>
        <w:t xml:space="preserve"> poisoning on the catalytic activity of </w:t>
      </w:r>
      <w:r>
        <w:rPr>
          <w:rFonts w:ascii="Arial" w:hAnsi="Arial" w:eastAsia="Arial" w:cs="Arial"/>
          <w:lang w:val="en-US" w:eastAsia="zh-CN"/>
        </w:rPr>
        <w:t>Cu-N</w:t>
      </w:r>
      <w:r>
        <w:rPr>
          <w:rFonts w:hint="eastAsia" w:ascii="Arial" w:hAnsi="Arial" w:eastAsia="Arial" w:cs="Arial"/>
          <w:vertAlign w:val="subscript"/>
          <w:lang w:val="en-US" w:eastAsia="zh-CN"/>
        </w:rPr>
        <w:t>2</w:t>
      </w:r>
      <w:r>
        <w:rPr>
          <w:rFonts w:ascii="Arial" w:hAnsi="Arial" w:eastAsia="Arial" w:cs="Arial"/>
          <w:lang w:val="en-US" w:eastAsia="zh-CN"/>
        </w:rPr>
        <w:t>@HNOC</w:t>
      </w:r>
      <w:r>
        <w:rPr>
          <w:rFonts w:hint="eastAsia" w:ascii="Arial" w:hAnsi="Arial" w:eastAsia="Arial" w:cs="Arial"/>
          <w:lang w:val="en-US" w:eastAsia="zh-CN"/>
        </w:rPr>
        <w:t xml:space="preserve"> and </w:t>
      </w:r>
      <w:r>
        <w:rPr>
          <w:rFonts w:ascii="Arial" w:hAnsi="Arial" w:eastAsia="Arial" w:cs="Arial"/>
          <w:lang w:val="en-US" w:eastAsia="zh-CN"/>
        </w:rPr>
        <w:t>HNOC</w:t>
      </w:r>
    </w:p>
    <w:p>
      <w:pPr>
        <w:spacing w:line="480" w:lineRule="auto"/>
        <w:jc w:val="center"/>
        <w:rPr>
          <w:rFonts w:ascii="Arial" w:hAnsi="Arial" w:eastAsia="Arial" w:cs="Arial"/>
          <w:lang w:val="en-US" w:eastAsia="zh-CN"/>
        </w:rPr>
      </w:pPr>
      <w:r>
        <w:rPr>
          <w:sz w:val="20"/>
        </w:rPr>
        <w:drawing>
          <wp:inline distT="0" distB="0" distL="0" distR="0">
            <wp:extent cx="2888615" cy="2204085"/>
            <wp:effectExtent l="19050" t="0" r="0" b="0"/>
            <wp:docPr id="22" name="图片 1" descr="a CV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a CV9.jpg"/>
                    <pic:cNvPicPr>
                      <a:picLocks noChangeAspect="1" noChangeArrowheads="1"/>
                    </pic:cNvPicPr>
                  </pic:nvPicPr>
                  <pic:blipFill>
                    <a:blip r:embed="rId14" cstate="print"/>
                    <a:srcRect l="7181" t="6051" r="10104" b="4777"/>
                    <a:stretch>
                      <a:fillRect/>
                    </a:stretch>
                  </pic:blipFill>
                  <pic:spPr>
                    <a:xfrm>
                      <a:off x="0" y="0"/>
                      <a:ext cx="2889250" cy="2204720"/>
                    </a:xfrm>
                    <a:prstGeom prst="rect">
                      <a:avLst/>
                    </a:prstGeom>
                    <a:ln cap="flat"/>
                  </pic:spPr>
                </pic:pic>
              </a:graphicData>
            </a:graphic>
          </wp:inline>
        </w:drawing>
      </w:r>
    </w:p>
    <w:p>
      <w:pPr>
        <w:spacing w:line="480" w:lineRule="auto"/>
        <w:jc w:val="center"/>
        <w:rPr>
          <w:rFonts w:ascii="Arial" w:hAnsi="Arial" w:eastAsia="Arial" w:cs="Arial"/>
          <w:lang w:val="en-US" w:eastAsia="zh-CN"/>
        </w:rPr>
      </w:pPr>
      <w:r>
        <w:rPr>
          <w:rFonts w:hint="eastAsia" w:ascii="Arial" w:hAnsi="Arial" w:eastAsia="Arial" w:cs="Arial"/>
          <w:b/>
          <w:bCs/>
          <w:lang w:val="en-US" w:eastAsia="zh-CN"/>
        </w:rPr>
        <w:t>Figure S9.</w:t>
      </w:r>
      <w:r>
        <w:rPr>
          <w:rFonts w:hint="eastAsia" w:ascii="Arial" w:hAnsi="Arial" w:eastAsia="Arial" w:cs="Arial"/>
          <w:lang w:val="en-US" w:eastAsia="zh-CN"/>
        </w:rPr>
        <w:t xml:space="preserve"> C</w:t>
      </w:r>
      <w:r>
        <w:rPr>
          <w:rFonts w:ascii="Arial" w:hAnsi="Arial" w:eastAsia="Arial" w:cs="Arial"/>
          <w:lang w:val="en-US" w:eastAsia="zh-CN"/>
        </w:rPr>
        <w:t>hronoamperometric response with the addition of methanol (</w:t>
      </w:r>
      <w:r>
        <w:rPr>
          <w:rFonts w:hint="eastAsia" w:ascii="Arial" w:hAnsi="Arial" w:eastAsia="Arial" w:cs="Arial"/>
          <w:lang w:val="en-US" w:eastAsia="zh-CN"/>
        </w:rPr>
        <w:t>lower</w:t>
      </w:r>
      <w:r>
        <w:rPr>
          <w:rFonts w:ascii="Arial" w:hAnsi="Arial" w:eastAsia="Arial" w:cs="Arial"/>
          <w:lang w:val="en-US" w:eastAsia="zh-CN"/>
        </w:rPr>
        <w:t xml:space="preserve"> panel) on Cu-N</w:t>
      </w:r>
      <w:r>
        <w:rPr>
          <w:rFonts w:ascii="Arial" w:hAnsi="Arial" w:eastAsia="Arial" w:cs="Arial"/>
          <w:vertAlign w:val="subscript"/>
          <w:lang w:val="en-US" w:eastAsia="zh-CN"/>
        </w:rPr>
        <w:t>2</w:t>
      </w:r>
      <w:r>
        <w:rPr>
          <w:rFonts w:ascii="Arial" w:hAnsi="Arial" w:eastAsia="Arial" w:cs="Arial"/>
          <w:lang w:val="en-US" w:eastAsia="zh-CN"/>
        </w:rPr>
        <w:t>@HNOC and 20 % Pt/C catalysts</w:t>
      </w:r>
    </w:p>
    <w:p>
      <w:pPr>
        <w:spacing w:line="480" w:lineRule="auto"/>
        <w:jc w:val="center"/>
        <w:rPr>
          <w:rFonts w:ascii="Arial" w:hAnsi="Arial" w:eastAsia="Arial" w:cs="Arial"/>
          <w:lang w:val="en-US" w:eastAsia="zh-CN"/>
        </w:rPr>
      </w:pPr>
    </w:p>
    <w:p>
      <w:pPr>
        <w:spacing w:line="480" w:lineRule="auto"/>
        <w:jc w:val="center"/>
        <w:rPr>
          <w:rFonts w:ascii="Arial" w:hAnsi="Arial" w:eastAsia="Arial" w:cs="Arial"/>
          <w:lang w:val="en-US" w:eastAsia="zh-CN"/>
        </w:rPr>
      </w:pPr>
      <w:r>
        <w:rPr>
          <w:sz w:val="20"/>
        </w:rPr>
        <w:drawing>
          <wp:inline distT="0" distB="0" distL="0" distR="0">
            <wp:extent cx="5283835" cy="2016760"/>
            <wp:effectExtent l="19050" t="0" r="2540" b="0"/>
            <wp:docPr id="23" name="图片 13" descr="放电zo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descr="放电zong.tif"/>
                    <pic:cNvPicPr>
                      <a:picLocks noChangeAspect="1" noChangeArrowheads="1"/>
                    </pic:cNvPicPr>
                  </pic:nvPicPr>
                  <pic:blipFill>
                    <a:blip r:embed="rId15" cstate="print"/>
                    <a:stretch>
                      <a:fillRect/>
                    </a:stretch>
                  </pic:blipFill>
                  <pic:spPr>
                    <a:xfrm>
                      <a:off x="0" y="0"/>
                      <a:ext cx="5284470" cy="2017395"/>
                    </a:xfrm>
                    <a:prstGeom prst="rect">
                      <a:avLst/>
                    </a:prstGeom>
                    <a:ln cap="flat"/>
                  </pic:spPr>
                </pic:pic>
              </a:graphicData>
            </a:graphic>
          </wp:inline>
        </w:drawing>
      </w:r>
    </w:p>
    <w:p>
      <w:pPr>
        <w:spacing w:line="480" w:lineRule="auto"/>
        <w:jc w:val="center"/>
        <w:rPr>
          <w:rFonts w:ascii="Arial" w:hAnsi="Arial" w:eastAsia="Arial" w:cs="Arial"/>
          <w:lang w:val="en-US" w:eastAsia="zh-CN"/>
        </w:rPr>
      </w:pPr>
      <w:r>
        <w:rPr>
          <w:rFonts w:hint="eastAsia" w:ascii="Arial" w:hAnsi="Arial" w:eastAsia="Arial" w:cs="Arial"/>
          <w:b/>
          <w:bCs/>
          <w:lang w:val="en-US" w:eastAsia="zh-CN"/>
        </w:rPr>
        <w:t>Figure S10.</w:t>
      </w:r>
      <w:r>
        <w:rPr>
          <w:rFonts w:hint="eastAsia" w:ascii="Arial" w:hAnsi="Arial" w:eastAsia="Arial" w:cs="Arial"/>
          <w:lang w:val="en-US" w:eastAsia="zh-CN"/>
        </w:rPr>
        <w:t xml:space="preserve"> </w:t>
      </w:r>
      <w:r>
        <w:rPr>
          <w:rFonts w:ascii="Arial" w:hAnsi="Arial" w:eastAsia="Arial" w:cs="Arial"/>
          <w:lang w:val="en-US" w:eastAsia="zh-CN"/>
        </w:rPr>
        <w:t>The galvanostatic discharge curves of a Cu–N</w:t>
      </w:r>
      <w:r>
        <w:rPr>
          <w:rFonts w:hint="eastAsia" w:ascii="Arial" w:hAnsi="Arial" w:eastAsia="Arial" w:cs="Arial"/>
          <w:vertAlign w:val="subscript"/>
          <w:lang w:val="en-US" w:eastAsia="zh-CN"/>
        </w:rPr>
        <w:t>2</w:t>
      </w:r>
      <w:r>
        <w:rPr>
          <w:rFonts w:ascii="Arial" w:hAnsi="Arial" w:eastAsia="Arial" w:cs="Arial"/>
          <w:lang w:val="en-US" w:eastAsia="zh-CN"/>
        </w:rPr>
        <w:t xml:space="preserve">@HNOC driven Zn–air battery at </w:t>
      </w:r>
      <w:r>
        <w:rPr>
          <w:rFonts w:hint="eastAsia" w:ascii="Arial" w:hAnsi="Arial" w:eastAsia="Arial" w:cs="Arial"/>
          <w:lang w:val="en-US" w:eastAsia="zh-CN"/>
        </w:rPr>
        <w:t xml:space="preserve">a </w:t>
      </w:r>
      <w:r>
        <w:rPr>
          <w:rFonts w:ascii="Arial" w:hAnsi="Arial" w:eastAsia="Arial" w:cs="Arial"/>
          <w:lang w:val="en-US" w:eastAsia="zh-CN"/>
        </w:rPr>
        <w:t>current density of 5 mA/cm</w:t>
      </w:r>
      <w:r>
        <w:rPr>
          <w:rFonts w:ascii="Arial" w:hAnsi="Arial" w:eastAsia="Arial" w:cs="Arial"/>
          <w:vertAlign w:val="superscript"/>
          <w:lang w:val="en-US" w:eastAsia="zh-CN"/>
        </w:rPr>
        <w:t>2</w:t>
      </w:r>
      <w:r>
        <w:rPr>
          <w:rFonts w:ascii="Arial" w:hAnsi="Arial" w:eastAsia="Arial" w:cs="Arial"/>
          <w:lang w:val="en-US" w:eastAsia="zh-CN"/>
        </w:rPr>
        <w:t>.</w:t>
      </w:r>
    </w:p>
    <w:p>
      <w:pPr>
        <w:spacing w:line="480" w:lineRule="auto"/>
        <w:jc w:val="both"/>
        <w:rPr>
          <w:rFonts w:ascii="Arial" w:hAnsi="Arial" w:eastAsia="Arial" w:cs="Arial"/>
          <w:lang w:val="en-US" w:eastAsia="zh-CN"/>
        </w:rPr>
      </w:pPr>
    </w:p>
    <w:p>
      <w:pPr>
        <w:spacing w:line="480" w:lineRule="auto"/>
        <w:jc w:val="center"/>
        <w:rPr>
          <w:rFonts w:ascii="Arial" w:hAnsi="Arial" w:eastAsia="Arial" w:cs="Arial"/>
          <w:lang w:val="en-US" w:eastAsia="zh-CN"/>
        </w:rPr>
      </w:pPr>
      <w:r>
        <w:rPr>
          <w:sz w:val="20"/>
        </w:rPr>
        <w:drawing>
          <wp:inline distT="0" distB="0" distL="0" distR="0">
            <wp:extent cx="4140835" cy="3201670"/>
            <wp:effectExtent l="0" t="0" r="0" b="0"/>
            <wp:docPr id="24" name="图片 2" descr="cu 2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descr="cu 2p9.jpg"/>
                    <pic:cNvPicPr>
                      <a:picLocks noChangeAspect="1" noChangeArrowheads="1"/>
                    </pic:cNvPicPr>
                  </pic:nvPicPr>
                  <pic:blipFill>
                    <a:blip r:embed="rId16" cstate="print"/>
                    <a:srcRect l="8488" t="6122" r="8255" b="2806"/>
                    <a:stretch>
                      <a:fillRect/>
                    </a:stretch>
                  </pic:blipFill>
                  <pic:spPr>
                    <a:xfrm>
                      <a:off x="0" y="0"/>
                      <a:ext cx="4141470" cy="3202305"/>
                    </a:xfrm>
                    <a:prstGeom prst="rect">
                      <a:avLst/>
                    </a:prstGeom>
                    <a:ln cap="flat"/>
                  </pic:spPr>
                </pic:pic>
              </a:graphicData>
            </a:graphic>
          </wp:inline>
        </w:drawing>
      </w:r>
    </w:p>
    <w:p>
      <w:pPr>
        <w:spacing w:line="480" w:lineRule="auto"/>
        <w:jc w:val="both"/>
        <w:rPr>
          <w:rFonts w:ascii="Arial" w:hAnsi="Arial" w:eastAsia="Arial" w:cs="Arial"/>
          <w:color w:val="000000"/>
          <w:lang w:val="en-US" w:eastAsia="zh-CN"/>
        </w:rPr>
      </w:pPr>
      <w:r>
        <w:rPr>
          <w:rFonts w:hint="eastAsia" w:ascii="Arial" w:hAnsi="Arial" w:eastAsia="Arial" w:cs="Arial"/>
          <w:b/>
          <w:bCs/>
          <w:lang w:val="en-US" w:eastAsia="zh-CN"/>
        </w:rPr>
        <w:t>Figure S11.</w:t>
      </w:r>
      <w:r>
        <w:rPr>
          <w:rFonts w:ascii="Arial" w:hAnsi="Arial" w:eastAsia="Arial" w:cs="Arial"/>
          <w:color w:val="000000"/>
          <w:lang w:val="en-US" w:eastAsia="zh-CN"/>
        </w:rPr>
        <w:t xml:space="preserve"> Long-term stability tests of the Zn-air batteries at a current density of 5 mA/cm</w:t>
      </w:r>
      <w:r>
        <w:rPr>
          <w:rFonts w:ascii="Arial" w:hAnsi="Arial" w:eastAsia="Arial" w:cs="Arial"/>
          <w:color w:val="000000"/>
          <w:vertAlign w:val="superscript"/>
          <w:lang w:val="en-US" w:eastAsia="zh-CN"/>
        </w:rPr>
        <w:t>2</w:t>
      </w:r>
    </w:p>
    <w:p>
      <w:pPr>
        <w:spacing w:line="480" w:lineRule="auto"/>
        <w:jc w:val="both"/>
        <w:rPr>
          <w:rFonts w:ascii="Arial" w:hAnsi="Arial" w:eastAsia="Arial" w:cs="Arial"/>
          <w:color w:val="000000"/>
          <w:lang w:val="en-US" w:eastAsia="zh-CN"/>
        </w:rPr>
      </w:pPr>
    </w:p>
    <w:p>
      <w:pPr>
        <w:spacing w:line="480" w:lineRule="auto"/>
        <w:jc w:val="center"/>
        <w:rPr>
          <w:rFonts w:ascii="Arial" w:hAnsi="Arial" w:eastAsia="Arial" w:cs="Arial"/>
          <w:color w:val="000000"/>
          <w:lang w:val="en-US" w:eastAsia="zh-CN"/>
        </w:rPr>
      </w:pPr>
      <w:r>
        <w:rPr>
          <w:rFonts w:ascii="Arial" w:hAnsi="Arial" w:eastAsia="Arial" w:cs="Arial"/>
          <w:color w:val="000000"/>
          <w:lang w:val="en-US" w:eastAsia="zh-CN"/>
        </w:rPr>
        <w:drawing>
          <wp:inline distT="0" distB="0" distL="114300" distR="114300">
            <wp:extent cx="4618355" cy="3535680"/>
            <wp:effectExtent l="0" t="0" r="4445" b="7620"/>
            <wp:docPr id="1" name="图片 1" descr="CD-PVA迁移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PVA迁移率"/>
                    <pic:cNvPicPr>
                      <a:picLocks noChangeAspect="1"/>
                    </pic:cNvPicPr>
                  </pic:nvPicPr>
                  <pic:blipFill>
                    <a:blip r:embed="rId17"/>
                    <a:stretch>
                      <a:fillRect/>
                    </a:stretch>
                  </pic:blipFill>
                  <pic:spPr>
                    <a:xfrm>
                      <a:off x="0" y="0"/>
                      <a:ext cx="4618355" cy="3535680"/>
                    </a:xfrm>
                    <a:prstGeom prst="rect">
                      <a:avLst/>
                    </a:prstGeom>
                  </pic:spPr>
                </pic:pic>
              </a:graphicData>
            </a:graphic>
          </wp:inline>
        </w:drawing>
      </w:r>
    </w:p>
    <w:p>
      <w:pPr>
        <w:spacing w:line="480" w:lineRule="auto"/>
        <w:jc w:val="both"/>
        <w:rPr>
          <w:rFonts w:ascii="Arial" w:hAnsi="Arial" w:eastAsia="Arial" w:cs="Arial"/>
          <w:color w:val="000000"/>
          <w:lang w:val="en-US" w:eastAsia="zh-CN"/>
        </w:rPr>
      </w:pPr>
      <w:r>
        <w:rPr>
          <w:rFonts w:hint="eastAsia" w:ascii="Arial" w:hAnsi="Arial" w:eastAsia="Arial" w:cs="Arial"/>
          <w:b/>
          <w:bCs/>
          <w:lang w:val="en-US" w:eastAsia="zh-CN"/>
        </w:rPr>
        <w:t>Figure S12.</w:t>
      </w:r>
      <w:r>
        <w:rPr>
          <w:rFonts w:ascii="Arial" w:hAnsi="Arial" w:eastAsia="Arial" w:cs="Arial"/>
          <w:color w:val="000000"/>
          <w:lang w:val="en-US" w:eastAsia="zh-CN"/>
        </w:rPr>
        <w:t xml:space="preserve"> </w:t>
      </w:r>
      <w:r>
        <w:rPr>
          <w:rFonts w:hint="eastAsia" w:ascii="Arial" w:hAnsi="Arial" w:eastAsia="Arial" w:cs="Arial"/>
          <w:color w:val="000000"/>
          <w:lang w:val="en-US" w:eastAsia="zh-CN"/>
        </w:rPr>
        <w:t>The ionic conductivity of CD-PVA and pure PVA within 18 hours</w:t>
      </w:r>
    </w:p>
    <w:p>
      <w:pPr>
        <w:spacing w:line="480" w:lineRule="auto"/>
        <w:jc w:val="center"/>
        <w:rPr>
          <w:rFonts w:ascii="Arial" w:hAnsi="Arial" w:eastAsia="Arial" w:cs="Arial"/>
          <w:color w:val="000000"/>
          <w:lang w:val="en-US" w:eastAsia="zh-CN"/>
        </w:rPr>
      </w:pPr>
      <w:r>
        <w:rPr>
          <w:sz w:val="20"/>
        </w:rPr>
        <w:drawing>
          <wp:inline distT="0" distB="0" distL="0" distR="0">
            <wp:extent cx="2156460" cy="2018665"/>
            <wp:effectExtent l="0" t="0" r="2540" b="635"/>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9"/>
                    <pic:cNvPicPr>
                      <a:picLocks noChangeAspect="1" noChangeArrowheads="1"/>
                    </pic:cNvPicPr>
                  </pic:nvPicPr>
                  <pic:blipFill>
                    <a:blip r:embed="rId18" cstate="print"/>
                    <a:srcRect t="2778"/>
                    <a:stretch>
                      <a:fillRect/>
                    </a:stretch>
                  </pic:blipFill>
                  <pic:spPr>
                    <a:xfrm>
                      <a:off x="0" y="0"/>
                      <a:ext cx="2156460" cy="2018665"/>
                    </a:xfrm>
                    <a:prstGeom prst="rect">
                      <a:avLst/>
                    </a:prstGeom>
                    <a:ln cap="flat"/>
                  </pic:spPr>
                </pic:pic>
              </a:graphicData>
            </a:graphic>
          </wp:inline>
        </w:drawing>
      </w:r>
    </w:p>
    <w:p>
      <w:pPr>
        <w:spacing w:line="480" w:lineRule="auto"/>
        <w:jc w:val="both"/>
        <w:rPr>
          <w:rFonts w:ascii="Arial" w:hAnsi="Arial" w:eastAsia="Arial" w:cs="Arial"/>
          <w:lang w:val="en-US" w:eastAsia="zh-CN"/>
        </w:rPr>
      </w:pPr>
      <w:r>
        <w:rPr>
          <w:rFonts w:hint="eastAsia" w:ascii="Arial" w:hAnsi="Arial" w:eastAsia="Arial" w:cs="Arial"/>
          <w:b/>
          <w:bCs/>
          <w:lang w:val="en-US" w:eastAsia="zh-CN"/>
        </w:rPr>
        <w:t>Figure S13.</w:t>
      </w:r>
      <w:r>
        <w:rPr>
          <w:rFonts w:ascii="Arial" w:hAnsi="Arial" w:eastAsia="Arial" w:cs="Arial"/>
          <w:color w:val="000000"/>
          <w:lang w:val="en-US" w:eastAsia="zh-CN"/>
        </w:rPr>
        <w:t xml:space="preserve"> HADDF-STEM image of </w:t>
      </w:r>
      <w:r>
        <w:rPr>
          <w:rFonts w:ascii="Arial" w:hAnsi="Arial" w:eastAsia="Arial" w:cs="Arial"/>
          <w:lang w:val="en-US" w:eastAsia="zh-CN"/>
        </w:rPr>
        <w:t>Cu–N</w:t>
      </w:r>
      <w:r>
        <w:rPr>
          <w:rFonts w:hint="eastAsia" w:ascii="Arial" w:hAnsi="Arial" w:eastAsia="Arial" w:cs="Arial"/>
          <w:vertAlign w:val="subscript"/>
          <w:lang w:val="en-US" w:eastAsia="zh-CN"/>
        </w:rPr>
        <w:t>2</w:t>
      </w:r>
      <w:r>
        <w:rPr>
          <w:rFonts w:ascii="Arial" w:hAnsi="Arial" w:eastAsia="Arial" w:cs="Arial"/>
          <w:lang w:val="en-US" w:eastAsia="zh-CN"/>
        </w:rPr>
        <w:t xml:space="preserve">@HNOC </w:t>
      </w:r>
      <w:r>
        <w:rPr>
          <w:rFonts w:ascii="Arial" w:hAnsi="Arial" w:eastAsia="Arial" w:cs="Arial"/>
          <w:color w:val="000000"/>
          <w:lang w:val="en-US" w:eastAsia="zh-CN"/>
        </w:rPr>
        <w:t>after heat-treatment at 2000K</w:t>
      </w:r>
    </w:p>
    <w:p>
      <w:pPr>
        <w:spacing w:line="480" w:lineRule="auto"/>
        <w:jc w:val="center"/>
        <w:rPr>
          <w:rFonts w:ascii="Arial" w:hAnsi="Arial" w:eastAsia="Arial" w:cs="Arial"/>
          <w:lang w:val="en-US" w:eastAsia="zh-CN"/>
        </w:rPr>
      </w:pPr>
      <w:r>
        <w:rPr>
          <w:sz w:val="20"/>
        </w:rPr>
        <w:drawing>
          <wp:inline distT="0" distB="0" distL="0" distR="0">
            <wp:extent cx="5283835" cy="1373505"/>
            <wp:effectExtent l="0" t="0" r="0" b="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
                    <pic:cNvPicPr>
                      <a:picLocks noChangeAspect="1" noChangeArrowheads="1"/>
                    </pic:cNvPicPr>
                  </pic:nvPicPr>
                  <pic:blipFill>
                    <a:blip r:embed="rId19" cstate="print"/>
                    <a:stretch>
                      <a:fillRect/>
                    </a:stretch>
                  </pic:blipFill>
                  <pic:spPr>
                    <a:xfrm>
                      <a:off x="0" y="0"/>
                      <a:ext cx="5284470" cy="1374140"/>
                    </a:xfrm>
                    <a:prstGeom prst="rect">
                      <a:avLst/>
                    </a:prstGeom>
                    <a:ln cap="flat"/>
                  </pic:spPr>
                </pic:pic>
              </a:graphicData>
            </a:graphic>
          </wp:inline>
        </w:drawing>
      </w:r>
    </w:p>
    <w:p>
      <w:pPr>
        <w:spacing w:line="480" w:lineRule="auto"/>
        <w:jc w:val="both"/>
        <w:rPr>
          <w:rFonts w:ascii="Arial" w:hAnsi="Arial" w:eastAsia="Arial" w:cs="Arial"/>
          <w:color w:val="000000"/>
          <w:lang w:val="en-US" w:eastAsia="zh-CN"/>
        </w:rPr>
      </w:pPr>
      <w:r>
        <w:rPr>
          <w:rFonts w:hint="eastAsia" w:ascii="Arial" w:hAnsi="Arial" w:eastAsia="Arial" w:cs="Arial"/>
          <w:b/>
          <w:bCs/>
          <w:lang w:val="en-US" w:eastAsia="zh-CN"/>
        </w:rPr>
        <w:t>Figure S14.</w:t>
      </w:r>
      <w:r>
        <w:rPr>
          <w:rFonts w:ascii="Arial" w:hAnsi="Arial" w:eastAsia="Arial" w:cs="Arial"/>
          <w:color w:val="000000"/>
          <w:lang w:val="en-US" w:eastAsia="zh-CN"/>
        </w:rPr>
        <w:t xml:space="preserve"> Elemental mapping images of </w:t>
      </w:r>
      <w:r>
        <w:rPr>
          <w:rFonts w:ascii="Arial" w:hAnsi="Arial" w:eastAsia="Arial" w:cs="Arial"/>
          <w:lang w:val="en-US" w:eastAsia="zh-CN"/>
        </w:rPr>
        <w:t>Cu–N</w:t>
      </w:r>
      <w:r>
        <w:rPr>
          <w:rFonts w:hint="eastAsia" w:ascii="Arial" w:hAnsi="Arial" w:eastAsia="Arial" w:cs="Arial"/>
          <w:vertAlign w:val="subscript"/>
          <w:lang w:val="en-US" w:eastAsia="zh-CN"/>
        </w:rPr>
        <w:t>2</w:t>
      </w:r>
      <w:r>
        <w:rPr>
          <w:rFonts w:ascii="Arial" w:hAnsi="Arial" w:eastAsia="Arial" w:cs="Arial"/>
          <w:lang w:val="en-US" w:eastAsia="zh-CN"/>
        </w:rPr>
        <w:t xml:space="preserve">@HNOC </w:t>
      </w:r>
      <w:r>
        <w:rPr>
          <w:rFonts w:ascii="Arial" w:hAnsi="Arial" w:eastAsia="Arial" w:cs="Arial"/>
          <w:color w:val="000000"/>
          <w:lang w:val="en-US" w:eastAsia="zh-CN"/>
        </w:rPr>
        <w:t>after heat-treatment at 2000K</w:t>
      </w:r>
    </w:p>
    <w:p>
      <w:pPr>
        <w:spacing w:line="480" w:lineRule="auto"/>
        <w:jc w:val="center"/>
        <w:rPr>
          <w:rFonts w:ascii="Arial" w:hAnsi="Arial" w:eastAsia="Arial" w:cs="Arial"/>
          <w:color w:val="000000"/>
          <w:lang w:val="en-US" w:eastAsia="zh-CN"/>
        </w:rPr>
      </w:pPr>
      <w:r>
        <w:rPr>
          <w:sz w:val="20"/>
        </w:rPr>
        <w:drawing>
          <wp:inline distT="0" distB="0" distL="0" distR="0">
            <wp:extent cx="4244975" cy="2999740"/>
            <wp:effectExtent l="0" t="0" r="9525" b="1016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2"/>
                    <pic:cNvPicPr>
                      <a:picLocks noChangeAspect="1" noChangeArrowheads="1"/>
                    </pic:cNvPicPr>
                  </pic:nvPicPr>
                  <pic:blipFill>
                    <a:blip r:embed="rId20" cstate="print"/>
                    <a:stretch>
                      <a:fillRect/>
                    </a:stretch>
                  </pic:blipFill>
                  <pic:spPr>
                    <a:xfrm>
                      <a:off x="0" y="0"/>
                      <a:ext cx="4244975" cy="2999740"/>
                    </a:xfrm>
                    <a:prstGeom prst="rect">
                      <a:avLst/>
                    </a:prstGeom>
                    <a:ln cap="flat"/>
                  </pic:spPr>
                </pic:pic>
              </a:graphicData>
            </a:graphic>
          </wp:inline>
        </w:drawing>
      </w:r>
    </w:p>
    <w:p>
      <w:pPr>
        <w:spacing w:line="480" w:lineRule="auto"/>
        <w:jc w:val="both"/>
        <w:rPr>
          <w:rFonts w:ascii="Arial" w:hAnsi="Arial" w:eastAsia="Arial" w:cs="Arial"/>
          <w:color w:val="000000"/>
          <w:lang w:val="en-US" w:eastAsia="zh-CN"/>
        </w:rPr>
      </w:pPr>
      <w:r>
        <w:rPr>
          <w:rFonts w:hint="eastAsia" w:ascii="Arial" w:hAnsi="Arial" w:eastAsia="Arial" w:cs="Arial"/>
          <w:b/>
          <w:bCs/>
          <w:lang w:val="en-US" w:eastAsia="zh-CN"/>
        </w:rPr>
        <w:t>Figure S15.</w:t>
      </w:r>
      <w:r>
        <w:rPr>
          <w:rFonts w:ascii="Arial" w:hAnsi="Arial" w:eastAsia="Arial" w:cs="Arial"/>
          <w:color w:val="000000"/>
          <w:lang w:val="en-US" w:eastAsia="zh-CN"/>
        </w:rPr>
        <w:t xml:space="preserve"> Cu </w:t>
      </w:r>
      <w:r>
        <w:rPr>
          <w:rFonts w:ascii="Arial" w:hAnsi="Arial" w:eastAsia="Arial" w:cs="Arial"/>
          <w:i/>
          <w:color w:val="000000"/>
          <w:lang w:val="en-US" w:eastAsia="zh-CN"/>
        </w:rPr>
        <w:t>2p</w:t>
      </w:r>
      <w:r>
        <w:rPr>
          <w:rFonts w:ascii="Arial" w:hAnsi="Arial" w:eastAsia="Arial" w:cs="Arial"/>
          <w:color w:val="000000"/>
          <w:lang w:val="en-US" w:eastAsia="zh-CN"/>
        </w:rPr>
        <w:t xml:space="preserve"> high resolution XPS spectrum of </w:t>
      </w:r>
      <w:r>
        <w:rPr>
          <w:rFonts w:ascii="Arial" w:hAnsi="Arial" w:eastAsia="Arial" w:cs="Arial"/>
          <w:lang w:val="en-US" w:eastAsia="zh-CN"/>
        </w:rPr>
        <w:t>Cu–N</w:t>
      </w:r>
      <w:r>
        <w:rPr>
          <w:rFonts w:hint="eastAsia" w:ascii="Arial" w:hAnsi="Arial" w:eastAsia="Arial" w:cs="Arial"/>
          <w:vertAlign w:val="subscript"/>
          <w:lang w:val="en-US" w:eastAsia="zh-CN"/>
        </w:rPr>
        <w:t>2</w:t>
      </w:r>
      <w:r>
        <w:rPr>
          <w:rFonts w:ascii="Arial" w:hAnsi="Arial" w:eastAsia="Arial" w:cs="Arial"/>
          <w:lang w:val="en-US" w:eastAsia="zh-CN"/>
        </w:rPr>
        <w:t xml:space="preserve">@HNOC </w:t>
      </w:r>
      <w:r>
        <w:rPr>
          <w:rFonts w:ascii="Arial" w:hAnsi="Arial" w:eastAsia="Arial" w:cs="Arial"/>
          <w:color w:val="000000"/>
          <w:lang w:val="en-US" w:eastAsia="zh-CN"/>
        </w:rPr>
        <w:t>after heat-treatment at 2000 K</w:t>
      </w:r>
    </w:p>
    <w:p>
      <w:pPr>
        <w:spacing w:line="480" w:lineRule="auto"/>
        <w:jc w:val="center"/>
        <w:rPr>
          <w:rFonts w:ascii="Arial" w:hAnsi="Arial" w:eastAsia="Arial" w:cs="Arial"/>
          <w:color w:val="000000"/>
          <w:lang w:val="en-US" w:eastAsia="zh-CN"/>
        </w:rPr>
      </w:pPr>
      <w:r>
        <w:rPr>
          <w:sz w:val="20"/>
          <w:shd w:val="clear" w:color="auto" w:fill="FFFF00"/>
        </w:rPr>
        <w:drawing>
          <wp:inline distT="0" distB="0" distL="0" distR="0">
            <wp:extent cx="4049395" cy="4017645"/>
            <wp:effectExtent l="0" t="0" r="1905" b="8255"/>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1"/>
                    <pic:cNvPicPr>
                      <a:picLocks noChangeAspect="1" noChangeArrowheads="1"/>
                    </pic:cNvPicPr>
                  </pic:nvPicPr>
                  <pic:blipFill>
                    <a:blip r:embed="rId21" cstate="print"/>
                    <a:stretch>
                      <a:fillRect/>
                    </a:stretch>
                  </pic:blipFill>
                  <pic:spPr>
                    <a:xfrm>
                      <a:off x="0" y="0"/>
                      <a:ext cx="4049395" cy="4017645"/>
                    </a:xfrm>
                    <a:prstGeom prst="rect">
                      <a:avLst/>
                    </a:prstGeom>
                    <a:ln cap="flat"/>
                  </pic:spPr>
                </pic:pic>
              </a:graphicData>
            </a:graphic>
          </wp:inline>
        </w:drawing>
      </w:r>
    </w:p>
    <w:p>
      <w:pPr>
        <w:spacing w:line="480" w:lineRule="auto"/>
        <w:jc w:val="both"/>
        <w:rPr>
          <w:rFonts w:hint="default" w:ascii="Arial" w:hAnsi="Arial" w:eastAsia="Arial" w:cs="Arial"/>
          <w:lang w:val="en-US" w:eastAsia="zh-CN"/>
        </w:rPr>
      </w:pPr>
      <w:r>
        <w:rPr>
          <w:rFonts w:hint="eastAsia" w:ascii="Arial" w:hAnsi="Arial" w:eastAsia="Arial" w:cs="Arial"/>
          <w:b/>
          <w:bCs/>
          <w:lang w:val="en-US" w:eastAsia="zh-CN"/>
        </w:rPr>
        <w:t>Figure S16.</w:t>
      </w:r>
      <w:r>
        <w:rPr>
          <w:rFonts w:ascii="Arial" w:hAnsi="Arial" w:eastAsia="Arial" w:cs="Arial"/>
          <w:color w:val="000000"/>
          <w:lang w:val="en-US" w:eastAsia="zh-CN"/>
        </w:rPr>
        <w:t xml:space="preserve"> </w:t>
      </w:r>
      <w:r>
        <w:rPr>
          <w:rFonts w:hint="eastAsia" w:ascii="Arial" w:hAnsi="Arial" w:eastAsia="Arial" w:cs="Arial"/>
          <w:color w:val="000000"/>
          <w:lang w:val="en-US" w:eastAsia="zh-CN"/>
        </w:rPr>
        <w:t>The MD simulations of Cu-N</w:t>
      </w:r>
      <w:r>
        <w:rPr>
          <w:rFonts w:hint="eastAsia" w:ascii="Arial" w:hAnsi="Arial" w:eastAsia="Arial" w:cs="Arial"/>
          <w:color w:val="000000"/>
          <w:vertAlign w:val="subscript"/>
          <w:lang w:val="en-US" w:eastAsia="zh-CN"/>
        </w:rPr>
        <w:t>2</w:t>
      </w:r>
      <w:r>
        <w:rPr>
          <w:rFonts w:hint="eastAsia" w:ascii="Arial" w:hAnsi="Arial" w:eastAsia="Arial" w:cs="Arial"/>
          <w:color w:val="000000"/>
          <w:lang w:val="en-US" w:eastAsia="zh-CN"/>
        </w:rPr>
        <w:t>-C models at 300, 500, 1000, 1500 and 2000K in 100 ps with a time step of 1.0 fs</w:t>
      </w:r>
    </w:p>
    <w:p>
      <w:pPr>
        <w:spacing w:line="480" w:lineRule="auto"/>
        <w:jc w:val="center"/>
      </w:pPr>
      <w:r>
        <w:rPr>
          <w:sz w:val="20"/>
        </w:rPr>
        <w:drawing>
          <wp:inline distT="0" distB="0" distL="0" distR="0">
            <wp:extent cx="4824095" cy="3409950"/>
            <wp:effectExtent l="0" t="0" r="1905" b="6350"/>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824095" cy="3409950"/>
                    </a:xfrm>
                    <a:prstGeom prst="rect">
                      <a:avLst/>
                    </a:prstGeom>
                    <a:noFill/>
                    <a:ln cap="flat">
                      <a:noFill/>
                    </a:ln>
                  </pic:spPr>
                </pic:pic>
              </a:graphicData>
            </a:graphic>
          </wp:inline>
        </w:drawing>
      </w:r>
    </w:p>
    <w:p>
      <w:pPr>
        <w:spacing w:line="480" w:lineRule="auto"/>
        <w:jc w:val="center"/>
        <w:rPr>
          <w:rFonts w:ascii="Arial" w:hAnsi="Arial" w:eastAsia="Arial" w:cs="Arial"/>
          <w:lang w:val="en-US" w:eastAsia="zh-CN"/>
        </w:rPr>
      </w:pPr>
      <w:r>
        <w:rPr>
          <w:rFonts w:ascii="Arial" w:hAnsi="Arial" w:eastAsia="Arial" w:cs="Arial"/>
          <w:b/>
          <w:bCs/>
          <w:lang w:eastAsia="zh-CN"/>
        </w:rPr>
        <w:t>Figure S1</w:t>
      </w:r>
      <w:r>
        <w:rPr>
          <w:rFonts w:hint="eastAsia" w:ascii="Arial" w:hAnsi="Arial" w:eastAsia="Arial" w:cs="Arial"/>
          <w:b/>
          <w:bCs/>
          <w:lang w:val="en-US" w:eastAsia="zh-CN"/>
        </w:rPr>
        <w:t>7</w:t>
      </w:r>
      <w:r>
        <w:rPr>
          <w:rFonts w:ascii="Arial" w:hAnsi="Arial" w:eastAsia="Arial" w:cs="Arial"/>
          <w:b/>
          <w:bCs/>
          <w:lang w:eastAsia="zh-CN"/>
        </w:rPr>
        <w:t>.</w:t>
      </w:r>
      <w:r>
        <w:rPr>
          <w:rFonts w:ascii="Arial" w:hAnsi="Arial" w:eastAsia="Arial" w:cs="Arial"/>
          <w:lang w:eastAsia="zh-CN"/>
        </w:rPr>
        <w:t xml:space="preserve"> Comparison of cost considerations for different catalysts</w:t>
      </w:r>
      <w:r>
        <w:br w:type="page"/>
      </w:r>
    </w:p>
    <w:p>
      <w:pPr>
        <w:numPr>
          <w:ilvl w:val="0"/>
          <w:numId w:val="3"/>
        </w:numPr>
        <w:spacing w:line="480" w:lineRule="auto"/>
        <w:jc w:val="both"/>
        <w:rPr>
          <w:rFonts w:ascii="Arial" w:hAnsi="Arial" w:eastAsia="Arial" w:cs="Arial"/>
          <w:b/>
          <w:sz w:val="28"/>
          <w:szCs w:val="28"/>
          <w:lang w:val="en-US" w:eastAsia="zh-CN"/>
        </w:rPr>
      </w:pPr>
      <w:r>
        <w:rPr>
          <w:rFonts w:ascii="Arial" w:hAnsi="Arial" w:eastAsia="Arial" w:cs="Arial"/>
          <w:b/>
          <w:sz w:val="28"/>
          <w:szCs w:val="28"/>
          <w:lang w:val="en-US" w:eastAsia="zh-CN"/>
        </w:rPr>
        <w:t>Supplementary Table</w:t>
      </w:r>
    </w:p>
    <w:p>
      <w:pPr>
        <w:pStyle w:val="14"/>
        <w:spacing w:line="480" w:lineRule="auto"/>
        <w:ind w:left="502" w:firstLine="0"/>
        <w:jc w:val="both"/>
        <w:rPr>
          <w:rFonts w:ascii="Arial" w:hAnsi="Arial" w:eastAsia="Arial" w:cs="Arial"/>
          <w:lang w:eastAsia="zh-CN"/>
        </w:rPr>
      </w:pPr>
      <w:r>
        <w:rPr>
          <w:rFonts w:ascii="Arial" w:hAnsi="Arial" w:eastAsia="Arial" w:cs="Arial"/>
        </w:rPr>
        <w:t>T</w:t>
      </w:r>
      <w:r>
        <w:rPr>
          <w:rFonts w:hint="eastAsia" w:ascii="Arial" w:hAnsi="Arial" w:eastAsia="Arial" w:cs="Arial"/>
        </w:rPr>
        <w:t>able S1. The content of different nitrogen configuration in different catalysts</w:t>
      </w:r>
    </w:p>
    <w:tbl>
      <w:tblPr>
        <w:tblStyle w:val="57"/>
        <w:tblW w:w="0" w:type="auto"/>
        <w:tblInd w:w="250" w:type="dxa"/>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49"/>
        <w:gridCol w:w="1304"/>
        <w:gridCol w:w="865"/>
        <w:gridCol w:w="1319"/>
        <w:gridCol w:w="1348"/>
        <w:gridCol w:w="1437"/>
      </w:tblGrid>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9" w:type="dxa"/>
            <w:tcBorders>
              <w:top w:val="single" w:color="000000" w:sz="4" w:space="0"/>
              <w:left w:val="nil"/>
              <w:bottom w:val="nil"/>
              <w:right w:val="nil"/>
              <w:insideH w:val="nil"/>
              <w:insideV w:val="nil"/>
            </w:tcBorders>
            <w:shd w:val="clear" w:color="000000" w:fill="C0C0C0"/>
            <w:vAlign w:val="top"/>
          </w:tcPr>
          <w:p>
            <w:pPr>
              <w:spacing w:before="0" w:after="0" w:line="480" w:lineRule="auto"/>
              <w:jc w:val="center"/>
              <w:rPr>
                <w:rFonts w:ascii="Arial" w:hAnsi="Arial" w:eastAsia="Arial" w:cs="Arial"/>
                <w:b w:val="0"/>
                <w:color w:val="000000"/>
                <w:sz w:val="22"/>
                <w:szCs w:val="22"/>
                <w:lang w:val="en-US" w:eastAsia="zh-CN"/>
              </w:rPr>
            </w:pPr>
          </w:p>
        </w:tc>
        <w:tc>
          <w:tcPr>
            <w:tcW w:w="1304" w:type="dxa"/>
            <w:tcBorders>
              <w:top w:val="single" w:color="000000" w:sz="4" w:space="0"/>
              <w:bottom w:val="single" w:color="000000" w:sz="4" w:space="0"/>
              <w:right w:val="nil"/>
              <w:insideV w:val="nil"/>
            </w:tcBorders>
            <w:shd w:val="clear" w:color="000000" w:fill="C0C0C0"/>
            <w:vAlign w:val="top"/>
          </w:tcPr>
          <w:p>
            <w:pPr>
              <w:spacing w:before="0" w:after="0" w:line="480" w:lineRule="auto"/>
              <w:jc w:val="center"/>
              <w:rPr>
                <w:rFonts w:ascii="Arial" w:hAnsi="Arial" w:eastAsia="Arial" w:cs="Arial"/>
                <w:b w:val="0"/>
                <w:color w:val="000000"/>
                <w:sz w:val="22"/>
                <w:szCs w:val="22"/>
                <w:lang w:val="en-US" w:eastAsia="zh-CN"/>
              </w:rPr>
            </w:pPr>
            <w:r>
              <w:rPr>
                <w:rFonts w:ascii="Arial" w:hAnsi="Arial" w:eastAsia="Arial" w:cs="Arial"/>
                <w:b w:val="0"/>
                <w:color w:val="000000"/>
                <w:sz w:val="22"/>
                <w:szCs w:val="22"/>
                <w:lang w:val="en-US" w:eastAsia="zh-CN"/>
              </w:rPr>
              <w:t>P</w:t>
            </w:r>
            <w:r>
              <w:rPr>
                <w:rFonts w:hint="eastAsia" w:ascii="Arial" w:hAnsi="Arial" w:eastAsia="Arial" w:cs="Arial"/>
                <w:b w:val="0"/>
                <w:color w:val="000000"/>
                <w:sz w:val="22"/>
                <w:szCs w:val="22"/>
                <w:lang w:val="en-US" w:eastAsia="zh-CN"/>
              </w:rPr>
              <w:t>yridinic-N</w:t>
            </w:r>
          </w:p>
        </w:tc>
        <w:tc>
          <w:tcPr>
            <w:tcW w:w="865" w:type="dxa"/>
            <w:tcBorders>
              <w:top w:val="single" w:color="000000" w:sz="4" w:space="0"/>
              <w:left w:val="nil"/>
              <w:bottom w:val="nil"/>
              <w:right w:val="nil"/>
              <w:insideH w:val="nil"/>
              <w:insideV w:val="nil"/>
            </w:tcBorders>
            <w:shd w:val="clear" w:color="000000" w:fill="C0C0C0"/>
            <w:vAlign w:val="top"/>
          </w:tcPr>
          <w:p>
            <w:pPr>
              <w:spacing w:before="0" w:after="0" w:line="480" w:lineRule="auto"/>
              <w:jc w:val="center"/>
              <w:rPr>
                <w:rFonts w:ascii="Arial" w:hAnsi="Arial" w:eastAsia="Arial" w:cs="Arial"/>
                <w:b w:val="0"/>
                <w:color w:val="000000"/>
                <w:sz w:val="22"/>
                <w:szCs w:val="22"/>
                <w:lang w:val="en-US" w:eastAsia="zh-CN"/>
              </w:rPr>
            </w:pPr>
            <w:r>
              <w:rPr>
                <w:rFonts w:hint="eastAsia" w:ascii="Arial" w:hAnsi="Arial" w:eastAsia="Arial" w:cs="Arial"/>
                <w:b w:val="0"/>
                <w:color w:val="000000"/>
                <w:sz w:val="22"/>
                <w:szCs w:val="22"/>
                <w:lang w:val="en-US" w:eastAsia="zh-CN"/>
              </w:rPr>
              <w:t>Cu-N</w:t>
            </w:r>
          </w:p>
        </w:tc>
        <w:tc>
          <w:tcPr>
            <w:tcW w:w="1319" w:type="dxa"/>
            <w:tcBorders>
              <w:top w:val="single" w:color="000000" w:sz="4" w:space="0"/>
              <w:bottom w:val="single" w:color="000000" w:sz="4" w:space="0"/>
              <w:right w:val="nil"/>
              <w:insideV w:val="nil"/>
            </w:tcBorders>
            <w:shd w:val="clear" w:color="000000" w:fill="C0C0C0"/>
            <w:vAlign w:val="top"/>
          </w:tcPr>
          <w:p>
            <w:pPr>
              <w:spacing w:before="0" w:after="0" w:line="480" w:lineRule="auto"/>
              <w:jc w:val="center"/>
              <w:rPr>
                <w:rFonts w:ascii="Arial" w:hAnsi="Arial" w:eastAsia="Arial" w:cs="Arial"/>
                <w:b w:val="0"/>
                <w:color w:val="000000"/>
                <w:sz w:val="22"/>
                <w:szCs w:val="22"/>
                <w:lang w:val="en-US" w:eastAsia="zh-CN"/>
              </w:rPr>
            </w:pPr>
            <w:r>
              <w:rPr>
                <w:rFonts w:hint="eastAsia" w:ascii="Arial" w:hAnsi="Arial" w:eastAsia="Arial" w:cs="Arial"/>
                <w:b w:val="0"/>
                <w:color w:val="000000"/>
                <w:sz w:val="22"/>
                <w:szCs w:val="22"/>
                <w:lang w:val="en-US" w:eastAsia="zh-CN"/>
              </w:rPr>
              <w:t>Pyrrollic-N</w:t>
            </w:r>
          </w:p>
        </w:tc>
        <w:tc>
          <w:tcPr>
            <w:tcW w:w="1348" w:type="dxa"/>
            <w:tcBorders>
              <w:top w:val="single" w:color="000000" w:sz="4" w:space="0"/>
              <w:left w:val="nil"/>
              <w:bottom w:val="nil"/>
              <w:right w:val="nil"/>
              <w:insideH w:val="nil"/>
              <w:insideV w:val="nil"/>
            </w:tcBorders>
            <w:shd w:val="clear" w:color="000000" w:fill="C0C0C0"/>
            <w:vAlign w:val="top"/>
          </w:tcPr>
          <w:p>
            <w:pPr>
              <w:spacing w:before="0" w:after="0" w:line="480" w:lineRule="auto"/>
              <w:jc w:val="center"/>
              <w:rPr>
                <w:rFonts w:ascii="Arial" w:hAnsi="Arial" w:eastAsia="Arial" w:cs="Arial"/>
                <w:b w:val="0"/>
                <w:color w:val="000000"/>
                <w:sz w:val="22"/>
                <w:szCs w:val="22"/>
                <w:lang w:val="en-US" w:eastAsia="zh-CN"/>
              </w:rPr>
            </w:pPr>
            <w:r>
              <w:rPr>
                <w:rFonts w:hint="eastAsia" w:ascii="Arial" w:hAnsi="Arial" w:eastAsia="Arial" w:cs="Arial"/>
                <w:b w:val="0"/>
                <w:color w:val="000000"/>
                <w:sz w:val="22"/>
                <w:szCs w:val="22"/>
                <w:lang w:val="en-US" w:eastAsia="zh-CN"/>
              </w:rPr>
              <w:t>Graphite-N</w:t>
            </w:r>
          </w:p>
        </w:tc>
        <w:tc>
          <w:tcPr>
            <w:tcW w:w="1437" w:type="dxa"/>
            <w:tcBorders>
              <w:top w:val="single" w:color="000000" w:sz="4" w:space="0"/>
              <w:bottom w:val="single" w:color="000000" w:sz="4" w:space="0"/>
              <w:right w:val="nil"/>
              <w:insideV w:val="nil"/>
            </w:tcBorders>
            <w:shd w:val="clear" w:color="000000" w:fill="C0C0C0"/>
            <w:vAlign w:val="top"/>
          </w:tcPr>
          <w:p>
            <w:pPr>
              <w:spacing w:before="0" w:after="0" w:line="480" w:lineRule="auto"/>
              <w:jc w:val="center"/>
              <w:rPr>
                <w:rFonts w:ascii="Arial" w:hAnsi="Arial" w:eastAsia="Arial" w:cs="Arial"/>
                <w:b w:val="0"/>
                <w:color w:val="000000"/>
                <w:sz w:val="22"/>
                <w:szCs w:val="22"/>
                <w:lang w:val="en-US" w:eastAsia="zh-CN"/>
              </w:rPr>
            </w:pPr>
            <w:r>
              <w:rPr>
                <w:rFonts w:hint="eastAsia" w:ascii="Arial" w:hAnsi="Arial" w:eastAsia="Arial" w:cs="Arial"/>
                <w:b w:val="0"/>
                <w:color w:val="000000"/>
                <w:sz w:val="22"/>
                <w:szCs w:val="22"/>
                <w:lang w:val="en-US" w:eastAsia="zh-CN"/>
              </w:rPr>
              <w:t>Oxideized-N</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9" w:type="dxa"/>
            <w:tcBorders>
              <w:top w:val="single" w:color="000000" w:sz="4" w:space="0"/>
              <w:left w:val="nil"/>
              <w:bottom w:val="nil"/>
              <w:right w:val="nil"/>
              <w:insideH w:val="nil"/>
            </w:tcBorders>
            <w:shd w:val="clear" w:color="000000" w:fill="FFFFFF"/>
            <w:vAlign w:val="top"/>
          </w:tcPr>
          <w:p>
            <w:pPr>
              <w:spacing w:line="480" w:lineRule="auto"/>
              <w:jc w:val="center"/>
              <w:rPr>
                <w:rFonts w:ascii="Arial" w:hAnsi="Arial" w:eastAsia="Arial" w:cs="Arial"/>
                <w:b w:val="0"/>
                <w:color w:val="000000"/>
                <w:sz w:val="22"/>
                <w:szCs w:val="22"/>
                <w:lang w:val="en-US" w:eastAsia="zh-CN"/>
              </w:rPr>
            </w:pPr>
            <w:r>
              <w:rPr>
                <w:rFonts w:ascii="Arial" w:hAnsi="Arial" w:eastAsia="Arial" w:cs="Arial"/>
                <w:b w:val="0"/>
                <w:color w:val="000000"/>
                <w:sz w:val="22"/>
                <w:szCs w:val="22"/>
                <w:lang w:val="en-US" w:eastAsia="zh-CN"/>
              </w:rPr>
              <w:t>Cu-N</w:t>
            </w:r>
            <w:r>
              <w:rPr>
                <w:rFonts w:hint="eastAsia" w:ascii="Arial" w:hAnsi="Arial" w:eastAsia="Arial" w:cs="Arial"/>
                <w:b w:val="0"/>
                <w:color w:val="000000"/>
                <w:sz w:val="22"/>
                <w:szCs w:val="22"/>
                <w:vertAlign w:val="subscript"/>
                <w:lang w:val="en-US" w:eastAsia="zh-CN"/>
              </w:rPr>
              <w:t>2</w:t>
            </w:r>
            <w:r>
              <w:rPr>
                <w:rFonts w:ascii="Arial" w:hAnsi="Arial" w:eastAsia="Arial" w:cs="Arial"/>
                <w:b w:val="0"/>
                <w:color w:val="000000"/>
                <w:sz w:val="22"/>
                <w:szCs w:val="22"/>
                <w:lang w:val="en-US" w:eastAsia="zh-CN"/>
              </w:rPr>
              <w:t>@HNOC</w:t>
            </w:r>
          </w:p>
        </w:tc>
        <w:tc>
          <w:tcPr>
            <w:tcW w:w="1304" w:type="dxa"/>
            <w:tcBorders>
              <w:top w:val="single" w:color="000000" w:sz="4" w:space="0"/>
              <w:bottom w:val="nil"/>
              <w:right w:val="nil"/>
            </w:tcBorders>
            <w:shd w:val="clear" w:color="000000" w:fill="FFFFFF"/>
            <w:vAlign w:val="top"/>
          </w:tcPr>
          <w:p>
            <w:pPr>
              <w:spacing w:line="480" w:lineRule="auto"/>
              <w:jc w:val="center"/>
              <w:rPr>
                <w:rFonts w:ascii="Arial" w:hAnsi="Arial" w:eastAsia="Arial" w:cs="Arial"/>
                <w:color w:val="000000"/>
                <w:sz w:val="22"/>
                <w:szCs w:val="22"/>
                <w:lang w:val="en-US" w:eastAsia="zh-CN"/>
              </w:rPr>
            </w:pPr>
            <w:r>
              <w:rPr>
                <w:rFonts w:hint="eastAsia" w:ascii="Arial" w:hAnsi="Arial" w:eastAsia="Arial" w:cs="Arial"/>
                <w:color w:val="000000"/>
                <w:sz w:val="22"/>
                <w:szCs w:val="22"/>
                <w:lang w:val="en-US" w:eastAsia="zh-CN"/>
              </w:rPr>
              <w:t>26.7%</w:t>
            </w:r>
          </w:p>
        </w:tc>
        <w:tc>
          <w:tcPr>
            <w:tcW w:w="865" w:type="dxa"/>
            <w:tcBorders>
              <w:top w:val="single" w:color="000000" w:sz="4" w:space="0"/>
              <w:left w:val="nil"/>
              <w:bottom w:val="nil"/>
              <w:right w:val="nil"/>
              <w:insideH w:val="nil"/>
            </w:tcBorders>
            <w:shd w:val="clear" w:color="000000" w:fill="FFFFFF"/>
            <w:vAlign w:val="top"/>
          </w:tcPr>
          <w:p>
            <w:pPr>
              <w:spacing w:line="480" w:lineRule="auto"/>
              <w:jc w:val="center"/>
              <w:rPr>
                <w:rFonts w:ascii="Arial" w:hAnsi="Arial" w:eastAsia="Arial" w:cs="Arial"/>
                <w:color w:val="000000"/>
                <w:sz w:val="22"/>
                <w:szCs w:val="22"/>
                <w:lang w:val="en-US" w:eastAsia="zh-CN"/>
              </w:rPr>
            </w:pPr>
            <w:r>
              <w:rPr>
                <w:rFonts w:hint="eastAsia" w:ascii="Arial" w:hAnsi="Arial" w:eastAsia="Arial" w:cs="Arial"/>
                <w:color w:val="000000"/>
                <w:sz w:val="22"/>
                <w:szCs w:val="22"/>
                <w:lang w:val="en-US" w:eastAsia="zh-CN"/>
              </w:rPr>
              <w:t>25.7%</w:t>
            </w:r>
          </w:p>
        </w:tc>
        <w:tc>
          <w:tcPr>
            <w:tcW w:w="1319" w:type="dxa"/>
            <w:tcBorders>
              <w:top w:val="single" w:color="000000" w:sz="4" w:space="0"/>
              <w:bottom w:val="nil"/>
              <w:right w:val="nil"/>
            </w:tcBorders>
            <w:shd w:val="clear" w:color="000000" w:fill="FFFFFF"/>
            <w:vAlign w:val="top"/>
          </w:tcPr>
          <w:p>
            <w:pPr>
              <w:spacing w:line="480" w:lineRule="auto"/>
              <w:jc w:val="center"/>
              <w:rPr>
                <w:rFonts w:ascii="Arial" w:hAnsi="Arial" w:eastAsia="Arial" w:cs="Arial"/>
                <w:color w:val="000000"/>
                <w:sz w:val="22"/>
                <w:szCs w:val="22"/>
                <w:lang w:val="en-US" w:eastAsia="zh-CN"/>
              </w:rPr>
            </w:pPr>
            <w:r>
              <w:rPr>
                <w:rFonts w:hint="eastAsia" w:ascii="Arial" w:hAnsi="Arial" w:eastAsia="Arial" w:cs="Arial"/>
                <w:color w:val="000000"/>
                <w:sz w:val="22"/>
                <w:szCs w:val="22"/>
                <w:lang w:val="en-US" w:eastAsia="zh-CN"/>
              </w:rPr>
              <w:t>26.6%</w:t>
            </w:r>
          </w:p>
        </w:tc>
        <w:tc>
          <w:tcPr>
            <w:tcW w:w="1348" w:type="dxa"/>
            <w:tcBorders>
              <w:top w:val="single" w:color="000000" w:sz="4" w:space="0"/>
              <w:left w:val="nil"/>
              <w:bottom w:val="nil"/>
              <w:right w:val="nil"/>
              <w:insideH w:val="nil"/>
            </w:tcBorders>
            <w:shd w:val="clear" w:color="000000" w:fill="FFFFFF"/>
            <w:vAlign w:val="top"/>
          </w:tcPr>
          <w:p>
            <w:pPr>
              <w:spacing w:line="480" w:lineRule="auto"/>
              <w:jc w:val="center"/>
              <w:rPr>
                <w:rFonts w:ascii="Arial" w:hAnsi="Arial" w:eastAsia="Arial" w:cs="Arial"/>
                <w:color w:val="000000"/>
                <w:sz w:val="22"/>
                <w:szCs w:val="22"/>
                <w:lang w:val="en-US" w:eastAsia="zh-CN"/>
              </w:rPr>
            </w:pPr>
            <w:r>
              <w:rPr>
                <w:rFonts w:hint="eastAsia" w:ascii="Arial" w:hAnsi="Arial" w:eastAsia="Arial" w:cs="Arial"/>
                <w:color w:val="000000"/>
                <w:sz w:val="22"/>
                <w:szCs w:val="22"/>
                <w:lang w:val="en-US" w:eastAsia="zh-CN"/>
              </w:rPr>
              <w:t>14.6%</w:t>
            </w:r>
          </w:p>
        </w:tc>
        <w:tc>
          <w:tcPr>
            <w:tcW w:w="1437" w:type="dxa"/>
            <w:tcBorders>
              <w:top w:val="single" w:color="000000" w:sz="4" w:space="0"/>
              <w:bottom w:val="nil"/>
              <w:right w:val="nil"/>
            </w:tcBorders>
            <w:shd w:val="clear" w:color="000000" w:fill="FFFFFF"/>
            <w:vAlign w:val="top"/>
          </w:tcPr>
          <w:p>
            <w:pPr>
              <w:spacing w:line="480" w:lineRule="auto"/>
              <w:jc w:val="center"/>
              <w:rPr>
                <w:rFonts w:ascii="Arial" w:hAnsi="Arial" w:eastAsia="Arial" w:cs="Arial"/>
                <w:color w:val="000000"/>
                <w:sz w:val="22"/>
                <w:szCs w:val="22"/>
                <w:lang w:val="en-US" w:eastAsia="zh-CN"/>
              </w:rPr>
            </w:pPr>
            <w:r>
              <w:rPr>
                <w:rFonts w:hint="eastAsia" w:ascii="Arial" w:hAnsi="Arial" w:eastAsia="Arial" w:cs="Arial"/>
                <w:color w:val="000000"/>
                <w:sz w:val="22"/>
                <w:szCs w:val="22"/>
                <w:lang w:val="en-US" w:eastAsia="zh-CN"/>
              </w:rPr>
              <w:t>6.4%</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9" w:type="dxa"/>
            <w:tcBorders>
              <w:top w:val="nil"/>
              <w:left w:val="nil"/>
              <w:bottom w:val="single" w:color="000000" w:sz="4" w:space="0"/>
              <w:right w:val="nil"/>
              <w:insideH w:val="nil"/>
              <w:insideV w:val="nil"/>
            </w:tcBorders>
            <w:shd w:val="clear" w:color="000000" w:fill="C0C0C0"/>
            <w:vAlign w:val="top"/>
          </w:tcPr>
          <w:p>
            <w:pPr>
              <w:spacing w:line="480" w:lineRule="auto"/>
              <w:jc w:val="center"/>
              <w:rPr>
                <w:rFonts w:ascii="Arial" w:hAnsi="Arial" w:eastAsia="Arial" w:cs="Arial"/>
                <w:b w:val="0"/>
                <w:color w:val="000000"/>
                <w:sz w:val="22"/>
                <w:szCs w:val="22"/>
                <w:lang w:val="en-US" w:eastAsia="zh-CN"/>
              </w:rPr>
            </w:pPr>
            <w:r>
              <w:rPr>
                <w:rFonts w:ascii="Arial" w:hAnsi="Arial" w:eastAsia="Arial" w:cs="Arial"/>
                <w:b w:val="0"/>
                <w:color w:val="000000"/>
                <w:sz w:val="22"/>
                <w:szCs w:val="22"/>
                <w:lang w:val="en-US" w:eastAsia="zh-CN"/>
              </w:rPr>
              <w:t>H</w:t>
            </w:r>
            <w:r>
              <w:rPr>
                <w:rFonts w:hint="eastAsia" w:ascii="Arial" w:hAnsi="Arial" w:eastAsia="Arial" w:cs="Arial"/>
                <w:b w:val="0"/>
                <w:color w:val="000000"/>
                <w:sz w:val="22"/>
                <w:szCs w:val="22"/>
                <w:lang w:val="en-US" w:eastAsia="zh-CN"/>
              </w:rPr>
              <w:t>N</w:t>
            </w:r>
            <w:r>
              <w:rPr>
                <w:rFonts w:ascii="Arial" w:hAnsi="Arial" w:eastAsia="Arial" w:cs="Arial"/>
                <w:b w:val="0"/>
                <w:color w:val="000000"/>
                <w:sz w:val="22"/>
                <w:szCs w:val="22"/>
                <w:lang w:val="en-US" w:eastAsia="zh-CN"/>
              </w:rPr>
              <w:t>OC</w:t>
            </w:r>
          </w:p>
        </w:tc>
        <w:tc>
          <w:tcPr>
            <w:tcW w:w="1304" w:type="dxa"/>
            <w:tcBorders>
              <w:top w:val="nil"/>
              <w:bottom w:val="single" w:color="000000" w:sz="4" w:space="0"/>
              <w:right w:val="nil"/>
              <w:insideV w:val="nil"/>
            </w:tcBorders>
            <w:shd w:val="clear" w:color="000000" w:fill="C0C0C0"/>
            <w:vAlign w:val="top"/>
          </w:tcPr>
          <w:p>
            <w:pPr>
              <w:spacing w:line="480" w:lineRule="auto"/>
              <w:jc w:val="center"/>
              <w:rPr>
                <w:rFonts w:ascii="Arial" w:hAnsi="Arial" w:eastAsia="Arial" w:cs="Arial"/>
                <w:color w:val="000000"/>
                <w:sz w:val="22"/>
                <w:szCs w:val="22"/>
                <w:lang w:val="en-US" w:eastAsia="zh-CN"/>
              </w:rPr>
            </w:pPr>
            <w:r>
              <w:rPr>
                <w:rFonts w:hint="eastAsia" w:ascii="Arial" w:hAnsi="Arial" w:eastAsia="Arial" w:cs="Arial"/>
                <w:color w:val="000000"/>
                <w:sz w:val="22"/>
                <w:szCs w:val="22"/>
                <w:lang w:val="en-US" w:eastAsia="zh-CN"/>
              </w:rPr>
              <w:t xml:space="preserve"> 29.9%</w:t>
            </w:r>
          </w:p>
        </w:tc>
        <w:tc>
          <w:tcPr>
            <w:tcW w:w="865" w:type="dxa"/>
            <w:tcBorders>
              <w:top w:val="nil"/>
              <w:left w:val="nil"/>
              <w:bottom w:val="single" w:color="000000" w:sz="4" w:space="0"/>
              <w:right w:val="nil"/>
              <w:insideH w:val="nil"/>
              <w:insideV w:val="nil"/>
            </w:tcBorders>
            <w:shd w:val="clear" w:color="000000" w:fill="C0C0C0"/>
            <w:vAlign w:val="top"/>
          </w:tcPr>
          <w:p>
            <w:pPr>
              <w:spacing w:line="480" w:lineRule="auto"/>
              <w:jc w:val="center"/>
              <w:rPr>
                <w:rFonts w:ascii="Arial" w:hAnsi="Arial" w:eastAsia="Arial" w:cs="Arial"/>
                <w:color w:val="000000"/>
                <w:sz w:val="22"/>
                <w:szCs w:val="22"/>
                <w:lang w:val="en-US" w:eastAsia="zh-CN"/>
              </w:rPr>
            </w:pPr>
            <w:r>
              <w:rPr>
                <w:rFonts w:hint="eastAsia" w:ascii="Arial" w:hAnsi="Arial" w:eastAsia="Arial" w:cs="Arial"/>
                <w:color w:val="000000"/>
                <w:sz w:val="22"/>
                <w:szCs w:val="22"/>
                <w:lang w:val="en-US" w:eastAsia="zh-CN"/>
              </w:rPr>
              <w:t>-</w:t>
            </w:r>
          </w:p>
        </w:tc>
        <w:tc>
          <w:tcPr>
            <w:tcW w:w="1319" w:type="dxa"/>
            <w:tcBorders>
              <w:top w:val="nil"/>
              <w:bottom w:val="single" w:color="000000" w:sz="4" w:space="0"/>
              <w:right w:val="nil"/>
              <w:insideV w:val="nil"/>
            </w:tcBorders>
            <w:shd w:val="clear" w:color="000000" w:fill="C0C0C0"/>
            <w:vAlign w:val="top"/>
          </w:tcPr>
          <w:p>
            <w:pPr>
              <w:spacing w:line="480" w:lineRule="auto"/>
              <w:jc w:val="center"/>
              <w:rPr>
                <w:rFonts w:ascii="Arial" w:hAnsi="Arial" w:eastAsia="Arial" w:cs="Arial"/>
                <w:color w:val="000000"/>
                <w:sz w:val="22"/>
                <w:szCs w:val="22"/>
                <w:lang w:val="en-US" w:eastAsia="zh-CN"/>
              </w:rPr>
            </w:pPr>
            <w:r>
              <w:rPr>
                <w:rFonts w:hint="eastAsia" w:ascii="Arial" w:hAnsi="Arial" w:eastAsia="Arial" w:cs="Arial"/>
                <w:color w:val="000000"/>
                <w:sz w:val="22"/>
                <w:szCs w:val="22"/>
                <w:lang w:val="en-US" w:eastAsia="zh-CN"/>
              </w:rPr>
              <w:t>34.8%</w:t>
            </w:r>
          </w:p>
        </w:tc>
        <w:tc>
          <w:tcPr>
            <w:tcW w:w="1348" w:type="dxa"/>
            <w:tcBorders>
              <w:top w:val="nil"/>
              <w:left w:val="nil"/>
              <w:bottom w:val="single" w:color="000000" w:sz="4" w:space="0"/>
              <w:right w:val="nil"/>
              <w:insideH w:val="nil"/>
              <w:insideV w:val="nil"/>
            </w:tcBorders>
            <w:shd w:val="clear" w:color="000000" w:fill="C0C0C0"/>
            <w:vAlign w:val="top"/>
          </w:tcPr>
          <w:p>
            <w:pPr>
              <w:spacing w:line="480" w:lineRule="auto"/>
              <w:jc w:val="center"/>
              <w:rPr>
                <w:rFonts w:ascii="Arial" w:hAnsi="Arial" w:eastAsia="Arial" w:cs="Arial"/>
                <w:color w:val="000000"/>
                <w:sz w:val="22"/>
                <w:szCs w:val="22"/>
                <w:lang w:val="en-US" w:eastAsia="zh-CN"/>
              </w:rPr>
            </w:pPr>
            <w:r>
              <w:rPr>
                <w:rFonts w:hint="eastAsia" w:ascii="Arial" w:hAnsi="Arial" w:eastAsia="Arial" w:cs="Arial"/>
                <w:color w:val="000000"/>
                <w:sz w:val="22"/>
                <w:szCs w:val="22"/>
                <w:lang w:val="en-US" w:eastAsia="zh-CN"/>
              </w:rPr>
              <w:t>22.2%</w:t>
            </w:r>
          </w:p>
        </w:tc>
        <w:tc>
          <w:tcPr>
            <w:tcW w:w="1437" w:type="dxa"/>
            <w:tcBorders>
              <w:top w:val="nil"/>
              <w:bottom w:val="single" w:color="000000" w:sz="4" w:space="0"/>
              <w:right w:val="nil"/>
              <w:insideV w:val="nil"/>
            </w:tcBorders>
            <w:shd w:val="clear" w:color="000000" w:fill="C0C0C0"/>
            <w:vAlign w:val="top"/>
          </w:tcPr>
          <w:p>
            <w:pPr>
              <w:spacing w:line="480" w:lineRule="auto"/>
              <w:jc w:val="center"/>
              <w:rPr>
                <w:rFonts w:ascii="Arial" w:hAnsi="Arial" w:eastAsia="Arial" w:cs="Arial"/>
                <w:color w:val="000000"/>
                <w:sz w:val="22"/>
                <w:szCs w:val="22"/>
                <w:lang w:val="en-US" w:eastAsia="zh-CN"/>
              </w:rPr>
            </w:pPr>
            <w:r>
              <w:rPr>
                <w:rFonts w:hint="eastAsia" w:ascii="Arial" w:hAnsi="Arial" w:eastAsia="Arial" w:cs="Arial"/>
                <w:color w:val="000000"/>
                <w:sz w:val="22"/>
                <w:szCs w:val="22"/>
                <w:lang w:val="en-US" w:eastAsia="zh-CN"/>
              </w:rPr>
              <w:t>13.1%</w:t>
            </w:r>
          </w:p>
        </w:tc>
      </w:tr>
    </w:tbl>
    <w:p>
      <w:pPr>
        <w:pStyle w:val="14"/>
        <w:spacing w:line="480" w:lineRule="auto"/>
        <w:ind w:left="502" w:firstLine="0"/>
        <w:rPr>
          <w:rFonts w:ascii="Arial" w:hAnsi="Arial" w:eastAsia="Arial" w:cs="Arial"/>
          <w:lang w:eastAsia="zh-CN"/>
        </w:rPr>
      </w:pPr>
    </w:p>
    <w:p>
      <w:pPr>
        <w:spacing w:line="480" w:lineRule="auto"/>
        <w:rPr>
          <w:rFonts w:ascii="Arial" w:hAnsi="Arial" w:eastAsia="Arial" w:cs="Arial"/>
          <w:lang w:val="en-US" w:eastAsia="zh-CN"/>
        </w:rPr>
      </w:pPr>
      <w:r>
        <w:rPr>
          <w:rFonts w:ascii="Arial" w:hAnsi="Arial" w:eastAsia="Arial" w:cs="Arial"/>
          <w:lang w:val="en-US" w:eastAsia="zh-CN"/>
        </w:rPr>
        <w:t>Table S</w:t>
      </w:r>
      <w:r>
        <w:rPr>
          <w:rFonts w:hint="eastAsia" w:ascii="Arial" w:hAnsi="Arial" w:eastAsia="Arial" w:cs="Arial"/>
          <w:lang w:val="en-US" w:eastAsia="zh-CN"/>
        </w:rPr>
        <w:t>2</w:t>
      </w:r>
      <w:r>
        <w:rPr>
          <w:rFonts w:ascii="Arial" w:hAnsi="Arial" w:eastAsia="Arial" w:cs="Arial"/>
          <w:lang w:val="en-US" w:eastAsia="zh-CN"/>
        </w:rPr>
        <w:t xml:space="preserve">. Structural parameters of Cu foil, </w:t>
      </w:r>
      <w:r>
        <w:rPr>
          <w:rFonts w:hint="eastAsia" w:ascii="Arial" w:hAnsi="Arial" w:eastAsia="Arial" w:cs="Arial"/>
          <w:lang w:val="en-US" w:eastAsia="zh-CN"/>
        </w:rPr>
        <w:t xml:space="preserve">CuPc </w:t>
      </w:r>
      <w:r>
        <w:rPr>
          <w:rFonts w:ascii="Arial" w:hAnsi="Arial" w:eastAsia="Arial" w:cs="Arial"/>
          <w:lang w:val="en-US" w:eastAsia="zh-CN"/>
        </w:rPr>
        <w:t>and Cu-N</w:t>
      </w:r>
      <w:r>
        <w:rPr>
          <w:rFonts w:hint="eastAsia" w:ascii="Arial" w:hAnsi="Arial" w:eastAsia="Arial" w:cs="Arial"/>
          <w:vertAlign w:val="subscript"/>
          <w:lang w:val="en-US" w:eastAsia="zh-CN"/>
        </w:rPr>
        <w:t>2</w:t>
      </w:r>
      <w:r>
        <w:rPr>
          <w:rFonts w:ascii="Arial" w:hAnsi="Arial" w:eastAsia="Arial" w:cs="Arial"/>
          <w:lang w:val="en-US" w:eastAsia="zh-CN"/>
        </w:rPr>
        <w:t>@HNOC based on</w:t>
      </w:r>
      <w:r>
        <w:rPr>
          <w:rFonts w:hint="eastAsia" w:ascii="Arial" w:hAnsi="Arial" w:eastAsia="Arial" w:cs="Arial"/>
          <w:lang w:val="en-US" w:eastAsia="zh-CN"/>
        </w:rPr>
        <w:t xml:space="preserve"> </w:t>
      </w:r>
      <w:r>
        <w:rPr>
          <w:rFonts w:ascii="Arial" w:hAnsi="Arial" w:eastAsia="Arial" w:cs="Arial"/>
          <w:lang w:val="en-US" w:eastAsia="zh-CN"/>
        </w:rPr>
        <w:t>fitting results.</w:t>
      </w:r>
    </w:p>
    <w:tbl>
      <w:tblPr>
        <w:tblStyle w:val="58"/>
        <w:tblpPr w:vertAnchor="text" w:tblpX="239" w:tblpY="161"/>
        <w:tblW w:w="87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84"/>
        <w:gridCol w:w="1213"/>
        <w:gridCol w:w="1547"/>
        <w:gridCol w:w="1560"/>
        <w:gridCol w:w="1211"/>
        <w:gridCol w:w="12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1884" w:type="dxa"/>
            <w:tcBorders>
              <w:top w:val="single" w:color="auto" w:sz="4" w:space="0"/>
              <w:left w:val="nil"/>
              <w:bottom w:val="single" w:color="auto" w:sz="4" w:space="0"/>
              <w:right w:val="nil"/>
            </w:tcBorders>
            <w:vAlign w:val="top"/>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Samples</w:t>
            </w:r>
          </w:p>
        </w:tc>
        <w:tc>
          <w:tcPr>
            <w:tcW w:w="1213" w:type="dxa"/>
            <w:tcBorders>
              <w:top w:val="single" w:color="auto" w:sz="4" w:space="0"/>
              <w:left w:val="nil"/>
              <w:bottom w:val="single" w:color="auto" w:sz="4" w:space="0"/>
              <w:right w:val="nil"/>
            </w:tcBorders>
            <w:vAlign w:val="top"/>
          </w:tcPr>
          <w:p>
            <w:pPr>
              <w:jc w:val="center"/>
              <w:rPr>
                <w:rFonts w:ascii="Arial" w:hAnsi="Arial" w:eastAsia="Arial" w:cs="Arial"/>
                <w:sz w:val="22"/>
                <w:szCs w:val="22"/>
                <w:lang w:val="en-US" w:eastAsia="zh-CN"/>
              </w:rPr>
            </w:pPr>
            <w:r>
              <w:rPr>
                <w:rFonts w:ascii="Arial" w:hAnsi="Arial" w:eastAsia="Arial" w:cs="Arial"/>
                <w:sz w:val="22"/>
                <w:szCs w:val="22"/>
                <w:lang w:val="en-US" w:eastAsia="zh-CN"/>
              </w:rPr>
              <w:t>Bonding form</w:t>
            </w:r>
          </w:p>
        </w:tc>
        <w:tc>
          <w:tcPr>
            <w:tcW w:w="1547" w:type="dxa"/>
            <w:tcBorders>
              <w:top w:val="single" w:color="auto" w:sz="4" w:space="0"/>
              <w:left w:val="nil"/>
              <w:bottom w:val="single" w:color="auto" w:sz="4" w:space="0"/>
              <w:right w:val="nil"/>
            </w:tcBorders>
            <w:vAlign w:val="top"/>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CN</w:t>
            </w:r>
          </w:p>
        </w:tc>
        <w:tc>
          <w:tcPr>
            <w:tcW w:w="1560" w:type="dxa"/>
            <w:tcBorders>
              <w:top w:val="single" w:color="auto" w:sz="4" w:space="0"/>
              <w:left w:val="nil"/>
              <w:bottom w:val="single" w:color="auto" w:sz="4" w:space="0"/>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R(Å)</w:t>
            </w:r>
          </w:p>
        </w:tc>
        <w:tc>
          <w:tcPr>
            <w:tcW w:w="1211" w:type="dxa"/>
            <w:tcBorders>
              <w:top w:val="single" w:color="auto" w:sz="4" w:space="0"/>
              <w:left w:val="nil"/>
              <w:bottom w:val="single" w:color="auto" w:sz="4" w:space="0"/>
              <w:right w:val="nil"/>
            </w:tcBorders>
            <w:vAlign w:val="top"/>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σ</w:t>
            </w:r>
            <w:r>
              <w:rPr>
                <w:rFonts w:ascii="Arial" w:hAnsi="Arial" w:eastAsia="Arial" w:cs="Arial"/>
                <w:sz w:val="22"/>
                <w:szCs w:val="22"/>
                <w:vertAlign w:val="superscript"/>
                <w:lang w:val="en-US" w:eastAsia="zh-CN"/>
              </w:rPr>
              <w:t>2</w:t>
            </w:r>
          </w:p>
        </w:tc>
        <w:tc>
          <w:tcPr>
            <w:tcW w:w="1287" w:type="dxa"/>
            <w:tcBorders>
              <w:top w:val="single" w:color="auto" w:sz="4" w:space="0"/>
              <w:left w:val="nil"/>
              <w:bottom w:val="single" w:color="auto" w:sz="4" w:space="0"/>
              <w:right w:val="nil"/>
            </w:tcBorders>
            <w:vAlign w:val="top"/>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ΔE</w:t>
            </w:r>
            <w:r>
              <w:rPr>
                <w:rFonts w:ascii="Arial" w:hAnsi="Arial" w:eastAsia="Arial" w:cs="Arial"/>
                <w:sz w:val="22"/>
                <w:szCs w:val="22"/>
                <w:vertAlign w:val="superscript"/>
                <w:lang w:val="en-US" w:eastAsia="zh-CN"/>
              </w:rPr>
              <w:t>0</w:t>
            </w:r>
            <w:r>
              <w:rPr>
                <w:rFonts w:ascii="Arial" w:hAnsi="Arial" w:eastAsia="Arial" w:cs="Arial"/>
                <w:sz w:val="22"/>
                <w:szCs w:val="22"/>
                <w:lang w:val="en-US" w:eastAsia="zh-CN"/>
              </w:rPr>
              <w:t xml:space="preserve"> (eV)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84" w:type="dxa"/>
            <w:tcBorders>
              <w:top w:val="single" w:color="auto" w:sz="4" w:space="0"/>
              <w:left w:val="nil"/>
              <w:bottom w:val="nil"/>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Cu foil</w:t>
            </w:r>
          </w:p>
        </w:tc>
        <w:tc>
          <w:tcPr>
            <w:tcW w:w="1213" w:type="dxa"/>
            <w:tcBorders>
              <w:top w:val="single" w:color="auto" w:sz="4" w:space="0"/>
              <w:left w:val="nil"/>
              <w:bottom w:val="nil"/>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Cu-Cu</w:t>
            </w:r>
          </w:p>
        </w:tc>
        <w:tc>
          <w:tcPr>
            <w:tcW w:w="1547" w:type="dxa"/>
            <w:tcBorders>
              <w:top w:val="single" w:color="auto" w:sz="4" w:space="0"/>
              <w:left w:val="nil"/>
              <w:bottom w:val="nil"/>
              <w:right w:val="nil"/>
            </w:tcBorders>
            <w:vAlign w:val="center"/>
          </w:tcPr>
          <w:p>
            <w:pPr>
              <w:spacing w:line="360" w:lineRule="auto"/>
              <w:jc w:val="center"/>
              <w:rPr>
                <w:rFonts w:hint="default" w:ascii="Arial" w:hAnsi="Arial" w:eastAsia="Arial" w:cs="Arial"/>
                <w:sz w:val="22"/>
                <w:szCs w:val="22"/>
                <w:lang w:val="en-US" w:eastAsia="zh-CN"/>
              </w:rPr>
            </w:pPr>
            <w:r>
              <w:rPr>
                <w:rFonts w:ascii="Arial" w:hAnsi="Arial" w:eastAsia="Arial" w:cs="Arial"/>
                <w:sz w:val="22"/>
                <w:szCs w:val="22"/>
                <w:lang w:val="en-US" w:eastAsia="zh-CN"/>
              </w:rPr>
              <w:t>12</w:t>
            </w:r>
            <w:r>
              <w:rPr>
                <w:rFonts w:hint="eastAsia" w:ascii="Arial" w:hAnsi="Arial" w:eastAsia="Arial" w:cs="Arial"/>
                <w:sz w:val="22"/>
                <w:szCs w:val="22"/>
                <w:lang w:val="en-US" w:eastAsia="zh-CN"/>
              </w:rPr>
              <w:t>.07±0.16</w:t>
            </w:r>
          </w:p>
        </w:tc>
        <w:tc>
          <w:tcPr>
            <w:tcW w:w="1560" w:type="dxa"/>
            <w:tcBorders>
              <w:top w:val="single" w:color="auto" w:sz="4" w:space="0"/>
              <w:left w:val="nil"/>
              <w:bottom w:val="nil"/>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2.547±0.005</w:t>
            </w:r>
          </w:p>
        </w:tc>
        <w:tc>
          <w:tcPr>
            <w:tcW w:w="1211" w:type="dxa"/>
            <w:tcBorders>
              <w:top w:val="single" w:color="auto" w:sz="4" w:space="0"/>
              <w:left w:val="nil"/>
              <w:bottom w:val="nil"/>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0.0035</w:t>
            </w:r>
          </w:p>
        </w:tc>
        <w:tc>
          <w:tcPr>
            <w:tcW w:w="1287" w:type="dxa"/>
            <w:tcBorders>
              <w:top w:val="single" w:color="auto" w:sz="4" w:space="0"/>
              <w:left w:val="nil"/>
              <w:bottom w:val="nil"/>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84" w:type="dxa"/>
            <w:tcBorders>
              <w:top w:val="nil"/>
              <w:left w:val="nil"/>
              <w:bottom w:val="nil"/>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CuPc</w:t>
            </w:r>
          </w:p>
        </w:tc>
        <w:tc>
          <w:tcPr>
            <w:tcW w:w="1213" w:type="dxa"/>
            <w:tcBorders>
              <w:top w:val="nil"/>
              <w:left w:val="nil"/>
              <w:bottom w:val="nil"/>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Cu-N</w:t>
            </w:r>
          </w:p>
        </w:tc>
        <w:tc>
          <w:tcPr>
            <w:tcW w:w="1547" w:type="dxa"/>
            <w:tcBorders>
              <w:top w:val="nil"/>
              <w:left w:val="nil"/>
              <w:bottom w:val="nil"/>
              <w:right w:val="nil"/>
            </w:tcBorders>
            <w:vAlign w:val="center"/>
          </w:tcPr>
          <w:p>
            <w:pPr>
              <w:spacing w:line="360" w:lineRule="auto"/>
              <w:jc w:val="center"/>
              <w:rPr>
                <w:rFonts w:hint="default" w:ascii="Arial" w:hAnsi="Arial" w:eastAsia="Arial" w:cs="Arial"/>
                <w:sz w:val="22"/>
                <w:szCs w:val="22"/>
                <w:lang w:val="en-US" w:eastAsia="zh-CN"/>
              </w:rPr>
            </w:pPr>
            <w:r>
              <w:rPr>
                <w:rFonts w:hint="eastAsia" w:ascii="Arial" w:hAnsi="Arial" w:eastAsia="Arial" w:cs="Arial"/>
                <w:sz w:val="22"/>
                <w:szCs w:val="22"/>
                <w:lang w:val="en-US" w:eastAsia="zh-CN"/>
              </w:rPr>
              <w:t>3.96±0.19</w:t>
            </w:r>
          </w:p>
        </w:tc>
        <w:tc>
          <w:tcPr>
            <w:tcW w:w="1560" w:type="dxa"/>
            <w:tcBorders>
              <w:top w:val="nil"/>
              <w:left w:val="nil"/>
              <w:bottom w:val="nil"/>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1.952±0.005</w:t>
            </w:r>
          </w:p>
        </w:tc>
        <w:tc>
          <w:tcPr>
            <w:tcW w:w="1211" w:type="dxa"/>
            <w:tcBorders>
              <w:top w:val="nil"/>
              <w:left w:val="nil"/>
              <w:bottom w:val="nil"/>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0.0053</w:t>
            </w:r>
          </w:p>
        </w:tc>
        <w:tc>
          <w:tcPr>
            <w:tcW w:w="1287" w:type="dxa"/>
            <w:tcBorders>
              <w:top w:val="nil"/>
              <w:left w:val="nil"/>
              <w:bottom w:val="nil"/>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84" w:type="dxa"/>
            <w:tcBorders>
              <w:top w:val="nil"/>
              <w:left w:val="nil"/>
              <w:bottom w:val="single" w:color="auto" w:sz="4" w:space="0"/>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Cu-N</w:t>
            </w:r>
            <w:r>
              <w:rPr>
                <w:rFonts w:hint="eastAsia" w:ascii="Arial" w:hAnsi="Arial" w:eastAsia="Arial" w:cs="Arial"/>
                <w:sz w:val="22"/>
                <w:szCs w:val="22"/>
                <w:vertAlign w:val="subscript"/>
                <w:lang w:val="en-US" w:eastAsia="zh-CN"/>
              </w:rPr>
              <w:t>2</w:t>
            </w:r>
            <w:r>
              <w:rPr>
                <w:rFonts w:ascii="Arial" w:hAnsi="Arial" w:eastAsia="Arial" w:cs="Arial"/>
                <w:sz w:val="22"/>
                <w:szCs w:val="22"/>
                <w:lang w:val="en-US" w:eastAsia="zh-CN"/>
              </w:rPr>
              <w:t>@HNOC</w:t>
            </w:r>
          </w:p>
        </w:tc>
        <w:tc>
          <w:tcPr>
            <w:tcW w:w="1213" w:type="dxa"/>
            <w:tcBorders>
              <w:top w:val="nil"/>
              <w:left w:val="nil"/>
              <w:bottom w:val="single" w:color="auto" w:sz="4" w:space="0"/>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Cu-N</w:t>
            </w:r>
          </w:p>
        </w:tc>
        <w:tc>
          <w:tcPr>
            <w:tcW w:w="1547" w:type="dxa"/>
            <w:tcBorders>
              <w:top w:val="nil"/>
              <w:left w:val="nil"/>
              <w:bottom w:val="single" w:color="auto" w:sz="4" w:space="0"/>
              <w:right w:val="nil"/>
            </w:tcBorders>
            <w:vAlign w:val="center"/>
          </w:tcPr>
          <w:p>
            <w:pPr>
              <w:spacing w:line="360" w:lineRule="auto"/>
              <w:jc w:val="center"/>
              <w:rPr>
                <w:rFonts w:ascii="Arial" w:hAnsi="Arial" w:eastAsia="Arial" w:cs="Arial"/>
                <w:sz w:val="22"/>
                <w:szCs w:val="22"/>
                <w:lang w:val="en-US" w:eastAsia="zh-CN"/>
              </w:rPr>
            </w:pPr>
            <w:r>
              <w:rPr>
                <w:rFonts w:hint="eastAsia" w:ascii="Arial" w:hAnsi="Arial" w:eastAsia="Arial" w:cs="Arial"/>
                <w:sz w:val="22"/>
                <w:szCs w:val="22"/>
                <w:lang w:val="en-US" w:eastAsia="zh-CN"/>
              </w:rPr>
              <w:t>2.11±0.24</w:t>
            </w:r>
          </w:p>
        </w:tc>
        <w:tc>
          <w:tcPr>
            <w:tcW w:w="1560" w:type="dxa"/>
            <w:tcBorders>
              <w:top w:val="nil"/>
              <w:left w:val="nil"/>
              <w:bottom w:val="single" w:color="auto" w:sz="4" w:space="0"/>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1.939±0.035</w:t>
            </w:r>
          </w:p>
        </w:tc>
        <w:tc>
          <w:tcPr>
            <w:tcW w:w="1211" w:type="dxa"/>
            <w:tcBorders>
              <w:top w:val="nil"/>
              <w:left w:val="nil"/>
              <w:bottom w:val="single" w:color="auto" w:sz="4" w:space="0"/>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0.0066</w:t>
            </w:r>
          </w:p>
        </w:tc>
        <w:tc>
          <w:tcPr>
            <w:tcW w:w="1287" w:type="dxa"/>
            <w:tcBorders>
              <w:top w:val="nil"/>
              <w:left w:val="nil"/>
              <w:bottom w:val="single" w:color="auto" w:sz="4" w:space="0"/>
              <w:right w:val="nil"/>
            </w:tcBorders>
            <w:vAlign w:val="center"/>
          </w:tcPr>
          <w:p>
            <w:pPr>
              <w:spacing w:line="360" w:lineRule="auto"/>
              <w:jc w:val="center"/>
              <w:rPr>
                <w:rFonts w:ascii="Arial" w:hAnsi="Arial" w:eastAsia="Arial" w:cs="Arial"/>
                <w:sz w:val="22"/>
                <w:szCs w:val="22"/>
                <w:lang w:val="en-US" w:eastAsia="zh-CN"/>
              </w:rPr>
            </w:pPr>
            <w:r>
              <w:rPr>
                <w:rFonts w:ascii="Arial" w:hAnsi="Arial" w:eastAsia="Arial" w:cs="Arial"/>
                <w:sz w:val="22"/>
                <w:szCs w:val="22"/>
                <w:lang w:val="en-US" w:eastAsia="zh-CN"/>
              </w:rPr>
              <w:t>-1.6</w:t>
            </w:r>
          </w:p>
        </w:tc>
      </w:tr>
    </w:tbl>
    <w:p>
      <w:pPr>
        <w:spacing w:line="480" w:lineRule="auto"/>
        <w:ind w:right="425" w:firstLine="0"/>
        <w:jc w:val="both"/>
        <w:rPr>
          <w:rFonts w:ascii="Arial" w:hAnsi="Arial" w:eastAsia="Arial" w:cs="Arial"/>
          <w:lang w:val="en-US" w:eastAsia="zh-CN"/>
        </w:rPr>
      </w:pPr>
      <w:r>
        <w:rPr>
          <w:rFonts w:ascii="Arial" w:hAnsi="Arial" w:eastAsia="Arial" w:cs="Arial"/>
          <w:lang w:val="en-US" w:eastAsia="zh-CN"/>
        </w:rPr>
        <w:t>CN, coordination number; R(Å), distance between absorber and backscatter atoms; σ</w:t>
      </w:r>
      <w:r>
        <w:rPr>
          <w:rFonts w:ascii="Arial" w:hAnsi="Arial" w:eastAsia="Arial" w:cs="Arial"/>
          <w:vertAlign w:val="superscript"/>
          <w:lang w:val="en-US" w:eastAsia="zh-CN"/>
        </w:rPr>
        <w:t>2</w:t>
      </w:r>
      <w:r>
        <w:rPr>
          <w:rFonts w:ascii="Arial" w:hAnsi="Arial" w:eastAsia="Arial" w:cs="Arial"/>
          <w:lang w:val="en-US" w:eastAsia="zh-CN"/>
        </w:rPr>
        <w:t>, the Debye-Waller factor value; ΔE</w:t>
      </w:r>
      <w:r>
        <w:rPr>
          <w:rFonts w:ascii="Arial" w:hAnsi="Arial" w:eastAsia="Arial" w:cs="Arial"/>
          <w:vertAlign w:val="superscript"/>
          <w:lang w:val="en-US" w:eastAsia="zh-CN"/>
        </w:rPr>
        <w:t>0</w:t>
      </w:r>
      <w:r>
        <w:rPr>
          <w:rFonts w:ascii="Arial" w:hAnsi="Arial" w:eastAsia="Arial" w:cs="Arial"/>
          <w:lang w:val="en-US" w:eastAsia="zh-CN"/>
        </w:rPr>
        <w:t>, inner potential correction to account for the difference in the inner potential between the sample and the reference compound.</w:t>
      </w:r>
    </w:p>
    <w:p>
      <w:pPr>
        <w:spacing w:line="480" w:lineRule="auto"/>
        <w:ind w:right="425" w:firstLine="0"/>
        <w:jc w:val="both"/>
        <w:rPr>
          <w:rFonts w:ascii="Arial" w:hAnsi="Arial" w:eastAsia="Arial" w:cs="Arial"/>
          <w:lang w:val="en-US" w:eastAsia="zh-CN"/>
        </w:rPr>
      </w:pPr>
    </w:p>
    <w:p>
      <w:pPr>
        <w:spacing w:line="480" w:lineRule="auto"/>
        <w:ind w:left="-168" w:leftChars="-70" w:right="567" w:firstLine="0"/>
        <w:jc w:val="center"/>
        <w:rPr>
          <w:rFonts w:ascii="Arial" w:hAnsi="Arial" w:eastAsia="Arial" w:cs="Arial"/>
        </w:rPr>
      </w:pPr>
      <w:r>
        <w:rPr>
          <w:rFonts w:ascii="Arial" w:hAnsi="Arial" w:eastAsia="Arial" w:cs="Arial"/>
        </w:rPr>
        <w:t>Table S3. Free energ</w:t>
      </w:r>
      <w:r>
        <w:rPr>
          <w:rFonts w:hint="eastAsia" w:ascii="Arial" w:hAnsi="Arial" w:eastAsia="Arial" w:cs="Arial"/>
        </w:rPr>
        <w:t>ies</w:t>
      </w:r>
      <w:r>
        <w:rPr>
          <w:rFonts w:ascii="Arial" w:hAnsi="Arial" w:eastAsia="Arial" w:cs="Arial"/>
        </w:rPr>
        <w:t xml:space="preserve"> of O</w:t>
      </w:r>
      <w:r>
        <w:rPr>
          <w:rFonts w:ascii="Arial" w:hAnsi="Arial" w:eastAsia="Arial" w:cs="Arial"/>
          <w:vertAlign w:val="subscript"/>
        </w:rPr>
        <w:t>2</w:t>
      </w:r>
      <w:r>
        <w:rPr>
          <w:rFonts w:ascii="Arial" w:hAnsi="Arial" w:eastAsia="Arial" w:cs="Arial"/>
        </w:rPr>
        <w:t xml:space="preserve"> (g), H</w:t>
      </w:r>
      <w:r>
        <w:rPr>
          <w:rFonts w:ascii="Arial" w:hAnsi="Arial" w:eastAsia="Arial" w:cs="Arial"/>
          <w:vertAlign w:val="subscript"/>
        </w:rPr>
        <w:t>2</w:t>
      </w:r>
      <w:r>
        <w:rPr>
          <w:rFonts w:ascii="Arial" w:hAnsi="Arial" w:eastAsia="Arial" w:cs="Arial"/>
        </w:rPr>
        <w:t xml:space="preserve"> (g) and H</w:t>
      </w:r>
      <w:r>
        <w:rPr>
          <w:rFonts w:ascii="Arial" w:hAnsi="Arial" w:eastAsia="Arial" w:cs="Arial"/>
          <w:vertAlign w:val="subscript"/>
        </w:rPr>
        <w:t>2</w:t>
      </w:r>
      <w:r>
        <w:rPr>
          <w:rFonts w:ascii="Arial" w:hAnsi="Arial" w:eastAsia="Arial" w:cs="Arial"/>
        </w:rPr>
        <w:t>O (l)</w:t>
      </w:r>
    </w:p>
    <w:tbl>
      <w:tblPr>
        <w:tblStyle w:val="9"/>
        <w:tblW w:w="8306" w:type="dxa"/>
        <w:tblInd w:w="211" w:type="dxa"/>
        <w:tblLayout w:type="fixed"/>
        <w:tblCellMar>
          <w:top w:w="0" w:type="dxa"/>
          <w:left w:w="0" w:type="dxa"/>
          <w:bottom w:w="0" w:type="dxa"/>
          <w:right w:w="0" w:type="dxa"/>
        </w:tblCellMar>
      </w:tblPr>
      <w:tblGrid>
        <w:gridCol w:w="1208"/>
        <w:gridCol w:w="1411"/>
        <w:gridCol w:w="1209"/>
        <w:gridCol w:w="1455"/>
        <w:gridCol w:w="1411"/>
        <w:gridCol w:w="1612"/>
      </w:tblGrid>
      <w:tr>
        <w:tblPrEx>
          <w:tblCellMar>
            <w:top w:w="0" w:type="dxa"/>
            <w:left w:w="0" w:type="dxa"/>
            <w:bottom w:w="0" w:type="dxa"/>
            <w:right w:w="0" w:type="dxa"/>
          </w:tblCellMar>
        </w:tblPrEx>
        <w:trPr>
          <w:trHeight w:val="314" w:hRule="atLeast"/>
        </w:trPr>
        <w:tc>
          <w:tcPr>
            <w:tcW w:w="1208"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rPr>
            </w:pPr>
          </w:p>
        </w:tc>
        <w:tc>
          <w:tcPr>
            <w:tcW w:w="1411"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P/bar</w:t>
            </w:r>
          </w:p>
        </w:tc>
        <w:tc>
          <w:tcPr>
            <w:tcW w:w="1209"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T/K</w:t>
            </w:r>
          </w:p>
        </w:tc>
        <w:tc>
          <w:tcPr>
            <w:tcW w:w="1455"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E(DFT)/eV</w:t>
            </w:r>
          </w:p>
        </w:tc>
        <w:tc>
          <w:tcPr>
            <w:tcW w:w="1411"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▲G/eV</w:t>
            </w:r>
          </w:p>
        </w:tc>
        <w:tc>
          <w:tcPr>
            <w:tcW w:w="1612"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G/eV</w:t>
            </w:r>
          </w:p>
        </w:tc>
      </w:tr>
      <w:tr>
        <w:tblPrEx>
          <w:tblCellMar>
            <w:top w:w="0" w:type="dxa"/>
            <w:left w:w="0" w:type="dxa"/>
            <w:bottom w:w="0" w:type="dxa"/>
            <w:right w:w="0" w:type="dxa"/>
          </w:tblCellMar>
        </w:tblPrEx>
        <w:trPr>
          <w:trHeight w:val="314" w:hRule="atLeast"/>
        </w:trPr>
        <w:tc>
          <w:tcPr>
            <w:tcW w:w="1208"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ascii="Arial" w:hAnsi="Arial" w:eastAsia="Arial" w:cs="Arial"/>
                <w:color w:val="000000"/>
              </w:rPr>
              <w:t>O</w:t>
            </w:r>
            <w:r>
              <w:rPr>
                <w:rFonts w:ascii="Arial" w:hAnsi="Arial" w:eastAsia="Arial" w:cs="Arial"/>
                <w:color w:val="000000"/>
                <w:vertAlign w:val="subscript"/>
              </w:rPr>
              <w:t xml:space="preserve">2 </w:t>
            </w:r>
            <w:r>
              <w:rPr>
                <w:rFonts w:ascii="Arial" w:hAnsi="Arial" w:eastAsia="Arial" w:cs="Arial"/>
                <w:color w:val="000000"/>
              </w:rPr>
              <w:t>(g)</w:t>
            </w:r>
          </w:p>
        </w:tc>
        <w:tc>
          <w:tcPr>
            <w:tcW w:w="1411"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1.00</w:t>
            </w:r>
          </w:p>
        </w:tc>
        <w:tc>
          <w:tcPr>
            <w:tcW w:w="1209"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298.15</w:t>
            </w:r>
          </w:p>
        </w:tc>
        <w:tc>
          <w:tcPr>
            <w:tcW w:w="1455"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rPr>
            </w:pPr>
          </w:p>
        </w:tc>
        <w:tc>
          <w:tcPr>
            <w:tcW w:w="1411"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rPr>
            </w:pPr>
          </w:p>
        </w:tc>
        <w:tc>
          <w:tcPr>
            <w:tcW w:w="1612"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-9.91</w:t>
            </w:r>
          </w:p>
        </w:tc>
      </w:tr>
      <w:tr>
        <w:tblPrEx>
          <w:tblCellMar>
            <w:top w:w="0" w:type="dxa"/>
            <w:left w:w="0" w:type="dxa"/>
            <w:bottom w:w="0" w:type="dxa"/>
            <w:right w:w="0" w:type="dxa"/>
          </w:tblCellMar>
        </w:tblPrEx>
        <w:trPr>
          <w:trHeight w:val="314" w:hRule="atLeast"/>
        </w:trPr>
        <w:tc>
          <w:tcPr>
            <w:tcW w:w="1208"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ascii="Arial" w:hAnsi="Arial" w:eastAsia="Arial" w:cs="Arial"/>
                <w:color w:val="000000"/>
              </w:rPr>
              <w:t>H</w:t>
            </w:r>
            <w:r>
              <w:rPr>
                <w:rFonts w:ascii="Arial" w:hAnsi="Arial" w:eastAsia="Arial" w:cs="Arial"/>
                <w:color w:val="000000"/>
                <w:vertAlign w:val="subscript"/>
              </w:rPr>
              <w:t>2</w:t>
            </w:r>
            <w:r>
              <w:rPr>
                <w:rFonts w:ascii="Arial" w:hAnsi="Arial" w:eastAsia="Arial" w:cs="Arial"/>
                <w:color w:val="000000"/>
              </w:rPr>
              <w:t xml:space="preserve"> (g)</w:t>
            </w:r>
          </w:p>
        </w:tc>
        <w:tc>
          <w:tcPr>
            <w:tcW w:w="1411"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1.00</w:t>
            </w:r>
          </w:p>
        </w:tc>
        <w:tc>
          <w:tcPr>
            <w:tcW w:w="1209"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298.15</w:t>
            </w:r>
          </w:p>
        </w:tc>
        <w:tc>
          <w:tcPr>
            <w:tcW w:w="1455"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-6.76</w:t>
            </w:r>
          </w:p>
        </w:tc>
        <w:tc>
          <w:tcPr>
            <w:tcW w:w="1411"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-0.05</w:t>
            </w:r>
          </w:p>
        </w:tc>
        <w:tc>
          <w:tcPr>
            <w:tcW w:w="1612"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-6.81</w:t>
            </w:r>
          </w:p>
        </w:tc>
      </w:tr>
      <w:tr>
        <w:tblPrEx>
          <w:tblCellMar>
            <w:top w:w="0" w:type="dxa"/>
            <w:left w:w="0" w:type="dxa"/>
            <w:bottom w:w="0" w:type="dxa"/>
            <w:right w:w="0" w:type="dxa"/>
          </w:tblCellMar>
        </w:tblPrEx>
        <w:trPr>
          <w:trHeight w:val="314" w:hRule="atLeast"/>
        </w:trPr>
        <w:tc>
          <w:tcPr>
            <w:tcW w:w="1208"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ascii="Arial" w:hAnsi="Arial" w:eastAsia="Arial" w:cs="Arial"/>
                <w:color w:val="000000"/>
              </w:rPr>
              <w:t>H</w:t>
            </w:r>
            <w:r>
              <w:rPr>
                <w:rFonts w:ascii="Arial" w:hAnsi="Arial" w:eastAsia="Arial" w:cs="Arial"/>
                <w:color w:val="000000"/>
                <w:vertAlign w:val="subscript"/>
              </w:rPr>
              <w:t>2</w:t>
            </w:r>
            <w:r>
              <w:rPr>
                <w:rFonts w:ascii="Arial" w:hAnsi="Arial" w:eastAsia="Arial" w:cs="Arial"/>
                <w:color w:val="000000"/>
              </w:rPr>
              <w:t>O (l)</w:t>
            </w:r>
          </w:p>
        </w:tc>
        <w:tc>
          <w:tcPr>
            <w:tcW w:w="1411"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0.04</w:t>
            </w:r>
          </w:p>
        </w:tc>
        <w:tc>
          <w:tcPr>
            <w:tcW w:w="1209"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298.15</w:t>
            </w:r>
          </w:p>
        </w:tc>
        <w:tc>
          <w:tcPr>
            <w:tcW w:w="1455"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-14.22</w:t>
            </w:r>
          </w:p>
        </w:tc>
        <w:tc>
          <w:tcPr>
            <w:tcW w:w="1411"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0.00</w:t>
            </w:r>
          </w:p>
        </w:tc>
        <w:tc>
          <w:tcPr>
            <w:tcW w:w="1612"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-14.22</w:t>
            </w:r>
          </w:p>
        </w:tc>
      </w:tr>
    </w:tbl>
    <w:p>
      <w:pPr>
        <w:spacing w:line="480" w:lineRule="auto"/>
        <w:ind w:left="0" w:leftChars="0" w:right="-57" w:firstLine="0"/>
        <w:rPr>
          <w:rFonts w:ascii="Arial" w:hAnsi="Arial" w:eastAsia="Arial" w:cs="Arial"/>
        </w:rPr>
      </w:pPr>
    </w:p>
    <w:p>
      <w:pPr>
        <w:spacing w:line="480" w:lineRule="auto"/>
        <w:ind w:left="-168" w:leftChars="-70" w:right="708" w:firstLine="0"/>
        <w:rPr>
          <w:rFonts w:ascii="Arial" w:hAnsi="Arial" w:eastAsia="Arial" w:cs="Arial"/>
          <w:lang w:eastAsia="zh-CN"/>
        </w:rPr>
      </w:pPr>
      <w:r>
        <w:rPr>
          <w:rFonts w:ascii="Arial" w:hAnsi="Arial" w:eastAsia="Arial" w:cs="Arial"/>
        </w:rPr>
        <w:t>Table S4. Adsorption energy (E</w:t>
      </w:r>
      <w:r>
        <w:rPr>
          <w:rFonts w:ascii="Arial" w:hAnsi="Arial" w:eastAsia="Arial" w:cs="Arial"/>
          <w:vertAlign w:val="subscript"/>
        </w:rPr>
        <w:t>x</w:t>
      </w:r>
      <w:r>
        <w:rPr>
          <w:rFonts w:ascii="Arial" w:hAnsi="Arial" w:eastAsia="Arial" w:cs="Arial"/>
        </w:rPr>
        <w:t>), Free energy of intermediates (G</w:t>
      </w:r>
      <w:r>
        <w:rPr>
          <w:rFonts w:ascii="Arial" w:hAnsi="Arial" w:eastAsia="Arial" w:cs="Arial"/>
          <w:vertAlign w:val="subscript"/>
        </w:rPr>
        <w:t>x</w:t>
      </w:r>
      <w:r>
        <w:rPr>
          <w:rFonts w:ascii="Arial" w:hAnsi="Arial" w:eastAsia="Arial" w:cs="Arial"/>
        </w:rPr>
        <w:t>) on</w:t>
      </w:r>
      <w:r>
        <w:rPr>
          <w:rFonts w:hint="eastAsia" w:ascii="Arial" w:hAnsi="Arial" w:eastAsia="Arial" w:cs="Arial"/>
          <w:lang w:eastAsia="zh-CN"/>
        </w:rPr>
        <w:t xml:space="preserve"> </w:t>
      </w:r>
      <w:r>
        <w:fldChar w:fldCharType="begin"/>
      </w:r>
      <w:r>
        <w:instrText xml:space="preserve">HYPERLINK "mailto:Fe3C@G"</w:instrText>
      </w:r>
      <w:r>
        <w:fldChar w:fldCharType="separate"/>
      </w:r>
      <w:r>
        <w:rPr>
          <w:rFonts w:ascii="Arial" w:hAnsi="Arial" w:eastAsia="Arial" w:cs="Arial"/>
        </w:rPr>
        <w:t>Cu-N</w:t>
      </w:r>
      <w:r>
        <w:rPr>
          <w:rFonts w:ascii="Arial" w:hAnsi="Arial" w:eastAsia="Arial" w:cs="Arial"/>
          <w:vertAlign w:val="subscript"/>
        </w:rPr>
        <w:t>2</w:t>
      </w:r>
      <w:r>
        <w:rPr>
          <w:rFonts w:ascii="Arial" w:hAnsi="Arial" w:eastAsia="Arial" w:cs="Arial"/>
        </w:rPr>
        <w:t>-C</w:t>
      </w:r>
      <w:r>
        <w:rPr>
          <w:rFonts w:ascii="Arial Unicode MS" w:hAnsi="Arial Unicode MS" w:eastAsia="Arial Unicode MS" w:cs="Arial Unicode MS"/>
          <w:lang w:eastAsia="zh-CN"/>
        </w:rPr>
        <w:fldChar w:fldCharType="end"/>
      </w:r>
      <w:r>
        <w:rPr>
          <w:rFonts w:ascii="Arial" w:hAnsi="Arial" w:eastAsia="Arial" w:cs="Arial"/>
        </w:rPr>
        <w:t xml:space="preserve"> slab</w:t>
      </w:r>
    </w:p>
    <w:tbl>
      <w:tblPr>
        <w:tblStyle w:val="9"/>
        <w:tblW w:w="8306" w:type="dxa"/>
        <w:tblInd w:w="-2" w:type="dxa"/>
        <w:tblLayout w:type="fixed"/>
        <w:tblCellMar>
          <w:top w:w="0" w:type="dxa"/>
          <w:left w:w="0" w:type="dxa"/>
          <w:bottom w:w="0" w:type="dxa"/>
          <w:right w:w="0" w:type="dxa"/>
        </w:tblCellMar>
      </w:tblPr>
      <w:tblGrid>
        <w:gridCol w:w="1009"/>
        <w:gridCol w:w="1177"/>
        <w:gridCol w:w="1006"/>
        <w:gridCol w:w="1211"/>
        <w:gridCol w:w="1402"/>
        <w:gridCol w:w="1329"/>
        <w:gridCol w:w="1172"/>
      </w:tblGrid>
      <w:tr>
        <w:tblPrEx>
          <w:tblCellMar>
            <w:top w:w="0" w:type="dxa"/>
            <w:left w:w="0" w:type="dxa"/>
            <w:bottom w:w="0" w:type="dxa"/>
            <w:right w:w="0" w:type="dxa"/>
          </w:tblCellMar>
        </w:tblPrEx>
        <w:trPr>
          <w:trHeight w:val="314" w:hRule="atLeast"/>
        </w:trPr>
        <w:tc>
          <w:tcPr>
            <w:tcW w:w="1009"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rPr>
            </w:pPr>
            <w:r>
              <w:fldChar w:fldCharType="begin"/>
            </w:r>
            <w:r>
              <w:instrText xml:space="preserve">HYPERLINK "mailto:Fe3C@G"</w:instrText>
            </w:r>
            <w:r>
              <w:fldChar w:fldCharType="separate"/>
            </w:r>
            <w:r>
              <w:rPr>
                <w:rFonts w:ascii="Arial" w:hAnsi="Arial" w:eastAsia="Arial" w:cs="Arial"/>
              </w:rPr>
              <w:t>Cu-N</w:t>
            </w:r>
            <w:r>
              <w:rPr>
                <w:rFonts w:ascii="Arial" w:hAnsi="Arial" w:eastAsia="Arial" w:cs="Arial"/>
                <w:vertAlign w:val="subscript"/>
              </w:rPr>
              <w:t>2</w:t>
            </w:r>
            <w:r>
              <w:rPr>
                <w:rFonts w:ascii="Arial" w:hAnsi="Arial" w:eastAsia="Arial" w:cs="Arial"/>
              </w:rPr>
              <w:t>-C</w:t>
            </w:r>
            <w:r>
              <w:rPr>
                <w:rFonts w:ascii="Arial Unicode MS" w:hAnsi="Arial Unicode MS" w:eastAsia="Arial Unicode MS" w:cs="Arial Unicode MS"/>
              </w:rPr>
              <w:fldChar w:fldCharType="end"/>
            </w:r>
          </w:p>
        </w:tc>
        <w:tc>
          <w:tcPr>
            <w:tcW w:w="1177"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rPr>
            </w:pPr>
            <w:r>
              <w:rPr>
                <w:rFonts w:ascii="Arial" w:hAnsi="Arial" w:eastAsia="Arial" w:cs="Arial"/>
              </w:rPr>
              <w:t>E</w:t>
            </w:r>
          </w:p>
        </w:tc>
        <w:tc>
          <w:tcPr>
            <w:tcW w:w="1006"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vertAlign w:val="subscript"/>
              </w:rPr>
            </w:pPr>
            <w:r>
              <w:rPr>
                <w:rFonts w:ascii="Arial" w:hAnsi="Arial" w:eastAsia="Arial" w:cs="Arial"/>
              </w:rPr>
              <w:t>E</w:t>
            </w:r>
            <w:r>
              <w:rPr>
                <w:rFonts w:ascii="Arial" w:hAnsi="Arial" w:eastAsia="Arial" w:cs="Arial"/>
                <w:vertAlign w:val="subscript"/>
              </w:rPr>
              <w:t>(ZPE)</w:t>
            </w:r>
          </w:p>
        </w:tc>
        <w:tc>
          <w:tcPr>
            <w:tcW w:w="1211"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rPr>
            </w:pPr>
            <w:r>
              <w:rPr>
                <w:rFonts w:ascii="Arial" w:hAnsi="Arial" w:eastAsia="Arial" w:cs="Arial"/>
              </w:rPr>
              <w:t>E'</w:t>
            </w:r>
          </w:p>
        </w:tc>
        <w:tc>
          <w:tcPr>
            <w:tcW w:w="1402"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rPr>
            </w:pPr>
          </w:p>
        </w:tc>
        <w:tc>
          <w:tcPr>
            <w:tcW w:w="1329"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rPr>
            </w:pPr>
            <w:r>
              <w:rPr>
                <w:rFonts w:ascii="Arial" w:hAnsi="Arial" w:eastAsia="Arial" w:cs="Arial"/>
              </w:rPr>
              <w:t>G/eV</w:t>
            </w:r>
          </w:p>
        </w:tc>
        <w:tc>
          <w:tcPr>
            <w:tcW w:w="1172" w:type="dxa"/>
            <w:tcBorders>
              <w:top w:val="single" w:color="000000" w:sz="4" w:space="0"/>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rPr>
            </w:pPr>
            <w:r>
              <w:rPr>
                <w:rFonts w:ascii="Arial" w:hAnsi="Arial" w:eastAsia="Arial" w:cs="Arial"/>
              </w:rPr>
              <w:t>▲G/eV</w:t>
            </w:r>
          </w:p>
        </w:tc>
      </w:tr>
      <w:tr>
        <w:tblPrEx>
          <w:tblCellMar>
            <w:top w:w="0" w:type="dxa"/>
            <w:left w:w="0" w:type="dxa"/>
            <w:bottom w:w="0" w:type="dxa"/>
            <w:right w:w="0" w:type="dxa"/>
          </w:tblCellMar>
        </w:tblPrEx>
        <w:trPr>
          <w:trHeight w:val="314" w:hRule="atLeast"/>
        </w:trPr>
        <w:tc>
          <w:tcPr>
            <w:tcW w:w="1009"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slab</w:t>
            </w:r>
          </w:p>
        </w:tc>
        <w:tc>
          <w:tcPr>
            <w:tcW w:w="1177"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hint="default" w:ascii="Arial" w:hAnsi="Arial" w:eastAsia="Arial" w:cs="Arial"/>
                <w:color w:val="000000"/>
                <w:lang w:val="en-US" w:eastAsia="zh-CN"/>
              </w:rPr>
              <w:t>-730.97</w:t>
            </w:r>
          </w:p>
        </w:tc>
        <w:tc>
          <w:tcPr>
            <w:tcW w:w="1006"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hint="default" w:ascii="Arial" w:hAnsi="Arial" w:eastAsia="Arial" w:cs="Arial"/>
                <w:color w:val="000000"/>
                <w:lang w:val="en-US" w:eastAsia="zh-CN"/>
              </w:rPr>
              <w:t>0.00</w:t>
            </w:r>
          </w:p>
        </w:tc>
        <w:tc>
          <w:tcPr>
            <w:tcW w:w="1211"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-730.97</w:t>
            </w:r>
          </w:p>
        </w:tc>
        <w:tc>
          <w:tcPr>
            <w:tcW w:w="1402"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vertAlign w:val="subscript"/>
              </w:rPr>
            </w:pPr>
            <w:r>
              <w:rPr>
                <w:rFonts w:ascii="Arial" w:hAnsi="Arial" w:eastAsia="Arial" w:cs="Arial"/>
                <w:color w:val="000000"/>
              </w:rPr>
              <w:t>O</w:t>
            </w:r>
            <w:r>
              <w:rPr>
                <w:rFonts w:ascii="Arial" w:hAnsi="Arial" w:eastAsia="Arial" w:cs="Arial"/>
                <w:color w:val="000000"/>
                <w:vertAlign w:val="subscript"/>
              </w:rPr>
              <w:t>2</w:t>
            </w:r>
            <w:r>
              <w:rPr>
                <w:rFonts w:ascii="Arial" w:hAnsi="Arial" w:eastAsia="Arial" w:cs="Arial"/>
                <w:color w:val="000000"/>
              </w:rPr>
              <w:t xml:space="preserve"> + 2H</w:t>
            </w:r>
            <w:r>
              <w:rPr>
                <w:rFonts w:ascii="Arial" w:hAnsi="Arial" w:eastAsia="Arial" w:cs="Arial"/>
                <w:color w:val="000000"/>
                <w:vertAlign w:val="subscript"/>
              </w:rPr>
              <w:t>2</w:t>
            </w:r>
          </w:p>
        </w:tc>
        <w:tc>
          <w:tcPr>
            <w:tcW w:w="1329"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-754.49</w:t>
            </w:r>
          </w:p>
        </w:tc>
        <w:tc>
          <w:tcPr>
            <w:tcW w:w="1172"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0.00</w:t>
            </w:r>
          </w:p>
        </w:tc>
      </w:tr>
      <w:tr>
        <w:tblPrEx>
          <w:tblCellMar>
            <w:top w:w="0" w:type="dxa"/>
            <w:left w:w="0" w:type="dxa"/>
            <w:bottom w:w="0" w:type="dxa"/>
            <w:right w:w="0" w:type="dxa"/>
          </w:tblCellMar>
        </w:tblPrEx>
        <w:trPr>
          <w:trHeight w:val="314" w:hRule="atLeast"/>
        </w:trPr>
        <w:tc>
          <w:tcPr>
            <w:tcW w:w="1009"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ascii="Arial" w:hAnsi="Arial" w:eastAsia="Arial" w:cs="Arial"/>
                <w:color w:val="000000"/>
                <w:vertAlign w:val="superscript"/>
              </w:rPr>
              <w:t>*</w:t>
            </w:r>
            <w:r>
              <w:rPr>
                <w:rFonts w:ascii="Arial" w:hAnsi="Arial" w:eastAsia="Arial" w:cs="Arial"/>
                <w:color w:val="000000"/>
              </w:rPr>
              <w:t>OOH</w:t>
            </w:r>
          </w:p>
        </w:tc>
        <w:tc>
          <w:tcPr>
            <w:tcW w:w="1177"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hint="default" w:ascii="Arial" w:hAnsi="Arial" w:eastAsia="Arial" w:cs="Arial"/>
                <w:color w:val="000000"/>
                <w:lang w:val="en-US" w:eastAsia="zh-CN"/>
              </w:rPr>
              <w:t>-745.54</w:t>
            </w:r>
          </w:p>
        </w:tc>
        <w:tc>
          <w:tcPr>
            <w:tcW w:w="1006"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hint="default" w:ascii="Arial" w:hAnsi="Arial" w:eastAsia="Arial" w:cs="Arial"/>
                <w:color w:val="000000"/>
                <w:lang w:val="en-US" w:eastAsia="zh-CN"/>
              </w:rPr>
              <w:t>0.32</w:t>
            </w:r>
          </w:p>
        </w:tc>
        <w:tc>
          <w:tcPr>
            <w:tcW w:w="1211"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-745.22</w:t>
            </w:r>
          </w:p>
        </w:tc>
        <w:tc>
          <w:tcPr>
            <w:tcW w:w="1402"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vertAlign w:val="subscript"/>
              </w:rPr>
            </w:pPr>
            <w:r>
              <w:rPr>
                <w:rFonts w:ascii="Arial" w:hAnsi="Arial" w:eastAsia="Arial" w:cs="Arial"/>
                <w:color w:val="000000"/>
              </w:rPr>
              <w:t>3/2H</w:t>
            </w:r>
            <w:r>
              <w:rPr>
                <w:rFonts w:ascii="Arial" w:hAnsi="Arial" w:eastAsia="Arial" w:cs="Arial"/>
                <w:color w:val="000000"/>
                <w:vertAlign w:val="subscript"/>
              </w:rPr>
              <w:t>2</w:t>
            </w:r>
          </w:p>
        </w:tc>
        <w:tc>
          <w:tcPr>
            <w:tcW w:w="1329"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-755.43</w:t>
            </w:r>
          </w:p>
        </w:tc>
        <w:tc>
          <w:tcPr>
            <w:tcW w:w="1172"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-0.94</w:t>
            </w:r>
          </w:p>
        </w:tc>
      </w:tr>
      <w:tr>
        <w:tblPrEx>
          <w:tblCellMar>
            <w:top w:w="0" w:type="dxa"/>
            <w:left w:w="0" w:type="dxa"/>
            <w:bottom w:w="0" w:type="dxa"/>
            <w:right w:w="0" w:type="dxa"/>
          </w:tblCellMar>
        </w:tblPrEx>
        <w:trPr>
          <w:trHeight w:val="314" w:hRule="atLeast"/>
        </w:trPr>
        <w:tc>
          <w:tcPr>
            <w:tcW w:w="1009"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ascii="Arial" w:hAnsi="Arial" w:eastAsia="Arial" w:cs="Arial"/>
                <w:color w:val="000000"/>
                <w:vertAlign w:val="superscript"/>
              </w:rPr>
              <w:t>*</w:t>
            </w:r>
            <w:r>
              <w:rPr>
                <w:rFonts w:ascii="Arial" w:hAnsi="Arial" w:eastAsia="Arial" w:cs="Arial"/>
                <w:color w:val="000000"/>
              </w:rPr>
              <w:t>O</w:t>
            </w:r>
          </w:p>
        </w:tc>
        <w:tc>
          <w:tcPr>
            <w:tcW w:w="1177"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hint="default" w:ascii="Arial" w:hAnsi="Arial" w:eastAsia="Arial" w:cs="Arial"/>
                <w:color w:val="000000"/>
                <w:lang w:val="en-US" w:eastAsia="zh-CN"/>
              </w:rPr>
              <w:t>-736.55</w:t>
            </w:r>
          </w:p>
        </w:tc>
        <w:tc>
          <w:tcPr>
            <w:tcW w:w="1006"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hint="default" w:ascii="Arial" w:hAnsi="Arial" w:eastAsia="Arial" w:cs="Arial"/>
                <w:color w:val="000000"/>
                <w:lang w:val="en-US" w:eastAsia="zh-CN"/>
              </w:rPr>
              <w:t>0.28</w:t>
            </w:r>
          </w:p>
        </w:tc>
        <w:tc>
          <w:tcPr>
            <w:tcW w:w="1211"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-736.27</w:t>
            </w:r>
          </w:p>
        </w:tc>
        <w:tc>
          <w:tcPr>
            <w:tcW w:w="1402"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vertAlign w:val="subscript"/>
              </w:rPr>
            </w:pPr>
            <w:r>
              <w:rPr>
                <w:rFonts w:ascii="Arial" w:hAnsi="Arial" w:eastAsia="Arial" w:cs="Arial"/>
                <w:color w:val="000000"/>
              </w:rPr>
              <w:t>H</w:t>
            </w:r>
            <w:r>
              <w:rPr>
                <w:rFonts w:ascii="Arial" w:hAnsi="Arial" w:eastAsia="Arial" w:cs="Arial"/>
                <w:color w:val="000000"/>
                <w:vertAlign w:val="subscript"/>
              </w:rPr>
              <w:t>2</w:t>
            </w:r>
            <w:r>
              <w:rPr>
                <w:rFonts w:ascii="Arial" w:hAnsi="Arial" w:eastAsia="Arial" w:cs="Arial"/>
                <w:color w:val="000000"/>
              </w:rPr>
              <w:t>O+H</w:t>
            </w:r>
            <w:r>
              <w:rPr>
                <w:rFonts w:ascii="Arial" w:hAnsi="Arial" w:eastAsia="Arial" w:cs="Arial"/>
                <w:color w:val="000000"/>
                <w:vertAlign w:val="subscript"/>
              </w:rPr>
              <w:t>2</w:t>
            </w:r>
          </w:p>
        </w:tc>
        <w:tc>
          <w:tcPr>
            <w:tcW w:w="1329"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-757.29</w:t>
            </w:r>
          </w:p>
        </w:tc>
        <w:tc>
          <w:tcPr>
            <w:tcW w:w="1172"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-2.80</w:t>
            </w:r>
          </w:p>
        </w:tc>
      </w:tr>
      <w:tr>
        <w:tblPrEx>
          <w:tblCellMar>
            <w:top w:w="0" w:type="dxa"/>
            <w:left w:w="0" w:type="dxa"/>
            <w:bottom w:w="0" w:type="dxa"/>
            <w:right w:w="0" w:type="dxa"/>
          </w:tblCellMar>
        </w:tblPrEx>
        <w:trPr>
          <w:trHeight w:val="314" w:hRule="atLeast"/>
        </w:trPr>
        <w:tc>
          <w:tcPr>
            <w:tcW w:w="1009"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ascii="Arial" w:hAnsi="Arial" w:eastAsia="Arial" w:cs="Arial"/>
                <w:color w:val="000000"/>
                <w:vertAlign w:val="superscript"/>
              </w:rPr>
              <w:t>*</w:t>
            </w:r>
            <w:r>
              <w:rPr>
                <w:rFonts w:ascii="Arial" w:hAnsi="Arial" w:eastAsia="Arial" w:cs="Arial"/>
                <w:color w:val="000000"/>
              </w:rPr>
              <w:t>OH</w:t>
            </w:r>
          </w:p>
        </w:tc>
        <w:tc>
          <w:tcPr>
            <w:tcW w:w="1177"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hint="default" w:ascii="Arial" w:hAnsi="Arial" w:eastAsia="Arial" w:cs="Arial"/>
                <w:color w:val="000000"/>
                <w:lang w:val="en-US" w:eastAsia="zh-CN"/>
              </w:rPr>
              <w:t>-740.85</w:t>
            </w:r>
          </w:p>
        </w:tc>
        <w:tc>
          <w:tcPr>
            <w:tcW w:w="1006"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hint="default" w:ascii="Arial" w:hAnsi="Arial" w:eastAsia="Arial" w:cs="Arial"/>
                <w:color w:val="000000"/>
                <w:lang w:val="en-US" w:eastAsia="zh-CN"/>
              </w:rPr>
              <w:t>0.03</w:t>
            </w:r>
          </w:p>
        </w:tc>
        <w:tc>
          <w:tcPr>
            <w:tcW w:w="1211"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-740.82</w:t>
            </w:r>
          </w:p>
        </w:tc>
        <w:tc>
          <w:tcPr>
            <w:tcW w:w="1402" w:type="dxa"/>
            <w:tcBorders>
              <w:top w:val="nil"/>
              <w:left w:val="nil"/>
              <w:bottom w:val="nil"/>
              <w:right w:val="nil"/>
            </w:tcBorders>
            <w:shd w:val="clear" w:color="000000" w:fill="auto"/>
            <w:tcMar>
              <w:left w:w="108" w:type="dxa"/>
              <w:right w:w="108" w:type="dxa"/>
            </w:tcMar>
            <w:vAlign w:val="center"/>
          </w:tcPr>
          <w:p>
            <w:pPr>
              <w:spacing w:line="360" w:lineRule="auto"/>
              <w:rPr>
                <w:rFonts w:ascii="Arial" w:hAnsi="Arial" w:eastAsia="Arial" w:cs="Arial"/>
                <w:color w:val="000000"/>
                <w:vertAlign w:val="subscript"/>
              </w:rPr>
            </w:pPr>
            <w:r>
              <w:rPr>
                <w:rFonts w:ascii="Arial" w:hAnsi="Arial" w:eastAsia="Arial" w:cs="Arial"/>
                <w:color w:val="000000"/>
              </w:rPr>
              <w:t>H</w:t>
            </w:r>
            <w:r>
              <w:rPr>
                <w:rFonts w:ascii="Arial" w:hAnsi="Arial" w:eastAsia="Arial" w:cs="Arial"/>
                <w:color w:val="000000"/>
                <w:vertAlign w:val="subscript"/>
              </w:rPr>
              <w:t>2</w:t>
            </w:r>
            <w:r>
              <w:rPr>
                <w:rFonts w:ascii="Arial" w:hAnsi="Arial" w:eastAsia="Arial" w:cs="Arial"/>
                <w:color w:val="000000"/>
              </w:rPr>
              <w:t>O+1/2H</w:t>
            </w:r>
            <w:r>
              <w:rPr>
                <w:rFonts w:ascii="Arial" w:hAnsi="Arial" w:eastAsia="Arial" w:cs="Arial"/>
                <w:color w:val="000000"/>
                <w:vertAlign w:val="subscript"/>
              </w:rPr>
              <w:t>2</w:t>
            </w:r>
          </w:p>
        </w:tc>
        <w:tc>
          <w:tcPr>
            <w:tcW w:w="1329"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-758.44</w:t>
            </w:r>
          </w:p>
        </w:tc>
        <w:tc>
          <w:tcPr>
            <w:tcW w:w="1172" w:type="dxa"/>
            <w:tcBorders>
              <w:top w:val="nil"/>
              <w:left w:val="nil"/>
              <w:bottom w:val="nil"/>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-3.95</w:t>
            </w:r>
          </w:p>
        </w:tc>
      </w:tr>
      <w:tr>
        <w:tblPrEx>
          <w:tblCellMar>
            <w:top w:w="0" w:type="dxa"/>
            <w:left w:w="0" w:type="dxa"/>
            <w:bottom w:w="0" w:type="dxa"/>
            <w:right w:w="0" w:type="dxa"/>
          </w:tblCellMar>
        </w:tblPrEx>
        <w:trPr>
          <w:trHeight w:val="314" w:hRule="atLeast"/>
        </w:trPr>
        <w:tc>
          <w:tcPr>
            <w:tcW w:w="1009"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8"/>
              </w:rPr>
            </w:pPr>
            <w:r>
              <w:rPr>
                <w:rFonts w:ascii="Arial" w:hAnsi="Arial" w:eastAsia="Arial" w:cs="Arial"/>
                <w:color w:val="000008"/>
              </w:rPr>
              <w:t>slab</w:t>
            </w:r>
          </w:p>
        </w:tc>
        <w:tc>
          <w:tcPr>
            <w:tcW w:w="1177"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hint="default" w:ascii="Arial" w:hAnsi="Arial" w:eastAsia="Arial" w:cs="Arial"/>
                <w:color w:val="000000"/>
                <w:lang w:val="en-US" w:eastAsia="zh-CN"/>
              </w:rPr>
              <w:t>-730.97</w:t>
            </w:r>
          </w:p>
        </w:tc>
        <w:tc>
          <w:tcPr>
            <w:tcW w:w="1006"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hint="default" w:ascii="Arial" w:hAnsi="Arial" w:eastAsia="Arial" w:cs="Arial"/>
                <w:color w:val="000000"/>
                <w:lang w:val="en-US" w:eastAsia="zh-CN"/>
              </w:rPr>
              <w:t>0.00</w:t>
            </w:r>
          </w:p>
        </w:tc>
        <w:tc>
          <w:tcPr>
            <w:tcW w:w="1211"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-730.97</w:t>
            </w:r>
          </w:p>
        </w:tc>
        <w:tc>
          <w:tcPr>
            <w:tcW w:w="1402"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ascii="Arial" w:hAnsi="Arial" w:eastAsia="Arial" w:cs="Arial"/>
                <w:color w:val="000000"/>
              </w:rPr>
            </w:pPr>
            <w:r>
              <w:rPr>
                <w:rFonts w:ascii="Arial" w:hAnsi="Arial" w:eastAsia="Arial" w:cs="Arial"/>
                <w:color w:val="000000"/>
              </w:rPr>
              <w:t>2H</w:t>
            </w:r>
            <w:r>
              <w:rPr>
                <w:rFonts w:ascii="Arial" w:hAnsi="Arial" w:eastAsia="Arial" w:cs="Arial"/>
                <w:color w:val="000000"/>
                <w:vertAlign w:val="subscript"/>
              </w:rPr>
              <w:t>2</w:t>
            </w:r>
            <w:r>
              <w:rPr>
                <w:rFonts w:ascii="Arial" w:hAnsi="Arial" w:eastAsia="Arial" w:cs="Arial"/>
                <w:color w:val="000000"/>
              </w:rPr>
              <w:t>O</w:t>
            </w:r>
          </w:p>
        </w:tc>
        <w:tc>
          <w:tcPr>
            <w:tcW w:w="1329"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-759.41</w:t>
            </w:r>
          </w:p>
        </w:tc>
        <w:tc>
          <w:tcPr>
            <w:tcW w:w="1172" w:type="dxa"/>
            <w:tcBorders>
              <w:top w:val="nil"/>
              <w:left w:val="nil"/>
              <w:bottom w:val="single" w:color="000000" w:sz="4" w:space="0"/>
              <w:right w:val="nil"/>
            </w:tcBorders>
            <w:shd w:val="clear" w:color="000000" w:fill="auto"/>
            <w:tcMar>
              <w:left w:w="108" w:type="dxa"/>
              <w:right w:w="108" w:type="dxa"/>
            </w:tcMar>
            <w:vAlign w:val="center"/>
          </w:tcPr>
          <w:p>
            <w:pPr>
              <w:spacing w:line="360" w:lineRule="auto"/>
              <w:rPr>
                <w:rFonts w:hint="default" w:ascii="Arial" w:hAnsi="Arial" w:eastAsia="Arial" w:cs="Arial"/>
                <w:color w:val="000000"/>
                <w:lang w:val="en-US" w:eastAsia="zh-CN"/>
              </w:rPr>
            </w:pPr>
            <w:r>
              <w:rPr>
                <w:rFonts w:hint="default" w:ascii="Arial" w:hAnsi="Arial" w:eastAsia="Arial" w:cs="Arial"/>
                <w:color w:val="000000"/>
                <w:lang w:val="en-US" w:eastAsia="zh-CN"/>
              </w:rPr>
              <w:t>-4.92</w:t>
            </w:r>
          </w:p>
        </w:tc>
      </w:tr>
    </w:tbl>
    <w:p>
      <w:pPr>
        <w:spacing w:line="480" w:lineRule="auto"/>
        <w:ind w:left="0" w:leftChars="0" w:right="-57" w:firstLine="0"/>
        <w:jc w:val="center"/>
        <w:rPr>
          <w:rFonts w:ascii="Arial" w:hAnsi="Arial" w:eastAsia="Arial" w:cs="Arial"/>
          <w:lang w:eastAsia="zh-CN"/>
        </w:rPr>
      </w:pPr>
    </w:p>
    <w:p>
      <w:pPr>
        <w:spacing w:line="480" w:lineRule="auto"/>
        <w:ind w:left="-168" w:leftChars="-70" w:right="850" w:firstLine="5"/>
        <w:jc w:val="both"/>
        <w:rPr>
          <w:rFonts w:ascii="Arial" w:hAnsi="Arial" w:eastAsia="Arial" w:cs="Arial"/>
        </w:rPr>
      </w:pPr>
      <w:r>
        <w:rPr>
          <w:rFonts w:ascii="Arial" w:hAnsi="Arial" w:eastAsia="Arial" w:cs="Arial"/>
        </w:rPr>
        <w:t>Table S5. Free energy of intermediates (G</w:t>
      </w:r>
      <w:r>
        <w:rPr>
          <w:rFonts w:ascii="Arial" w:hAnsi="Arial" w:eastAsia="Arial" w:cs="Arial"/>
          <w:vertAlign w:val="subscript"/>
        </w:rPr>
        <w:t>x</w:t>
      </w:r>
      <w:r>
        <w:rPr>
          <w:rFonts w:ascii="Arial" w:hAnsi="Arial" w:eastAsia="Arial" w:cs="Arial"/>
        </w:rPr>
        <w:t xml:space="preserve">) on </w:t>
      </w:r>
      <w:r>
        <w:fldChar w:fldCharType="begin"/>
      </w:r>
      <w:r>
        <w:instrText xml:space="preserve">HYPERLINK "mailto:Fe3C@G"</w:instrText>
      </w:r>
      <w:r>
        <w:fldChar w:fldCharType="separate"/>
      </w:r>
      <w:r>
        <w:rPr>
          <w:rFonts w:ascii="Arial" w:hAnsi="Arial" w:eastAsia="Arial" w:cs="Arial"/>
        </w:rPr>
        <w:t>Cu-N</w:t>
      </w:r>
      <w:r>
        <w:rPr>
          <w:rFonts w:ascii="Arial" w:hAnsi="Arial" w:eastAsia="Arial" w:cs="Arial"/>
          <w:vertAlign w:val="subscript"/>
        </w:rPr>
        <w:t>2</w:t>
      </w:r>
      <w:r>
        <w:rPr>
          <w:rFonts w:ascii="Arial" w:hAnsi="Arial" w:eastAsia="Arial" w:cs="Arial"/>
        </w:rPr>
        <w:t>-C</w:t>
      </w:r>
      <w:r>
        <w:rPr>
          <w:rFonts w:ascii="Arial Unicode MS" w:hAnsi="Arial Unicode MS" w:eastAsia="Arial Unicode MS" w:cs="Arial Unicode MS"/>
        </w:rPr>
        <w:fldChar w:fldCharType="end"/>
      </w:r>
      <w:r>
        <w:rPr>
          <w:rFonts w:ascii="Arial" w:hAnsi="Arial" w:eastAsia="Arial" w:cs="Arial"/>
        </w:rPr>
        <w:t xml:space="preserve"> slab at various potential</w:t>
      </w:r>
      <w:r>
        <w:rPr>
          <w:rFonts w:hint="eastAsia" w:ascii="Arial" w:hAnsi="Arial" w:eastAsia="Arial" w:cs="Arial"/>
        </w:rPr>
        <w:t>s</w:t>
      </w:r>
      <w:r>
        <w:rPr>
          <w:rFonts w:ascii="Arial" w:hAnsi="Arial" w:eastAsia="Arial" w:cs="Arial"/>
        </w:rPr>
        <w:t xml:space="preserve"> U (V)</w:t>
      </w:r>
    </w:p>
    <w:tbl>
      <w:tblPr>
        <w:tblStyle w:val="9"/>
        <w:tblW w:w="8306" w:type="dxa"/>
        <w:tblInd w:w="-2" w:type="dxa"/>
        <w:tblLayout w:type="fixed"/>
        <w:tblCellMar>
          <w:top w:w="0" w:type="dxa"/>
          <w:left w:w="0" w:type="dxa"/>
          <w:bottom w:w="0" w:type="dxa"/>
          <w:right w:w="0" w:type="dxa"/>
        </w:tblCellMar>
      </w:tblPr>
      <w:tblGrid>
        <w:gridCol w:w="980"/>
        <w:gridCol w:w="1297"/>
        <w:gridCol w:w="1802"/>
        <w:gridCol w:w="1204"/>
        <w:gridCol w:w="1411"/>
        <w:gridCol w:w="1612"/>
      </w:tblGrid>
      <w:tr>
        <w:trPr>
          <w:trHeight w:val="630" w:hRule="atLeast"/>
        </w:trPr>
        <w:tc>
          <w:tcPr>
            <w:tcW w:w="980" w:type="dxa"/>
            <w:tcBorders>
              <w:top w:val="single" w:color="auto" w:sz="4" w:space="0"/>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U (V)</w:t>
            </w:r>
          </w:p>
        </w:tc>
        <w:tc>
          <w:tcPr>
            <w:tcW w:w="1297" w:type="dxa"/>
            <w:tcBorders>
              <w:top w:val="single" w:color="auto" w:sz="4" w:space="0"/>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0"/>
              </w:rPr>
            </w:pPr>
            <w:r>
              <w:rPr>
                <w:rFonts w:ascii="Arial" w:hAnsi="Arial" w:eastAsia="Arial" w:cs="Arial"/>
                <w:color w:val="000000"/>
              </w:rPr>
              <w:t>G O</w:t>
            </w:r>
            <w:r>
              <w:rPr>
                <w:rFonts w:ascii="Arial" w:hAnsi="Arial" w:eastAsia="Arial" w:cs="Arial"/>
                <w:color w:val="000000"/>
                <w:vertAlign w:val="subscript"/>
              </w:rPr>
              <w:t>2</w:t>
            </w:r>
            <w:r>
              <w:rPr>
                <w:rFonts w:ascii="Arial" w:hAnsi="Arial" w:eastAsia="Arial" w:cs="Arial"/>
                <w:color w:val="000000"/>
              </w:rPr>
              <w:t xml:space="preserve"> (eV)</w:t>
            </w:r>
          </w:p>
        </w:tc>
        <w:tc>
          <w:tcPr>
            <w:tcW w:w="1802" w:type="dxa"/>
            <w:tcBorders>
              <w:top w:val="single" w:color="auto" w:sz="4" w:space="0"/>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G*OOH (eV)</w:t>
            </w:r>
          </w:p>
        </w:tc>
        <w:tc>
          <w:tcPr>
            <w:tcW w:w="1204" w:type="dxa"/>
            <w:tcBorders>
              <w:top w:val="single" w:color="auto" w:sz="4" w:space="0"/>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G*O (eV)</w:t>
            </w:r>
          </w:p>
        </w:tc>
        <w:tc>
          <w:tcPr>
            <w:tcW w:w="1411" w:type="dxa"/>
            <w:tcBorders>
              <w:top w:val="single" w:color="auto" w:sz="4" w:space="0"/>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G*OH (eV)</w:t>
            </w:r>
          </w:p>
        </w:tc>
        <w:tc>
          <w:tcPr>
            <w:tcW w:w="1612" w:type="dxa"/>
            <w:tcBorders>
              <w:top w:val="single" w:color="auto" w:sz="4" w:space="0"/>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0"/>
              </w:rPr>
            </w:pPr>
            <w:r>
              <w:rPr>
                <w:rFonts w:ascii="Arial" w:hAnsi="Arial" w:eastAsia="Arial" w:cs="Arial"/>
                <w:color w:val="000000"/>
              </w:rPr>
              <w:t>G H</w:t>
            </w:r>
            <w:r>
              <w:rPr>
                <w:rFonts w:ascii="Arial" w:hAnsi="Arial" w:eastAsia="Arial" w:cs="Arial"/>
                <w:color w:val="000000"/>
                <w:vertAlign w:val="subscript"/>
              </w:rPr>
              <w:t>2</w:t>
            </w:r>
            <w:r>
              <w:rPr>
                <w:rFonts w:ascii="Arial" w:hAnsi="Arial" w:eastAsia="Arial" w:cs="Arial"/>
                <w:color w:val="000000"/>
              </w:rPr>
              <w:t>O (eV)</w:t>
            </w:r>
          </w:p>
        </w:tc>
      </w:tr>
      <w:tr>
        <w:tblPrEx>
          <w:tblCellMar>
            <w:top w:w="0" w:type="dxa"/>
            <w:left w:w="0" w:type="dxa"/>
            <w:bottom w:w="0" w:type="dxa"/>
            <w:right w:w="0" w:type="dxa"/>
          </w:tblCellMar>
        </w:tblPrEx>
        <w:trPr>
          <w:trHeight w:val="314" w:hRule="atLeast"/>
        </w:trPr>
        <w:tc>
          <w:tcPr>
            <w:tcW w:w="980" w:type="dxa"/>
            <w:tcBorders>
              <w:top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1.23</w:t>
            </w:r>
          </w:p>
        </w:tc>
        <w:tc>
          <w:tcPr>
            <w:tcW w:w="1297" w:type="dxa"/>
            <w:tcBorders>
              <w:top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0</w:t>
            </w:r>
          </w:p>
        </w:tc>
        <w:tc>
          <w:tcPr>
            <w:tcW w:w="1802" w:type="dxa"/>
            <w:tcBorders>
              <w:top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-0.06</w:t>
            </w:r>
          </w:p>
        </w:tc>
        <w:tc>
          <w:tcPr>
            <w:tcW w:w="1204" w:type="dxa"/>
            <w:tcBorders>
              <w:top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-0.34</w:t>
            </w:r>
          </w:p>
        </w:tc>
        <w:tc>
          <w:tcPr>
            <w:tcW w:w="1411" w:type="dxa"/>
            <w:tcBorders>
              <w:top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-0.26</w:t>
            </w:r>
          </w:p>
        </w:tc>
        <w:tc>
          <w:tcPr>
            <w:tcW w:w="1612" w:type="dxa"/>
            <w:tcBorders>
              <w:top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0</w:t>
            </w:r>
          </w:p>
        </w:tc>
      </w:tr>
      <w:tr>
        <w:tblPrEx>
          <w:tblCellMar>
            <w:top w:w="0" w:type="dxa"/>
            <w:left w:w="0" w:type="dxa"/>
            <w:bottom w:w="0" w:type="dxa"/>
            <w:right w:w="0" w:type="dxa"/>
          </w:tblCellMar>
        </w:tblPrEx>
        <w:trPr>
          <w:trHeight w:val="314" w:hRule="atLeast"/>
        </w:trPr>
        <w:tc>
          <w:tcPr>
            <w:tcW w:w="980" w:type="dxa"/>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0.83</w:t>
            </w:r>
          </w:p>
        </w:tc>
        <w:tc>
          <w:tcPr>
            <w:tcW w:w="1297" w:type="dxa"/>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0</w:t>
            </w:r>
          </w:p>
        </w:tc>
        <w:tc>
          <w:tcPr>
            <w:tcW w:w="1802" w:type="dxa"/>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-0.46</w:t>
            </w:r>
          </w:p>
        </w:tc>
        <w:tc>
          <w:tcPr>
            <w:tcW w:w="1204" w:type="dxa"/>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-1.14</w:t>
            </w:r>
          </w:p>
        </w:tc>
        <w:tc>
          <w:tcPr>
            <w:tcW w:w="1411" w:type="dxa"/>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-1.46</w:t>
            </w:r>
          </w:p>
        </w:tc>
        <w:tc>
          <w:tcPr>
            <w:tcW w:w="1612" w:type="dxa"/>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-1.6</w:t>
            </w:r>
          </w:p>
        </w:tc>
      </w:tr>
      <w:tr>
        <w:tblPrEx>
          <w:tblCellMar>
            <w:top w:w="0" w:type="dxa"/>
            <w:left w:w="0" w:type="dxa"/>
            <w:bottom w:w="0" w:type="dxa"/>
            <w:right w:w="0" w:type="dxa"/>
          </w:tblCellMar>
        </w:tblPrEx>
        <w:trPr>
          <w:trHeight w:val="314" w:hRule="atLeast"/>
        </w:trPr>
        <w:tc>
          <w:tcPr>
            <w:tcW w:w="980" w:type="dxa"/>
            <w:tcBorders>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0</w:t>
            </w:r>
          </w:p>
        </w:tc>
        <w:tc>
          <w:tcPr>
            <w:tcW w:w="1297" w:type="dxa"/>
            <w:tcBorders>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0</w:t>
            </w:r>
          </w:p>
        </w:tc>
        <w:tc>
          <w:tcPr>
            <w:tcW w:w="1802" w:type="dxa"/>
            <w:tcBorders>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-1.29</w:t>
            </w:r>
          </w:p>
        </w:tc>
        <w:tc>
          <w:tcPr>
            <w:tcW w:w="1204" w:type="dxa"/>
            <w:tcBorders>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-2.8</w:t>
            </w:r>
          </w:p>
        </w:tc>
        <w:tc>
          <w:tcPr>
            <w:tcW w:w="1411" w:type="dxa"/>
            <w:tcBorders>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-3.95</w:t>
            </w:r>
          </w:p>
        </w:tc>
        <w:tc>
          <w:tcPr>
            <w:tcW w:w="1612" w:type="dxa"/>
            <w:tcBorders>
              <w:bottom w:val="single" w:color="auto" w:sz="4" w:space="0"/>
            </w:tcBorders>
            <w:shd w:val="clear" w:color="000000" w:fill="auto"/>
            <w:tcMar>
              <w:left w:w="108" w:type="dxa"/>
              <w:right w:w="108" w:type="dxa"/>
            </w:tcMar>
            <w:vAlign w:val="center"/>
          </w:tcPr>
          <w:p>
            <w:pPr>
              <w:spacing w:line="360" w:lineRule="auto"/>
              <w:jc w:val="center"/>
              <w:rPr>
                <w:rFonts w:ascii="Arial" w:hAnsi="Arial" w:eastAsia="Arial" w:cs="Arial"/>
                <w:color w:val="000008"/>
              </w:rPr>
            </w:pPr>
            <w:r>
              <w:rPr>
                <w:rFonts w:ascii="Arial" w:hAnsi="Arial" w:eastAsia="Arial" w:cs="Arial"/>
                <w:color w:val="000008"/>
              </w:rPr>
              <w:t>-4.92</w:t>
            </w:r>
          </w:p>
        </w:tc>
      </w:tr>
    </w:tbl>
    <w:p>
      <w:pPr>
        <w:spacing w:line="480" w:lineRule="auto"/>
        <w:ind w:left="502" w:firstLine="0"/>
        <w:jc w:val="both"/>
        <w:rPr>
          <w:rFonts w:ascii="Arial" w:hAnsi="Arial" w:eastAsia="Arial" w:cs="Arial"/>
          <w:b/>
          <w:sz w:val="28"/>
          <w:szCs w:val="28"/>
          <w:lang w:val="en-US" w:eastAsia="zh-CN"/>
        </w:rPr>
      </w:pPr>
    </w:p>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Table S6. Summary of cost estimation categories</w:t>
      </w:r>
    </w:p>
    <w:tbl>
      <w:tblPr>
        <w:tblStyle w:val="10"/>
        <w:tblW w:w="0" w:type="auto"/>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72"/>
        <w:gridCol w:w="1822"/>
        <w:gridCol w:w="43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96" w:type="dxa"/>
            <w:gridSpan w:val="3"/>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Operation cost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7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Contribution to cost</w:t>
            </w:r>
          </w:p>
        </w:tc>
        <w:tc>
          <w:tcPr>
            <w:tcW w:w="182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Estimation cost</w:t>
            </w:r>
          </w:p>
        </w:tc>
        <w:tc>
          <w:tcPr>
            <w:tcW w:w="430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Consideration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7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Cost of precursor</w:t>
            </w:r>
          </w:p>
        </w:tc>
        <w:tc>
          <w:tcPr>
            <w:tcW w:w="182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~1150 €/kg</w:t>
            </w:r>
          </w:p>
        </w:tc>
        <w:tc>
          <w:tcPr>
            <w:tcW w:w="430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Laboratory chemical suppliers</w:t>
            </w:r>
          </w:p>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w:t>
            </w:r>
            <w:r>
              <w:fldChar w:fldCharType="begin"/>
            </w:r>
            <w:r>
              <w:instrText xml:space="preserve">HYPERLINK "http://www.sigmaaldrich.cn"</w:instrText>
            </w:r>
            <w:r>
              <w:fldChar w:fldCharType="separate"/>
            </w:r>
            <w:r>
              <w:rPr>
                <w:rFonts w:ascii="Arial" w:hAnsi="Arial" w:eastAsia="Arial" w:cs="Arial"/>
                <w:lang w:eastAsia="zh-CN"/>
              </w:rPr>
              <w:t>www.sigmaaldrich.cn</w:t>
            </w:r>
            <w:r>
              <w:rPr>
                <w:rFonts w:ascii="Segoe UI" w:hAnsi="Segoe UI" w:eastAsia="Segoe UI" w:cs="Segoe UI"/>
                <w:sz w:val="28"/>
                <w:szCs w:val="28"/>
              </w:rPr>
              <w:fldChar w:fldCharType="end"/>
            </w:r>
            <w:r>
              <w:rPr>
                <w:rFonts w:ascii="Arial" w:hAnsi="Arial" w:eastAsia="Arial" w:cs="Arial"/>
                <w:lang w:eastAsia="zh-CN"/>
              </w:rPr>
              <w:t>)</w:t>
            </w:r>
          </w:p>
          <w:p>
            <w:pPr>
              <w:spacing w:line="480" w:lineRule="auto"/>
              <w:ind w:left="-168" w:leftChars="-70" w:right="-57" w:firstLine="0"/>
              <w:jc w:val="center"/>
              <w:rPr>
                <w:rFonts w:ascii="Arial" w:hAnsi="Arial" w:eastAsia="Arial" w:cs="Arial"/>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7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Energy required</w:t>
            </w:r>
          </w:p>
        </w:tc>
        <w:tc>
          <w:tcPr>
            <w:tcW w:w="182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~330 €/kg</w:t>
            </w:r>
          </w:p>
        </w:tc>
        <w:tc>
          <w:tcPr>
            <w:tcW w:w="430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0.1 €/kWh</w:t>
            </w:r>
          </w:p>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(European Energy Portal)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7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Yield of products</w:t>
            </w:r>
          </w:p>
        </w:tc>
        <w:tc>
          <w:tcPr>
            <w:tcW w:w="182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50%</w:t>
            </w:r>
          </w:p>
        </w:tc>
        <w:tc>
          <w:tcPr>
            <w:tcW w:w="430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7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Production cost of products</w:t>
            </w:r>
          </w:p>
        </w:tc>
        <w:tc>
          <w:tcPr>
            <w:tcW w:w="182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~2630 €/kg</w:t>
            </w:r>
          </w:p>
        </w:tc>
        <w:tc>
          <w:tcPr>
            <w:tcW w:w="4302"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Evaluation of the cost largely depends on guesses and application of rules of thumbs</w:t>
            </w:r>
          </w:p>
        </w:tc>
      </w:tr>
    </w:tbl>
    <w:p>
      <w:pPr>
        <w:spacing w:line="480" w:lineRule="auto"/>
        <w:ind w:left="-168" w:leftChars="-70" w:right="-57" w:firstLine="0"/>
        <w:jc w:val="center"/>
        <w:rPr>
          <w:rFonts w:ascii="Arial" w:hAnsi="Arial" w:eastAsia="Arial" w:cs="Arial"/>
          <w:lang w:eastAsia="zh-CN"/>
        </w:rPr>
      </w:pPr>
    </w:p>
    <w:p>
      <w:pPr>
        <w:spacing w:line="480" w:lineRule="auto"/>
        <w:ind w:left="-168" w:leftChars="-70" w:right="-57" w:firstLine="0"/>
        <w:jc w:val="center"/>
        <w:rPr>
          <w:rFonts w:ascii="Arial" w:hAnsi="Arial" w:eastAsia="Arial" w:cs="Arial"/>
          <w:lang w:eastAsia="zh-CN"/>
        </w:rPr>
      </w:pPr>
    </w:p>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Table S7. Comparison of cost considerations for different catalysts</w:t>
      </w:r>
    </w:p>
    <w:tbl>
      <w:tblPr>
        <w:tblStyle w:val="10"/>
        <w:tblW w:w="0" w:type="auto"/>
        <w:tblInd w:w="1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1"/>
        <w:gridCol w:w="3300"/>
        <w:gridCol w:w="22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1"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Catalyst</w:t>
            </w:r>
          </w:p>
        </w:tc>
        <w:tc>
          <w:tcPr>
            <w:tcW w:w="3300"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Cost estimation</w:t>
            </w:r>
          </w:p>
        </w:tc>
        <w:tc>
          <w:tcPr>
            <w:tcW w:w="2265"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Reference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2731"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Cu-N</w:t>
            </w:r>
            <w:r>
              <w:rPr>
                <w:rFonts w:ascii="Arial" w:hAnsi="Arial" w:eastAsia="Arial" w:cs="Arial"/>
                <w:vertAlign w:val="subscript"/>
                <w:lang w:eastAsia="zh-CN"/>
              </w:rPr>
              <w:t>2</w:t>
            </w:r>
            <w:r>
              <w:rPr>
                <w:rFonts w:ascii="Arial" w:hAnsi="Arial" w:eastAsia="Arial" w:cs="Arial"/>
                <w:lang w:eastAsia="zh-CN"/>
              </w:rPr>
              <w:t>@HNOC</w:t>
            </w:r>
          </w:p>
        </w:tc>
        <w:tc>
          <w:tcPr>
            <w:tcW w:w="3300"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2630 €/kg</w:t>
            </w:r>
          </w:p>
        </w:tc>
        <w:tc>
          <w:tcPr>
            <w:tcW w:w="2265"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This work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1"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Pt/C</w:t>
            </w:r>
          </w:p>
        </w:tc>
        <w:tc>
          <w:tcPr>
            <w:tcW w:w="3300"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14000 €/kg</w:t>
            </w:r>
          </w:p>
        </w:tc>
        <w:tc>
          <w:tcPr>
            <w:tcW w:w="2265"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Alfa Aesar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1"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Fe based catalyst</w:t>
            </w:r>
          </w:p>
        </w:tc>
        <w:tc>
          <w:tcPr>
            <w:tcW w:w="3300"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3400 €/kg</w:t>
            </w:r>
          </w:p>
        </w:tc>
        <w:tc>
          <w:tcPr>
            <w:tcW w:w="2265" w:type="dxa"/>
            <w:tcBorders>
              <w:top w:val="single" w:color="000000" w:sz="4" w:space="0"/>
              <w:left w:val="single" w:color="000000" w:sz="4" w:space="0"/>
              <w:bottom w:val="single" w:color="000000" w:sz="4" w:space="0"/>
              <w:right w:val="single" w:color="000000" w:sz="4" w:space="0"/>
            </w:tcBorders>
            <w:vAlign w:val="top"/>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Applied Catalysis B: Environmental, 2017, 205, 24-33</w:t>
            </w:r>
          </w:p>
        </w:tc>
      </w:tr>
    </w:tbl>
    <w:p>
      <w:pPr>
        <w:spacing w:line="480" w:lineRule="auto"/>
        <w:ind w:left="0" w:leftChars="0" w:right="-57" w:firstLine="0"/>
        <w:jc w:val="center"/>
        <w:rPr>
          <w:rFonts w:ascii="Arial" w:hAnsi="Arial" w:eastAsia="Arial" w:cs="Arial"/>
          <w:lang w:eastAsia="zh-CN"/>
        </w:rPr>
      </w:pPr>
    </w:p>
    <w:p>
      <w:pPr>
        <w:spacing w:line="480" w:lineRule="auto"/>
        <w:ind w:left="-168" w:leftChars="-70" w:right="-57" w:firstLine="0"/>
        <w:jc w:val="center"/>
        <w:rPr>
          <w:rFonts w:ascii="Arial" w:hAnsi="Arial" w:eastAsia="Arial" w:cs="Arial"/>
          <w:lang w:eastAsia="zh-CN"/>
        </w:rPr>
      </w:pPr>
    </w:p>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Table S8. Comparison of cost considerations for different catalyst</w:t>
      </w:r>
    </w:p>
    <w:tbl>
      <w:tblPr>
        <w:tblStyle w:val="10"/>
        <w:tblpPr w:vertAnchor="text" w:tblpX="300" w:tblpY="143"/>
        <w:tblW w:w="82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21"/>
        <w:gridCol w:w="1993"/>
        <w:gridCol w:w="2217"/>
        <w:gridCol w:w="22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1"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Consumptions</w:t>
            </w:r>
          </w:p>
        </w:tc>
        <w:tc>
          <w:tcPr>
            <w:tcW w:w="1993"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Energy</w:t>
            </w:r>
          </w:p>
        </w:tc>
        <w:tc>
          <w:tcPr>
            <w:tcW w:w="2217"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Time</w:t>
            </w:r>
          </w:p>
        </w:tc>
        <w:tc>
          <w:tcPr>
            <w:tcW w:w="2265"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Total Cost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1821" w:type="dxa"/>
            <w:tcBorders>
              <w:top w:val="single" w:color="000000" w:sz="4" w:space="0"/>
              <w:left w:val="single" w:color="000000" w:sz="4" w:space="0"/>
              <w:bottom w:val="single" w:color="000000" w:sz="4" w:space="0"/>
              <w:right w:val="single" w:color="000000" w:sz="4" w:space="0"/>
            </w:tcBorders>
            <w:vAlign w:val="center"/>
          </w:tcPr>
          <w:p>
            <w:pPr>
              <w:spacing w:line="360" w:lineRule="auto"/>
              <w:ind w:left="-168" w:leftChars="-70" w:right="-57" w:firstLine="0"/>
              <w:jc w:val="center"/>
              <w:rPr>
                <w:rFonts w:ascii="Arial" w:hAnsi="Arial" w:eastAsia="Arial" w:cs="Arial"/>
                <w:sz w:val="20"/>
                <w:szCs w:val="20"/>
                <w:lang w:eastAsia="zh-CN"/>
              </w:rPr>
            </w:pPr>
            <w:r>
              <w:rPr>
                <w:rFonts w:ascii="Arial" w:hAnsi="Arial" w:eastAsia="Arial" w:cs="Arial"/>
                <w:sz w:val="20"/>
                <w:szCs w:val="20"/>
                <w:lang w:eastAsia="zh-CN"/>
              </w:rPr>
              <w:t>Cu-N</w:t>
            </w:r>
            <w:r>
              <w:rPr>
                <w:rFonts w:ascii="Arial" w:hAnsi="Arial" w:eastAsia="Arial" w:cs="Arial"/>
                <w:sz w:val="20"/>
                <w:szCs w:val="20"/>
                <w:vertAlign w:val="subscript"/>
                <w:lang w:eastAsia="zh-CN"/>
              </w:rPr>
              <w:t>2</w:t>
            </w:r>
            <w:r>
              <w:rPr>
                <w:rFonts w:ascii="Arial" w:hAnsi="Arial" w:eastAsia="Arial" w:cs="Arial"/>
                <w:sz w:val="20"/>
                <w:szCs w:val="20"/>
                <w:lang w:eastAsia="zh-CN"/>
              </w:rPr>
              <w:t xml:space="preserve">-C by computer VS  </w:t>
            </w:r>
          </w:p>
        </w:tc>
        <w:tc>
          <w:tcPr>
            <w:tcW w:w="1993"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130 € per screen</w:t>
            </w:r>
          </w:p>
        </w:tc>
        <w:tc>
          <w:tcPr>
            <w:tcW w:w="2217"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2 days per screen</w:t>
            </w:r>
          </w:p>
        </w:tc>
        <w:tc>
          <w:tcPr>
            <w:tcW w:w="2265"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520 € per screen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1821" w:type="dxa"/>
            <w:tcBorders>
              <w:top w:val="single" w:color="000000" w:sz="4" w:space="0"/>
              <w:left w:val="single" w:color="000000" w:sz="4" w:space="0"/>
              <w:bottom w:val="single" w:color="000000" w:sz="4" w:space="0"/>
              <w:right w:val="single" w:color="000000" w:sz="4" w:space="0"/>
            </w:tcBorders>
            <w:vAlign w:val="center"/>
          </w:tcPr>
          <w:p>
            <w:pPr>
              <w:spacing w:line="360" w:lineRule="auto"/>
              <w:ind w:left="-168" w:leftChars="-70" w:right="-57" w:firstLine="0"/>
              <w:jc w:val="center"/>
              <w:rPr>
                <w:rFonts w:ascii="Arial" w:hAnsi="Arial" w:eastAsia="Arial" w:cs="Arial"/>
                <w:sz w:val="20"/>
                <w:szCs w:val="20"/>
                <w:lang w:eastAsia="zh-CN"/>
              </w:rPr>
            </w:pPr>
            <w:r>
              <w:rPr>
                <w:rFonts w:ascii="Arial" w:hAnsi="Arial" w:eastAsia="Arial" w:cs="Arial"/>
                <w:sz w:val="20"/>
                <w:szCs w:val="20"/>
                <w:lang w:eastAsia="zh-CN"/>
              </w:rPr>
              <w:t>Cu-N</w:t>
            </w:r>
            <w:r>
              <w:rPr>
                <w:rFonts w:ascii="Arial" w:hAnsi="Arial" w:eastAsia="Arial" w:cs="Arial"/>
                <w:sz w:val="20"/>
                <w:szCs w:val="20"/>
                <w:vertAlign w:val="subscript"/>
                <w:lang w:eastAsia="zh-CN"/>
              </w:rPr>
              <w:t>2</w:t>
            </w:r>
            <w:r>
              <w:rPr>
                <w:rFonts w:ascii="Arial" w:hAnsi="Arial" w:eastAsia="Arial" w:cs="Arial"/>
                <w:sz w:val="20"/>
                <w:szCs w:val="20"/>
                <w:lang w:eastAsia="zh-CN"/>
              </w:rPr>
              <w:t xml:space="preserve">@HNOC by experiment  </w:t>
            </w:r>
          </w:p>
        </w:tc>
        <w:tc>
          <w:tcPr>
            <w:tcW w:w="1993"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330 €/kg</w:t>
            </w:r>
          </w:p>
        </w:tc>
        <w:tc>
          <w:tcPr>
            <w:tcW w:w="2217"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20 days per sample</w:t>
            </w:r>
          </w:p>
        </w:tc>
        <w:tc>
          <w:tcPr>
            <w:tcW w:w="2265"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2630 €/kg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1" w:type="dxa"/>
            <w:tcBorders>
              <w:top w:val="single" w:color="000000" w:sz="4" w:space="0"/>
              <w:left w:val="single" w:color="000000" w:sz="4" w:space="0"/>
              <w:bottom w:val="single" w:color="000000" w:sz="4" w:space="0"/>
              <w:right w:val="single" w:color="000000" w:sz="4" w:space="0"/>
            </w:tcBorders>
            <w:vAlign w:val="center"/>
          </w:tcPr>
          <w:p>
            <w:pPr>
              <w:spacing w:line="360" w:lineRule="auto"/>
              <w:ind w:left="-168" w:leftChars="-70" w:right="-57" w:firstLine="0"/>
              <w:jc w:val="center"/>
              <w:rPr>
                <w:rFonts w:ascii="Arial" w:hAnsi="Arial" w:eastAsia="Arial" w:cs="Arial"/>
                <w:sz w:val="20"/>
                <w:szCs w:val="20"/>
                <w:lang w:eastAsia="zh-CN"/>
              </w:rPr>
            </w:pPr>
            <w:r>
              <w:rPr>
                <w:rFonts w:ascii="Arial" w:hAnsi="Arial" w:eastAsia="Arial" w:cs="Arial"/>
                <w:sz w:val="20"/>
                <w:szCs w:val="20"/>
                <w:lang w:eastAsia="zh-CN"/>
              </w:rPr>
              <w:t>Pt/C</w:t>
            </w:r>
          </w:p>
          <w:p>
            <w:pPr>
              <w:spacing w:line="360" w:lineRule="auto"/>
              <w:ind w:left="-168" w:leftChars="-70" w:right="-57" w:firstLine="0"/>
              <w:jc w:val="center"/>
              <w:rPr>
                <w:rFonts w:ascii="Arial" w:hAnsi="Arial" w:eastAsia="Arial" w:cs="Arial"/>
                <w:sz w:val="20"/>
                <w:szCs w:val="20"/>
                <w:lang w:eastAsia="zh-CN"/>
              </w:rPr>
            </w:pPr>
            <w:r>
              <w:rPr>
                <w:rFonts w:ascii="Arial" w:hAnsi="Arial" w:eastAsia="Arial" w:cs="Arial"/>
                <w:sz w:val="20"/>
                <w:szCs w:val="20"/>
                <w:lang w:eastAsia="zh-CN"/>
              </w:rPr>
              <w:t xml:space="preserve">by experiment  </w:t>
            </w:r>
          </w:p>
        </w:tc>
        <w:tc>
          <w:tcPr>
            <w:tcW w:w="1993"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w:t>
            </w:r>
          </w:p>
        </w:tc>
        <w:tc>
          <w:tcPr>
            <w:tcW w:w="2217"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25 days per sample</w:t>
            </w:r>
          </w:p>
        </w:tc>
        <w:tc>
          <w:tcPr>
            <w:tcW w:w="2265"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14000 €/kg; Alfa Aesar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1" w:type="dxa"/>
            <w:tcBorders>
              <w:top w:val="single" w:color="000000" w:sz="4" w:space="0"/>
              <w:left w:val="single" w:color="000000" w:sz="4" w:space="0"/>
              <w:bottom w:val="single" w:color="000000" w:sz="4" w:space="0"/>
              <w:right w:val="single" w:color="000000" w:sz="4" w:space="0"/>
            </w:tcBorders>
            <w:vAlign w:val="center"/>
          </w:tcPr>
          <w:p>
            <w:pPr>
              <w:spacing w:line="360" w:lineRule="auto"/>
              <w:ind w:left="-168" w:leftChars="-70" w:right="-57" w:firstLine="0"/>
              <w:jc w:val="center"/>
              <w:rPr>
                <w:rFonts w:ascii="Arial" w:hAnsi="Arial" w:eastAsia="Arial" w:cs="Arial"/>
                <w:sz w:val="20"/>
                <w:szCs w:val="20"/>
                <w:lang w:eastAsia="zh-CN"/>
              </w:rPr>
            </w:pPr>
            <w:r>
              <w:rPr>
                <w:rFonts w:ascii="Arial" w:hAnsi="Arial" w:eastAsia="Arial" w:cs="Arial"/>
                <w:sz w:val="20"/>
                <w:szCs w:val="20"/>
                <w:lang w:eastAsia="zh-CN"/>
              </w:rPr>
              <w:t xml:space="preserve">Fe based catalyst by experiment  </w:t>
            </w:r>
          </w:p>
        </w:tc>
        <w:tc>
          <w:tcPr>
            <w:tcW w:w="1993"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w:t>
            </w:r>
          </w:p>
        </w:tc>
        <w:tc>
          <w:tcPr>
            <w:tcW w:w="2217"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30 days per sample</w:t>
            </w:r>
          </w:p>
        </w:tc>
        <w:tc>
          <w:tcPr>
            <w:tcW w:w="2265" w:type="dxa"/>
            <w:tcBorders>
              <w:top w:val="single" w:color="000000" w:sz="4" w:space="0"/>
              <w:left w:val="single" w:color="000000" w:sz="4" w:space="0"/>
              <w:bottom w:val="single" w:color="000000" w:sz="4" w:space="0"/>
              <w:right w:val="single" w:color="000000" w:sz="4" w:space="0"/>
            </w:tcBorders>
            <w:vAlign w:val="center"/>
          </w:tcPr>
          <w:p>
            <w:pPr>
              <w:spacing w:line="480" w:lineRule="auto"/>
              <w:ind w:left="-168" w:leftChars="-70" w:right="-57" w:firstLine="0"/>
              <w:jc w:val="center"/>
              <w:rPr>
                <w:rFonts w:ascii="Calibri" w:hAnsi="Calibri" w:eastAsia="宋体"/>
              </w:rPr>
            </w:pPr>
            <w:r>
              <w:rPr>
                <w:rFonts w:ascii="Arial" w:hAnsi="Arial" w:eastAsia="Arial" w:cs="Arial"/>
                <w:lang w:eastAsia="zh-CN"/>
              </w:rPr>
              <w:t xml:space="preserve">3400 €/kg; Applied Catalysis B: Environmental, </w:t>
            </w:r>
          </w:p>
          <w:p>
            <w:pPr>
              <w:spacing w:line="480" w:lineRule="auto"/>
              <w:ind w:left="-168" w:leftChars="-70" w:right="-57" w:firstLine="0"/>
              <w:jc w:val="center"/>
              <w:rPr>
                <w:rFonts w:ascii="Arial" w:hAnsi="Arial" w:eastAsia="Arial" w:cs="Arial"/>
                <w:lang w:eastAsia="zh-CN"/>
              </w:rPr>
            </w:pPr>
            <w:r>
              <w:rPr>
                <w:rFonts w:ascii="Arial" w:hAnsi="Arial" w:eastAsia="Arial" w:cs="Arial"/>
                <w:lang w:eastAsia="zh-CN"/>
              </w:rPr>
              <w:t>2017, 205, 24-33</w:t>
            </w:r>
          </w:p>
        </w:tc>
      </w:tr>
    </w:tbl>
    <w:p>
      <w:pPr>
        <w:spacing w:line="480" w:lineRule="auto"/>
        <w:ind w:left="0" w:leftChars="0" w:right="-57" w:firstLine="0"/>
        <w:jc w:val="center"/>
        <w:rPr>
          <w:rFonts w:ascii="Arial" w:hAnsi="Arial" w:eastAsia="Arial" w:cs="Arial"/>
          <w:lang w:eastAsia="zh-CN"/>
        </w:rPr>
      </w:pPr>
    </w:p>
    <w:p>
      <w:pPr>
        <w:spacing w:before="0" w:after="0" w:line="240" w:lineRule="auto"/>
        <w:ind w:left="-5" w:right="0" w:firstLine="0"/>
        <w:jc w:val="left"/>
      </w:pPr>
    </w:p>
    <w:p>
      <w:pPr>
        <w:spacing w:line="480" w:lineRule="auto"/>
        <w:ind w:left="-168" w:leftChars="-70" w:right="-57" w:firstLine="0"/>
        <w:jc w:val="center"/>
      </w:pPr>
    </w:p>
    <w:p>
      <w:pPr>
        <w:spacing w:line="480" w:lineRule="auto"/>
        <w:ind w:left="-168" w:leftChars="-70" w:right="-57" w:firstLine="0"/>
        <w:jc w:val="center"/>
      </w:pPr>
    </w:p>
    <w:p>
      <w:pPr>
        <w:spacing w:line="480" w:lineRule="auto"/>
        <w:ind w:left="-168" w:leftChars="-70" w:right="-57" w:firstLine="0"/>
        <w:jc w:val="center"/>
      </w:pPr>
    </w:p>
    <w:p>
      <w:pPr>
        <w:spacing w:line="480" w:lineRule="auto"/>
        <w:ind w:left="-168" w:leftChars="-70" w:right="-57" w:firstLine="0"/>
        <w:jc w:val="center"/>
      </w:pPr>
    </w:p>
    <w:p>
      <w:pPr>
        <w:spacing w:line="480" w:lineRule="auto"/>
        <w:ind w:left="-168" w:leftChars="-70" w:right="-57" w:firstLine="0"/>
        <w:jc w:val="center"/>
      </w:pPr>
    </w:p>
    <w:p>
      <w:pPr>
        <w:spacing w:line="480" w:lineRule="auto"/>
        <w:ind w:left="-168" w:leftChars="-70" w:right="-57" w:firstLine="0"/>
        <w:jc w:val="center"/>
      </w:pPr>
    </w:p>
    <w:p>
      <w:pPr>
        <w:spacing w:line="480" w:lineRule="auto"/>
        <w:ind w:left="-168" w:leftChars="-70" w:right="-57" w:firstLine="0"/>
        <w:jc w:val="center"/>
      </w:pPr>
    </w:p>
    <w:p>
      <w:pPr>
        <w:spacing w:line="480" w:lineRule="auto"/>
        <w:ind w:left="-168" w:leftChars="-70" w:right="-57" w:firstLine="0"/>
        <w:jc w:val="center"/>
      </w:pPr>
    </w:p>
    <w:p>
      <w:pPr>
        <w:spacing w:line="480" w:lineRule="auto"/>
        <w:ind w:left="-168" w:leftChars="-70" w:right="-57" w:firstLine="0"/>
        <w:jc w:val="center"/>
      </w:pPr>
    </w:p>
    <w:p>
      <w:pPr>
        <w:spacing w:line="480" w:lineRule="auto"/>
        <w:ind w:left="-168" w:leftChars="-70" w:right="-57" w:firstLine="0"/>
        <w:jc w:val="center"/>
      </w:pPr>
    </w:p>
    <w:p>
      <w:pPr>
        <w:spacing w:line="480" w:lineRule="auto"/>
        <w:ind w:left="-168" w:leftChars="-70" w:right="-57" w:firstLine="0"/>
        <w:jc w:val="center"/>
      </w:pPr>
    </w:p>
    <w:p>
      <w:pPr>
        <w:spacing w:line="480" w:lineRule="auto"/>
        <w:ind w:left="-168" w:leftChars="-70" w:right="-57" w:firstLine="0"/>
        <w:jc w:val="center"/>
      </w:pPr>
      <w:r>
        <w:br w:type="page"/>
      </w:r>
    </w:p>
    <w:p>
      <w:pPr>
        <w:spacing w:line="480" w:lineRule="auto"/>
        <w:jc w:val="both"/>
        <w:rPr>
          <w:rFonts w:ascii="Arial" w:hAnsi="Arial" w:eastAsia="Arial" w:cs="Arial"/>
          <w:b/>
          <w:sz w:val="28"/>
          <w:szCs w:val="28"/>
          <w:lang w:val="en-US" w:eastAsia="zh-CN"/>
        </w:rPr>
      </w:pPr>
      <w:r>
        <w:rPr>
          <w:rFonts w:ascii="Arial" w:hAnsi="Arial" w:eastAsia="Arial" w:cs="Arial"/>
          <w:b/>
          <w:sz w:val="28"/>
          <w:szCs w:val="28"/>
          <w:lang w:val="en-US" w:eastAsia="zh-CN"/>
        </w:rPr>
        <w:t>4. References</w:t>
      </w:r>
    </w:p>
    <w:p>
      <w:pPr>
        <w:spacing w:line="360" w:lineRule="auto"/>
        <w:jc w:val="both"/>
        <w:rPr>
          <w:rFonts w:ascii="Arial" w:hAnsi="Arial Unicode MS" w:eastAsia="Arial Unicode MS" w:cs="Arial Unicode MS"/>
          <w:sz w:val="24"/>
          <w:szCs w:val="24"/>
        </w:rPr>
      </w:pPr>
      <w:r>
        <w:rPr>
          <w:rFonts w:ascii="Arial" w:hAnsi="Arial Unicode MS" w:eastAsia="Arial Unicode MS" w:cs="Arial Unicode MS"/>
          <w:sz w:val="24"/>
          <w:szCs w:val="24"/>
        </w:rPr>
        <w:t>[S1] T. Jan, S. Azmat, Q. Mansoor, S. Z. Ilyas, I. Ahmad, H. Khan, M. Ismail, Materials Research Express 2019, 6, 1050a3.</w:t>
      </w:r>
    </w:p>
    <w:p>
      <w:pPr>
        <w:spacing w:line="360" w:lineRule="auto"/>
        <w:jc w:val="both"/>
        <w:rPr>
          <w:rFonts w:ascii="Arial" w:hAnsi="Arial Unicode MS" w:eastAsia="Arial Unicode MS" w:cs="Arial Unicode MS"/>
          <w:sz w:val="24"/>
          <w:szCs w:val="24"/>
        </w:rPr>
      </w:pPr>
      <w:r>
        <w:rPr>
          <w:rFonts w:ascii="Arial" w:hAnsi="Arial Unicode MS" w:eastAsia="Arial Unicode MS" w:cs="Arial Unicode MS"/>
          <w:sz w:val="24"/>
          <w:szCs w:val="24"/>
        </w:rPr>
        <w:t>[S2] J. F. Xu, W. Ji, Z. X. Shen, W. S. Li, S. H. Tang, X. R. Ye, D. Z. Jia, X. Q. Xin, Journal of Raman Spectroscopy 1999, 30, 413–415.</w:t>
      </w:r>
    </w:p>
    <w:p>
      <w:pPr>
        <w:spacing w:line="360" w:lineRule="auto"/>
        <w:jc w:val="both"/>
        <w:rPr>
          <w:rFonts w:ascii="Arial" w:hAnsi="Arial Unicode MS" w:eastAsia="Arial Unicode MS" w:cs="Arial Unicode MS"/>
          <w:sz w:val="24"/>
          <w:szCs w:val="24"/>
        </w:rPr>
      </w:pPr>
      <w:r>
        <w:rPr>
          <w:rFonts w:ascii="Arial" w:hAnsi="Arial Unicode MS" w:eastAsia="Arial Unicode MS" w:cs="Arial Unicode MS"/>
          <w:sz w:val="24"/>
          <w:szCs w:val="24"/>
        </w:rPr>
        <w:t>[S3] Yang L, Shi L, Wang D, et al. Single-atom cobalt electrocatalysts for foldable solid-state Zn-air battery[J]. Nano Energy, 2018, 50: 691-698.</w:t>
      </w:r>
    </w:p>
    <w:p>
      <w:pPr>
        <w:spacing w:line="360" w:lineRule="auto"/>
        <w:jc w:val="both"/>
        <w:rPr>
          <w:rFonts w:ascii="Arial" w:hAnsi="Arial Unicode MS" w:eastAsia="Arial Unicode MS" w:cs="Arial Unicode MS"/>
          <w:sz w:val="24"/>
          <w:szCs w:val="24"/>
        </w:rPr>
      </w:pPr>
      <w:r>
        <w:rPr>
          <w:rFonts w:ascii="Arial" w:hAnsi="Arial Unicode MS" w:eastAsia="Arial Unicode MS" w:cs="Arial Unicode MS"/>
          <w:sz w:val="24"/>
          <w:szCs w:val="24"/>
        </w:rPr>
        <w:t>[S4] Tang C, Wang B, Wang H F, et al. Defect engineering toward atomic Co-Nx-C in hierarchical graphene for rechargeable flexible solid Zn-air batteries[J]. Advanced materials, 2017, 29(37): 1703185.</w:t>
      </w:r>
    </w:p>
    <w:p>
      <w:pPr>
        <w:spacing w:line="360" w:lineRule="auto"/>
        <w:jc w:val="both"/>
        <w:rPr>
          <w:rFonts w:ascii="Arial" w:hAnsi="Arial Unicode MS" w:eastAsia="Arial Unicode MS" w:cs="Arial Unicode MS"/>
          <w:sz w:val="24"/>
          <w:szCs w:val="24"/>
        </w:rPr>
      </w:pPr>
      <w:r>
        <w:rPr>
          <w:rFonts w:ascii="Arial" w:hAnsi="Arial Unicode MS" w:eastAsia="Arial Unicode MS" w:cs="Arial Unicode MS"/>
          <w:sz w:val="24"/>
          <w:szCs w:val="24"/>
        </w:rPr>
        <w:t>[S5]</w:t>
      </w:r>
      <w:r>
        <w:rPr>
          <w:rFonts w:ascii="Arial" w:hAnsi="MS Mincho" w:eastAsia="MS Mincho" w:cs="MS Mincho"/>
          <w:sz w:val="24"/>
          <w:szCs w:val="24"/>
        </w:rPr>
        <w:t xml:space="preserve"> </w:t>
      </w:r>
      <w:r>
        <w:rPr>
          <w:rFonts w:ascii="Arial" w:hAnsi="Arial Unicode MS" w:eastAsia="Arial Unicode MS" w:cs="Arial Unicode MS"/>
          <w:sz w:val="24"/>
          <w:szCs w:val="24"/>
        </w:rPr>
        <w:t>Yu M, Wang Z, Hou C, et al. Nitrogen-doped Co</w:t>
      </w:r>
      <w:r>
        <w:rPr>
          <w:rFonts w:ascii="Arial" w:hAnsi="Arial Unicode MS" w:eastAsia="Arial Unicode MS" w:cs="Arial Unicode MS"/>
          <w:sz w:val="24"/>
          <w:szCs w:val="24"/>
          <w:vertAlign w:val="subscript"/>
        </w:rPr>
        <w:t>3</w:t>
      </w:r>
      <w:r>
        <w:rPr>
          <w:rFonts w:ascii="Arial" w:hAnsi="Arial Unicode MS" w:eastAsia="Arial Unicode MS" w:cs="Arial Unicode MS"/>
          <w:sz w:val="24"/>
          <w:szCs w:val="24"/>
        </w:rPr>
        <w:t>O</w:t>
      </w:r>
      <w:r>
        <w:rPr>
          <w:rFonts w:ascii="Arial" w:hAnsi="Arial Unicode MS" w:eastAsia="Arial Unicode MS" w:cs="Arial Unicode MS"/>
          <w:sz w:val="24"/>
          <w:szCs w:val="24"/>
          <w:vertAlign w:val="subscript"/>
        </w:rPr>
        <w:t>4</w:t>
      </w:r>
      <w:r>
        <w:rPr>
          <w:rFonts w:ascii="Arial" w:hAnsi="Arial Unicode MS" w:eastAsia="Arial Unicode MS" w:cs="Arial Unicode MS"/>
          <w:sz w:val="24"/>
          <w:szCs w:val="24"/>
        </w:rPr>
        <w:t xml:space="preserve"> mesoporous nanowire arrays as an additive‐free air‐cathode for flexible solid-state zinc-air batteries[J]. Advanced materials, 2017, 29(15): 1602868.</w:t>
      </w:r>
    </w:p>
    <w:p>
      <w:pPr>
        <w:spacing w:line="360" w:lineRule="auto"/>
        <w:ind w:right="-57" w:firstLine="0"/>
        <w:jc w:val="both"/>
        <w:rPr>
          <w:rFonts w:ascii="Arial" w:hAnsi="Arial Unicode MS" w:eastAsia="Arial Unicode MS" w:cs="Arial Unicode MS"/>
          <w:sz w:val="24"/>
          <w:szCs w:val="24"/>
        </w:rPr>
      </w:pPr>
      <w:r>
        <w:rPr>
          <w:rFonts w:ascii="Arial" w:hAnsi="Arial Unicode MS" w:eastAsia="Arial Unicode MS" w:cs="Arial Unicode MS"/>
          <w:sz w:val="24"/>
          <w:szCs w:val="24"/>
        </w:rPr>
        <w:t>[S6]</w:t>
      </w:r>
      <w:r>
        <w:rPr>
          <w:rFonts w:ascii="Arial" w:hAnsi="MS Mincho" w:eastAsia="MS Mincho" w:cs="MS Mincho"/>
          <w:sz w:val="24"/>
          <w:szCs w:val="24"/>
        </w:rPr>
        <w:t xml:space="preserve"> </w:t>
      </w:r>
      <w:r>
        <w:rPr>
          <w:rFonts w:ascii="Arial" w:hAnsi="Arial Unicode MS" w:eastAsia="Arial Unicode MS" w:cs="Arial Unicode MS"/>
          <w:sz w:val="24"/>
          <w:szCs w:val="24"/>
        </w:rPr>
        <w:t>Li B Q, Zhang S Y, Wang B, et al. A porphyrin covalent organic framework cathode for flexible Zn-air batteries[J]. Energy &amp; Environmental Science, 2018, 11(7): 1723-1729.</w:t>
      </w:r>
    </w:p>
    <w:p>
      <w:pPr>
        <w:spacing w:line="360" w:lineRule="auto"/>
        <w:ind w:right="-57" w:firstLine="0"/>
        <w:jc w:val="both"/>
        <w:rPr>
          <w:rFonts w:ascii="Arial" w:hAnsi="Arial Unicode MS" w:eastAsia="Arial Unicode MS" w:cs="Arial Unicode MS"/>
          <w:sz w:val="24"/>
          <w:szCs w:val="24"/>
        </w:rPr>
      </w:pPr>
      <w:r>
        <w:rPr>
          <w:rFonts w:ascii="Arial" w:hAnsi="Arial Unicode MS" w:eastAsia="Arial Unicode MS" w:cs="Arial Unicode MS"/>
          <w:sz w:val="24"/>
          <w:szCs w:val="24"/>
        </w:rPr>
        <w:t>[S7]</w:t>
      </w:r>
      <w:r>
        <w:rPr>
          <w:rFonts w:ascii="Arial" w:hAnsi="MS Mincho" w:eastAsia="MS Mincho" w:cs="MS Mincho"/>
          <w:sz w:val="24"/>
          <w:szCs w:val="24"/>
        </w:rPr>
        <w:t xml:space="preserve"> </w:t>
      </w:r>
      <w:r>
        <w:rPr>
          <w:rFonts w:ascii="Arial" w:hAnsi="Arial Unicode MS" w:eastAsia="Arial Unicode MS" w:cs="Arial Unicode MS"/>
          <w:sz w:val="24"/>
          <w:szCs w:val="24"/>
        </w:rPr>
        <w:t>Miao H, Chen B, Li S, et al. All-solid-state flexible zinc-air battery with polyacrylamide alkaline gel electrolyte[J]. Journal of Power Sources, 2020, 450: 227653.</w:t>
      </w:r>
    </w:p>
    <w:p>
      <w:pPr>
        <w:spacing w:line="360" w:lineRule="auto"/>
        <w:ind w:right="-57" w:firstLine="0"/>
        <w:jc w:val="both"/>
        <w:rPr>
          <w:rFonts w:ascii="Arial" w:hAnsi="Arial Unicode MS" w:eastAsia="Arial Unicode MS" w:cs="Arial Unicode MS"/>
          <w:sz w:val="24"/>
          <w:szCs w:val="24"/>
        </w:rPr>
      </w:pPr>
      <w:r>
        <w:rPr>
          <w:rFonts w:ascii="Arial" w:hAnsi="Arial Unicode MS" w:eastAsia="Arial Unicode MS" w:cs="Arial Unicode MS"/>
          <w:sz w:val="24"/>
          <w:szCs w:val="24"/>
        </w:rPr>
        <w:t>[S8]</w:t>
      </w:r>
      <w:r>
        <w:rPr>
          <w:rFonts w:ascii="Arial" w:hAnsi="MS Mincho" w:eastAsia="MS Mincho" w:cs="MS Mincho"/>
          <w:sz w:val="24"/>
          <w:szCs w:val="24"/>
        </w:rPr>
        <w:t xml:space="preserve"> </w:t>
      </w:r>
      <w:r>
        <w:rPr>
          <w:rFonts w:ascii="Arial" w:hAnsi="Arial Unicode MS" w:eastAsia="Arial Unicode MS" w:cs="Arial Unicode MS"/>
          <w:sz w:val="24"/>
          <w:szCs w:val="24"/>
        </w:rPr>
        <w:t>Fang W, Dai P, Hu H, et al. Fe</w:t>
      </w:r>
      <w:r>
        <w:rPr>
          <w:rFonts w:ascii="Arial" w:hAnsi="Arial Unicode MS" w:eastAsia="Arial Unicode MS" w:cs="Arial Unicode MS"/>
          <w:sz w:val="24"/>
          <w:szCs w:val="24"/>
          <w:vertAlign w:val="subscript"/>
        </w:rPr>
        <w:t>0. 96</w:t>
      </w:r>
      <w:r>
        <w:rPr>
          <w:rFonts w:ascii="Arial" w:hAnsi="Arial Unicode MS" w:eastAsia="Arial Unicode MS" w:cs="Arial Unicode MS"/>
          <w:sz w:val="24"/>
          <w:szCs w:val="24"/>
        </w:rPr>
        <w:t>S/Co</w:t>
      </w:r>
      <w:r>
        <w:rPr>
          <w:rFonts w:ascii="Arial" w:hAnsi="Arial Unicode MS" w:eastAsia="Arial Unicode MS" w:cs="Arial Unicode MS"/>
          <w:sz w:val="24"/>
          <w:szCs w:val="24"/>
          <w:vertAlign w:val="subscript"/>
        </w:rPr>
        <w:t>8</w:t>
      </w:r>
      <w:r>
        <w:rPr>
          <w:rFonts w:ascii="Arial" w:hAnsi="Arial Unicode MS" w:eastAsia="Arial Unicode MS" w:cs="Arial Unicode MS"/>
          <w:sz w:val="24"/>
          <w:szCs w:val="24"/>
        </w:rPr>
        <w:t>FeS</w:t>
      </w:r>
      <w:r>
        <w:rPr>
          <w:rFonts w:ascii="Arial" w:hAnsi="Arial Unicode MS" w:eastAsia="Arial Unicode MS" w:cs="Arial Unicode MS"/>
          <w:sz w:val="24"/>
          <w:szCs w:val="24"/>
          <w:vertAlign w:val="subscript"/>
        </w:rPr>
        <w:t>8</w:t>
      </w:r>
      <w:r>
        <w:rPr>
          <w:rFonts w:ascii="Arial" w:hAnsi="Arial Unicode MS" w:eastAsia="Arial Unicode MS" w:cs="Arial Unicode MS"/>
          <w:sz w:val="24"/>
          <w:szCs w:val="24"/>
        </w:rPr>
        <w:t xml:space="preserve"> nanoparticles co-embedded in porous N, S co doped carbon with enhanced bifunctional electrocatalystic activities for all-solid-state Zn-air batteries[J]. Applied Surface Science, 2020, 505: 144212.</w:t>
      </w:r>
    </w:p>
    <w:p>
      <w:pPr>
        <w:spacing w:line="360" w:lineRule="auto"/>
        <w:ind w:right="-57" w:firstLine="0"/>
        <w:jc w:val="both"/>
        <w:rPr>
          <w:rFonts w:ascii="Arial" w:hAnsi="Arial Unicode MS" w:eastAsia="Arial Unicode MS" w:cs="Arial Unicode MS"/>
          <w:sz w:val="24"/>
          <w:szCs w:val="24"/>
        </w:rPr>
      </w:pPr>
      <w:r>
        <w:rPr>
          <w:rFonts w:ascii="Arial" w:hAnsi="Arial Unicode MS" w:eastAsia="Arial Unicode MS" w:cs="Arial Unicode MS"/>
          <w:sz w:val="24"/>
          <w:szCs w:val="24"/>
        </w:rPr>
        <w:t>[S9]</w:t>
      </w:r>
      <w:r>
        <w:rPr>
          <w:rFonts w:ascii="Arial" w:hAnsi="MS Mincho" w:eastAsia="MS Mincho" w:cs="MS Mincho"/>
          <w:sz w:val="24"/>
          <w:szCs w:val="24"/>
        </w:rPr>
        <w:t xml:space="preserve"> </w:t>
      </w:r>
      <w:r>
        <w:rPr>
          <w:rFonts w:ascii="Arial" w:hAnsi="Arial Unicode MS" w:eastAsia="Arial Unicode MS" w:cs="Arial Unicode MS"/>
          <w:sz w:val="24"/>
          <w:szCs w:val="24"/>
        </w:rPr>
        <w:t>Tian Y, Xu L, Qian J, et al. Fe</w:t>
      </w:r>
      <w:r>
        <w:rPr>
          <w:rFonts w:ascii="Arial" w:hAnsi="Arial Unicode MS" w:eastAsia="Arial Unicode MS" w:cs="Arial Unicode MS"/>
          <w:sz w:val="24"/>
          <w:szCs w:val="24"/>
          <w:vertAlign w:val="subscript"/>
        </w:rPr>
        <w:t>3</w:t>
      </w:r>
      <w:r>
        <w:rPr>
          <w:rFonts w:ascii="Arial" w:hAnsi="Arial Unicode MS" w:eastAsia="Arial Unicode MS" w:cs="Arial Unicode MS"/>
          <w:sz w:val="24"/>
          <w:szCs w:val="24"/>
        </w:rPr>
        <w:t>C/Fe</w:t>
      </w:r>
      <w:r>
        <w:rPr>
          <w:rFonts w:ascii="Arial" w:hAnsi="Arial Unicode MS" w:eastAsia="Arial Unicode MS" w:cs="Arial Unicode MS"/>
          <w:sz w:val="24"/>
          <w:szCs w:val="24"/>
          <w:vertAlign w:val="subscript"/>
        </w:rPr>
        <w:t>2</w:t>
      </w:r>
      <w:r>
        <w:rPr>
          <w:rFonts w:ascii="Arial" w:hAnsi="Arial Unicode MS" w:eastAsia="Arial Unicode MS" w:cs="Arial Unicode MS"/>
          <w:sz w:val="24"/>
          <w:szCs w:val="24"/>
        </w:rPr>
        <w:t>O</w:t>
      </w:r>
      <w:r>
        <w:rPr>
          <w:rFonts w:ascii="Arial" w:hAnsi="Arial Unicode MS" w:eastAsia="Arial Unicode MS" w:cs="Arial Unicode MS"/>
          <w:sz w:val="24"/>
          <w:szCs w:val="24"/>
          <w:vertAlign w:val="subscript"/>
        </w:rPr>
        <w:t>3</w:t>
      </w:r>
      <w:r>
        <w:rPr>
          <w:rFonts w:ascii="Arial" w:hAnsi="Arial Unicode MS" w:eastAsia="Arial Unicode MS" w:cs="Arial Unicode MS"/>
          <w:sz w:val="24"/>
          <w:szCs w:val="24"/>
        </w:rPr>
        <w:t xml:space="preserve"> heterostructure embedded in N-doped graphene as a bifunctional catalyst for quasi-solid-state zinc-air batteries[J]. Carbon, 2019, 146: 763-771.</w:t>
      </w:r>
    </w:p>
    <w:p>
      <w:pPr>
        <w:spacing w:line="360" w:lineRule="auto"/>
        <w:ind w:right="-57" w:firstLine="0"/>
        <w:jc w:val="both"/>
        <w:rPr>
          <w:rFonts w:ascii="Arial" w:hAnsi="Arial Unicode MS" w:eastAsia="Arial Unicode MS" w:cs="Arial Unicode MS"/>
          <w:sz w:val="24"/>
          <w:szCs w:val="24"/>
        </w:rPr>
      </w:pPr>
      <w:r>
        <w:rPr>
          <w:rFonts w:ascii="Arial" w:hAnsi="Arial Unicode MS" w:eastAsia="Arial Unicode MS" w:cs="Arial Unicode MS"/>
          <w:sz w:val="24"/>
          <w:szCs w:val="24"/>
        </w:rPr>
        <w:t>[S10]</w:t>
      </w:r>
      <w:r>
        <w:rPr>
          <w:rFonts w:ascii="Arial" w:hAnsi="MS Mincho" w:eastAsia="MS Mincho" w:cs="MS Mincho"/>
          <w:sz w:val="24"/>
          <w:szCs w:val="24"/>
        </w:rPr>
        <w:t xml:space="preserve"> </w:t>
      </w:r>
      <w:r>
        <w:rPr>
          <w:rFonts w:ascii="Arial" w:hAnsi="Arial Unicode MS" w:eastAsia="Arial Unicode MS" w:cs="Arial Unicode MS"/>
          <w:sz w:val="24"/>
          <w:szCs w:val="24"/>
        </w:rPr>
        <w:t>Liu H, Liu Y, Mehdi S, et al. Surface Phosphorus-induced CoO coupling to monolithic carbon for efficient air electrode of quasi-solid-state Zn-air batteries[J]. Advanced Science, 2021, 8(19): 2101314.</w:t>
      </w:r>
    </w:p>
    <w:p>
      <w:pPr>
        <w:spacing w:line="360" w:lineRule="auto"/>
        <w:ind w:right="-57" w:firstLine="0"/>
        <w:jc w:val="both"/>
        <w:rPr>
          <w:rFonts w:ascii="Arial" w:hAnsi="Arial Unicode MS" w:eastAsia="Arial Unicode MS" w:cs="Arial Unicode MS"/>
          <w:sz w:val="24"/>
          <w:szCs w:val="24"/>
        </w:rPr>
      </w:pPr>
      <w:r>
        <w:rPr>
          <w:rFonts w:ascii="Arial" w:hAnsi="Arial Unicode MS" w:eastAsia="Arial Unicode MS" w:cs="Arial Unicode MS"/>
          <w:sz w:val="24"/>
          <w:szCs w:val="24"/>
        </w:rPr>
        <w:t>[S11]</w:t>
      </w:r>
      <w:r>
        <w:rPr>
          <w:rFonts w:ascii="Arial" w:hAnsi="MS Mincho" w:eastAsia="MS Mincho" w:cs="MS Mincho"/>
          <w:sz w:val="24"/>
          <w:szCs w:val="24"/>
        </w:rPr>
        <w:t xml:space="preserve"> </w:t>
      </w:r>
      <w:r>
        <w:rPr>
          <w:rFonts w:ascii="Arial" w:hAnsi="Arial Unicode MS" w:eastAsia="Arial Unicode MS" w:cs="Arial Unicode MS"/>
          <w:sz w:val="24"/>
          <w:szCs w:val="24"/>
        </w:rPr>
        <w:t>Zheng X, Cao X, Zeng K, et al. Cotton pad-derived large-area 3D N-doped grapheme-like full carbon cathode with an O-rich functional group for flexible all solid Zn-air batteries[J]. Journal of Materials Chemistry A, 2020, 8(22): 11202-11209.</w:t>
      </w:r>
    </w:p>
    <w:p>
      <w:pPr>
        <w:spacing w:line="360" w:lineRule="auto"/>
        <w:ind w:right="-57" w:firstLine="0"/>
        <w:jc w:val="both"/>
        <w:rPr>
          <w:rFonts w:ascii="Arial" w:hAnsi="Arial Unicode MS" w:eastAsia="Arial Unicode MS" w:cs="Arial Unicode MS"/>
          <w:sz w:val="24"/>
          <w:szCs w:val="24"/>
        </w:rPr>
      </w:pPr>
      <w:r>
        <w:rPr>
          <w:rFonts w:ascii="Arial" w:hAnsi="Arial Unicode MS" w:eastAsia="Arial Unicode MS" w:cs="Arial Unicode MS"/>
          <w:sz w:val="24"/>
          <w:szCs w:val="24"/>
        </w:rPr>
        <w:t>[S12]</w:t>
      </w:r>
      <w:r>
        <w:rPr>
          <w:rFonts w:ascii="Arial" w:hAnsi="MS Mincho" w:eastAsia="MS Mincho" w:cs="MS Mincho"/>
          <w:sz w:val="24"/>
          <w:szCs w:val="24"/>
        </w:rPr>
        <w:t xml:space="preserve"> </w:t>
      </w:r>
      <w:r>
        <w:rPr>
          <w:rFonts w:ascii="Arial" w:hAnsi="Arial Unicode MS" w:eastAsia="Arial Unicode MS" w:cs="Arial Unicode MS"/>
          <w:sz w:val="24"/>
          <w:szCs w:val="24"/>
        </w:rPr>
        <w:t>Bian J, Cheng X, Meng X, et al. Nitrogen-doped NiCo</w:t>
      </w:r>
      <w:r>
        <w:rPr>
          <w:rFonts w:ascii="Arial" w:hAnsi="Arial Unicode MS" w:eastAsia="Arial Unicode MS" w:cs="Arial Unicode MS"/>
          <w:sz w:val="24"/>
          <w:szCs w:val="24"/>
          <w:vertAlign w:val="subscript"/>
        </w:rPr>
        <w:t>2</w:t>
      </w:r>
      <w:r>
        <w:rPr>
          <w:rFonts w:ascii="Arial" w:hAnsi="Arial Unicode MS" w:eastAsia="Arial Unicode MS" w:cs="Arial Unicode MS"/>
          <w:sz w:val="24"/>
          <w:szCs w:val="24"/>
        </w:rPr>
        <w:t>O</w:t>
      </w:r>
      <w:r>
        <w:rPr>
          <w:rFonts w:ascii="Arial" w:hAnsi="Arial Unicode MS" w:eastAsia="Arial Unicode MS" w:cs="Arial Unicode MS"/>
          <w:sz w:val="24"/>
          <w:szCs w:val="24"/>
          <w:vertAlign w:val="subscript"/>
        </w:rPr>
        <w:t>4</w:t>
      </w:r>
      <w:r>
        <w:rPr>
          <w:rFonts w:ascii="Arial" w:hAnsi="Arial Unicode MS" w:eastAsia="Arial Unicode MS" w:cs="Arial Unicode MS"/>
          <w:sz w:val="24"/>
          <w:szCs w:val="24"/>
        </w:rPr>
        <w:t xml:space="preserve"> microsphere as an efficient catalyst for flexible rechargeable zinc-air batteries and self-charging power system[J]. ACS Applied Energy Materials, 2019, 2(3): 2296-2304.</w:t>
      </w:r>
    </w:p>
    <w:p>
      <w:pPr>
        <w:spacing w:line="360" w:lineRule="auto"/>
        <w:ind w:right="-57" w:firstLine="0"/>
        <w:jc w:val="both"/>
        <w:rPr>
          <w:rFonts w:ascii="Arial" w:hAnsi="Arial Unicode MS" w:eastAsia="Arial Unicode MS" w:cs="Arial Unicode MS"/>
          <w:sz w:val="24"/>
          <w:szCs w:val="24"/>
        </w:rPr>
      </w:pPr>
      <w:r>
        <w:rPr>
          <w:rFonts w:ascii="Arial" w:hAnsi="Arial Unicode MS" w:eastAsia="Arial Unicode MS" w:cs="Arial Unicode MS"/>
          <w:sz w:val="24"/>
          <w:szCs w:val="24"/>
        </w:rPr>
        <w:t>[S13]</w:t>
      </w:r>
      <w:r>
        <w:rPr>
          <w:rFonts w:ascii="Arial" w:hAnsi="MS Mincho" w:eastAsia="MS Mincho" w:cs="MS Mincho"/>
          <w:sz w:val="24"/>
          <w:szCs w:val="24"/>
        </w:rPr>
        <w:t xml:space="preserve"> </w:t>
      </w:r>
      <w:r>
        <w:rPr>
          <w:rFonts w:ascii="Arial" w:hAnsi="Arial Unicode MS" w:eastAsia="Arial Unicode MS" w:cs="Arial Unicode MS"/>
          <w:sz w:val="24"/>
          <w:szCs w:val="24"/>
        </w:rPr>
        <w:t>Zhong Y, Pan Z, Wang X, et al. Hierarchical Co</w:t>
      </w:r>
      <w:r>
        <w:rPr>
          <w:rFonts w:ascii="Arial" w:hAnsi="Arial Unicode MS" w:eastAsia="Arial Unicode MS" w:cs="Arial Unicode MS"/>
          <w:sz w:val="24"/>
          <w:szCs w:val="24"/>
          <w:vertAlign w:val="subscript"/>
        </w:rPr>
        <w:t>3</w:t>
      </w:r>
      <w:r>
        <w:rPr>
          <w:rFonts w:ascii="Arial" w:hAnsi="Arial Unicode MS" w:eastAsia="Arial Unicode MS" w:cs="Arial Unicode MS"/>
          <w:sz w:val="24"/>
          <w:szCs w:val="24"/>
        </w:rPr>
        <w:t>O</w:t>
      </w:r>
      <w:r>
        <w:rPr>
          <w:rFonts w:ascii="Arial" w:hAnsi="Arial Unicode MS" w:eastAsia="Arial Unicode MS" w:cs="Arial Unicode MS"/>
          <w:sz w:val="24"/>
          <w:szCs w:val="24"/>
          <w:vertAlign w:val="subscript"/>
        </w:rPr>
        <w:t>4</w:t>
      </w:r>
      <w:r>
        <w:rPr>
          <w:rFonts w:ascii="Arial" w:hAnsi="Arial Unicode MS" w:eastAsia="Arial Unicode MS" w:cs="Arial Unicode MS"/>
          <w:sz w:val="24"/>
          <w:szCs w:val="24"/>
        </w:rPr>
        <w:t xml:space="preserve"> nano-micro arrays featuring superior activity as cathode in a flexible and rechargeable zinc-air battery[J]. Advanced Science, 2019, 6(11): 1802243.</w:t>
      </w:r>
    </w:p>
    <w:p>
      <w:pPr>
        <w:spacing w:line="360" w:lineRule="auto"/>
        <w:ind w:right="-57" w:firstLine="0"/>
        <w:jc w:val="both"/>
        <w:rPr>
          <w:rFonts w:ascii="Arial" w:hAnsi="Arial Unicode MS" w:eastAsia="Arial Unicode MS" w:cs="Arial Unicode MS"/>
          <w:sz w:val="24"/>
          <w:szCs w:val="24"/>
        </w:rPr>
      </w:pPr>
      <w:r>
        <w:rPr>
          <w:rFonts w:ascii="Arial" w:hAnsi="Arial Unicode MS" w:eastAsia="Arial Unicode MS" w:cs="Arial Unicode MS"/>
          <w:sz w:val="24"/>
          <w:szCs w:val="24"/>
        </w:rPr>
        <w:t>[S14]</w:t>
      </w:r>
      <w:r>
        <w:rPr>
          <w:rFonts w:ascii="Arial" w:hAnsi="MS Mincho" w:eastAsia="MS Mincho" w:cs="MS Mincho"/>
          <w:sz w:val="24"/>
          <w:szCs w:val="24"/>
        </w:rPr>
        <w:t xml:space="preserve"> </w:t>
      </w:r>
      <w:r>
        <w:rPr>
          <w:rFonts w:ascii="Arial" w:hAnsi="Arial Unicode MS" w:eastAsia="Arial Unicode MS" w:cs="Arial Unicode MS"/>
          <w:sz w:val="24"/>
          <w:szCs w:val="24"/>
        </w:rPr>
        <w:t>Zhang J, Fu J, Song X, et al. Laminated cross-linked nanocellulose/graphene oxide electrolyte for flexible rechargeable zinc-air batteries[J]. Advanced Energy Materials, 2016, 6(14): 1600476.</w:t>
      </w:r>
    </w:p>
    <w:p>
      <w:pPr>
        <w:spacing w:line="360" w:lineRule="auto"/>
        <w:ind w:right="-57" w:firstLine="0"/>
        <w:jc w:val="both"/>
        <w:rPr>
          <w:rFonts w:ascii="Arial" w:hAnsi="Arial Unicode MS" w:eastAsia="Arial Unicode MS" w:cs="Arial Unicode MS"/>
          <w:sz w:val="24"/>
          <w:szCs w:val="24"/>
        </w:rPr>
      </w:pPr>
      <w:r>
        <w:rPr>
          <w:rFonts w:ascii="Arial" w:hAnsi="Arial Unicode MS" w:eastAsia="Arial Unicode MS" w:cs="Arial Unicode MS"/>
          <w:sz w:val="24"/>
          <w:szCs w:val="24"/>
        </w:rPr>
        <w:t>[S15]</w:t>
      </w:r>
      <w:r>
        <w:rPr>
          <w:rFonts w:ascii="Arial" w:hAnsi="MS Mincho" w:eastAsia="MS Mincho" w:cs="MS Mincho"/>
          <w:sz w:val="24"/>
          <w:szCs w:val="24"/>
        </w:rPr>
        <w:t xml:space="preserve"> </w:t>
      </w:r>
      <w:r>
        <w:rPr>
          <w:rFonts w:ascii="Arial" w:hAnsi="Arial Unicode MS" w:eastAsia="Arial Unicode MS" w:cs="Arial Unicode MS"/>
          <w:sz w:val="24"/>
          <w:szCs w:val="24"/>
        </w:rPr>
        <w:t>Sumboja A, Lübke M, Wang Y, et al. All-solid-state, foldable, and rechargeable Zn-air batteries based on manganese oxide grown on grapheme-coated carbon cloth air cathode[J]. Advanced Energy Materials, 2017, 7(20): 1700927.</w:t>
      </w:r>
    </w:p>
    <w:p>
      <w:pPr>
        <w:spacing w:line="360" w:lineRule="auto"/>
        <w:ind w:right="-57" w:firstLine="0"/>
        <w:jc w:val="both"/>
      </w:pPr>
      <w:r>
        <w:rPr>
          <w:rFonts w:ascii="Arial" w:hAnsi="Arial Unicode MS" w:eastAsia="Arial Unicode MS" w:cs="Arial Unicode MS"/>
          <w:sz w:val="24"/>
          <w:szCs w:val="24"/>
        </w:rPr>
        <w:t>[S16]</w:t>
      </w:r>
      <w:r>
        <w:rPr>
          <w:rFonts w:ascii="Arial" w:hAnsi="MS Mincho" w:eastAsia="MS Mincho" w:cs="MS Mincho"/>
          <w:sz w:val="24"/>
          <w:szCs w:val="24"/>
        </w:rPr>
        <w:t xml:space="preserve"> </w:t>
      </w:r>
      <w:r>
        <w:rPr>
          <w:rFonts w:ascii="Arial" w:hAnsi="Arial Unicode MS" w:eastAsia="Arial Unicode MS" w:cs="Arial Unicode MS"/>
          <w:sz w:val="24"/>
          <w:szCs w:val="24"/>
        </w:rPr>
        <w:t>Chen Z, Wang Q, Zhang X, et al. N-doped defective carbon with trace Co for efficient rechargeable liquid electrolyte-/all-solid-state Zn-air batteries[J]. Science Bulletin, 2018, 63(9): 548-555.</w:t>
      </w:r>
    </w:p>
    <w:sectPr>
      <w:headerReference r:id="rId3" w:type="default"/>
      <w:footerReference r:id="rId4" w:type="default"/>
      <w:type w:val="continuous"/>
      <w:pgSz w:w="11906" w:h="16838"/>
      <w:pgMar w:top="1417" w:right="1417" w:bottom="1134" w:left="1417" w:header="708" w:footer="708"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Segoe Print"/>
    <w:panose1 w:val="02020609040205080304"/>
    <w:charset w:val="72"/>
    <w:family w:val="modern"/>
    <w:pitch w:val="default"/>
    <w:sig w:usb0="00000000" w:usb1="00000000" w:usb2="00000010" w:usb3="00000000" w:csb0="0002009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Malgun Gothic">
    <w:panose1 w:val="020B0503020000020004"/>
    <w:charset w:val="81"/>
    <w:family w:val="auto"/>
    <w:pitch w:val="default"/>
    <w:sig w:usb0="9000002F" w:usb1="29D77CFB" w:usb2="00000012" w:usb3="00000000" w:csb0="00080001" w:csb1="00000000"/>
  </w:font>
  <w:font w:name="Yu Mincho">
    <w:altName w:val="Yu Gothic"/>
    <w:panose1 w:val="00000000000000000000"/>
    <w:charset w:val="80"/>
    <w:family w:val="roman"/>
    <w:pitch w:val="default"/>
    <w:sig w:usb0="00000000" w:usb1="00000000" w:usb2="00000012" w:usb3="00000000" w:csb0="0002009F"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swiss"/>
    <w:pitch w:val="default"/>
    <w:sig w:usb0="00000000" w:usb1="00000000" w:usb2="0000003F" w:usb3="00000000" w:csb0="003F01FF" w:csb1="00000000"/>
  </w:font>
  <w:font w:name="Cambria Math">
    <w:panose1 w:val="02040503050406030204"/>
    <w:charset w:val="00"/>
    <w:family w:val="auto"/>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rPr>
      <w:fldChar w:fldCharType="begin"/>
    </w:r>
    <w:r>
      <w:rPr>
        <w:rFonts w:hint="eastAsia"/>
      </w:rPr>
      <w:instrText xml:space="preserve">PAGE  \* MERGEFORMAT</w:instrText>
    </w:r>
    <w:r>
      <w:fldChar w:fldCharType="separate"/>
    </w:r>
    <w:r>
      <w:t>1</w:t>
    </w:r>
    <w:r>
      <w:rPr>
        <w:sz w:val="24"/>
        <w:szCs w:val="24"/>
        <w:lang w:val="de-DE" w:eastAsia="ja-JP"/>
      </w:rPr>
      <w:fldChar w:fldCharType="end"/>
    </w:r>
  </w:p>
  <w:p>
    <w:pPr>
      <w:pStyle w:val="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5003"/>
      </w:tabs>
      <w:jc w:val="right"/>
      <w:rPr>
        <w:lang w:val="en-US"/>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0"/>
    <w:multiLevelType w:val="multilevel"/>
    <w:tmpl w:val="2F000000"/>
    <w:lvl w:ilvl="0" w:tentative="0">
      <w:start w:val="1"/>
      <w:numFmt w:val="decimal"/>
      <w:lvlText w:val="%1."/>
      <w:lvlJc w:val="left"/>
      <w:pPr>
        <w:ind w:left="502"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F000001"/>
    <w:multiLevelType w:val="multilevel"/>
    <w:tmpl w:val="2F000001"/>
    <w:lvl w:ilvl="0" w:tentative="0">
      <w:start w:val="2"/>
      <w:numFmt w:val="decimal"/>
      <w:lvlText w:val="%1."/>
      <w:lvlJc w:val="left"/>
      <w:pPr>
        <w:ind w:left="502" w:hanging="36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
    <w:nsid w:val="2F000002"/>
    <w:multiLevelType w:val="multilevel"/>
    <w:tmpl w:val="2F000002"/>
    <w:lvl w:ilvl="0" w:tentative="0">
      <w:start w:val="1"/>
      <w:numFmt w:val="decimal"/>
      <w:lvlText w:val="%1."/>
      <w:lvlJc w:val="left"/>
      <w:pPr>
        <w:ind w:left="502"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
  <w:docVars>
    <w:docVar w:name="commondata" w:val="eyJoZGlkIjoiNzRkMGYwNzNhYmM2ZGYzMTAwNDBmYWYwODg0ZWQzNDcifQ=="/>
  </w:docVars>
  <w:rsids>
    <w:rsidRoot w:val="00000000"/>
    <w:rsid w:val="0172202E"/>
    <w:rsid w:val="04852804"/>
    <w:rsid w:val="072E6330"/>
    <w:rsid w:val="117A081B"/>
    <w:rsid w:val="2E1C0610"/>
    <w:rsid w:val="36653FB9"/>
    <w:rsid w:val="399A0E9B"/>
    <w:rsid w:val="6D117F4C"/>
    <w:rsid w:val="6F782A5E"/>
    <w:rsid w:val="74596730"/>
    <w:rsid w:val="77122EB5"/>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155" w:name="footnote text"/>
    <w:lsdException w:qFormat="1" w:uiPriority="151" w:name="annotation text"/>
    <w:lsdException w:qFormat="1" w:unhideWhenUsed="0" w:uiPriority="154" w:semiHidden="0" w:name="header"/>
    <w:lsdException w:qFormat="1" w:unhideWhenUsed="0" w:uiPriority="153"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15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2"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158"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156"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3" w:name="Normal Table"/>
    <w:lsdException w:qFormat="1" w:uiPriority="157"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152"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rPr>
      <w:rFonts w:ascii="Times New Roman" w:hAnsi="Times New Roman" w:eastAsia="MS Mincho" w:cs="Times New Roman"/>
      <w:sz w:val="24"/>
      <w:szCs w:val="24"/>
      <w:lang w:val="de-DE" w:eastAsia="ja-JP" w:bidi="ar-SA"/>
    </w:rPr>
  </w:style>
  <w:style w:type="character" w:default="1" w:styleId="11">
    <w:name w:val="Default Paragraph Font"/>
    <w:semiHidden/>
    <w:unhideWhenUsed/>
    <w:qFormat/>
    <w:uiPriority w:val="2"/>
  </w:style>
  <w:style w:type="table" w:default="1" w:styleId="9">
    <w:name w:val="Normal Table"/>
    <w:semiHidden/>
    <w:unhideWhenUsed/>
    <w:qFormat/>
    <w:uiPriority w:val="3"/>
    <w:tblPr>
      <w:tblCellMar>
        <w:top w:w="0" w:type="dxa"/>
        <w:left w:w="108" w:type="dxa"/>
        <w:bottom w:w="0" w:type="dxa"/>
        <w:right w:w="108" w:type="dxa"/>
      </w:tblCellMar>
    </w:tblPr>
  </w:style>
  <w:style w:type="paragraph" w:styleId="2">
    <w:name w:val="annotation text"/>
    <w:basedOn w:val="1"/>
    <w:link w:val="51"/>
    <w:semiHidden/>
    <w:unhideWhenUsed/>
    <w:qFormat/>
    <w:uiPriority w:val="151"/>
    <w:rPr>
      <w:sz w:val="20"/>
      <w:szCs w:val="20"/>
    </w:rPr>
  </w:style>
  <w:style w:type="paragraph" w:styleId="3">
    <w:name w:val="Balloon Text"/>
    <w:basedOn w:val="1"/>
    <w:semiHidden/>
    <w:qFormat/>
    <w:uiPriority w:val="152"/>
    <w:rPr>
      <w:rFonts w:ascii="Tahoma" w:hAnsi="Tahoma" w:cs="Tahoma"/>
      <w:sz w:val="16"/>
      <w:szCs w:val="16"/>
    </w:rPr>
  </w:style>
  <w:style w:type="paragraph" w:styleId="4">
    <w:name w:val="footer"/>
    <w:basedOn w:val="1"/>
    <w:link w:val="53"/>
    <w:qFormat/>
    <w:uiPriority w:val="153"/>
    <w:pPr>
      <w:tabs>
        <w:tab w:val="center" w:pos="4536"/>
        <w:tab w:val="right" w:pos="9072"/>
      </w:tabs>
    </w:pPr>
  </w:style>
  <w:style w:type="paragraph" w:styleId="5">
    <w:name w:val="header"/>
    <w:basedOn w:val="1"/>
    <w:link w:val="50"/>
    <w:qFormat/>
    <w:uiPriority w:val="154"/>
    <w:pPr>
      <w:tabs>
        <w:tab w:val="center" w:pos="4536"/>
        <w:tab w:val="right" w:pos="9072"/>
      </w:tabs>
    </w:pPr>
  </w:style>
  <w:style w:type="paragraph" w:styleId="6">
    <w:name w:val="footnote text"/>
    <w:basedOn w:val="1"/>
    <w:semiHidden/>
    <w:qFormat/>
    <w:uiPriority w:val="155"/>
    <w:pPr>
      <w:jc w:val="both"/>
    </w:pPr>
    <w:rPr>
      <w:rFonts w:eastAsia="Times New Roman"/>
      <w:sz w:val="20"/>
      <w:szCs w:val="20"/>
      <w:lang w:val="en-GB" w:eastAsia="ro-RO"/>
    </w:rPr>
  </w:style>
  <w:style w:type="paragraph" w:styleId="7">
    <w:name w:val="Normal (Web)"/>
    <w:basedOn w:val="1"/>
    <w:semiHidden/>
    <w:unhideWhenUsed/>
    <w:qFormat/>
    <w:uiPriority w:val="156"/>
    <w:pPr>
      <w:spacing w:before="0" w:beforeAutospacing="1" w:after="0" w:afterAutospacing="1"/>
      <w:ind w:left="0" w:right="0" w:firstLine="0"/>
      <w:jc w:val="left"/>
    </w:pPr>
    <w:rPr>
      <w:rFonts w:ascii="Segoe UI" w:hAnsi="Segoe UI" w:eastAsia="Segoe UI" w:cs="Segoe UI"/>
      <w:sz w:val="24"/>
      <w:szCs w:val="24"/>
    </w:rPr>
  </w:style>
  <w:style w:type="paragraph" w:styleId="8">
    <w:name w:val="annotation subject"/>
    <w:basedOn w:val="2"/>
    <w:next w:val="2"/>
    <w:link w:val="52"/>
    <w:semiHidden/>
    <w:unhideWhenUsed/>
    <w:qFormat/>
    <w:uiPriority w:val="157"/>
    <w:rPr>
      <w:b/>
    </w:rPr>
  </w:style>
  <w:style w:type="table" w:styleId="10">
    <w:name w:val="Table Grid"/>
    <w:basedOn w:val="9"/>
    <w:qFormat/>
    <w:uiPriority w:val="37"/>
    <w:rPr>
      <w:rFonts w:ascii="Calibri" w:hAnsi="Calibri" w:eastAsia="宋体"/>
      <w:lang w:val="en-US"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semiHidden/>
    <w:unhideWhenUsed/>
    <w:qFormat/>
    <w:uiPriority w:val="158"/>
    <w:rPr>
      <w:color w:val="0000FF"/>
      <w:u w:val="single"/>
    </w:rPr>
  </w:style>
  <w:style w:type="character" w:styleId="13">
    <w:name w:val="annotation reference"/>
    <w:semiHidden/>
    <w:unhideWhenUsed/>
    <w:qFormat/>
    <w:uiPriority w:val="159"/>
    <w:rPr>
      <w:sz w:val="16"/>
      <w:szCs w:val="16"/>
    </w:rPr>
  </w:style>
  <w:style w:type="paragraph" w:styleId="14">
    <w:name w:val="List Paragraph"/>
    <w:basedOn w:val="1"/>
    <w:qFormat/>
    <w:uiPriority w:val="26"/>
    <w:pPr>
      <w:ind w:firstLine="420"/>
    </w:pPr>
  </w:style>
  <w:style w:type="paragraph" w:customStyle="1" w:styleId="15">
    <w:name w:val="History"/>
    <w:basedOn w:val="1"/>
    <w:qFormat/>
    <w:uiPriority w:val="160"/>
    <w:pPr>
      <w:spacing w:before="230" w:after="460" w:line="180" w:lineRule="exact"/>
      <w:jc w:val="right"/>
    </w:pPr>
    <w:rPr>
      <w:rFonts w:ascii="Arial" w:hAnsi="Arial"/>
      <w:sz w:val="14"/>
      <w:szCs w:val="14"/>
    </w:rPr>
  </w:style>
  <w:style w:type="paragraph" w:customStyle="1" w:styleId="16">
    <w:name w:val="References"/>
    <w:basedOn w:val="1"/>
    <w:qFormat/>
    <w:uiPriority w:val="161"/>
    <w:pPr>
      <w:spacing w:line="200" w:lineRule="exact"/>
      <w:ind w:left="425" w:hanging="425"/>
      <w:jc w:val="both"/>
    </w:pPr>
    <w:rPr>
      <w:sz w:val="15"/>
      <w:szCs w:val="15"/>
      <w:lang w:val="en-GB"/>
    </w:rPr>
  </w:style>
  <w:style w:type="paragraph" w:customStyle="1" w:styleId="17">
    <w:name w:val="HExperimental_Section"/>
    <w:basedOn w:val="1"/>
    <w:qFormat/>
    <w:uiPriority w:val="162"/>
    <w:pPr>
      <w:spacing w:before="460" w:after="230" w:line="230" w:lineRule="atLeast"/>
    </w:pPr>
    <w:rPr>
      <w:i/>
    </w:rPr>
  </w:style>
  <w:style w:type="paragraph" w:customStyle="1" w:styleId="18">
    <w:name w:val="ExperimentalSection"/>
    <w:basedOn w:val="1"/>
    <w:qFormat/>
    <w:uiPriority w:val="163"/>
    <w:pPr>
      <w:spacing w:after="240" w:line="200" w:lineRule="exact"/>
      <w:ind w:firstLine="170"/>
      <w:jc w:val="both"/>
    </w:pPr>
    <w:rPr>
      <w:sz w:val="16"/>
      <w:szCs w:val="16"/>
      <w:lang w:val="en-GB"/>
    </w:rPr>
  </w:style>
  <w:style w:type="paragraph" w:customStyle="1" w:styleId="19">
    <w:name w:val="FNB"/>
    <w:basedOn w:val="1"/>
    <w:link w:val="20"/>
    <w:qFormat/>
    <w:uiPriority w:val="164"/>
    <w:pPr>
      <w:spacing w:after="40" w:line="160" w:lineRule="exact"/>
      <w:ind w:left="567" w:right="4434" w:hanging="567"/>
      <w:jc w:val="both"/>
    </w:pPr>
    <w:rPr>
      <w:rFonts w:ascii="Times" w:hAnsi="Times"/>
      <w:sz w:val="14"/>
      <w:szCs w:val="14"/>
      <w:lang w:val="en-GB" w:eastAsia="de-DE"/>
    </w:rPr>
  </w:style>
  <w:style w:type="character" w:customStyle="1" w:styleId="20">
    <w:name w:val="FNB Char"/>
    <w:link w:val="19"/>
    <w:qFormat/>
    <w:uiPriority w:val="165"/>
    <w:rPr>
      <w:rFonts w:ascii="Times" w:hAnsi="Times"/>
      <w:sz w:val="14"/>
      <w:szCs w:val="14"/>
      <w:lang w:val="en-GB" w:eastAsia="de-DE" w:bidi="ar-SA"/>
    </w:rPr>
  </w:style>
  <w:style w:type="paragraph" w:customStyle="1" w:styleId="21">
    <w:name w:val="Ack"/>
    <w:basedOn w:val="1"/>
    <w:qFormat/>
    <w:uiPriority w:val="166"/>
  </w:style>
  <w:style w:type="paragraph" w:customStyle="1" w:styleId="22">
    <w:name w:val="TableCaption"/>
    <w:basedOn w:val="1"/>
    <w:qFormat/>
    <w:uiPriority w:val="167"/>
    <w:pPr>
      <w:spacing w:after="120" w:line="190" w:lineRule="exact"/>
      <w:jc w:val="both"/>
    </w:pPr>
    <w:rPr>
      <w:rFonts w:ascii="Arial" w:hAnsi="Arial"/>
      <w:sz w:val="16"/>
      <w:szCs w:val="16"/>
      <w:lang w:val="en-GB"/>
    </w:rPr>
  </w:style>
  <w:style w:type="paragraph" w:customStyle="1" w:styleId="23">
    <w:name w:val="TableHead"/>
    <w:basedOn w:val="22"/>
    <w:qFormat/>
    <w:uiPriority w:val="168"/>
    <w:pPr>
      <w:pBdr>
        <w:top w:val="single" w:color="FFFFFF" w:sz="4" w:space="4"/>
        <w:left w:val="single" w:color="FFFFFF" w:sz="4" w:space="4"/>
        <w:bottom w:val="single" w:color="FFFFFF" w:sz="4" w:space="4"/>
        <w:right w:val="single" w:color="FFFFFF" w:sz="4" w:space="4"/>
      </w:pBdr>
      <w:spacing w:after="0"/>
    </w:pPr>
  </w:style>
  <w:style w:type="paragraph" w:customStyle="1" w:styleId="24">
    <w:name w:val="TableBody"/>
    <w:basedOn w:val="23"/>
    <w:qFormat/>
    <w:uiPriority w:val="169"/>
  </w:style>
  <w:style w:type="paragraph" w:customStyle="1" w:styleId="25">
    <w:name w:val="TableFoot"/>
    <w:basedOn w:val="24"/>
    <w:qFormat/>
    <w:uiPriority w:val="170"/>
    <w:pPr>
      <w:spacing w:before="60" w:after="60"/>
    </w:pPr>
  </w:style>
  <w:style w:type="paragraph" w:customStyle="1" w:styleId="26">
    <w:name w:val="SchemeCaption"/>
    <w:basedOn w:val="1"/>
    <w:qFormat/>
    <w:uiPriority w:val="171"/>
    <w:pPr>
      <w:spacing w:before="230" w:after="460" w:line="190" w:lineRule="exact"/>
      <w:jc w:val="both"/>
    </w:pPr>
    <w:rPr>
      <w:rFonts w:ascii="Arial" w:hAnsi="Arial"/>
      <w:sz w:val="16"/>
      <w:szCs w:val="16"/>
      <w:lang w:val="en-GB"/>
    </w:rPr>
  </w:style>
  <w:style w:type="paragraph" w:customStyle="1" w:styleId="27">
    <w:name w:val="STOE"/>
    <w:basedOn w:val="1"/>
    <w:link w:val="28"/>
    <w:qFormat/>
    <w:uiPriority w:val="172"/>
    <w:pPr>
      <w:spacing w:line="236" w:lineRule="exact"/>
      <w:ind w:right="4434" w:firstLine="0"/>
      <w:jc w:val="both"/>
    </w:pPr>
    <w:rPr>
      <w:rFonts w:ascii="Times" w:hAnsi="Times"/>
      <w:sz w:val="18"/>
      <w:szCs w:val="18"/>
      <w:lang w:val="en-GB" w:eastAsia="de-DE"/>
    </w:rPr>
  </w:style>
  <w:style w:type="character" w:customStyle="1" w:styleId="28">
    <w:name w:val="STOE Char1"/>
    <w:link w:val="27"/>
    <w:qFormat/>
    <w:uiPriority w:val="173"/>
    <w:rPr>
      <w:rFonts w:ascii="Times" w:hAnsi="Times"/>
      <w:sz w:val="18"/>
      <w:szCs w:val="18"/>
      <w:lang w:val="en-GB" w:eastAsia="de-DE" w:bidi="ar-SA"/>
    </w:rPr>
  </w:style>
  <w:style w:type="paragraph" w:customStyle="1" w:styleId="29">
    <w:name w:val="Title1"/>
    <w:basedOn w:val="1"/>
    <w:qFormat/>
    <w:uiPriority w:val="174"/>
    <w:rPr>
      <w:b/>
      <w:lang w:val="en-US"/>
    </w:rPr>
  </w:style>
  <w:style w:type="paragraph" w:customStyle="1" w:styleId="30">
    <w:name w:val="Authors Full"/>
    <w:basedOn w:val="1"/>
    <w:qFormat/>
    <w:uiPriority w:val="175"/>
    <w:rPr>
      <w:i/>
      <w:lang w:val="en-US"/>
    </w:rPr>
  </w:style>
  <w:style w:type="paragraph" w:customStyle="1" w:styleId="31">
    <w:name w:val="dedication"/>
    <w:basedOn w:val="1"/>
    <w:qFormat/>
    <w:uiPriority w:val="176"/>
    <w:rPr>
      <w:i/>
      <w:lang w:val="en-US"/>
    </w:rPr>
  </w:style>
  <w:style w:type="paragraph" w:customStyle="1" w:styleId="32">
    <w:name w:val="Addresses"/>
    <w:basedOn w:val="1"/>
    <w:qFormat/>
    <w:uiPriority w:val="177"/>
    <w:rPr>
      <w:lang w:val="en-US"/>
    </w:rPr>
  </w:style>
  <w:style w:type="paragraph" w:customStyle="1" w:styleId="33">
    <w:name w:val="Acknowledgements"/>
    <w:basedOn w:val="1"/>
    <w:qFormat/>
    <w:uiPriority w:val="178"/>
    <w:rPr>
      <w:lang w:val="en-US"/>
    </w:rPr>
  </w:style>
  <w:style w:type="paragraph" w:customStyle="1" w:styleId="34">
    <w:name w:val="Abstract"/>
    <w:basedOn w:val="1"/>
    <w:qFormat/>
    <w:uiPriority w:val="179"/>
    <w:pPr>
      <w:spacing w:line="360" w:lineRule="auto"/>
      <w:jc w:val="both"/>
    </w:pPr>
    <w:rPr>
      <w:lang w:val="en-US"/>
    </w:rPr>
  </w:style>
  <w:style w:type="paragraph" w:customStyle="1" w:styleId="35">
    <w:name w:val="Head 1"/>
    <w:basedOn w:val="1"/>
    <w:qFormat/>
    <w:uiPriority w:val="180"/>
    <w:pPr>
      <w:spacing w:line="360" w:lineRule="auto"/>
    </w:pPr>
    <w:rPr>
      <w:rFonts w:ascii="Arial" w:hAnsi="Arial" w:cs="Arial" w:eastAsiaTheme="minorEastAsia"/>
      <w:b/>
      <w:lang w:val="en-US" w:eastAsia="zh-CN"/>
    </w:rPr>
  </w:style>
  <w:style w:type="paragraph" w:customStyle="1" w:styleId="36">
    <w:name w:val="Head 2"/>
    <w:basedOn w:val="1"/>
    <w:qFormat/>
    <w:uiPriority w:val="181"/>
    <w:pPr>
      <w:spacing w:line="360" w:lineRule="auto"/>
    </w:pPr>
    <w:rPr>
      <w:i/>
      <w:lang w:val="en-US"/>
    </w:rPr>
  </w:style>
  <w:style w:type="paragraph" w:customStyle="1" w:styleId="37">
    <w:name w:val="dates"/>
    <w:basedOn w:val="1"/>
    <w:qFormat/>
    <w:uiPriority w:val="182"/>
    <w:pPr>
      <w:jc w:val="right"/>
    </w:pPr>
    <w:rPr>
      <w:lang w:val="en-US"/>
    </w:rPr>
  </w:style>
  <w:style w:type="paragraph" w:customStyle="1" w:styleId="38">
    <w:name w:val="Literature"/>
    <w:basedOn w:val="1"/>
    <w:qFormat/>
    <w:uiPriority w:val="183"/>
    <w:pPr>
      <w:spacing w:line="480" w:lineRule="auto"/>
    </w:pPr>
  </w:style>
  <w:style w:type="paragraph" w:customStyle="1" w:styleId="39">
    <w:name w:val="Legend"/>
    <w:basedOn w:val="1"/>
    <w:qFormat/>
    <w:uiPriority w:val="184"/>
    <w:rPr>
      <w:lang w:val="en-US"/>
    </w:rPr>
  </w:style>
  <w:style w:type="paragraph" w:customStyle="1" w:styleId="40">
    <w:name w:val="Main Text"/>
    <w:basedOn w:val="1"/>
    <w:link w:val="44"/>
    <w:qFormat/>
    <w:uiPriority w:val="185"/>
    <w:pPr>
      <w:spacing w:line="480" w:lineRule="auto"/>
    </w:pPr>
    <w:rPr>
      <w:lang w:val="en-US"/>
    </w:rPr>
  </w:style>
  <w:style w:type="paragraph" w:customStyle="1" w:styleId="41">
    <w:name w:val="Table of contents"/>
    <w:basedOn w:val="1"/>
    <w:qFormat/>
    <w:uiPriority w:val="186"/>
    <w:rPr>
      <w:lang w:val="en-US"/>
    </w:rPr>
  </w:style>
  <w:style w:type="paragraph" w:customStyle="1" w:styleId="42">
    <w:name w:val="Experimental Text"/>
    <w:basedOn w:val="1"/>
    <w:link w:val="43"/>
    <w:qFormat/>
    <w:uiPriority w:val="187"/>
    <w:pPr>
      <w:spacing w:line="480" w:lineRule="auto"/>
    </w:pPr>
    <w:rPr>
      <w:lang w:val="en-US"/>
    </w:rPr>
  </w:style>
  <w:style w:type="character" w:customStyle="1" w:styleId="43">
    <w:name w:val="Experimental Text Char"/>
    <w:link w:val="42"/>
    <w:qFormat/>
    <w:uiPriority w:val="188"/>
    <w:rPr>
      <w:rFonts w:eastAsia="MS Mincho"/>
      <w:sz w:val="24"/>
      <w:szCs w:val="24"/>
      <w:lang w:val="en-US" w:eastAsia="ja-JP" w:bidi="ar-SA"/>
    </w:rPr>
  </w:style>
  <w:style w:type="character" w:customStyle="1" w:styleId="44">
    <w:name w:val="Main Text Char"/>
    <w:link w:val="40"/>
    <w:qFormat/>
    <w:uiPriority w:val="189"/>
    <w:rPr>
      <w:rFonts w:eastAsia="MS Mincho"/>
      <w:sz w:val="24"/>
      <w:szCs w:val="24"/>
      <w:lang w:val="en-US" w:eastAsia="ja-JP" w:bidi="ar-SA"/>
    </w:rPr>
  </w:style>
  <w:style w:type="paragraph" w:customStyle="1" w:styleId="45">
    <w:name w:val="Title2"/>
    <w:basedOn w:val="1"/>
    <w:qFormat/>
    <w:uiPriority w:val="190"/>
    <w:rPr>
      <w:b/>
      <w:lang w:val="en-US"/>
    </w:rPr>
  </w:style>
  <w:style w:type="paragraph" w:customStyle="1" w:styleId="46">
    <w:name w:val="Dedication"/>
    <w:basedOn w:val="1"/>
    <w:qFormat/>
    <w:uiPriority w:val="191"/>
    <w:rPr>
      <w:lang w:val="en-US"/>
    </w:rPr>
  </w:style>
  <w:style w:type="paragraph" w:customStyle="1" w:styleId="47">
    <w:name w:val="Main text"/>
    <w:basedOn w:val="1"/>
    <w:link w:val="48"/>
    <w:qFormat/>
    <w:uiPriority w:val="192"/>
    <w:pPr>
      <w:spacing w:line="480" w:lineRule="auto"/>
    </w:pPr>
    <w:rPr>
      <w:lang w:val="en-US"/>
    </w:rPr>
  </w:style>
  <w:style w:type="character" w:customStyle="1" w:styleId="48">
    <w:name w:val="Main text Char"/>
    <w:link w:val="47"/>
    <w:qFormat/>
    <w:uiPriority w:val="193"/>
    <w:rPr>
      <w:sz w:val="24"/>
      <w:szCs w:val="24"/>
      <w:lang w:val="en-US" w:eastAsia="ja-JP"/>
    </w:rPr>
  </w:style>
  <w:style w:type="paragraph" w:customStyle="1" w:styleId="49">
    <w:name w:val="Biography"/>
    <w:basedOn w:val="1"/>
    <w:qFormat/>
    <w:uiPriority w:val="194"/>
    <w:rPr>
      <w:i/>
      <w:lang w:val="en-US"/>
    </w:rPr>
  </w:style>
  <w:style w:type="character" w:customStyle="1" w:styleId="50">
    <w:name w:val="页眉 Char"/>
    <w:link w:val="5"/>
    <w:qFormat/>
    <w:uiPriority w:val="195"/>
    <w:rPr>
      <w:sz w:val="24"/>
      <w:szCs w:val="24"/>
      <w:lang w:eastAsia="ja-JP"/>
    </w:rPr>
  </w:style>
  <w:style w:type="character" w:customStyle="1" w:styleId="51">
    <w:name w:val="批注文字 Char"/>
    <w:link w:val="2"/>
    <w:semiHidden/>
    <w:qFormat/>
    <w:uiPriority w:val="196"/>
    <w:rPr>
      <w:lang w:eastAsia="ja-JP"/>
    </w:rPr>
  </w:style>
  <w:style w:type="character" w:customStyle="1" w:styleId="52">
    <w:name w:val="批注主题 Char"/>
    <w:link w:val="8"/>
    <w:semiHidden/>
    <w:qFormat/>
    <w:uiPriority w:val="197"/>
    <w:rPr>
      <w:b/>
      <w:lang w:eastAsia="ja-JP"/>
    </w:rPr>
  </w:style>
  <w:style w:type="character" w:customStyle="1" w:styleId="53">
    <w:name w:val="页脚 Char"/>
    <w:link w:val="4"/>
    <w:qFormat/>
    <w:uiPriority w:val="198"/>
    <w:rPr>
      <w:sz w:val="24"/>
      <w:szCs w:val="24"/>
      <w:lang w:eastAsia="ja-JP"/>
    </w:rPr>
  </w:style>
  <w:style w:type="paragraph" w:customStyle="1" w:styleId="54">
    <w:name w:val="Authors"/>
    <w:basedOn w:val="1"/>
    <w:qFormat/>
    <w:uiPriority w:val="199"/>
    <w:pPr>
      <w:spacing w:before="120" w:after="120" w:line="320" w:lineRule="exact"/>
    </w:pPr>
    <w:rPr>
      <w:rFonts w:ascii="Arial" w:hAnsi="Arial"/>
      <w:sz w:val="22"/>
      <w:szCs w:val="22"/>
      <w:lang w:val="en-GB"/>
    </w:rPr>
  </w:style>
  <w:style w:type="paragraph" w:customStyle="1" w:styleId="55">
    <w:name w:val="H1"/>
    <w:basedOn w:val="1"/>
    <w:qFormat/>
    <w:uiPriority w:val="200"/>
    <w:pPr>
      <w:spacing w:before="480" w:after="230" w:line="225" w:lineRule="exact"/>
    </w:pPr>
    <w:rPr>
      <w:rFonts w:ascii="Arial" w:hAnsi="Arial"/>
      <w:b/>
      <w:sz w:val="22"/>
      <w:szCs w:val="22"/>
      <w:lang w:val="en-GB"/>
    </w:rPr>
  </w:style>
  <w:style w:type="table" w:customStyle="1" w:styleId="56">
    <w:name w:val="浅色底纹1"/>
    <w:basedOn w:val="9"/>
    <w:qFormat/>
    <w:uiPriority w:val="201"/>
    <w:rPr>
      <w:rFonts w:ascii="Calibri" w:hAnsi="Calibri" w:eastAsia="宋体"/>
      <w:color w:val="000000"/>
      <w:lang w:val="en-US" w:eastAsia="zh-CN"/>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rPr>
      <w:tcPr>
        <w:tcBorders>
          <w:top w:val="single" w:color="000000" w:sz="8" w:space="0"/>
          <w:left w:val="nil"/>
          <w:bottom w:val="single" w:color="000000" w:sz="8" w:space="0"/>
          <w:right w:val="nil"/>
          <w:insideH w:val="nil"/>
          <w:insideV w:val="nil"/>
        </w:tcBorders>
      </w:tcPr>
    </w:tblStylePr>
    <w:tblStylePr w:type="firstCol">
      <w:rPr>
        <w:b/>
      </w:rPr>
    </w:tblStylePr>
    <w:tblStylePr w:type="lastCol">
      <w:rPr>
        <w:b/>
      </w:rPr>
    </w:tblStylePr>
    <w:tblStylePr w:type="band1Vert">
      <w:tcPr>
        <w:tcBorders>
          <w:left w:val="nil"/>
          <w:right w:val="nil"/>
          <w:insideH w:val="nil"/>
          <w:insideV w:val="nil"/>
        </w:tcBorders>
        <w:shd w:val="clear" w:color="000000" w:fill="C0C0C0"/>
      </w:tcPr>
    </w:tblStylePr>
    <w:tblStylePr w:type="band1Horz">
      <w:tcPr>
        <w:tcBorders>
          <w:left w:val="nil"/>
          <w:right w:val="nil"/>
          <w:insideH w:val="nil"/>
          <w:insideV w:val="nil"/>
        </w:tcBorders>
        <w:shd w:val="clear" w:color="000000" w:fill="C0C0C0"/>
      </w:tcPr>
    </w:tblStylePr>
  </w:style>
  <w:style w:type="table" w:customStyle="1" w:styleId="57">
    <w:name w:val="浅色底纹11"/>
    <w:basedOn w:val="9"/>
    <w:qFormat/>
    <w:uiPriority w:val="202"/>
    <w:rPr>
      <w:rFonts w:ascii="Calibri" w:hAnsi="Calibri" w:eastAsia="宋体"/>
      <w:color w:val="000000"/>
      <w:lang w:val="en-US" w:eastAsia="zh-CN"/>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rPr>
      <w:tcPr>
        <w:tcBorders>
          <w:top w:val="single" w:color="000000" w:sz="8" w:space="0"/>
          <w:left w:val="nil"/>
          <w:bottom w:val="single" w:color="000000" w:sz="8" w:space="0"/>
          <w:right w:val="nil"/>
          <w:insideH w:val="nil"/>
          <w:insideV w:val="nil"/>
        </w:tcBorders>
      </w:tcPr>
    </w:tblStylePr>
    <w:tblStylePr w:type="firstCol">
      <w:rPr>
        <w:b/>
      </w:rPr>
    </w:tblStylePr>
    <w:tblStylePr w:type="lastCol">
      <w:rPr>
        <w:b/>
      </w:rPr>
    </w:tblStylePr>
    <w:tblStylePr w:type="band1Vert">
      <w:tcPr>
        <w:tcBorders>
          <w:left w:val="nil"/>
          <w:right w:val="nil"/>
          <w:insideH w:val="nil"/>
          <w:insideV w:val="nil"/>
        </w:tcBorders>
        <w:shd w:val="clear" w:color="000000" w:fill="C0C0C0"/>
      </w:tcPr>
    </w:tblStylePr>
    <w:tblStylePr w:type="band1Horz">
      <w:tcPr>
        <w:tcBorders>
          <w:left w:val="nil"/>
          <w:right w:val="nil"/>
          <w:insideH w:val="nil"/>
          <w:insideV w:val="nil"/>
        </w:tcBorders>
        <w:shd w:val="clear" w:color="000000" w:fill="C0C0C0"/>
      </w:tcPr>
    </w:tblStylePr>
  </w:style>
  <w:style w:type="table" w:customStyle="1" w:styleId="58">
    <w:name w:val="网格型1"/>
    <w:basedOn w:val="9"/>
    <w:qFormat/>
    <w:uiPriority w:val="203"/>
    <w:rPr>
      <w:rFonts w:ascii="Calibri" w:hAnsi="Calibri" w:eastAsia="宋体"/>
      <w:lang w:val="en-US"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tiff"/><Relationship Id="rId16" Type="http://schemas.openxmlformats.org/officeDocument/2006/relationships/image" Target="media/image11.jpeg"/><Relationship Id="rId15" Type="http://schemas.openxmlformats.org/officeDocument/2006/relationships/image" Target="media/image10.tiff"/><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tiff"/><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Pages>
  <Words>1869</Words>
  <Characters>12027</Characters>
  <Lines>54</Lines>
  <Paragraphs>15</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2023-09-20T17:22:00Z</dcterms:created>
  <dc:creator>haihuizhou</dc:creator>
  <cp:lastModifiedBy>hanson</cp:lastModifiedBy>
  <dcterms:modified xsi:type="dcterms:W3CDTF">2023-11-19T13:15:18Z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971CF8865DB4493093441B5321D8A844_13</vt:lpwstr>
  </property>
</Properties>
</file>