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rPr>
      </w:pPr>
      <w:r>
        <w:rPr>
          <w:rFonts w:hint="eastAsia"/>
        </w:rPr>
        <w:t>Supplementary data</w:t>
      </w:r>
    </w:p>
    <w:p>
      <w:pPr>
        <w:widowControl w:val="0"/>
        <w:spacing w:line="480" w:lineRule="auto"/>
        <w:ind w:firstLine="440" w:firstLineChars="200"/>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Table </w:t>
      </w:r>
      <w:r>
        <w:rPr>
          <w:rFonts w:hint="eastAsia" w:ascii="Times New Roman Regular" w:hAnsi="Times New Roman Regular" w:cs="Times New Roman Regular"/>
          <w:sz w:val="22"/>
          <w:szCs w:val="22"/>
          <w:lang w:val="en-US" w:eastAsia="zh-Hans"/>
        </w:rPr>
        <w:t>S</w:t>
      </w:r>
      <w:r>
        <w:rPr>
          <w:rFonts w:ascii="Times New Roman Regular" w:hAnsi="Times New Roman Regular" w:cs="Times New Roman Regular"/>
          <w:sz w:val="22"/>
          <w:szCs w:val="22"/>
        </w:rPr>
        <w:t>1 shows the baseline information of the included cases before PSM. There were no statistical differences between the two groups in terms of age, KPS score, type of pathology, lymph node metastasis, lung cancer site, N stage, clinical stage, driver mutation, lung cancer surgery, chemotherapy, and chest radiotherapy (</w:t>
      </w:r>
      <w:r>
        <w:rPr>
          <w:rFonts w:ascii="Times New Roman Regular" w:hAnsi="Times New Roman Regular" w:cs="Times New Roman Regular"/>
          <w:i/>
          <w:iCs/>
          <w:sz w:val="22"/>
          <w:szCs w:val="22"/>
        </w:rPr>
        <w:t>P</w:t>
      </w:r>
      <w:r>
        <w:rPr>
          <w:rFonts w:ascii="Times New Roman Regular" w:hAnsi="Times New Roman Regular" w:cs="Times New Roman Regular"/>
          <w:sz w:val="22"/>
          <w:szCs w:val="22"/>
        </w:rPr>
        <w:t>＜0.05). There were between-group differences in gender, T-stage, and whether brain metastases were diagnosed at the same time (</w:t>
      </w:r>
      <w:r>
        <w:rPr>
          <w:rFonts w:ascii="Times New Roman Regular" w:hAnsi="Times New Roman Regular" w:cs="Times New Roman Regular"/>
          <w:i/>
          <w:iCs/>
          <w:sz w:val="22"/>
          <w:szCs w:val="22"/>
        </w:rPr>
        <w:t>P</w:t>
      </w:r>
      <w:r>
        <w:rPr>
          <w:rFonts w:ascii="Times New Roman Regular" w:hAnsi="Times New Roman Regular" w:cs="Times New Roman Regular"/>
          <w:sz w:val="22"/>
          <w:szCs w:val="22"/>
        </w:rPr>
        <w:t>＜0.05), requiring further equalization of baseline characteristics.</w:t>
      </w:r>
    </w:p>
    <w:p>
      <w:pPr>
        <w:widowControl w:val="0"/>
        <w:spacing w:line="480" w:lineRule="auto"/>
        <w:rPr>
          <w:rFonts w:ascii="Times New Roman Regular" w:hAnsi="Times New Roman Regular" w:cs="Times New Roman Regular"/>
          <w:sz w:val="22"/>
          <w:szCs w:val="22"/>
        </w:rPr>
      </w:pPr>
      <w:r>
        <w:rPr>
          <w:rFonts w:ascii="Times New Roman Bold" w:hAnsi="Times New Roman Bold" w:cs="Times New Roman Bold"/>
          <w:b/>
          <w:bCs/>
          <w:sz w:val="22"/>
          <w:szCs w:val="22"/>
        </w:rPr>
        <w:t xml:space="preserve">Table </w:t>
      </w:r>
      <w:r>
        <w:rPr>
          <w:rFonts w:hint="eastAsia" w:ascii="Times New Roman Bold" w:hAnsi="Times New Roman Bold" w:cs="Times New Roman Bold"/>
          <w:b/>
          <w:bCs/>
          <w:sz w:val="22"/>
          <w:szCs w:val="22"/>
          <w:lang w:val="en-US" w:eastAsia="zh-Hans"/>
        </w:rPr>
        <w:t>S</w:t>
      </w:r>
      <w:r>
        <w:rPr>
          <w:rFonts w:ascii="Times New Roman Bold" w:hAnsi="Times New Roman Bold" w:cs="Times New Roman Bold"/>
          <w:b/>
          <w:bCs/>
          <w:sz w:val="22"/>
          <w:szCs w:val="22"/>
        </w:rPr>
        <w:t>1.</w:t>
      </w:r>
      <w:r>
        <w:rPr>
          <w:rFonts w:ascii="Times New Roman Regular" w:hAnsi="Times New Roman Regular" w:cs="Times New Roman Regular"/>
          <w:sz w:val="22"/>
          <w:szCs w:val="22"/>
        </w:rPr>
        <w:t xml:space="preserve"> Baseline characteristics of patients with pre-PSM brain metastases at diagnosis of NSCLC </w:t>
      </w:r>
    </w:p>
    <w:tbl>
      <w:tblPr>
        <w:tblStyle w:val="3"/>
        <w:tblW w:w="8303" w:type="dxa"/>
        <w:jc w:val="center"/>
        <w:tblLayout w:type="fixed"/>
        <w:tblCellMar>
          <w:top w:w="0" w:type="dxa"/>
          <w:left w:w="108" w:type="dxa"/>
          <w:bottom w:w="0" w:type="dxa"/>
          <w:right w:w="108" w:type="dxa"/>
        </w:tblCellMar>
      </w:tblPr>
      <w:tblGrid>
        <w:gridCol w:w="1475"/>
        <w:gridCol w:w="1339"/>
        <w:gridCol w:w="1313"/>
        <w:gridCol w:w="1422"/>
        <w:gridCol w:w="1094"/>
        <w:gridCol w:w="850"/>
        <w:gridCol w:w="810"/>
      </w:tblGrid>
      <w:tr>
        <w:trPr>
          <w:trHeight w:val="590" w:hRule="atLeast"/>
          <w:jc w:val="center"/>
        </w:trPr>
        <w:tc>
          <w:tcPr>
            <w:tcW w:w="1475"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lang w:eastAsia="zh-Hans"/>
              </w:rPr>
            </w:pPr>
            <w:r>
              <w:rPr>
                <w:rFonts w:ascii="Times New Roman Bold" w:hAnsi="Times New Roman Bold" w:cs="Times New Roman Bold"/>
                <w:b/>
                <w:bCs/>
                <w:sz w:val="16"/>
                <w:szCs w:val="16"/>
              </w:rPr>
              <w:t>Characteristic</w:t>
            </w:r>
            <w:r>
              <w:rPr>
                <w:rFonts w:ascii="Times New Roman Bold" w:hAnsi="Times New Roman Bold" w:cs="Times New Roman Bold"/>
                <w:b/>
                <w:bCs/>
                <w:sz w:val="16"/>
                <w:szCs w:val="16"/>
                <w:lang w:eastAsia="zh-Hans"/>
              </w:rPr>
              <w:t>s</w:t>
            </w:r>
          </w:p>
        </w:tc>
        <w:tc>
          <w:tcPr>
            <w:tcW w:w="1339"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lang w:eastAsia="zh-Hans"/>
              </w:rPr>
            </w:pPr>
            <w:r>
              <w:rPr>
                <w:rFonts w:ascii="Times New Roman Regular" w:hAnsi="Times New Roman Regular" w:cs="Times New Roman Regular"/>
                <w:b/>
                <w:bCs/>
                <w:color w:val="000000"/>
                <w:sz w:val="16"/>
                <w:szCs w:val="16"/>
                <w:lang w:eastAsia="zh-Hans"/>
              </w:rPr>
              <w:t>Total</w:t>
            </w:r>
          </w:p>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(n=461)</w:t>
            </w:r>
          </w:p>
        </w:tc>
        <w:tc>
          <w:tcPr>
            <w:tcW w:w="1313"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Non-smoking</w:t>
            </w:r>
          </w:p>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bidi="ar"/>
              </w:rPr>
              <w:t>(n=164)</w:t>
            </w:r>
          </w:p>
        </w:tc>
        <w:tc>
          <w:tcPr>
            <w:tcW w:w="1422"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bidi="ar"/>
              </w:rPr>
              <w:t>Smoking cessation(n=150)</w:t>
            </w:r>
          </w:p>
        </w:tc>
        <w:tc>
          <w:tcPr>
            <w:tcW w:w="1094"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bidi="ar"/>
              </w:rPr>
              <w:t>Smoking (n=147)</w:t>
            </w:r>
          </w:p>
        </w:tc>
        <w:tc>
          <w:tcPr>
            <w:tcW w:w="850"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bidi="ar"/>
              </w:rPr>
              <w:t>χ</w:t>
            </w:r>
            <w:r>
              <w:rPr>
                <w:rFonts w:ascii="Times New Roman Regular" w:hAnsi="Times New Roman Regular" w:cs="Times New Roman Regular"/>
                <w:b/>
                <w:bCs/>
                <w:color w:val="000000"/>
                <w:kern w:val="0"/>
                <w:sz w:val="16"/>
                <w:szCs w:val="16"/>
                <w:vertAlign w:val="superscript"/>
                <w:lang w:bidi="ar"/>
              </w:rPr>
              <w:t>2</w:t>
            </w:r>
          </w:p>
        </w:tc>
        <w:tc>
          <w:tcPr>
            <w:tcW w:w="810"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i/>
                <w:iCs/>
                <w:color w:val="000000"/>
                <w:kern w:val="0"/>
                <w:sz w:val="16"/>
                <w:szCs w:val="16"/>
                <w:lang w:bidi="ar"/>
              </w:rPr>
              <w:t>P</w:t>
            </w:r>
            <w:r>
              <w:rPr>
                <w:rFonts w:ascii="Times New Roman Regular" w:hAnsi="Times New Roman Regular" w:cs="Times New Roman Regular"/>
                <w:b/>
                <w:bCs/>
                <w:color w:val="000000"/>
                <w:kern w:val="0"/>
                <w:sz w:val="16"/>
                <w:szCs w:val="16"/>
                <w:lang w:bidi="ar"/>
              </w:rPr>
              <w:t xml:space="preserve"> value</w:t>
            </w:r>
          </w:p>
        </w:tc>
      </w:tr>
      <w:tr>
        <w:trPr>
          <w:trHeight w:val="295" w:hRule="atLeast"/>
          <w:jc w:val="center"/>
        </w:trPr>
        <w:tc>
          <w:tcPr>
            <w:tcW w:w="1475" w:type="dxa"/>
            <w:tcBorders>
              <w:top w:val="single" w:color="000000" w:sz="4" w:space="0"/>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lang w:eastAsia="zh-Hans"/>
              </w:rPr>
            </w:pPr>
            <w:r>
              <w:rPr>
                <w:rFonts w:ascii="Times New Roman Regular" w:hAnsi="Times New Roman Regular" w:cs="Times New Roman Regular"/>
                <w:b/>
                <w:bCs/>
                <w:color w:val="000000"/>
                <w:sz w:val="16"/>
                <w:szCs w:val="16"/>
                <w:lang w:eastAsia="zh-Hans"/>
              </w:rPr>
              <w:t>Age</w:t>
            </w:r>
          </w:p>
        </w:tc>
        <w:tc>
          <w:tcPr>
            <w:tcW w:w="1339" w:type="dxa"/>
            <w:tcBorders>
              <w:top w:val="single" w:color="000000" w:sz="4" w:space="0"/>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single" w:color="000000" w:sz="4" w:space="0"/>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22" w:type="dxa"/>
            <w:tcBorders>
              <w:top w:val="single" w:color="000000" w:sz="4" w:space="0"/>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94" w:type="dxa"/>
            <w:tcBorders>
              <w:top w:val="single" w:color="000000" w:sz="4" w:space="0"/>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single" w:color="000000" w:sz="4" w:space="0"/>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2.95</w:t>
            </w:r>
          </w:p>
        </w:tc>
        <w:tc>
          <w:tcPr>
            <w:tcW w:w="810" w:type="dxa"/>
            <w:tcBorders>
              <w:top w:val="single" w:color="000000" w:sz="4" w:space="0"/>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0.228</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277</w:t>
            </w:r>
          </w:p>
        </w:tc>
        <w:tc>
          <w:tcPr>
            <w:tcW w:w="1313"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104 (22.6)</w:t>
            </w:r>
          </w:p>
        </w:tc>
        <w:tc>
          <w:tcPr>
            <w:tcW w:w="1422"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93 (20.2)</w:t>
            </w:r>
          </w:p>
        </w:tc>
        <w:tc>
          <w:tcPr>
            <w:tcW w:w="1094"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80 (17.4)</w:t>
            </w:r>
          </w:p>
        </w:tc>
        <w:tc>
          <w:tcPr>
            <w:tcW w:w="8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0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184</w:t>
            </w:r>
          </w:p>
        </w:tc>
        <w:tc>
          <w:tcPr>
            <w:tcW w:w="1313"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 (13.0)</w:t>
            </w:r>
          </w:p>
        </w:tc>
        <w:tc>
          <w:tcPr>
            <w:tcW w:w="1422"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57 (12.4)</w:t>
            </w:r>
          </w:p>
        </w:tc>
        <w:tc>
          <w:tcPr>
            <w:tcW w:w="1094"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67 (14.5)</w:t>
            </w:r>
          </w:p>
        </w:tc>
        <w:tc>
          <w:tcPr>
            <w:tcW w:w="8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lang w:eastAsia="zh-Hans"/>
              </w:rPr>
            </w:pPr>
            <w:r>
              <w:rPr>
                <w:rFonts w:ascii="Times New Roman Regular" w:hAnsi="Times New Roman Regular" w:cs="Times New Roman Regular"/>
                <w:b/>
                <w:bCs/>
                <w:color w:val="000000"/>
                <w:sz w:val="16"/>
                <w:szCs w:val="16"/>
                <w:lang w:eastAsia="zh-Hans"/>
              </w:rPr>
              <w:t>Sex</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34.47</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 0.001</w:t>
            </w:r>
          </w:p>
        </w:tc>
      </w:tr>
      <w:tr>
        <w:trPr>
          <w:trHeight w:val="280" w:hRule="atLeast"/>
          <w:jc w:val="center"/>
        </w:trPr>
        <w:tc>
          <w:tcPr>
            <w:tcW w:w="1475"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lang w:eastAsia="zh-Hans"/>
              </w:rPr>
            </w:pPr>
            <w:r>
              <w:rPr>
                <w:rFonts w:ascii="Times New Roman Regular" w:hAnsi="Times New Roman Regular" w:cs="Times New Roman Regular"/>
                <w:color w:val="000000"/>
                <w:sz w:val="16"/>
                <w:szCs w:val="16"/>
                <w:lang w:eastAsia="zh-Hans"/>
              </w:rPr>
              <w:t>Female</w:t>
            </w:r>
          </w:p>
        </w:tc>
        <w:tc>
          <w:tcPr>
            <w:tcW w:w="1339"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233</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113 (24.5)</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59 (12.8)</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61 (13.2)</w:t>
            </w:r>
          </w:p>
        </w:tc>
        <w:tc>
          <w:tcPr>
            <w:tcW w:w="8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lang w:eastAsia="zh-Hans"/>
              </w:rPr>
            </w:pPr>
            <w:r>
              <w:rPr>
                <w:rFonts w:ascii="Times New Roman Regular" w:hAnsi="Times New Roman Regular" w:cs="Times New Roman Regular"/>
                <w:color w:val="000000"/>
                <w:sz w:val="16"/>
                <w:szCs w:val="16"/>
                <w:lang w:eastAsia="zh-Hans"/>
              </w:rPr>
              <w:t>Male</w:t>
            </w:r>
          </w:p>
        </w:tc>
        <w:tc>
          <w:tcPr>
            <w:tcW w:w="1339"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228</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51 (11.1)</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91 (19.7)</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86 (18.7)</w:t>
            </w:r>
          </w:p>
        </w:tc>
        <w:tc>
          <w:tcPr>
            <w:tcW w:w="8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kern w:val="0"/>
                <w:sz w:val="16"/>
                <w:szCs w:val="16"/>
                <w:lang w:bidi="ar"/>
              </w:rPr>
              <w:t>KPS score</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2.05</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0.358</w:t>
            </w:r>
          </w:p>
        </w:tc>
      </w:tr>
      <w:tr>
        <w:trPr>
          <w:trHeight w:val="280" w:hRule="atLeast"/>
          <w:jc w:val="center"/>
        </w:trPr>
        <w:tc>
          <w:tcPr>
            <w:tcW w:w="1475"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≥90</w:t>
            </w:r>
          </w:p>
        </w:tc>
        <w:tc>
          <w:tcPr>
            <w:tcW w:w="1339"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184</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67 (14.5)</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65 (14.1)</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52 (11.3)</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w:t>
            </w:r>
          </w:p>
        </w:tc>
        <w:tc>
          <w:tcPr>
            <w:tcW w:w="1339"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277</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97 (21.0)</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85 (18.4)</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95 (20.6)</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lang w:eastAsia="zh-Hans"/>
              </w:rPr>
            </w:pPr>
            <w:r>
              <w:rPr>
                <w:rFonts w:ascii="Times New Roman Bold" w:hAnsi="Times New Roman Bold" w:cs="Times New Roman Bold"/>
                <w:b/>
                <w:bCs/>
                <w:color w:val="000000"/>
                <w:sz w:val="16"/>
                <w:szCs w:val="16"/>
                <w:lang w:eastAsia="zh-Hans"/>
              </w:rPr>
              <w:t>Pathological pattern</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5.71</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0.057</w:t>
            </w:r>
          </w:p>
        </w:tc>
      </w:tr>
      <w:tr>
        <w:trPr>
          <w:trHeight w:val="280" w:hRule="atLeast"/>
          <w:jc w:val="center"/>
        </w:trPr>
        <w:tc>
          <w:tcPr>
            <w:tcW w:w="1475"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Squamous carcinoma</w:t>
            </w:r>
          </w:p>
        </w:tc>
        <w:tc>
          <w:tcPr>
            <w:tcW w:w="1339"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69</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 (3.7)</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30 (6.5)</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22 (4.8)</w:t>
            </w:r>
          </w:p>
        </w:tc>
        <w:tc>
          <w:tcPr>
            <w:tcW w:w="8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Adenocarcinoma</w:t>
            </w:r>
          </w:p>
        </w:tc>
        <w:tc>
          <w:tcPr>
            <w:tcW w:w="1339"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392</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147 (31.9)</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120 (26.0)</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125 (27.1)</w:t>
            </w:r>
          </w:p>
        </w:tc>
        <w:tc>
          <w:tcPr>
            <w:tcW w:w="8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Lymph node metastasis</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1.29</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0.525</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lang w:eastAsia="zh-Hans"/>
              </w:rPr>
            </w:pPr>
            <w:r>
              <w:rPr>
                <w:rFonts w:ascii="Times New Roman Regular" w:hAnsi="Times New Roman Regular" w:cs="Times New Roman Regular"/>
                <w:color w:val="000000"/>
                <w:sz w:val="16"/>
                <w:szCs w:val="16"/>
                <w:lang w:eastAsia="zh-Hans"/>
              </w:rPr>
              <w:t>No</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121</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48 (10.4)</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38 (8.2)</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35 (7.6)</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lang w:eastAsia="zh-Hans"/>
              </w:rPr>
            </w:pPr>
            <w:r>
              <w:rPr>
                <w:rFonts w:ascii="Times New Roman Regular" w:hAnsi="Times New Roman Regular" w:cs="Times New Roman Regular"/>
                <w:color w:val="000000"/>
                <w:sz w:val="16"/>
                <w:szCs w:val="16"/>
                <w:lang w:eastAsia="zh-Hans"/>
              </w:rPr>
              <w:t>Yes</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340</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116 (25.2)</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112 (24.3)</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112 (24.3)</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Position</w:t>
            </w:r>
          </w:p>
        </w:tc>
        <w:tc>
          <w:tcPr>
            <w:tcW w:w="1339"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4.26</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0.119</w:t>
            </w:r>
          </w:p>
        </w:tc>
      </w:tr>
      <w:tr>
        <w:trPr>
          <w:trHeight w:val="280" w:hRule="atLeast"/>
          <w:jc w:val="center"/>
        </w:trPr>
        <w:tc>
          <w:tcPr>
            <w:tcW w:w="1475"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Peripheral</w:t>
            </w:r>
          </w:p>
        </w:tc>
        <w:tc>
          <w:tcPr>
            <w:tcW w:w="1339"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337</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129 (28)</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107 (23.2)</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101 (21.9)</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Central</w:t>
            </w:r>
          </w:p>
        </w:tc>
        <w:tc>
          <w:tcPr>
            <w:tcW w:w="1339"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124</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35 (7.6)</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(9.3)</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46 (10.0)</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 classification</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6.51</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0.039</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T1-2</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282</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113 (24.5)</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84 (18.2)</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85 (18.4)</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T3-4</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179</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51 (11.1)</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66 (14.3)</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62 (13.4)</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N</w:t>
            </w:r>
            <w:r>
              <w:rPr>
                <w:rFonts w:ascii="Times New Roman Regular" w:hAnsi="Times New Roman Regular" w:cs="Times New Roman Regular"/>
                <w:b/>
                <w:bCs/>
                <w:color w:val="000000"/>
                <w:sz w:val="16"/>
                <w:szCs w:val="16"/>
              </w:rPr>
              <w:t xml:space="preserve"> classification</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0.27</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0.875</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N0-1</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195</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70 (15.2)</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61 (13.2)</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64 (13.9)</w:t>
            </w:r>
          </w:p>
        </w:tc>
        <w:tc>
          <w:tcPr>
            <w:tcW w:w="8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N2-3</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266</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94 (20.4)</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89 (19.3)</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83 (18.0)</w:t>
            </w:r>
          </w:p>
        </w:tc>
        <w:tc>
          <w:tcPr>
            <w:tcW w:w="8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lang w:eastAsia="zh-Hans"/>
              </w:rPr>
            </w:pPr>
            <w:r>
              <w:rPr>
                <w:rFonts w:ascii="Times New Roman Regular" w:hAnsi="Times New Roman Regular" w:cs="Times New Roman Regular"/>
                <w:b/>
                <w:bCs/>
                <w:color w:val="000000"/>
                <w:sz w:val="16"/>
                <w:szCs w:val="16"/>
              </w:rPr>
              <w:t xml:space="preserve">Clinical </w:t>
            </w:r>
            <w:r>
              <w:rPr>
                <w:rFonts w:hint="eastAsia" w:ascii="Times New Roman Regular" w:hAnsi="Times New Roman Regular" w:cs="Times New Roman Regular"/>
                <w:b/>
                <w:bCs/>
                <w:color w:val="000000"/>
                <w:sz w:val="16"/>
                <w:szCs w:val="16"/>
                <w:lang w:eastAsia="zh-Hans"/>
              </w:rPr>
              <w:t>s</w:t>
            </w:r>
            <w:r>
              <w:rPr>
                <w:rFonts w:ascii="Times New Roman Regular" w:hAnsi="Times New Roman Regular" w:cs="Times New Roman Regular"/>
                <w:b/>
                <w:bCs/>
                <w:color w:val="000000"/>
                <w:sz w:val="16"/>
                <w:szCs w:val="16"/>
              </w:rPr>
              <w:t>tag</w:t>
            </w:r>
            <w:r>
              <w:rPr>
                <w:rFonts w:ascii="Times New Roman Regular" w:hAnsi="Times New Roman Regular" w:cs="Times New Roman Regular"/>
                <w:b/>
                <w:bCs/>
                <w:color w:val="000000"/>
                <w:sz w:val="16"/>
                <w:szCs w:val="16"/>
                <w:lang w:eastAsia="zh-Hans"/>
              </w:rPr>
              <w:t>e</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0.39</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0.823</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I/II/III</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163</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61 (13.2)</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52 (11.3)</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50 (10.8)</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451"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IV</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298</w:t>
            </w:r>
          </w:p>
        </w:tc>
        <w:tc>
          <w:tcPr>
            <w:tcW w:w="1313"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103 (22.3)</w:t>
            </w:r>
          </w:p>
        </w:tc>
        <w:tc>
          <w:tcPr>
            <w:tcW w:w="1422"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98 (21.3)</w:t>
            </w:r>
          </w:p>
        </w:tc>
        <w:tc>
          <w:tcPr>
            <w:tcW w:w="1094"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97 (21.0)</w:t>
            </w:r>
          </w:p>
        </w:tc>
        <w:tc>
          <w:tcPr>
            <w:tcW w:w="850"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810"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Concurrent diagnosis of brain metastases</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7.84</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0.020</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315</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123 (26.7)</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104 (22.6)</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88 (19.1)</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146</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41 (8.9)</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46 (10.0)</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58 (12.6)</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Bold" w:hAnsi="Times New Roman Bold" w:cs="Times New Roman Bold"/>
                <w:b/>
                <w:bCs/>
                <w:color w:val="000000"/>
                <w:kern w:val="0"/>
                <w:sz w:val="16"/>
                <w:szCs w:val="16"/>
                <w:lang w:bidi="ar"/>
              </w:rPr>
              <w:t>Oncogenic driver mutations</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10.52</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0.396</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Negative</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361</w:t>
            </w:r>
          </w:p>
        </w:tc>
        <w:tc>
          <w:tcPr>
            <w:tcW w:w="1313"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123(26.7)</w:t>
            </w:r>
          </w:p>
        </w:tc>
        <w:tc>
          <w:tcPr>
            <w:tcW w:w="1422"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114(24.7)</w:t>
            </w:r>
          </w:p>
        </w:tc>
        <w:tc>
          <w:tcPr>
            <w:tcW w:w="1094"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124(26.9)</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Positive</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313"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22"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094"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EGFR</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88</w:t>
            </w:r>
          </w:p>
        </w:tc>
        <w:tc>
          <w:tcPr>
            <w:tcW w:w="1313"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37 (8.0)</w:t>
            </w:r>
          </w:p>
        </w:tc>
        <w:tc>
          <w:tcPr>
            <w:tcW w:w="1422"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30 (6.5)</w:t>
            </w:r>
          </w:p>
        </w:tc>
        <w:tc>
          <w:tcPr>
            <w:tcW w:w="1094"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21 (4.6)</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ALK</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9</w:t>
            </w:r>
          </w:p>
        </w:tc>
        <w:tc>
          <w:tcPr>
            <w:tcW w:w="1313"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 (0.7)</w:t>
            </w:r>
          </w:p>
        </w:tc>
        <w:tc>
          <w:tcPr>
            <w:tcW w:w="1422"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 (0.9)</w:t>
            </w:r>
          </w:p>
        </w:tc>
        <w:tc>
          <w:tcPr>
            <w:tcW w:w="1094"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 (0.4)</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KRAS</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313"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 (0)</w:t>
            </w:r>
          </w:p>
        </w:tc>
        <w:tc>
          <w:tcPr>
            <w:tcW w:w="1422"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 (0.2)</w:t>
            </w:r>
          </w:p>
        </w:tc>
        <w:tc>
          <w:tcPr>
            <w:tcW w:w="1094"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 (0)</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ERCC1,TUBB3</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313"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 (0)</w:t>
            </w:r>
          </w:p>
        </w:tc>
        <w:tc>
          <w:tcPr>
            <w:tcW w:w="1422"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 (0.2)</w:t>
            </w:r>
          </w:p>
        </w:tc>
        <w:tc>
          <w:tcPr>
            <w:tcW w:w="1094"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 (0)</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MET</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313"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 (0.2)</w:t>
            </w:r>
          </w:p>
        </w:tc>
        <w:tc>
          <w:tcPr>
            <w:tcW w:w="1422"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 (0)</w:t>
            </w:r>
          </w:p>
        </w:tc>
        <w:tc>
          <w:tcPr>
            <w:tcW w:w="1094"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 (0)</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lang w:eastAsia="zh-Hans"/>
              </w:rPr>
            </w:pPr>
            <w:r>
              <w:rPr>
                <w:rFonts w:ascii="Times New Roman Bold" w:hAnsi="Times New Roman Bold" w:cs="Times New Roman Bold"/>
                <w:b/>
                <w:bCs/>
                <w:color w:val="000000"/>
                <w:kern w:val="0"/>
                <w:sz w:val="16"/>
                <w:szCs w:val="16"/>
                <w:lang w:eastAsia="zh-Hans" w:bidi="ar"/>
              </w:rPr>
              <w:t>Surgery</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5.90</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0.052</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330</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107 (23.2)</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109 (23.6)</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114 (24.7)</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131</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57 (12.4)</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41 (8.9)</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33 (7.2)</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Chemotherapy</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1.68</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0.432</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120</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(9.3)</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34 (7.4)</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(9.3)</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9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341</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121 (26.2)</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116 (25.2)</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104 (22.6)</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Thoracic Radiotherapy</w:t>
            </w:r>
          </w:p>
        </w:tc>
        <w:tc>
          <w:tcPr>
            <w:tcW w:w="1339"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313"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22"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4"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0.71</w:t>
            </w:r>
          </w:p>
        </w:tc>
        <w:tc>
          <w:tcPr>
            <w:tcW w:w="81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0.701</w:t>
            </w: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lang w:eastAsia="zh-Hans"/>
              </w:rPr>
            </w:pPr>
            <w:r>
              <w:rPr>
                <w:rFonts w:ascii="Times New Roman Regular" w:hAnsi="Times New Roman Regular" w:cs="Times New Roman Regular"/>
                <w:color w:val="000000"/>
                <w:sz w:val="16"/>
                <w:szCs w:val="16"/>
                <w:lang w:eastAsia="zh-Hans"/>
              </w:rPr>
              <w:t>No</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364</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131 (28.4)</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115 (24.9)</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118 (25.6)</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80" w:hRule="atLeast"/>
          <w:jc w:val="center"/>
        </w:trPr>
        <w:tc>
          <w:tcPr>
            <w:tcW w:w="1475"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lang w:eastAsia="zh-Hans"/>
              </w:rPr>
            </w:pPr>
            <w:r>
              <w:rPr>
                <w:rFonts w:ascii="Times New Roman Regular" w:hAnsi="Times New Roman Regular" w:cs="Times New Roman Regular"/>
                <w:color w:val="000000"/>
                <w:sz w:val="16"/>
                <w:szCs w:val="16"/>
                <w:lang w:eastAsia="zh-Hans"/>
              </w:rPr>
              <w:t>Yes</w:t>
            </w:r>
          </w:p>
        </w:tc>
        <w:tc>
          <w:tcPr>
            <w:tcW w:w="1339"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97</w:t>
            </w:r>
          </w:p>
        </w:tc>
        <w:tc>
          <w:tcPr>
            <w:tcW w:w="1313"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33 (7.2)</w:t>
            </w:r>
          </w:p>
        </w:tc>
        <w:tc>
          <w:tcPr>
            <w:tcW w:w="1422"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35 (7.6)</w:t>
            </w:r>
          </w:p>
        </w:tc>
        <w:tc>
          <w:tcPr>
            <w:tcW w:w="1094"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29 (6.3)</w:t>
            </w:r>
          </w:p>
        </w:tc>
        <w:tc>
          <w:tcPr>
            <w:tcW w:w="8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bl>
    <w:p>
      <w:pPr>
        <w:widowControl w:val="0"/>
        <w:spacing w:line="480" w:lineRule="auto"/>
        <w:ind w:firstLine="440" w:firstLineChars="200"/>
        <w:rPr>
          <w:rFonts w:ascii="Times New Roman Regular" w:hAnsi="Times New Roman Regular" w:cs="Times New Roman Regular"/>
          <w:sz w:val="22"/>
          <w:szCs w:val="22"/>
        </w:rPr>
      </w:pPr>
      <w:r>
        <w:rPr>
          <w:rFonts w:ascii="Times New Roman Bold" w:hAnsi="Times New Roman Bold" w:cs="Times New Roman Bold"/>
          <w:b/>
          <w:bCs/>
          <w:sz w:val="22"/>
          <w:szCs w:val="22"/>
        </w:rPr>
        <w:t>Note:</w:t>
      </w:r>
      <w:r>
        <w:rPr>
          <w:rFonts w:ascii="Times New Roman Regular" w:hAnsi="Times New Roman Regular" w:cs="Times New Roman Regular"/>
          <w:sz w:val="22"/>
          <w:szCs w:val="22"/>
        </w:rPr>
        <w:t xml:space="preserve"> Percentages in brackets are rounded to one decimal place, which may result in percentages that add up to 100.1. Same as </w:t>
      </w:r>
      <w:r>
        <w:rPr>
          <w:rFonts w:hint="default" w:ascii="Times New Roman Regular" w:hAnsi="Times New Roman Regular" w:cs="Times New Roman Regular"/>
          <w:sz w:val="22"/>
          <w:szCs w:val="22"/>
        </w:rPr>
        <w:t xml:space="preserve">other </w:t>
      </w:r>
      <w:r>
        <w:rPr>
          <w:rFonts w:ascii="Times New Roman Regular" w:hAnsi="Times New Roman Regular" w:cs="Times New Roman Regular"/>
          <w:sz w:val="22"/>
          <w:szCs w:val="22"/>
        </w:rPr>
        <w:t>Table</w:t>
      </w:r>
      <w:r>
        <w:rPr>
          <w:rFonts w:hint="default" w:ascii="Times New Roman Regular" w:hAnsi="Times New Roman Regular" w:cs="Times New Roman Regular"/>
          <w:sz w:val="22"/>
          <w:szCs w:val="22"/>
        </w:rPr>
        <w:t>s</w:t>
      </w:r>
      <w:r>
        <w:rPr>
          <w:rFonts w:ascii="Times New Roman Regular" w:hAnsi="Times New Roman Regular" w:cs="Times New Roman Regular"/>
          <w:sz w:val="22"/>
          <w:szCs w:val="22"/>
        </w:rPr>
        <w:t xml:space="preserve"> </w:t>
      </w:r>
      <w:r>
        <w:rPr>
          <w:rFonts w:hint="default" w:ascii="Times New Roman Regular" w:hAnsi="Times New Roman Regular" w:cs="Times New Roman Regular"/>
          <w:sz w:val="22"/>
          <w:szCs w:val="22"/>
        </w:rPr>
        <w:t>in this artical</w:t>
      </w:r>
      <w:r>
        <w:rPr>
          <w:rFonts w:ascii="Times New Roman Regular" w:hAnsi="Times New Roman Regular" w:cs="Times New Roman Regular"/>
          <w:sz w:val="22"/>
          <w:szCs w:val="22"/>
        </w:rPr>
        <w:t>. The number of patients with heterochronous brain metastases with clinical stage I/II/III at initial diagnosis of NSCLC was 163 and 152 with stage IV.</w:t>
      </w:r>
    </w:p>
    <w:p>
      <w:pPr>
        <w:widowControl w:val="0"/>
        <w:spacing w:line="480" w:lineRule="auto"/>
        <w:rPr>
          <w:rFonts w:ascii="Times New Roman Regular" w:hAnsi="Times New Roman Regular" w:cs="Times New Roman Regular"/>
          <w:sz w:val="22"/>
          <w:szCs w:val="22"/>
        </w:rPr>
      </w:pPr>
      <w:r>
        <w:rPr>
          <w:rFonts w:ascii="Times New Roman Bold" w:hAnsi="Times New Roman Bold" w:cs="Times New Roman Bold"/>
          <w:b/>
          <w:bCs/>
          <w:sz w:val="22"/>
          <w:szCs w:val="22"/>
        </w:rPr>
        <w:t xml:space="preserve">Table </w:t>
      </w:r>
      <w:r>
        <w:rPr>
          <w:rFonts w:hint="eastAsia" w:ascii="Times New Roman Bold" w:hAnsi="Times New Roman Bold" w:cs="Times New Roman Bold"/>
          <w:b/>
          <w:bCs/>
          <w:sz w:val="22"/>
          <w:szCs w:val="22"/>
          <w:lang w:val="en-US" w:eastAsia="zh-Hans"/>
        </w:rPr>
        <w:t>S2</w:t>
      </w:r>
      <w:r>
        <w:rPr>
          <w:rFonts w:ascii="Times New Roman Bold" w:hAnsi="Times New Roman Bold" w:cs="Times New Roman Bold"/>
          <w:b/>
          <w:bCs/>
          <w:sz w:val="22"/>
          <w:szCs w:val="22"/>
        </w:rPr>
        <w:t xml:space="preserve">. </w:t>
      </w:r>
      <w:r>
        <w:rPr>
          <w:rFonts w:ascii="Times New Roman Regular" w:hAnsi="Times New Roman Regular" w:cs="Times New Roman Regular"/>
          <w:sz w:val="22"/>
          <w:szCs w:val="22"/>
        </w:rPr>
        <w:t>Baseline characteristics of patients with brain metastases at diagnosis of NSCLC in the non-smoking and smoking cessation groups after PSM</w:t>
      </w:r>
    </w:p>
    <w:tbl>
      <w:tblPr>
        <w:tblStyle w:val="3"/>
        <w:tblW w:w="8305" w:type="dxa"/>
        <w:jc w:val="center"/>
        <w:tblLayout w:type="fixed"/>
        <w:tblCellMar>
          <w:top w:w="0" w:type="dxa"/>
          <w:left w:w="108" w:type="dxa"/>
          <w:bottom w:w="0" w:type="dxa"/>
          <w:right w:w="108" w:type="dxa"/>
        </w:tblCellMar>
      </w:tblPr>
      <w:tblGrid>
        <w:gridCol w:w="2022"/>
        <w:gridCol w:w="1450"/>
        <w:gridCol w:w="1451"/>
        <w:gridCol w:w="1450"/>
        <w:gridCol w:w="966"/>
        <w:gridCol w:w="966"/>
      </w:tblGrid>
      <w:tr>
        <w:trPr>
          <w:trHeight w:val="644" w:hRule="atLeast"/>
          <w:jc w:val="center"/>
        </w:trPr>
        <w:tc>
          <w:tcPr>
            <w:tcW w:w="2022"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sz w:val="16"/>
                <w:szCs w:val="16"/>
              </w:rPr>
            </w:pPr>
            <w:r>
              <w:rPr>
                <w:rFonts w:ascii="Times New Roman Bold" w:hAnsi="Times New Roman Bold" w:cs="Times New Roman Bold"/>
                <w:b/>
                <w:bCs/>
                <w:sz w:val="16"/>
                <w:szCs w:val="16"/>
              </w:rPr>
              <w:t>Characteristic</w:t>
            </w:r>
            <w:r>
              <w:rPr>
                <w:rFonts w:ascii="Times New Roman Bold" w:hAnsi="Times New Roman Bold" w:cs="Times New Roman Bold"/>
                <w:b/>
                <w:bCs/>
                <w:sz w:val="16"/>
                <w:szCs w:val="16"/>
                <w:lang w:eastAsia="zh-Hans"/>
              </w:rPr>
              <w:t>s</w:t>
            </w:r>
          </w:p>
        </w:tc>
        <w:tc>
          <w:tcPr>
            <w:tcW w:w="1450"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lang w:eastAsia="zh-Hans"/>
              </w:rPr>
            </w:pPr>
            <w:r>
              <w:rPr>
                <w:rFonts w:ascii="Times New Roman Regular" w:hAnsi="Times New Roman Regular" w:cs="Times New Roman Regular"/>
                <w:b/>
                <w:bCs/>
                <w:color w:val="000000"/>
                <w:sz w:val="16"/>
                <w:szCs w:val="16"/>
                <w:lang w:eastAsia="zh-Hans"/>
              </w:rPr>
              <w:t>Total</w:t>
            </w:r>
          </w:p>
          <w:p>
            <w:pPr>
              <w:spacing w:line="480" w:lineRule="auto"/>
              <w:jc w:val="center"/>
              <w:textAlignment w:val="center"/>
              <w:rPr>
                <w:rFonts w:ascii="Times New Roman Regular" w:hAnsi="Times New Roman Regular" w:cs="Times New Roman Regular"/>
                <w:b/>
                <w:bCs/>
                <w:sz w:val="16"/>
                <w:szCs w:val="16"/>
              </w:rPr>
            </w:pPr>
            <w:r>
              <w:rPr>
                <w:rFonts w:ascii="Times New Roman Regular" w:hAnsi="Times New Roman Regular" w:cs="Times New Roman Regular"/>
                <w:b/>
                <w:bCs/>
                <w:color w:val="000000"/>
                <w:sz w:val="16"/>
                <w:szCs w:val="16"/>
              </w:rPr>
              <w:t>(n=226)</w:t>
            </w:r>
          </w:p>
        </w:tc>
        <w:tc>
          <w:tcPr>
            <w:tcW w:w="1451"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Non-smoking</w:t>
            </w:r>
          </w:p>
          <w:p>
            <w:pPr>
              <w:spacing w:line="480" w:lineRule="auto"/>
              <w:jc w:val="center"/>
              <w:textAlignment w:val="center"/>
              <w:rPr>
                <w:rFonts w:ascii="Times New Roman Regular" w:hAnsi="Times New Roman Regular" w:cs="Times New Roman Regular"/>
                <w:b/>
                <w:bCs/>
                <w:sz w:val="16"/>
                <w:szCs w:val="16"/>
              </w:rPr>
            </w:pPr>
            <w:r>
              <w:rPr>
                <w:rFonts w:ascii="Times New Roman Regular" w:hAnsi="Times New Roman Regular" w:cs="Times New Roman Regular"/>
                <w:b/>
                <w:bCs/>
                <w:color w:val="000000"/>
                <w:kern w:val="0"/>
                <w:sz w:val="16"/>
                <w:szCs w:val="16"/>
                <w:lang w:bidi="ar"/>
              </w:rPr>
              <w:t>(n=113)</w:t>
            </w:r>
          </w:p>
        </w:tc>
        <w:tc>
          <w:tcPr>
            <w:tcW w:w="1450" w:type="dxa"/>
            <w:tcBorders>
              <w:top w:val="single" w:color="000000" w:sz="4" w:space="0"/>
              <w:left w:val="nil"/>
              <w:bottom w:val="single" w:color="000000" w:sz="4" w:space="0"/>
              <w:right w:val="nil"/>
            </w:tcBorders>
            <w:shd w:val="clear" w:color="auto" w:fill="auto"/>
            <w:vAlign w:val="center"/>
          </w:tcPr>
          <w:p>
            <w:pPr>
              <w:spacing w:line="480" w:lineRule="auto"/>
              <w:jc w:val="center"/>
              <w:textAlignment w:val="center"/>
              <w:rPr>
                <w:rFonts w:ascii="Times New Roman Regular" w:hAnsi="Times New Roman Regular" w:cs="Times New Roman Regular"/>
                <w:b/>
                <w:bCs/>
                <w:sz w:val="16"/>
                <w:szCs w:val="16"/>
              </w:rPr>
            </w:pPr>
            <w:r>
              <w:rPr>
                <w:rFonts w:ascii="Times New Roman Regular" w:hAnsi="Times New Roman Regular" w:cs="Times New Roman Regular"/>
                <w:b/>
                <w:bCs/>
                <w:color w:val="000000"/>
                <w:kern w:val="0"/>
                <w:sz w:val="16"/>
                <w:szCs w:val="16"/>
                <w:lang w:bidi="ar"/>
              </w:rPr>
              <w:t>Smoking cessation(n=113)</w:t>
            </w:r>
          </w:p>
        </w:tc>
        <w:tc>
          <w:tcPr>
            <w:tcW w:w="966" w:type="dxa"/>
            <w:tcBorders>
              <w:top w:val="single" w:color="000000" w:sz="4" w:space="0"/>
              <w:left w:val="nil"/>
              <w:bottom w:val="single" w:color="000000" w:sz="4" w:space="0"/>
              <w:right w:val="nil"/>
            </w:tcBorders>
            <w:shd w:val="clear" w:color="auto" w:fill="auto"/>
            <w:vAlign w:val="center"/>
          </w:tcPr>
          <w:p>
            <w:pPr>
              <w:widowControl w:val="0"/>
              <w:spacing w:line="480" w:lineRule="auto"/>
              <w:jc w:val="center"/>
              <w:rPr>
                <w:rFonts w:ascii="Times New Roman Regular" w:hAnsi="Times New Roman Regular" w:cs="Times New Roman Regular"/>
                <w:b/>
                <w:bCs/>
                <w:sz w:val="16"/>
                <w:szCs w:val="16"/>
              </w:rPr>
            </w:pPr>
            <w:r>
              <w:rPr>
                <w:rFonts w:ascii="Times New Roman Regular" w:hAnsi="Times New Roman Regular" w:cs="Times New Roman Regular"/>
                <w:b/>
                <w:bCs/>
                <w:color w:val="000000"/>
                <w:kern w:val="0"/>
                <w:sz w:val="16"/>
                <w:szCs w:val="16"/>
                <w:lang w:bidi="ar"/>
              </w:rPr>
              <w:t>χ</w:t>
            </w:r>
            <w:r>
              <w:rPr>
                <w:rFonts w:ascii="Times New Roman Regular" w:hAnsi="Times New Roman Regular" w:cs="Times New Roman Regular"/>
                <w:b/>
                <w:bCs/>
                <w:color w:val="000000"/>
                <w:kern w:val="0"/>
                <w:sz w:val="16"/>
                <w:szCs w:val="16"/>
                <w:vertAlign w:val="superscript"/>
                <w:lang w:bidi="ar"/>
              </w:rPr>
              <w:t>2</w:t>
            </w:r>
          </w:p>
        </w:tc>
        <w:tc>
          <w:tcPr>
            <w:tcW w:w="966" w:type="dxa"/>
            <w:tcBorders>
              <w:top w:val="single" w:color="000000" w:sz="4" w:space="0"/>
              <w:left w:val="nil"/>
              <w:bottom w:val="single" w:color="000000" w:sz="4" w:space="0"/>
              <w:right w:val="nil"/>
            </w:tcBorders>
            <w:shd w:val="clear" w:color="auto" w:fill="auto"/>
            <w:vAlign w:val="center"/>
          </w:tcPr>
          <w:p>
            <w:pPr>
              <w:widowControl w:val="0"/>
              <w:spacing w:line="480" w:lineRule="auto"/>
              <w:jc w:val="center"/>
              <w:rPr>
                <w:rFonts w:ascii="Times New Roman Regular" w:hAnsi="Times New Roman Regular" w:cs="Times New Roman Regular"/>
                <w:b/>
                <w:bCs/>
                <w:sz w:val="16"/>
                <w:szCs w:val="16"/>
              </w:rPr>
            </w:pPr>
            <w:r>
              <w:rPr>
                <w:rFonts w:ascii="Times New Roman Regular" w:hAnsi="Times New Roman Regular" w:cs="Times New Roman Regular"/>
                <w:b/>
                <w:bCs/>
                <w:i/>
                <w:iCs/>
                <w:sz w:val="16"/>
                <w:szCs w:val="16"/>
              </w:rPr>
              <w:t xml:space="preserve">P </w:t>
            </w:r>
            <w:r>
              <w:rPr>
                <w:rFonts w:ascii="Times New Roman Regular" w:hAnsi="Times New Roman Regular" w:cs="Times New Roman Regular"/>
                <w:b/>
                <w:bCs/>
                <w:sz w:val="16"/>
                <w:szCs w:val="16"/>
              </w:rPr>
              <w:t>value</w:t>
            </w:r>
          </w:p>
        </w:tc>
      </w:tr>
      <w:tr>
        <w:trPr>
          <w:trHeight w:val="290" w:hRule="atLeast"/>
          <w:jc w:val="center"/>
        </w:trPr>
        <w:tc>
          <w:tcPr>
            <w:tcW w:w="2022" w:type="dxa"/>
            <w:tcBorders>
              <w:top w:val="single" w:color="000000" w:sz="4" w:space="0"/>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sz w:val="16"/>
                <w:szCs w:val="16"/>
                <w:lang w:eastAsia="zh-Hans"/>
              </w:rPr>
              <w:t>Age</w:t>
            </w:r>
          </w:p>
        </w:tc>
        <w:tc>
          <w:tcPr>
            <w:tcW w:w="1450" w:type="dxa"/>
            <w:tcBorders>
              <w:top w:val="single" w:color="000000" w:sz="4" w:space="0"/>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single" w:color="000000" w:sz="4" w:space="0"/>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single" w:color="000000" w:sz="4" w:space="0"/>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single" w:color="000000" w:sz="4" w:space="0"/>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0.02</w:t>
            </w:r>
          </w:p>
        </w:tc>
        <w:tc>
          <w:tcPr>
            <w:tcW w:w="966" w:type="dxa"/>
            <w:tcBorders>
              <w:top w:val="single" w:color="000000" w:sz="4" w:space="0"/>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0.891</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＜60</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138</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68 (30.1)</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70 (31)</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≥60</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88</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45 (19.9)</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43 (19)</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sz w:val="16"/>
                <w:szCs w:val="16"/>
                <w:lang w:eastAsia="zh-Hans"/>
              </w:rPr>
              <w:t>Sex</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0.45</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0.505</w:t>
            </w:r>
          </w:p>
        </w:tc>
      </w:tr>
      <w:tr>
        <w:trPr>
          <w:trHeight w:val="290" w:hRule="atLeast"/>
          <w:jc w:val="center"/>
        </w:trPr>
        <w:tc>
          <w:tcPr>
            <w:tcW w:w="2022"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sz w:val="16"/>
                <w:szCs w:val="16"/>
              </w:rPr>
            </w:pPr>
            <w:r>
              <w:rPr>
                <w:rFonts w:ascii="Times New Roman Regular" w:hAnsi="Times New Roman Regular" w:cs="Times New Roman Regular"/>
                <w:color w:val="000000"/>
                <w:sz w:val="16"/>
                <w:szCs w:val="16"/>
                <w:lang w:eastAsia="zh-Hans"/>
              </w:rPr>
              <w:t>Female</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122</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64 (28.3)</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58 (25.7)</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sz w:val="16"/>
                <w:szCs w:val="16"/>
              </w:rPr>
            </w:pPr>
            <w:r>
              <w:rPr>
                <w:rFonts w:ascii="Times New Roman Regular" w:hAnsi="Times New Roman Regular" w:cs="Times New Roman Regular"/>
                <w:color w:val="000000"/>
                <w:sz w:val="16"/>
                <w:szCs w:val="16"/>
                <w:lang w:eastAsia="zh-Hans"/>
              </w:rPr>
              <w:t>Male</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104</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49 (21.7)</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55 (24.3)</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kern w:val="0"/>
                <w:sz w:val="16"/>
                <w:szCs w:val="16"/>
                <w:lang w:bidi="ar"/>
              </w:rPr>
              <w:t>KPS score</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0.17</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0.684</w:t>
            </w:r>
          </w:p>
        </w:tc>
      </w:tr>
      <w:tr>
        <w:trPr>
          <w:trHeight w:val="290" w:hRule="atLeast"/>
          <w:jc w:val="center"/>
        </w:trPr>
        <w:tc>
          <w:tcPr>
            <w:tcW w:w="2022"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sz w:val="16"/>
                <w:szCs w:val="16"/>
              </w:rPr>
            </w:pPr>
            <w:r>
              <w:rPr>
                <w:rFonts w:ascii="Times New Roman Regular" w:hAnsi="Times New Roman Regular" w:cs="Times New Roman Regular"/>
                <w:color w:val="000000"/>
                <w:sz w:val="16"/>
                <w:szCs w:val="16"/>
              </w:rPr>
              <w:t>≥90</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90</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43 (19)</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47 (20.8)</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＜90</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136</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70 (31)</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66 (29.2)</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sz w:val="16"/>
                <w:szCs w:val="16"/>
                <w:lang w:eastAsia="zh-Hans"/>
              </w:rPr>
              <w:t>Pathological pattern</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3.23</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0.072</w:t>
            </w:r>
          </w:p>
        </w:tc>
      </w:tr>
      <w:tr>
        <w:trPr>
          <w:trHeight w:val="290" w:hRule="atLeast"/>
          <w:jc w:val="center"/>
        </w:trPr>
        <w:tc>
          <w:tcPr>
            <w:tcW w:w="2022"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Squamous carcinoma</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37</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13 (5.8)</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24 (10.6)</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Adenocarcinoma</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189</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100 (44.2)</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89 (39.4)</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sz w:val="16"/>
                <w:szCs w:val="16"/>
              </w:rPr>
              <w:t>Lymph node metastasis</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0.36</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0.549</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sz w:val="16"/>
                <w:szCs w:val="16"/>
                <w:lang w:eastAsia="zh-Hans"/>
              </w:rPr>
              <w:t>No</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61</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33 (14.6)</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28 (12.4)</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sz w:val="16"/>
                <w:szCs w:val="16"/>
                <w:lang w:eastAsia="zh-Hans"/>
              </w:rPr>
              <w:t>Yes</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165</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80 (35.4)</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85 (37.6)</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noWrap/>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sz w:val="16"/>
                <w:szCs w:val="16"/>
              </w:rPr>
              <w:t>Position</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0.20</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0.651</w:t>
            </w:r>
          </w:p>
        </w:tc>
      </w:tr>
      <w:tr>
        <w:trPr>
          <w:trHeight w:val="290" w:hRule="atLeast"/>
          <w:jc w:val="center"/>
        </w:trPr>
        <w:tc>
          <w:tcPr>
            <w:tcW w:w="2022"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sz w:val="16"/>
                <w:szCs w:val="16"/>
              </w:rPr>
            </w:pPr>
            <w:r>
              <w:rPr>
                <w:rFonts w:ascii="Times New Roman Regular" w:hAnsi="Times New Roman Regular" w:cs="Times New Roman Regular"/>
                <w:color w:val="000000"/>
                <w:sz w:val="16"/>
                <w:szCs w:val="16"/>
              </w:rPr>
              <w:t>Peripheral</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166</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85 (37.6)</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81 (35.8)</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noWrap/>
            <w:vAlign w:val="center"/>
          </w:tcPr>
          <w:p>
            <w:pPr>
              <w:spacing w:line="480" w:lineRule="auto"/>
              <w:jc w:val="left"/>
              <w:textAlignment w:val="bottom"/>
              <w:rPr>
                <w:rFonts w:ascii="Times New Roman Regular" w:hAnsi="Times New Roman Regular" w:cs="Times New Roman Regular"/>
                <w:sz w:val="16"/>
                <w:szCs w:val="16"/>
              </w:rPr>
            </w:pPr>
            <w:r>
              <w:rPr>
                <w:rFonts w:ascii="Times New Roman Regular" w:hAnsi="Times New Roman Regular" w:cs="Times New Roman Regular"/>
                <w:color w:val="000000"/>
                <w:sz w:val="16"/>
                <w:szCs w:val="16"/>
              </w:rPr>
              <w:t>Central</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60</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28 (12.4)</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32 (14.2)</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sz w:val="16"/>
                <w:szCs w:val="16"/>
              </w:rPr>
              <w:t>T classification</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0.07</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0.785</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T1-2</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139</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71 (31.4)</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68 (30.1)</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T3-4</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87</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42 (18.6)</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45 (19.9)</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sz w:val="16"/>
                <w:szCs w:val="16"/>
                <w:lang w:eastAsia="zh-Hans"/>
              </w:rPr>
              <w:t>N</w:t>
            </w:r>
            <w:r>
              <w:rPr>
                <w:rFonts w:ascii="Times New Roman Regular" w:hAnsi="Times New Roman Regular" w:cs="Times New Roman Regular"/>
                <w:b/>
                <w:bCs/>
                <w:color w:val="000000"/>
                <w:sz w:val="16"/>
                <w:szCs w:val="16"/>
              </w:rPr>
              <w:t xml:space="preserve"> classification</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0.07</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0.785</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N0-1</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87</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45 (19.9)</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42 (18.6)</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N2-3</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139</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68 (30.1)</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71 (31.4)</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sz w:val="16"/>
                <w:szCs w:val="16"/>
              </w:rPr>
              <w:t>Clinical Stag</w:t>
            </w:r>
            <w:r>
              <w:rPr>
                <w:rFonts w:ascii="Times New Roman Regular" w:hAnsi="Times New Roman Regular" w:cs="Times New Roman Regular"/>
                <w:b/>
                <w:bCs/>
                <w:color w:val="000000"/>
                <w:sz w:val="16"/>
                <w:szCs w:val="16"/>
                <w:lang w:eastAsia="zh-Hans"/>
              </w:rPr>
              <w:t>e</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1.000</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I/II/III</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86</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43 (19)</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43 (19)</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kern w:val="0"/>
                <w:sz w:val="16"/>
                <w:szCs w:val="16"/>
                <w:lang w:bidi="ar"/>
              </w:rPr>
              <w:t>IV</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140</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70 (31)</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70 (31)</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38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b/>
                <w:bCs/>
                <w:color w:val="000000"/>
                <w:sz w:val="16"/>
                <w:szCs w:val="16"/>
              </w:rPr>
              <w:t>Concurrent diagnosis of brain metastases</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0.09</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0.759</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sz w:val="16"/>
                <w:szCs w:val="16"/>
                <w:lang w:eastAsia="zh-Hans"/>
              </w:rPr>
              <w:t>No</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169</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86 (38.1)</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83 (36.7)</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sz w:val="16"/>
                <w:szCs w:val="16"/>
              </w:rPr>
            </w:pPr>
            <w:r>
              <w:rPr>
                <w:rFonts w:ascii="Times New Roman Regular" w:hAnsi="Times New Roman Regular" w:cs="Times New Roman Regular"/>
                <w:color w:val="000000"/>
                <w:sz w:val="16"/>
                <w:szCs w:val="16"/>
                <w:lang w:eastAsia="zh-Hans"/>
              </w:rPr>
              <w:t>Yes</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57</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27 (11.9)</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30 (13.3)</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Oncogenic driver mutations</w:t>
            </w:r>
          </w:p>
        </w:tc>
        <w:tc>
          <w:tcPr>
            <w:tcW w:w="1450"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51"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450"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66"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1.76</w:t>
            </w:r>
          </w:p>
        </w:tc>
        <w:tc>
          <w:tcPr>
            <w:tcW w:w="966" w:type="dxa"/>
            <w:tcBorders>
              <w:top w:val="nil"/>
              <w:left w:val="nil"/>
              <w:bottom w:val="nil"/>
              <w:right w:val="nil"/>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0.625</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Negative</w:t>
            </w:r>
          </w:p>
        </w:tc>
        <w:tc>
          <w:tcPr>
            <w:tcW w:w="1450"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171</w:t>
            </w:r>
          </w:p>
        </w:tc>
        <w:tc>
          <w:tcPr>
            <w:tcW w:w="1451"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86 (38.1)</w:t>
            </w:r>
          </w:p>
        </w:tc>
        <w:tc>
          <w:tcPr>
            <w:tcW w:w="1450"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85 (37.6)</w:t>
            </w:r>
          </w:p>
        </w:tc>
        <w:tc>
          <w:tcPr>
            <w:tcW w:w="966"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Positive</w:t>
            </w:r>
          </w:p>
        </w:tc>
        <w:tc>
          <w:tcPr>
            <w:tcW w:w="1450"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51"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50"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EGFR</w:t>
            </w:r>
          </w:p>
        </w:tc>
        <w:tc>
          <w:tcPr>
            <w:tcW w:w="1450"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48</w:t>
            </w:r>
          </w:p>
        </w:tc>
        <w:tc>
          <w:tcPr>
            <w:tcW w:w="1451"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25 (11.1)</w:t>
            </w:r>
          </w:p>
        </w:tc>
        <w:tc>
          <w:tcPr>
            <w:tcW w:w="1450"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23 (10.2)</w:t>
            </w:r>
          </w:p>
        </w:tc>
        <w:tc>
          <w:tcPr>
            <w:tcW w:w="966"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ALK</w:t>
            </w:r>
          </w:p>
        </w:tc>
        <w:tc>
          <w:tcPr>
            <w:tcW w:w="1450"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w:t>
            </w:r>
          </w:p>
        </w:tc>
        <w:tc>
          <w:tcPr>
            <w:tcW w:w="1451"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 (0.9)</w:t>
            </w:r>
          </w:p>
        </w:tc>
        <w:tc>
          <w:tcPr>
            <w:tcW w:w="1450"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 (1.8)</w:t>
            </w:r>
          </w:p>
        </w:tc>
        <w:tc>
          <w:tcPr>
            <w:tcW w:w="966"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KRAS</w:t>
            </w:r>
          </w:p>
        </w:tc>
        <w:tc>
          <w:tcPr>
            <w:tcW w:w="1450" w:type="dxa"/>
            <w:tcBorders>
              <w:top w:val="nil"/>
              <w:left w:val="nil"/>
              <w:bottom w:val="nil"/>
              <w:right w:val="nil"/>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451"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 (0.0)</w:t>
            </w:r>
          </w:p>
        </w:tc>
        <w:tc>
          <w:tcPr>
            <w:tcW w:w="1450"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 (0.4)</w:t>
            </w:r>
          </w:p>
        </w:tc>
        <w:tc>
          <w:tcPr>
            <w:tcW w:w="966" w:type="dxa"/>
            <w:tcBorders>
              <w:top w:val="nil"/>
              <w:left w:val="nil"/>
              <w:bottom w:val="nil"/>
              <w:right w:val="nil"/>
            </w:tcBorders>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eastAsia="zh-Hans" w:bidi="ar"/>
              </w:rPr>
              <w:t>Surgery</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1.000</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174</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87 (38.5)</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87 (38.5)</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52</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26 (11.5)</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26 (11.5)</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Chemotherapy</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1.30</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0.255</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153</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72 (31.9)</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81 (35.8)</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73</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41 (18.1)</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32 (14.2)</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Thoracic Radiotherapy</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0</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1.000</w:t>
            </w:r>
          </w:p>
        </w:tc>
      </w:tr>
      <w:tr>
        <w:trPr>
          <w:trHeight w:val="290" w:hRule="atLeast"/>
          <w:jc w:val="center"/>
        </w:trPr>
        <w:tc>
          <w:tcPr>
            <w:tcW w:w="2022" w:type="dxa"/>
            <w:tcBorders>
              <w:top w:val="nil"/>
              <w:left w:val="nil"/>
              <w:bottom w:val="nil"/>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tcBorders>
              <w:top w:val="nil"/>
              <w:left w:val="nil"/>
              <w:bottom w:val="nil"/>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47</w:t>
            </w:r>
          </w:p>
        </w:tc>
        <w:tc>
          <w:tcPr>
            <w:tcW w:w="1451"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23 (10.2)</w:t>
            </w:r>
          </w:p>
        </w:tc>
        <w:tc>
          <w:tcPr>
            <w:tcW w:w="1450"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24 (10.6)</w:t>
            </w: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nil"/>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r>
        <w:trPr>
          <w:trHeight w:val="305" w:hRule="atLeast"/>
          <w:jc w:val="center"/>
        </w:trPr>
        <w:tc>
          <w:tcPr>
            <w:tcW w:w="2022" w:type="dxa"/>
            <w:tcBorders>
              <w:top w:val="nil"/>
              <w:left w:val="nil"/>
              <w:bottom w:val="single" w:color="auto" w:sz="4" w:space="0"/>
              <w:right w:val="nil"/>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tcBorders>
              <w:top w:val="nil"/>
              <w:left w:val="nil"/>
              <w:bottom w:val="single" w:color="auto" w:sz="4" w:space="0"/>
              <w:right w:val="nil"/>
            </w:tcBorders>
            <w:shd w:val="clear" w:color="auto" w:fill="auto"/>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179</w:t>
            </w:r>
          </w:p>
        </w:tc>
        <w:tc>
          <w:tcPr>
            <w:tcW w:w="1451" w:type="dxa"/>
            <w:tcBorders>
              <w:top w:val="nil"/>
              <w:left w:val="nil"/>
              <w:bottom w:val="single" w:color="auto" w:sz="4" w:space="0"/>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90 (39.8)</w:t>
            </w:r>
          </w:p>
        </w:tc>
        <w:tc>
          <w:tcPr>
            <w:tcW w:w="1450" w:type="dxa"/>
            <w:tcBorders>
              <w:top w:val="nil"/>
              <w:left w:val="nil"/>
              <w:bottom w:val="single" w:color="auto" w:sz="4" w:space="0"/>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r>
              <w:rPr>
                <w:rFonts w:ascii="Times New Roman Regular" w:hAnsi="Times New Roman Regular" w:cs="Times New Roman Regular"/>
                <w:sz w:val="16"/>
                <w:szCs w:val="16"/>
              </w:rPr>
              <w:t>89 (39.4)</w:t>
            </w:r>
          </w:p>
        </w:tc>
        <w:tc>
          <w:tcPr>
            <w:tcW w:w="966" w:type="dxa"/>
            <w:tcBorders>
              <w:top w:val="nil"/>
              <w:left w:val="nil"/>
              <w:bottom w:val="single" w:color="auto" w:sz="4" w:space="0"/>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c>
          <w:tcPr>
            <w:tcW w:w="966" w:type="dxa"/>
            <w:tcBorders>
              <w:top w:val="nil"/>
              <w:left w:val="nil"/>
              <w:bottom w:val="single" w:color="auto" w:sz="4" w:space="0"/>
              <w:right w:val="nil"/>
            </w:tcBorders>
            <w:shd w:val="clear" w:color="auto" w:fill="auto"/>
            <w:noWrap/>
            <w:vAlign w:val="center"/>
          </w:tcPr>
          <w:p>
            <w:pPr>
              <w:widowControl w:val="0"/>
              <w:spacing w:line="480" w:lineRule="auto"/>
              <w:jc w:val="center"/>
              <w:rPr>
                <w:rFonts w:ascii="Times New Roman Regular" w:hAnsi="Times New Roman Regular" w:cs="Times New Roman Regular"/>
                <w:sz w:val="16"/>
                <w:szCs w:val="16"/>
              </w:rPr>
            </w:pPr>
          </w:p>
        </w:tc>
      </w:tr>
    </w:tbl>
    <w:p>
      <w:pPr>
        <w:widowControl w:val="0"/>
        <w:spacing w:line="480" w:lineRule="auto"/>
        <w:rPr>
          <w:rFonts w:ascii="Times New Roman Regular" w:hAnsi="Times New Roman Regular" w:cs="Times New Roman Regular"/>
          <w:sz w:val="22"/>
          <w:szCs w:val="22"/>
        </w:rPr>
      </w:pPr>
      <w:r>
        <w:rPr>
          <w:rFonts w:ascii="Times New Roman Bold" w:hAnsi="Times New Roman Bold" w:cs="Times New Roman Bold"/>
          <w:b/>
          <w:bCs/>
          <w:sz w:val="22"/>
          <w:szCs w:val="22"/>
        </w:rPr>
        <w:t xml:space="preserve">Table </w:t>
      </w:r>
      <w:r>
        <w:rPr>
          <w:rFonts w:hint="eastAsia" w:ascii="Times New Roman Bold" w:hAnsi="Times New Roman Bold" w:cs="Times New Roman Bold"/>
          <w:b/>
          <w:bCs/>
          <w:sz w:val="22"/>
          <w:szCs w:val="22"/>
          <w:lang w:val="en-US" w:eastAsia="zh-Hans"/>
        </w:rPr>
        <w:t>S3</w:t>
      </w:r>
      <w:r>
        <w:rPr>
          <w:rFonts w:ascii="Times New Roman Bold" w:hAnsi="Times New Roman Bold" w:cs="Times New Roman Bold"/>
          <w:b/>
          <w:bCs/>
          <w:sz w:val="22"/>
          <w:szCs w:val="22"/>
        </w:rPr>
        <w:t xml:space="preserve">. </w:t>
      </w:r>
      <w:r>
        <w:rPr>
          <w:rFonts w:ascii="Times New Roman Regular" w:hAnsi="Times New Roman Regular" w:cs="Times New Roman Regular"/>
          <w:sz w:val="22"/>
          <w:szCs w:val="22"/>
        </w:rPr>
        <w:t>Baseline characteristics of patients with brain metastases at diagnosis of NSCLC in the non-smoking and smoking groups after PSM</w:t>
      </w:r>
    </w:p>
    <w:tbl>
      <w:tblPr>
        <w:tblStyle w:val="3"/>
        <w:tblW w:w="8305" w:type="dxa"/>
        <w:jc w:val="center"/>
        <w:tblLayout w:type="fixed"/>
        <w:tblCellMar>
          <w:top w:w="0" w:type="dxa"/>
          <w:left w:w="108" w:type="dxa"/>
          <w:bottom w:w="0" w:type="dxa"/>
          <w:right w:w="108" w:type="dxa"/>
        </w:tblCellMar>
      </w:tblPr>
      <w:tblGrid>
        <w:gridCol w:w="2022"/>
        <w:gridCol w:w="1450"/>
        <w:gridCol w:w="1450"/>
        <w:gridCol w:w="1451"/>
        <w:gridCol w:w="966"/>
        <w:gridCol w:w="966"/>
      </w:tblGrid>
      <w:tr>
        <w:trPr>
          <w:trHeight w:val="644" w:hRule="atLeast"/>
          <w:jc w:val="center"/>
        </w:trPr>
        <w:tc>
          <w:tcPr>
            <w:tcW w:w="2022"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sz w:val="16"/>
                <w:szCs w:val="16"/>
              </w:rPr>
            </w:pPr>
            <w:r>
              <w:rPr>
                <w:rFonts w:ascii="Times New Roman Bold" w:hAnsi="Times New Roman Bold" w:cs="Times New Roman Bold"/>
                <w:b/>
                <w:bCs/>
                <w:sz w:val="16"/>
                <w:szCs w:val="16"/>
              </w:rPr>
              <w:t>Characteristic</w:t>
            </w:r>
            <w:r>
              <w:rPr>
                <w:rFonts w:ascii="Times New Roman Bold" w:hAnsi="Times New Roman Bold" w:cs="Times New Roman Bold"/>
                <w:b/>
                <w:bCs/>
                <w:sz w:val="16"/>
                <w:szCs w:val="16"/>
                <w:lang w:eastAsia="zh-Hans"/>
              </w:rPr>
              <w:t>s</w:t>
            </w:r>
          </w:p>
        </w:tc>
        <w:tc>
          <w:tcPr>
            <w:tcW w:w="1450"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lang w:eastAsia="zh-Hans"/>
              </w:rPr>
            </w:pPr>
            <w:r>
              <w:rPr>
                <w:rFonts w:ascii="Times New Roman Regular" w:hAnsi="Times New Roman Regular" w:cs="Times New Roman Regular"/>
                <w:b/>
                <w:bCs/>
                <w:color w:val="000000"/>
                <w:sz w:val="16"/>
                <w:szCs w:val="16"/>
                <w:lang w:eastAsia="zh-Hans"/>
              </w:rPr>
              <w:t>Total</w:t>
            </w:r>
          </w:p>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sz w:val="16"/>
                <w:szCs w:val="16"/>
              </w:rPr>
              <w:t>(n=226)</w:t>
            </w:r>
          </w:p>
        </w:tc>
        <w:tc>
          <w:tcPr>
            <w:tcW w:w="1450"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 xml:space="preserve">Non-smoking </w:t>
            </w:r>
          </w:p>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(n=113)</w:t>
            </w:r>
          </w:p>
        </w:tc>
        <w:tc>
          <w:tcPr>
            <w:tcW w:w="1451"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 xml:space="preserve">Smoking </w:t>
            </w:r>
          </w:p>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(n=113)</w:t>
            </w:r>
          </w:p>
        </w:tc>
        <w:tc>
          <w:tcPr>
            <w:tcW w:w="966"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Style w:val="7"/>
                <w:rFonts w:hint="default" w:ascii="Times New Roman Regular" w:hAnsi="Times New Roman Regular" w:cs="Times New Roman Regular"/>
                <w:lang w:bidi="ar"/>
              </w:rPr>
              <w:t>χ</w:t>
            </w:r>
            <w:r>
              <w:rPr>
                <w:rFonts w:ascii="Times New Roman Regular" w:hAnsi="Times New Roman Regular" w:cs="Times New Roman Regular"/>
                <w:b/>
                <w:bCs/>
                <w:color w:val="000000"/>
                <w:kern w:val="0"/>
                <w:sz w:val="16"/>
                <w:szCs w:val="16"/>
                <w:vertAlign w:val="superscript"/>
                <w:lang w:bidi="ar"/>
              </w:rPr>
              <w:t>2</w:t>
            </w:r>
          </w:p>
        </w:tc>
        <w:tc>
          <w:tcPr>
            <w:tcW w:w="966"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i/>
                <w:iCs/>
                <w:sz w:val="16"/>
                <w:szCs w:val="16"/>
              </w:rPr>
              <w:t xml:space="preserve">P </w:t>
            </w:r>
            <w:r>
              <w:rPr>
                <w:rFonts w:ascii="Times New Roman Regular" w:hAnsi="Times New Roman Regular" w:cs="Times New Roman Regular"/>
                <w:b/>
                <w:bCs/>
                <w:sz w:val="16"/>
                <w:szCs w:val="16"/>
              </w:rPr>
              <w:t>value</w:t>
            </w:r>
          </w:p>
        </w:tc>
      </w:tr>
      <w:tr>
        <w:trPr>
          <w:trHeight w:val="290" w:hRule="atLeast"/>
          <w:jc w:val="center"/>
        </w:trPr>
        <w:tc>
          <w:tcPr>
            <w:tcW w:w="2022" w:type="dxa"/>
            <w:tcBorders>
              <w:top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Age</w:t>
            </w:r>
          </w:p>
        </w:tc>
        <w:tc>
          <w:tcPr>
            <w:tcW w:w="1450" w:type="dxa"/>
            <w:tcBorders>
              <w:top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0.16</w:t>
            </w:r>
          </w:p>
        </w:tc>
        <w:tc>
          <w:tcPr>
            <w:tcW w:w="966"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0.686</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68 (30.1%)</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64 (28.3%)</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94</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45 (19.9%)</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49 (21.7%)</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Sex</w:t>
            </w: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1.44</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0.231</w:t>
            </w:r>
          </w:p>
        </w:tc>
      </w:tr>
      <w:tr>
        <w:trPr>
          <w:trHeight w:val="290" w:hRule="atLeast"/>
          <w:jc w:val="center"/>
        </w:trPr>
        <w:tc>
          <w:tcPr>
            <w:tcW w:w="2022"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Female</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64 (28.3%)</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54 (23.9%)</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Male</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108</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49 (21.7%)</w:t>
            </w:r>
          </w:p>
        </w:tc>
        <w:tc>
          <w:tcPr>
            <w:tcW w:w="1451"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59 (26.1%)</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bidi="ar"/>
              </w:rPr>
              <w:t>KPS score</w:t>
            </w: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0.891</w:t>
            </w:r>
          </w:p>
        </w:tc>
      </w:tr>
      <w:tr>
        <w:trPr>
          <w:trHeight w:val="290" w:hRule="atLeast"/>
          <w:jc w:val="center"/>
        </w:trPr>
        <w:tc>
          <w:tcPr>
            <w:tcW w:w="2022"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≥90</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70 (31%)</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72 (31.9%)</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84</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(19%)</w:t>
            </w:r>
          </w:p>
        </w:tc>
        <w:tc>
          <w:tcPr>
            <w:tcW w:w="1451"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41 (18.1%)</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Pathological pattern</w:t>
            </w: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0.04</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0.84</w:t>
            </w:r>
          </w:p>
        </w:tc>
      </w:tr>
      <w:tr>
        <w:trPr>
          <w:trHeight w:val="290" w:hRule="atLeast"/>
          <w:jc w:val="center"/>
        </w:trPr>
        <w:tc>
          <w:tcPr>
            <w:tcW w:w="2022"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Squamous carcinoma</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 (5.8%)</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15 (6.6%)</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Adenocarcinoma</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100 (44.2%)</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98 (43.4%)</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Lymph node metastasis</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1.92</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0.166</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56</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33 (14.6%)</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23 (10.2%)</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170</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80 (35.4%)</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 (39.8%)</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Position</w:t>
            </w: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0.879</w:t>
            </w:r>
          </w:p>
        </w:tc>
      </w:tr>
      <w:tr>
        <w:trPr>
          <w:trHeight w:val="290" w:hRule="atLeast"/>
          <w:jc w:val="center"/>
        </w:trPr>
        <w:tc>
          <w:tcPr>
            <w:tcW w:w="2022"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Peripheral</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85 (37.6%)</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83 (36.7%)</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Central</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28 (12.4%)</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30 (13.3%)</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 classification</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T1-2</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141</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71 (31.4%)</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70 (31%)</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T3-4</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85</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42 (18.6%)</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(19%)</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N</w:t>
            </w:r>
            <w:r>
              <w:rPr>
                <w:rFonts w:ascii="Times New Roman Regular" w:hAnsi="Times New Roman Regular" w:cs="Times New Roman Regular"/>
                <w:b/>
                <w:bCs/>
                <w:color w:val="000000"/>
                <w:sz w:val="16"/>
                <w:szCs w:val="16"/>
              </w:rPr>
              <w:t xml:space="preserve"> classification</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0.892</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N0-1</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45 (19.9%)</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47 (20.8%)</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N2-3</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134</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68 (30.1%)</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66 (29.2%)</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Clinical Stag</w:t>
            </w:r>
            <w:r>
              <w:rPr>
                <w:rFonts w:ascii="Times New Roman Regular" w:hAnsi="Times New Roman Regular" w:cs="Times New Roman Regular"/>
                <w:b/>
                <w:bCs/>
                <w:color w:val="000000"/>
                <w:sz w:val="16"/>
                <w:szCs w:val="16"/>
                <w:lang w:eastAsia="zh-Hans"/>
              </w:rPr>
              <w:t>e</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I/II/III</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140</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70 (31%)</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70 (31%)</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IV</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86</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(19%)</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(19%)</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Concurrent diagnosis of brain metastases</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2.16</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0.142</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161</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86 (38.1%)</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75 (33.2%)</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65</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27 (11.9%)</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38 (16.8%)</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Oncogenic driver mutations</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1.88</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0.391</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Negative</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180</w:t>
            </w: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86 (38.1)</w:t>
            </w:r>
          </w:p>
        </w:tc>
        <w:tc>
          <w:tcPr>
            <w:tcW w:w="145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94 (41.6)</w:t>
            </w:r>
          </w:p>
        </w:tc>
        <w:tc>
          <w:tcPr>
            <w:tcW w:w="966"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Positive</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5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EGFR</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42</w:t>
            </w: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25 (11.1)</w:t>
            </w:r>
          </w:p>
        </w:tc>
        <w:tc>
          <w:tcPr>
            <w:tcW w:w="145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17 (7.5)</w:t>
            </w:r>
          </w:p>
        </w:tc>
        <w:tc>
          <w:tcPr>
            <w:tcW w:w="966"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ALK</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w:t>
            </w: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 (0.9)</w:t>
            </w:r>
          </w:p>
        </w:tc>
        <w:tc>
          <w:tcPr>
            <w:tcW w:w="145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 (0.9)</w:t>
            </w:r>
          </w:p>
        </w:tc>
        <w:tc>
          <w:tcPr>
            <w:tcW w:w="966"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eastAsia="zh-Hans" w:bidi="ar"/>
              </w:rPr>
              <w:t>Surgery</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174</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87 (38.5%)</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87 (38.5%)</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26 (11.5%)</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26 (11.5%)</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Chemotherapy</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2.05</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0.152</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155</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72 (31.9%)</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83 (36.7%)</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71</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41 (18.1%)</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30 (13.3%)</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Thoracic Radiotherapy</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0.41</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0.524</w:t>
            </w:r>
          </w:p>
        </w:tc>
      </w:tr>
      <w:tr>
        <w:trPr>
          <w:trHeight w:val="305"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51</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23 (10.2%)</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28 (12.4%)</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05" w:hRule="atLeast"/>
          <w:jc w:val="center"/>
        </w:trPr>
        <w:tc>
          <w:tcPr>
            <w:tcW w:w="2022" w:type="dxa"/>
            <w:tcBorders>
              <w:bottom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175</w:t>
            </w:r>
          </w:p>
        </w:tc>
        <w:tc>
          <w:tcPr>
            <w:tcW w:w="1450"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 (39.8%)</w:t>
            </w:r>
          </w:p>
        </w:tc>
        <w:tc>
          <w:tcPr>
            <w:tcW w:w="1451"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85 (37.6%)</w:t>
            </w:r>
          </w:p>
        </w:tc>
        <w:tc>
          <w:tcPr>
            <w:tcW w:w="966"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bl>
    <w:p>
      <w:pPr>
        <w:widowControl w:val="0"/>
        <w:spacing w:line="480" w:lineRule="auto"/>
        <w:rPr>
          <w:rFonts w:ascii="Times New Roman Regular" w:hAnsi="Times New Roman Regular" w:cs="Times New Roman Regular"/>
          <w:sz w:val="22"/>
          <w:szCs w:val="22"/>
        </w:rPr>
      </w:pPr>
    </w:p>
    <w:p>
      <w:pPr>
        <w:widowControl w:val="0"/>
        <w:spacing w:line="480" w:lineRule="auto"/>
        <w:rPr>
          <w:rFonts w:ascii="Times New Roman Regular" w:hAnsi="Times New Roman Regular" w:cs="Times New Roman Regular"/>
          <w:sz w:val="22"/>
          <w:szCs w:val="22"/>
        </w:rPr>
      </w:pPr>
      <w:r>
        <w:rPr>
          <w:rFonts w:ascii="Times New Roman Bold" w:hAnsi="Times New Roman Bold" w:cs="Times New Roman Bold"/>
          <w:b/>
          <w:bCs/>
          <w:sz w:val="22"/>
          <w:szCs w:val="22"/>
        </w:rPr>
        <w:t xml:space="preserve">Table </w:t>
      </w:r>
      <w:r>
        <w:rPr>
          <w:rFonts w:hint="eastAsia" w:ascii="Times New Roman Bold" w:hAnsi="Times New Roman Bold" w:cs="Times New Roman Bold"/>
          <w:b/>
          <w:bCs/>
          <w:sz w:val="22"/>
          <w:szCs w:val="22"/>
          <w:lang w:val="en-US" w:eastAsia="zh-Hans"/>
        </w:rPr>
        <w:t>S4</w:t>
      </w:r>
      <w:r>
        <w:rPr>
          <w:rFonts w:ascii="Times New Roman Bold" w:hAnsi="Times New Roman Bold" w:cs="Times New Roman Bold"/>
          <w:b/>
          <w:bCs/>
          <w:sz w:val="22"/>
          <w:szCs w:val="22"/>
        </w:rPr>
        <w:t xml:space="preserve">. </w:t>
      </w:r>
      <w:r>
        <w:rPr>
          <w:rFonts w:ascii="Times New Roman Regular" w:hAnsi="Times New Roman Regular" w:cs="Times New Roman Regular"/>
          <w:sz w:val="22"/>
          <w:szCs w:val="22"/>
        </w:rPr>
        <w:t>Baseline characteristics of patients with brain metastases at diagnosis of NSCLC in the smoking cessation and smoking groups after PSM</w:t>
      </w:r>
    </w:p>
    <w:tbl>
      <w:tblPr>
        <w:tblStyle w:val="3"/>
        <w:tblW w:w="8305" w:type="dxa"/>
        <w:jc w:val="center"/>
        <w:tblLayout w:type="fixed"/>
        <w:tblCellMar>
          <w:top w:w="0" w:type="dxa"/>
          <w:left w:w="108" w:type="dxa"/>
          <w:bottom w:w="0" w:type="dxa"/>
          <w:right w:w="108" w:type="dxa"/>
        </w:tblCellMar>
      </w:tblPr>
      <w:tblGrid>
        <w:gridCol w:w="2022"/>
        <w:gridCol w:w="1450"/>
        <w:gridCol w:w="1450"/>
        <w:gridCol w:w="1451"/>
        <w:gridCol w:w="966"/>
        <w:gridCol w:w="966"/>
      </w:tblGrid>
      <w:tr>
        <w:trPr>
          <w:trHeight w:val="644" w:hRule="atLeast"/>
          <w:jc w:val="center"/>
        </w:trPr>
        <w:tc>
          <w:tcPr>
            <w:tcW w:w="2022"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sz w:val="16"/>
                <w:szCs w:val="16"/>
              </w:rPr>
              <w:t>Characteristic</w:t>
            </w:r>
            <w:r>
              <w:rPr>
                <w:rFonts w:ascii="Times New Roman Bold" w:hAnsi="Times New Roman Bold" w:cs="Times New Roman Bold"/>
                <w:b/>
                <w:bCs/>
                <w:sz w:val="16"/>
                <w:szCs w:val="16"/>
                <w:lang w:eastAsia="zh-Hans"/>
              </w:rPr>
              <w:t>s</w:t>
            </w:r>
          </w:p>
        </w:tc>
        <w:tc>
          <w:tcPr>
            <w:tcW w:w="1450"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lang w:eastAsia="zh-Hans"/>
              </w:rPr>
            </w:pPr>
            <w:r>
              <w:rPr>
                <w:rFonts w:ascii="Times New Roman Regular" w:hAnsi="Times New Roman Regular" w:cs="Times New Roman Regular"/>
                <w:b/>
                <w:bCs/>
                <w:color w:val="000000"/>
                <w:sz w:val="16"/>
                <w:szCs w:val="16"/>
                <w:lang w:eastAsia="zh-Hans"/>
              </w:rPr>
              <w:t>Total</w:t>
            </w:r>
          </w:p>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sz w:val="16"/>
                <w:szCs w:val="16"/>
              </w:rPr>
              <w:t>(n=226)</w:t>
            </w:r>
          </w:p>
        </w:tc>
        <w:tc>
          <w:tcPr>
            <w:tcW w:w="1450"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Smoking cessation(n=113)</w:t>
            </w:r>
          </w:p>
        </w:tc>
        <w:tc>
          <w:tcPr>
            <w:tcW w:w="1451"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 xml:space="preserve">Smoking </w:t>
            </w:r>
          </w:p>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(n=113)</w:t>
            </w:r>
          </w:p>
        </w:tc>
        <w:tc>
          <w:tcPr>
            <w:tcW w:w="966"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Style w:val="7"/>
                <w:rFonts w:hint="default" w:ascii="Times New Roman Regular" w:hAnsi="Times New Roman Regular" w:cs="Times New Roman Regular"/>
                <w:lang w:bidi="ar"/>
              </w:rPr>
              <w:t>χ</w:t>
            </w:r>
            <w:r>
              <w:rPr>
                <w:rFonts w:ascii="Times New Roman Regular" w:hAnsi="Times New Roman Regular" w:cs="Times New Roman Regular"/>
                <w:b/>
                <w:bCs/>
                <w:color w:val="000000"/>
                <w:kern w:val="0"/>
                <w:sz w:val="16"/>
                <w:szCs w:val="16"/>
                <w:vertAlign w:val="superscript"/>
                <w:lang w:bidi="ar"/>
              </w:rPr>
              <w:t>2</w:t>
            </w:r>
          </w:p>
        </w:tc>
        <w:tc>
          <w:tcPr>
            <w:tcW w:w="966"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i/>
                <w:iCs/>
                <w:color w:val="000000"/>
                <w:kern w:val="0"/>
                <w:sz w:val="16"/>
                <w:szCs w:val="16"/>
                <w:lang w:bidi="ar"/>
              </w:rPr>
              <w:t xml:space="preserve">P </w:t>
            </w:r>
            <w:r>
              <w:rPr>
                <w:rFonts w:ascii="Times New Roman Regular" w:hAnsi="Times New Roman Regular" w:cs="Times New Roman Regular"/>
                <w:b/>
                <w:bCs/>
                <w:color w:val="000000"/>
                <w:kern w:val="0"/>
                <w:sz w:val="16"/>
                <w:szCs w:val="16"/>
                <w:lang w:bidi="ar"/>
              </w:rPr>
              <w:t>value</w:t>
            </w:r>
          </w:p>
        </w:tc>
      </w:tr>
      <w:tr>
        <w:trPr>
          <w:trHeight w:val="290" w:hRule="atLeast"/>
          <w:jc w:val="center"/>
        </w:trPr>
        <w:tc>
          <w:tcPr>
            <w:tcW w:w="2022" w:type="dxa"/>
            <w:tcBorders>
              <w:top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Age</w:t>
            </w:r>
          </w:p>
        </w:tc>
        <w:tc>
          <w:tcPr>
            <w:tcW w:w="1450" w:type="dxa"/>
            <w:tcBorders>
              <w:top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0.46</w:t>
            </w:r>
          </w:p>
        </w:tc>
        <w:tc>
          <w:tcPr>
            <w:tcW w:w="966"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0.498</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134</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70 (31)</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64 (28.3)</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(19)</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49 (21.7)</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Sex</w:t>
            </w: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0.16</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0.690</w:t>
            </w:r>
          </w:p>
        </w:tc>
      </w:tr>
      <w:tr>
        <w:trPr>
          <w:trHeight w:val="290" w:hRule="atLeast"/>
          <w:jc w:val="center"/>
        </w:trPr>
        <w:tc>
          <w:tcPr>
            <w:tcW w:w="2022"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Female</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58 (25.7)</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54 (23.9)</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Male</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114</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55 (24.3)</w:t>
            </w:r>
          </w:p>
        </w:tc>
        <w:tc>
          <w:tcPr>
            <w:tcW w:w="1451"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59 (26.1)</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bidi="ar"/>
              </w:rPr>
              <w:t>KPS score</w:t>
            </w: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0.47</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0.495</w:t>
            </w:r>
          </w:p>
        </w:tc>
      </w:tr>
      <w:tr>
        <w:trPr>
          <w:trHeight w:val="290" w:hRule="atLeast"/>
          <w:jc w:val="center"/>
        </w:trPr>
        <w:tc>
          <w:tcPr>
            <w:tcW w:w="2022"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≥90</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47 (20.8)</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41 (18.1)</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138</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66 (29.2)</w:t>
            </w:r>
          </w:p>
        </w:tc>
        <w:tc>
          <w:tcPr>
            <w:tcW w:w="1451"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72 (31.9)</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Pathological pattern</w:t>
            </w: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1.98</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0.159</w:t>
            </w:r>
          </w:p>
        </w:tc>
      </w:tr>
      <w:tr>
        <w:trPr>
          <w:trHeight w:val="290" w:hRule="atLeast"/>
          <w:jc w:val="center"/>
        </w:trPr>
        <w:tc>
          <w:tcPr>
            <w:tcW w:w="2022"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Squamous carcinoma</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39</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24 (10.6)</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15 (6.6)</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Adenocarcinoma</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187</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89 (39.4)</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98 (43.4)</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Lymph node metastasis</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0.41</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0.524</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51</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28 (12.4)</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23 (10.2)</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175</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85 (37.6)</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 (39.8)</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Position</w:t>
            </w: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0.881</w:t>
            </w:r>
          </w:p>
        </w:tc>
      </w:tr>
      <w:tr>
        <w:trPr>
          <w:trHeight w:val="290" w:hRule="atLeast"/>
          <w:jc w:val="center"/>
        </w:trPr>
        <w:tc>
          <w:tcPr>
            <w:tcW w:w="2022"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Peripheral</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164</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81 (35.8)</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83 (36.7)</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Central</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32 (14.2)</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30 (13.3)</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 classification</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0.891</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T1-2</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68 (30.1)</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70 (31)</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T3-4</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45 (19.9)</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(19)</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N</w:t>
            </w:r>
            <w:r>
              <w:rPr>
                <w:rFonts w:ascii="Times New Roman Regular" w:hAnsi="Times New Roman Regular" w:cs="Times New Roman Regular"/>
                <w:b/>
                <w:bCs/>
                <w:color w:val="000000"/>
                <w:sz w:val="16"/>
                <w:szCs w:val="16"/>
              </w:rPr>
              <w:t xml:space="preserve"> classification</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0.30</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0.586</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N0-1</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89</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42 (18.6)</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47 (20.8)</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N2-3</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137</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71 (31.4)</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66 (29.2)</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Clinical Stag</w:t>
            </w:r>
            <w:r>
              <w:rPr>
                <w:rFonts w:ascii="Times New Roman Regular" w:hAnsi="Times New Roman Regular" w:cs="Times New Roman Regular"/>
                <w:b/>
                <w:bCs/>
                <w:color w:val="000000"/>
                <w:sz w:val="16"/>
                <w:szCs w:val="16"/>
                <w:lang w:eastAsia="zh-Hans"/>
              </w:rPr>
              <w:t>e</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1.000</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I/II/III</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86</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(19)</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43 (19)</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IV</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140</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70 (31)</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70 (31)</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Concurrent diagnosis of brain metastases</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1.03</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0.310</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158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83 (36.7)</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75 (33.2)</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68</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30 (13.3)</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38 (16.8)</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Oncogenic driver mutations</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3.02</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0.389</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Negative</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179</w:t>
            </w: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85 (37.6)</w:t>
            </w:r>
          </w:p>
        </w:tc>
        <w:tc>
          <w:tcPr>
            <w:tcW w:w="145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94 (41.6)</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Positive</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5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EGFR</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40</w:t>
            </w: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23 (10.2)</w:t>
            </w:r>
          </w:p>
        </w:tc>
        <w:tc>
          <w:tcPr>
            <w:tcW w:w="145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17 (7.5)</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ALK</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w:t>
            </w: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 (1.8)</w:t>
            </w:r>
          </w:p>
        </w:tc>
        <w:tc>
          <w:tcPr>
            <w:tcW w:w="145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 (0.9)</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ERCC1,TUBB3</w:t>
            </w:r>
          </w:p>
        </w:tc>
        <w:tc>
          <w:tcPr>
            <w:tcW w:w="1450"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450"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 (0.4)</w:t>
            </w:r>
          </w:p>
        </w:tc>
        <w:tc>
          <w:tcPr>
            <w:tcW w:w="145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 (0.0)</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eastAsia="zh-Hans" w:bidi="ar"/>
              </w:rPr>
              <w:t>Surgery</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1.000</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174</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87 (38.5)</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87 (38.5)</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26 (11.5)</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26 (11.5)</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Chemotherapy</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0.881</w:t>
            </w: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164</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81 (35.8)</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83 (36.7)</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32 (14.2)</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30 (13.3)</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Thoracic Radiotherapy</w:t>
            </w:r>
          </w:p>
        </w:tc>
        <w:tc>
          <w:tcPr>
            <w:tcW w:w="1450"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5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5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0.22</w:t>
            </w:r>
          </w:p>
        </w:tc>
        <w:tc>
          <w:tcPr>
            <w:tcW w:w="96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0.635</w:t>
            </w:r>
          </w:p>
        </w:tc>
      </w:tr>
      <w:tr>
        <w:trPr>
          <w:trHeight w:val="305" w:hRule="atLeast"/>
          <w:jc w:val="center"/>
        </w:trPr>
        <w:tc>
          <w:tcPr>
            <w:tcW w:w="2022"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145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52</w:t>
            </w:r>
          </w:p>
        </w:tc>
        <w:tc>
          <w:tcPr>
            <w:tcW w:w="145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24 (10.6)</w:t>
            </w:r>
          </w:p>
        </w:tc>
        <w:tc>
          <w:tcPr>
            <w:tcW w:w="145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28 (12.4)</w:t>
            </w: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05" w:hRule="atLeast"/>
          <w:jc w:val="center"/>
        </w:trPr>
        <w:tc>
          <w:tcPr>
            <w:tcW w:w="2022" w:type="dxa"/>
            <w:tcBorders>
              <w:bottom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1450"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174</w:t>
            </w:r>
          </w:p>
        </w:tc>
        <w:tc>
          <w:tcPr>
            <w:tcW w:w="1450"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89 (39.4)</w:t>
            </w:r>
          </w:p>
        </w:tc>
        <w:tc>
          <w:tcPr>
            <w:tcW w:w="1451"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85 (37.6)</w:t>
            </w:r>
          </w:p>
        </w:tc>
        <w:tc>
          <w:tcPr>
            <w:tcW w:w="966"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966"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bl>
    <w:p>
      <w:pPr>
        <w:widowControl w:val="0"/>
        <w:spacing w:line="480" w:lineRule="auto"/>
        <w:ind w:firstLine="440" w:firstLineChars="200"/>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Table </w:t>
      </w:r>
      <w:r>
        <w:rPr>
          <w:rFonts w:hint="eastAsia" w:ascii="Times New Roman Regular" w:hAnsi="Times New Roman Regular" w:cs="Times New Roman Regular"/>
          <w:sz w:val="22"/>
          <w:szCs w:val="22"/>
          <w:lang w:val="en-US" w:eastAsia="zh-Hans"/>
        </w:rPr>
        <w:t>S5</w:t>
      </w:r>
      <w:r>
        <w:rPr>
          <w:rFonts w:ascii="Times New Roman Regular" w:hAnsi="Times New Roman Regular" w:cs="Times New Roman Regular"/>
          <w:sz w:val="22"/>
          <w:szCs w:val="22"/>
        </w:rPr>
        <w:t xml:space="preserve"> shows the results of the analysis of factors influencing the development of brain metastases in 461 cases of non-small cell NSCLC before PSM and the length of time between the development of brain metastases in NSCLC.</w:t>
      </w:r>
    </w:p>
    <w:p>
      <w:pPr>
        <w:widowControl w:val="0"/>
        <w:spacing w:line="480" w:lineRule="auto"/>
        <w:ind w:firstLine="440" w:firstLineChars="200"/>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Table </w:t>
      </w:r>
      <w:r>
        <w:rPr>
          <w:rFonts w:hint="default" w:ascii="Times New Roman Regular" w:hAnsi="Times New Roman Regular" w:cs="Times New Roman Regular"/>
          <w:sz w:val="22"/>
          <w:szCs w:val="22"/>
        </w:rPr>
        <w:t>S6</w:t>
      </w:r>
      <w:r>
        <w:rPr>
          <w:rFonts w:ascii="Times New Roman Regular" w:hAnsi="Times New Roman Regular" w:cs="Times New Roman Regular"/>
          <w:sz w:val="22"/>
          <w:szCs w:val="22"/>
        </w:rPr>
        <w:t xml:space="preserve"> shows the results of the analysis of the factors influencing the 339 cases of brain metastases from non-small cell NSCLC after PSM and the median interval length of brain metastases from NSCLC, which was 7 months. The median interval length of time between the occurrence of brain metastases from NSCLC in the non-smoking, smoking cessation and smoking groups was 12, 10 and 6 months, respectively. In the univariate analysis, smoking status (P &lt; 0.001), N stage (P = 0.026), clinical stage (P &lt; 0.001), driver mutation (P = 0.018), lung cancer surgery (P &lt; 0.001), chemotherapy (P &lt; 0.001) and chest radiotherapy (P &lt; 0.001) were all factors influencing the length of interval to brain metastasis from lung cancer. A multifactorial analysis of elements with P values less than 0.1 in the univariate analysis yielded: smoking status (P &lt; 0.001), clinical stage (P &lt; 0.001), lung cancer surgery (P &lt; 0.001), chemotherapy (P &lt; 0.001), and chest radiotherapy (P = 0.006) as independent factors influencing the length of interval between brain metastases from NSCLC.</w:t>
      </w:r>
    </w:p>
    <w:p>
      <w:pPr>
        <w:widowControl w:val="0"/>
        <w:spacing w:line="480" w:lineRule="auto"/>
        <w:rPr>
          <w:rFonts w:ascii="Times New Roman Regular" w:hAnsi="Times New Roman Regular" w:cs="Times New Roman Regular"/>
          <w:sz w:val="22"/>
          <w:szCs w:val="22"/>
        </w:rPr>
      </w:pPr>
      <w:r>
        <w:rPr>
          <w:rFonts w:ascii="Times New Roman Bold" w:hAnsi="Times New Roman Bold" w:cs="Times New Roman Bold"/>
          <w:b/>
          <w:bCs/>
          <w:sz w:val="22"/>
          <w:szCs w:val="22"/>
        </w:rPr>
        <w:t xml:space="preserve">Table </w:t>
      </w:r>
      <w:r>
        <w:rPr>
          <w:rFonts w:hint="default" w:ascii="Times New Roman Bold" w:hAnsi="Times New Roman Bold" w:cs="Times New Roman Bold"/>
          <w:b/>
          <w:bCs/>
          <w:sz w:val="22"/>
          <w:szCs w:val="22"/>
        </w:rPr>
        <w:t>S5</w:t>
      </w:r>
      <w:r>
        <w:rPr>
          <w:rFonts w:ascii="Times New Roman Bold" w:hAnsi="Times New Roman Bold" w:cs="Times New Roman Bold"/>
          <w:b/>
          <w:bCs/>
          <w:sz w:val="22"/>
          <w:szCs w:val="22"/>
        </w:rPr>
        <w:t xml:space="preserve">. </w:t>
      </w:r>
      <w:r>
        <w:rPr>
          <w:rFonts w:ascii="Times New Roman Regular" w:hAnsi="Times New Roman Regular" w:cs="Times New Roman Regular"/>
          <w:sz w:val="22"/>
          <w:szCs w:val="22"/>
        </w:rPr>
        <w:t>Analysis of factors influencing the length of time between the development of brain metastases in NSCLC (pre-PSM)</w:t>
      </w:r>
    </w:p>
    <w:tbl>
      <w:tblPr>
        <w:tblStyle w:val="3"/>
        <w:tblW w:w="8305" w:type="dxa"/>
        <w:jc w:val="center"/>
        <w:tblLayout w:type="fixed"/>
        <w:tblCellMar>
          <w:top w:w="0" w:type="dxa"/>
          <w:left w:w="108" w:type="dxa"/>
          <w:bottom w:w="0" w:type="dxa"/>
          <w:right w:w="108" w:type="dxa"/>
        </w:tblCellMar>
      </w:tblPr>
      <w:tblGrid>
        <w:gridCol w:w="1313"/>
        <w:gridCol w:w="659"/>
        <w:gridCol w:w="1488"/>
        <w:gridCol w:w="1500"/>
        <w:gridCol w:w="978"/>
        <w:gridCol w:w="1553"/>
        <w:gridCol w:w="814"/>
      </w:tblGrid>
      <w:tr>
        <w:trPr>
          <w:trHeight w:val="255" w:hRule="atLeast"/>
          <w:jc w:val="center"/>
        </w:trPr>
        <w:tc>
          <w:tcPr>
            <w:tcW w:w="1313" w:type="dxa"/>
            <w:vMerge w:val="restart"/>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sz w:val="16"/>
                <w:szCs w:val="16"/>
              </w:rPr>
              <w:t>Characteristic</w:t>
            </w:r>
            <w:r>
              <w:rPr>
                <w:rFonts w:ascii="Times New Roman Bold" w:hAnsi="Times New Roman Bold" w:cs="Times New Roman Bold"/>
                <w:b/>
                <w:bCs/>
                <w:sz w:val="16"/>
                <w:szCs w:val="16"/>
                <w:lang w:eastAsia="zh-Hans"/>
              </w:rPr>
              <w:t>s</w:t>
            </w:r>
          </w:p>
        </w:tc>
        <w:tc>
          <w:tcPr>
            <w:tcW w:w="659" w:type="dxa"/>
            <w:vMerge w:val="restart"/>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n</w:t>
            </w:r>
          </w:p>
        </w:tc>
        <w:tc>
          <w:tcPr>
            <w:tcW w:w="1488" w:type="dxa"/>
            <w:vMerge w:val="restart"/>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Median length of interval (months)</w:t>
            </w:r>
          </w:p>
        </w:tc>
        <w:tc>
          <w:tcPr>
            <w:tcW w:w="2478" w:type="dxa"/>
            <w:gridSpan w:val="2"/>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Univariate analysis</w:t>
            </w:r>
          </w:p>
        </w:tc>
        <w:tc>
          <w:tcPr>
            <w:tcW w:w="2367" w:type="dxa"/>
            <w:gridSpan w:val="2"/>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Multivariate analysis</w:t>
            </w:r>
          </w:p>
        </w:tc>
      </w:tr>
      <w:tr>
        <w:trPr>
          <w:trHeight w:val="255" w:hRule="atLeast"/>
          <w:jc w:val="center"/>
        </w:trPr>
        <w:tc>
          <w:tcPr>
            <w:tcW w:w="1313" w:type="dxa"/>
            <w:vMerge w:val="continue"/>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p>
        </w:tc>
        <w:tc>
          <w:tcPr>
            <w:tcW w:w="659" w:type="dxa"/>
            <w:vMerge w:val="continue"/>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p>
        </w:tc>
        <w:tc>
          <w:tcPr>
            <w:tcW w:w="1488" w:type="dxa"/>
            <w:vMerge w:val="continue"/>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p>
        </w:tc>
        <w:tc>
          <w:tcPr>
            <w:tcW w:w="1500" w:type="dxa"/>
            <w:tcBorders>
              <w:top w:val="single" w:color="auto" w:sz="4" w:space="0"/>
              <w:bottom w:val="single" w:color="auto" w:sz="4" w:space="0"/>
            </w:tcBorders>
            <w:shd w:val="clear" w:color="auto" w:fill="auto"/>
            <w:vAlign w:val="center"/>
          </w:tcPr>
          <w:p>
            <w:pPr>
              <w:spacing w:line="480" w:lineRule="auto"/>
              <w:jc w:val="center"/>
              <w:textAlignment w:val="center"/>
              <w:rPr>
                <w:rStyle w:val="7"/>
                <w:rFonts w:hint="default" w:ascii="Times New Roman Regular" w:hAnsi="Times New Roman Regular" w:cs="Times New Roman Regular"/>
                <w:lang w:bidi="ar"/>
              </w:rPr>
            </w:pPr>
            <w:r>
              <w:rPr>
                <w:rStyle w:val="7"/>
                <w:rFonts w:hint="default" w:ascii="Times New Roman Regular" w:hAnsi="Times New Roman Regular" w:cs="Times New Roman Regular"/>
                <w:lang w:bidi="ar"/>
              </w:rPr>
              <w:t>HR (95% CI)</w:t>
            </w:r>
          </w:p>
        </w:tc>
        <w:tc>
          <w:tcPr>
            <w:tcW w:w="978"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i/>
                <w:iCs/>
                <w:color w:val="000000"/>
                <w:kern w:val="0"/>
                <w:sz w:val="16"/>
                <w:szCs w:val="16"/>
                <w:lang w:bidi="ar"/>
              </w:rPr>
              <w:t xml:space="preserve">P </w:t>
            </w:r>
            <w:r>
              <w:rPr>
                <w:rFonts w:ascii="Times New Roman Regular" w:hAnsi="Times New Roman Regular" w:cs="Times New Roman Regular"/>
                <w:b/>
                <w:bCs/>
                <w:color w:val="000000"/>
                <w:kern w:val="0"/>
                <w:sz w:val="16"/>
                <w:szCs w:val="16"/>
                <w:lang w:bidi="ar"/>
              </w:rPr>
              <w:t>value</w:t>
            </w:r>
          </w:p>
        </w:tc>
        <w:tc>
          <w:tcPr>
            <w:tcW w:w="1553"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HR (95% CI)</w:t>
            </w:r>
          </w:p>
        </w:tc>
        <w:tc>
          <w:tcPr>
            <w:tcW w:w="814"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i/>
                <w:iCs/>
                <w:color w:val="000000"/>
                <w:kern w:val="0"/>
                <w:sz w:val="16"/>
                <w:szCs w:val="16"/>
                <w:lang w:bidi="ar"/>
              </w:rPr>
              <w:t xml:space="preserve">P </w:t>
            </w:r>
            <w:r>
              <w:rPr>
                <w:rFonts w:ascii="Times New Roman Regular" w:hAnsi="Times New Roman Regular" w:cs="Times New Roman Regular"/>
                <w:b/>
                <w:bCs/>
                <w:color w:val="000000"/>
                <w:kern w:val="0"/>
                <w:sz w:val="16"/>
                <w:szCs w:val="16"/>
                <w:lang w:bidi="ar"/>
              </w:rPr>
              <w:t>value</w:t>
            </w:r>
          </w:p>
        </w:tc>
      </w:tr>
      <w:tr>
        <w:trPr>
          <w:trHeight w:val="290" w:hRule="atLeast"/>
          <w:jc w:val="center"/>
        </w:trPr>
        <w:tc>
          <w:tcPr>
            <w:tcW w:w="1313" w:type="dxa"/>
            <w:tcBorders>
              <w:top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Age</w:t>
            </w:r>
          </w:p>
        </w:tc>
        <w:tc>
          <w:tcPr>
            <w:tcW w:w="659" w:type="dxa"/>
            <w:tcBorders>
              <w:top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0.984 (0.810-1.195)</w:t>
            </w:r>
          </w:p>
        </w:tc>
        <w:tc>
          <w:tcPr>
            <w:tcW w:w="978"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0.869</w:t>
            </w:r>
          </w:p>
        </w:tc>
        <w:tc>
          <w:tcPr>
            <w:tcW w:w="1553"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277</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184</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Sex</w:t>
            </w:r>
          </w:p>
        </w:tc>
        <w:tc>
          <w:tcPr>
            <w:tcW w:w="659"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1.171 (0.968-1.417)</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0.104</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Female</w:t>
            </w:r>
          </w:p>
        </w:tc>
        <w:tc>
          <w:tcPr>
            <w:tcW w:w="65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233</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Male</w:t>
            </w:r>
          </w:p>
        </w:tc>
        <w:tc>
          <w:tcPr>
            <w:tcW w:w="659"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228</w:t>
            </w:r>
          </w:p>
        </w:tc>
        <w:tc>
          <w:tcPr>
            <w:tcW w:w="1488"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Smoking status</w:t>
            </w:r>
          </w:p>
        </w:tc>
        <w:tc>
          <w:tcPr>
            <w:tcW w:w="659"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1.457 (1.296-1.638)</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1.442 (1.280-1.625)</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 xml:space="preserve">Non-smoking </w:t>
            </w:r>
          </w:p>
        </w:tc>
        <w:tc>
          <w:tcPr>
            <w:tcW w:w="65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164</w:t>
            </w: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Smoking cessation</w:t>
            </w:r>
          </w:p>
        </w:tc>
        <w:tc>
          <w:tcPr>
            <w:tcW w:w="65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150</w:t>
            </w: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 xml:space="preserve">Smoking </w:t>
            </w:r>
          </w:p>
        </w:tc>
        <w:tc>
          <w:tcPr>
            <w:tcW w:w="659"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r>
              <w:rPr>
                <w:rFonts w:ascii="Times New Roman Regular" w:hAnsi="Times New Roman Regular" w:cs="Times New Roman Regular"/>
                <w:color w:val="000000"/>
                <w:sz w:val="16"/>
                <w:szCs w:val="16"/>
              </w:rPr>
              <w:t>147</w:t>
            </w: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bidi="ar"/>
              </w:rPr>
              <w:t>KPS score</w:t>
            </w:r>
          </w:p>
        </w:tc>
        <w:tc>
          <w:tcPr>
            <w:tcW w:w="659"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1.160 (0.954-1.411)</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0.136</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≥90</w:t>
            </w:r>
          </w:p>
        </w:tc>
        <w:tc>
          <w:tcPr>
            <w:tcW w:w="65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184</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5</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w:t>
            </w:r>
          </w:p>
        </w:tc>
        <w:tc>
          <w:tcPr>
            <w:tcW w:w="659"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277</w:t>
            </w:r>
          </w:p>
        </w:tc>
        <w:tc>
          <w:tcPr>
            <w:tcW w:w="1488"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Pathological pattern</w:t>
            </w:r>
          </w:p>
        </w:tc>
        <w:tc>
          <w:tcPr>
            <w:tcW w:w="659"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0.846 (0.653-1.096)</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0.206</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Squamous carcinoma</w:t>
            </w:r>
          </w:p>
        </w:tc>
        <w:tc>
          <w:tcPr>
            <w:tcW w:w="65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69</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Adenocarcinoma</w:t>
            </w:r>
          </w:p>
        </w:tc>
        <w:tc>
          <w:tcPr>
            <w:tcW w:w="659"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392</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Lymph node metastasis</w:t>
            </w:r>
          </w:p>
        </w:tc>
        <w:tc>
          <w:tcPr>
            <w:tcW w:w="659"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1.120 (0.901-1.391)</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0.308</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121</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59"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340</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Position</w:t>
            </w:r>
          </w:p>
        </w:tc>
        <w:tc>
          <w:tcPr>
            <w:tcW w:w="659"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1.178 (0.951-1.459)</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0.134</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Peripheral</w:t>
            </w:r>
          </w:p>
        </w:tc>
        <w:tc>
          <w:tcPr>
            <w:tcW w:w="65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337</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Central</w:t>
            </w:r>
          </w:p>
        </w:tc>
        <w:tc>
          <w:tcPr>
            <w:tcW w:w="659"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124</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 classification</w:t>
            </w:r>
          </w:p>
        </w:tc>
        <w:tc>
          <w:tcPr>
            <w:tcW w:w="659"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1.175 (0.965-1.432)</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0.109</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T1-2</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282</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T3-4</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179</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N</w:t>
            </w:r>
            <w:r>
              <w:rPr>
                <w:rFonts w:ascii="Times New Roman Regular" w:hAnsi="Times New Roman Regular" w:cs="Times New Roman Regular"/>
                <w:b/>
                <w:bCs/>
                <w:color w:val="000000"/>
                <w:sz w:val="16"/>
                <w:szCs w:val="16"/>
              </w:rPr>
              <w:t xml:space="preserve"> classification</w:t>
            </w:r>
          </w:p>
        </w:tc>
        <w:tc>
          <w:tcPr>
            <w:tcW w:w="659"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1.251 (1.030-1.520)</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0.024</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1.092 (0.895-1.333)</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0.386</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N0-1</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195</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8</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N2-3</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266</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Clinical Stag</w:t>
            </w:r>
            <w:r>
              <w:rPr>
                <w:rFonts w:ascii="Times New Roman Regular" w:hAnsi="Times New Roman Regular" w:cs="Times New Roman Regular"/>
                <w:b/>
                <w:bCs/>
                <w:color w:val="000000"/>
                <w:sz w:val="16"/>
                <w:szCs w:val="16"/>
                <w:lang w:eastAsia="zh-Hans"/>
              </w:rPr>
              <w:t>e</w:t>
            </w:r>
          </w:p>
        </w:tc>
        <w:tc>
          <w:tcPr>
            <w:tcW w:w="659"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2.214 (1.806-2.713)</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1.539 (1.225-1.933)</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I/II/III</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163</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14</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IV</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298</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Oncogenic driver mutations</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1.024(0.808-1.296)</w:t>
            </w: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0.847</w:t>
            </w: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Negative</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361</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Positive</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100</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5</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EGFR</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88</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eastAsiaTheme="minorEastAsia"/>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eastAsiaTheme="minorEastAsia"/>
                <w:color w:val="000000"/>
                <w:sz w:val="16"/>
                <w:szCs w:val="16"/>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ALK</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9</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12</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eastAsiaTheme="minorEastAsia"/>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eastAsiaTheme="minorEastAsia"/>
                <w:color w:val="000000"/>
                <w:sz w:val="16"/>
                <w:szCs w:val="16"/>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KRAS</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eastAsiaTheme="minorEastAsia"/>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eastAsiaTheme="minorEastAsia"/>
                <w:color w:val="000000"/>
                <w:sz w:val="16"/>
                <w:szCs w:val="16"/>
              </w:rPr>
            </w:pPr>
          </w:p>
        </w:tc>
      </w:tr>
      <w:tr>
        <w:trPr>
          <w:trHeight w:val="380" w:hRule="atLeast"/>
          <w:jc w:val="center"/>
        </w:trPr>
        <w:tc>
          <w:tcPr>
            <w:tcW w:w="1313" w:type="dxa"/>
            <w:shd w:val="clear" w:color="auto" w:fill="auto"/>
            <w:vAlign w:val="center"/>
          </w:tcPr>
          <w:p>
            <w:pPr>
              <w:spacing w:line="480" w:lineRule="auto"/>
              <w:ind w:left="319" w:leftChars="152"/>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ERCC1, TUBB3</w:t>
            </w:r>
          </w:p>
        </w:tc>
        <w:tc>
          <w:tcPr>
            <w:tcW w:w="659" w:type="dxa"/>
            <w:shd w:val="clear" w:color="auto" w:fill="auto"/>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eastAsiaTheme="minorEastAsia"/>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eastAsiaTheme="minorEastAsia"/>
                <w:color w:val="000000"/>
                <w:sz w:val="16"/>
                <w:szCs w:val="16"/>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MET</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eastAsia="zh-Hans" w:bidi="ar"/>
              </w:rPr>
              <w:t>Surgery</w:t>
            </w:r>
          </w:p>
        </w:tc>
        <w:tc>
          <w:tcPr>
            <w:tcW w:w="659"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0.341 (0.272-0.428)</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0.413 (0.321-0.531)</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330</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131</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Chemotherapy</w:t>
            </w:r>
          </w:p>
        </w:tc>
        <w:tc>
          <w:tcPr>
            <w:tcW w:w="659"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0.579 (0.463-0.723)</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0.540 (0.429-0.679)</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120</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341</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Thoracic Radiotherapy</w:t>
            </w:r>
          </w:p>
        </w:tc>
        <w:tc>
          <w:tcPr>
            <w:tcW w:w="659"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48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0.608 (0.479-0.772)</w:t>
            </w:r>
          </w:p>
        </w:tc>
        <w:tc>
          <w:tcPr>
            <w:tcW w:w="97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c>
          <w:tcPr>
            <w:tcW w:w="155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0.700 (0.547-0.897)</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0.005</w:t>
            </w:r>
          </w:p>
        </w:tc>
      </w:tr>
      <w:tr>
        <w:trPr>
          <w:trHeight w:val="305"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59"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364</w:t>
            </w:r>
          </w:p>
        </w:tc>
        <w:tc>
          <w:tcPr>
            <w:tcW w:w="148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5</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05" w:hRule="atLeast"/>
          <w:jc w:val="center"/>
        </w:trPr>
        <w:tc>
          <w:tcPr>
            <w:tcW w:w="1313" w:type="dxa"/>
            <w:tcBorders>
              <w:bottom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59" w:type="dxa"/>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97</w:t>
            </w:r>
          </w:p>
        </w:tc>
        <w:tc>
          <w:tcPr>
            <w:tcW w:w="1488"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w:t>
            </w:r>
          </w:p>
        </w:tc>
        <w:tc>
          <w:tcPr>
            <w:tcW w:w="1500"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978"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553"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bl>
    <w:p>
      <w:pPr>
        <w:widowControl w:val="0"/>
        <w:spacing w:line="480" w:lineRule="auto"/>
        <w:rPr>
          <w:rFonts w:ascii="Times New Roman Regular" w:hAnsi="Times New Roman Regular" w:cs="Times New Roman Regular"/>
          <w:sz w:val="22"/>
          <w:szCs w:val="22"/>
        </w:rPr>
      </w:pPr>
      <w:r>
        <w:rPr>
          <w:rFonts w:ascii="Times New Roman Bold" w:hAnsi="Times New Roman Bold" w:cs="Times New Roman Bold"/>
          <w:b/>
          <w:bCs/>
          <w:sz w:val="22"/>
          <w:szCs w:val="22"/>
        </w:rPr>
        <w:t xml:space="preserve">Table </w:t>
      </w:r>
      <w:r>
        <w:rPr>
          <w:rFonts w:hint="default" w:ascii="Times New Roman Bold" w:hAnsi="Times New Roman Bold" w:cs="Times New Roman Bold"/>
          <w:b/>
          <w:bCs/>
          <w:sz w:val="22"/>
          <w:szCs w:val="22"/>
        </w:rPr>
        <w:t>S6</w:t>
      </w:r>
      <w:r>
        <w:rPr>
          <w:rFonts w:ascii="Times New Roman Bold" w:hAnsi="Times New Roman Bold" w:cs="Times New Roman Bold"/>
          <w:b/>
          <w:bCs/>
          <w:sz w:val="22"/>
          <w:szCs w:val="22"/>
        </w:rPr>
        <w:t xml:space="preserve">. </w:t>
      </w:r>
      <w:r>
        <w:rPr>
          <w:rFonts w:ascii="Times New Roman Regular" w:hAnsi="Times New Roman Regular" w:cs="Times New Roman Regular"/>
          <w:sz w:val="22"/>
          <w:szCs w:val="22"/>
        </w:rPr>
        <w:t>Analysis of factors influencing the length of time between the development of brain metastases in NSCLC (after PSM)</w:t>
      </w:r>
    </w:p>
    <w:tbl>
      <w:tblPr>
        <w:tblStyle w:val="3"/>
        <w:tblW w:w="8305" w:type="dxa"/>
        <w:jc w:val="center"/>
        <w:tblLayout w:type="fixed"/>
        <w:tblCellMar>
          <w:top w:w="0" w:type="dxa"/>
          <w:left w:w="108" w:type="dxa"/>
          <w:bottom w:w="0" w:type="dxa"/>
          <w:right w:w="108" w:type="dxa"/>
        </w:tblCellMar>
      </w:tblPr>
      <w:tblGrid>
        <w:gridCol w:w="1313"/>
        <w:gridCol w:w="647"/>
        <w:gridCol w:w="1500"/>
        <w:gridCol w:w="1489"/>
        <w:gridCol w:w="977"/>
        <w:gridCol w:w="1565"/>
        <w:gridCol w:w="814"/>
      </w:tblGrid>
      <w:tr>
        <w:trPr>
          <w:trHeight w:val="255" w:hRule="atLeast"/>
          <w:jc w:val="center"/>
        </w:trPr>
        <w:tc>
          <w:tcPr>
            <w:tcW w:w="1313" w:type="dxa"/>
            <w:vMerge w:val="restart"/>
            <w:tcBorders>
              <w:top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sz w:val="16"/>
                <w:szCs w:val="16"/>
              </w:rPr>
            </w:pPr>
            <w:r>
              <w:rPr>
                <w:rFonts w:ascii="Times New Roman Bold" w:hAnsi="Times New Roman Bold" w:cs="Times New Roman Bold"/>
                <w:b/>
                <w:bCs/>
                <w:sz w:val="16"/>
                <w:szCs w:val="16"/>
              </w:rPr>
              <w:t>Characteristic</w:t>
            </w:r>
            <w:r>
              <w:rPr>
                <w:rFonts w:ascii="Times New Roman Bold" w:hAnsi="Times New Roman Bold" w:cs="Times New Roman Bold"/>
                <w:b/>
                <w:bCs/>
                <w:sz w:val="16"/>
                <w:szCs w:val="16"/>
                <w:lang w:eastAsia="zh-Hans"/>
              </w:rPr>
              <w:t>s</w:t>
            </w:r>
          </w:p>
        </w:tc>
        <w:tc>
          <w:tcPr>
            <w:tcW w:w="647" w:type="dxa"/>
            <w:vMerge w:val="restart"/>
            <w:tcBorders>
              <w:top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kern w:val="0"/>
                <w:sz w:val="16"/>
                <w:szCs w:val="16"/>
                <w:lang w:bidi="ar"/>
              </w:rPr>
            </w:pPr>
            <w:r>
              <w:rPr>
                <w:rFonts w:ascii="Times New Roman Bold" w:hAnsi="Times New Roman Bold" w:cs="Times New Roman Bold"/>
                <w:b/>
                <w:bCs/>
                <w:color w:val="000000"/>
                <w:kern w:val="0"/>
                <w:sz w:val="16"/>
                <w:szCs w:val="16"/>
                <w:lang w:bidi="ar"/>
              </w:rPr>
              <w:t>n</w:t>
            </w:r>
          </w:p>
        </w:tc>
        <w:tc>
          <w:tcPr>
            <w:tcW w:w="1500" w:type="dxa"/>
            <w:vMerge w:val="restart"/>
            <w:tcBorders>
              <w:top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kern w:val="0"/>
                <w:sz w:val="16"/>
                <w:szCs w:val="16"/>
                <w:lang w:bidi="ar"/>
              </w:rPr>
            </w:pPr>
            <w:r>
              <w:rPr>
                <w:rFonts w:ascii="Times New Roman Bold" w:hAnsi="Times New Roman Bold" w:cs="Times New Roman Bold"/>
                <w:b/>
                <w:bCs/>
                <w:color w:val="000000"/>
                <w:kern w:val="0"/>
                <w:sz w:val="16"/>
                <w:szCs w:val="16"/>
                <w:lang w:bidi="ar"/>
              </w:rPr>
              <w:t>Median length of interval (months)</w:t>
            </w:r>
          </w:p>
        </w:tc>
        <w:tc>
          <w:tcPr>
            <w:tcW w:w="2466" w:type="dxa"/>
            <w:gridSpan w:val="2"/>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sz w:val="16"/>
                <w:szCs w:val="16"/>
              </w:rPr>
            </w:pPr>
            <w:r>
              <w:rPr>
                <w:rFonts w:ascii="Times New Roman Bold" w:hAnsi="Times New Roman Bold" w:cs="Times New Roman Bold"/>
                <w:b/>
                <w:bCs/>
                <w:color w:val="000000"/>
                <w:sz w:val="16"/>
                <w:szCs w:val="16"/>
              </w:rPr>
              <w:t>Univariate analysis</w:t>
            </w:r>
          </w:p>
        </w:tc>
        <w:tc>
          <w:tcPr>
            <w:tcW w:w="2379" w:type="dxa"/>
            <w:gridSpan w:val="2"/>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kern w:val="0"/>
                <w:sz w:val="16"/>
                <w:szCs w:val="16"/>
                <w:lang w:bidi="ar"/>
              </w:rPr>
            </w:pPr>
            <w:r>
              <w:rPr>
                <w:rFonts w:ascii="Times New Roman Bold" w:hAnsi="Times New Roman Bold" w:cs="Times New Roman Bold"/>
                <w:b/>
                <w:bCs/>
                <w:color w:val="000000"/>
                <w:kern w:val="0"/>
                <w:sz w:val="16"/>
                <w:szCs w:val="16"/>
                <w:lang w:bidi="ar"/>
              </w:rPr>
              <w:t>Multivariate analysis</w:t>
            </w:r>
          </w:p>
        </w:tc>
      </w:tr>
      <w:tr>
        <w:trPr>
          <w:trHeight w:val="255" w:hRule="atLeast"/>
          <w:jc w:val="center"/>
        </w:trPr>
        <w:tc>
          <w:tcPr>
            <w:tcW w:w="1313" w:type="dxa"/>
            <w:vMerge w:val="continue"/>
            <w:tcBorders>
              <w:bottom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kern w:val="0"/>
                <w:sz w:val="16"/>
                <w:szCs w:val="16"/>
                <w:lang w:bidi="ar"/>
              </w:rPr>
            </w:pPr>
          </w:p>
        </w:tc>
        <w:tc>
          <w:tcPr>
            <w:tcW w:w="647" w:type="dxa"/>
            <w:vMerge w:val="continue"/>
            <w:tcBorders>
              <w:bottom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kern w:val="0"/>
                <w:sz w:val="16"/>
                <w:szCs w:val="16"/>
                <w:lang w:bidi="ar"/>
              </w:rPr>
            </w:pPr>
          </w:p>
        </w:tc>
        <w:tc>
          <w:tcPr>
            <w:tcW w:w="1500" w:type="dxa"/>
            <w:vMerge w:val="continue"/>
            <w:tcBorders>
              <w:bottom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kern w:val="0"/>
                <w:sz w:val="16"/>
                <w:szCs w:val="16"/>
                <w:lang w:bidi="ar"/>
              </w:rPr>
            </w:pPr>
          </w:p>
        </w:tc>
        <w:tc>
          <w:tcPr>
            <w:tcW w:w="1489" w:type="dxa"/>
            <w:tcBorders>
              <w:top w:val="single" w:color="auto" w:sz="4" w:space="0"/>
              <w:bottom w:val="single" w:color="auto" w:sz="4" w:space="0"/>
            </w:tcBorders>
            <w:shd w:val="clear" w:color="auto" w:fill="auto"/>
            <w:vAlign w:val="center"/>
          </w:tcPr>
          <w:p>
            <w:pPr>
              <w:spacing w:line="480" w:lineRule="auto"/>
              <w:jc w:val="center"/>
              <w:textAlignment w:val="center"/>
              <w:rPr>
                <w:rStyle w:val="7"/>
                <w:rFonts w:hint="default" w:ascii="Times New Roman Bold" w:hAnsi="Times New Roman Bold" w:cs="Times New Roman Bold"/>
                <w:lang w:bidi="ar"/>
              </w:rPr>
            </w:pPr>
            <w:r>
              <w:rPr>
                <w:rStyle w:val="7"/>
                <w:rFonts w:hint="default" w:ascii="Times New Roman Bold" w:hAnsi="Times New Roman Bold" w:cs="Times New Roman Bold"/>
                <w:lang w:bidi="ar"/>
              </w:rPr>
              <w:t>HR (95% CI)</w:t>
            </w:r>
          </w:p>
        </w:tc>
        <w:tc>
          <w:tcPr>
            <w:tcW w:w="977"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kern w:val="0"/>
                <w:sz w:val="16"/>
                <w:szCs w:val="16"/>
                <w:lang w:bidi="ar"/>
              </w:rPr>
            </w:pPr>
            <w:r>
              <w:rPr>
                <w:rFonts w:ascii="Times New Roman Bold" w:hAnsi="Times New Roman Bold" w:cs="Times New Roman Bold"/>
                <w:b/>
                <w:bCs/>
                <w:i/>
                <w:iCs/>
                <w:color w:val="000000"/>
                <w:kern w:val="0"/>
                <w:sz w:val="16"/>
                <w:szCs w:val="16"/>
                <w:lang w:bidi="ar"/>
              </w:rPr>
              <w:t xml:space="preserve">P </w:t>
            </w:r>
            <w:r>
              <w:rPr>
                <w:rFonts w:ascii="Times New Roman Bold" w:hAnsi="Times New Roman Bold" w:cs="Times New Roman Bold"/>
                <w:b/>
                <w:bCs/>
                <w:color w:val="000000"/>
                <w:kern w:val="0"/>
                <w:sz w:val="16"/>
                <w:szCs w:val="16"/>
                <w:lang w:bidi="ar"/>
              </w:rPr>
              <w:t>value</w:t>
            </w:r>
          </w:p>
        </w:tc>
        <w:tc>
          <w:tcPr>
            <w:tcW w:w="1565"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kern w:val="0"/>
                <w:sz w:val="16"/>
                <w:szCs w:val="16"/>
                <w:lang w:bidi="ar"/>
              </w:rPr>
            </w:pPr>
            <w:r>
              <w:rPr>
                <w:rFonts w:ascii="Times New Roman Bold" w:hAnsi="Times New Roman Bold" w:cs="Times New Roman Bold"/>
                <w:b/>
                <w:bCs/>
                <w:color w:val="000000"/>
                <w:kern w:val="0"/>
                <w:sz w:val="16"/>
                <w:szCs w:val="16"/>
                <w:lang w:bidi="ar"/>
              </w:rPr>
              <w:t>HR (95% CI)</w:t>
            </w:r>
          </w:p>
        </w:tc>
        <w:tc>
          <w:tcPr>
            <w:tcW w:w="814"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Bold" w:hAnsi="Times New Roman Bold" w:cs="Times New Roman Bold"/>
                <w:b/>
                <w:bCs/>
                <w:color w:val="000000"/>
                <w:kern w:val="0"/>
                <w:sz w:val="16"/>
                <w:szCs w:val="16"/>
                <w:lang w:bidi="ar"/>
              </w:rPr>
            </w:pPr>
            <w:r>
              <w:rPr>
                <w:rFonts w:ascii="Times New Roman Bold" w:hAnsi="Times New Roman Bold" w:cs="Times New Roman Bold"/>
                <w:b/>
                <w:bCs/>
                <w:i/>
                <w:iCs/>
                <w:color w:val="000000"/>
                <w:kern w:val="0"/>
                <w:sz w:val="16"/>
                <w:szCs w:val="16"/>
                <w:lang w:bidi="ar"/>
              </w:rPr>
              <w:t xml:space="preserve">P </w:t>
            </w:r>
            <w:r>
              <w:rPr>
                <w:rFonts w:ascii="Times New Roman Bold" w:hAnsi="Times New Roman Bold" w:cs="Times New Roman Bold"/>
                <w:b/>
                <w:bCs/>
                <w:color w:val="000000"/>
                <w:kern w:val="0"/>
                <w:sz w:val="16"/>
                <w:szCs w:val="16"/>
                <w:lang w:bidi="ar"/>
              </w:rPr>
              <w:t>value</w:t>
            </w:r>
          </w:p>
        </w:tc>
      </w:tr>
      <w:tr>
        <w:trPr>
          <w:trHeight w:val="290" w:hRule="atLeast"/>
          <w:jc w:val="center"/>
        </w:trPr>
        <w:tc>
          <w:tcPr>
            <w:tcW w:w="1313" w:type="dxa"/>
            <w:tcBorders>
              <w:top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Age</w:t>
            </w:r>
          </w:p>
        </w:tc>
        <w:tc>
          <w:tcPr>
            <w:tcW w:w="647" w:type="dxa"/>
            <w:tcBorders>
              <w:top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0.962 (0.770-1.202)</w:t>
            </w:r>
          </w:p>
        </w:tc>
        <w:tc>
          <w:tcPr>
            <w:tcW w:w="977"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0.731</w:t>
            </w:r>
          </w:p>
        </w:tc>
        <w:tc>
          <w:tcPr>
            <w:tcW w:w="1565"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202</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137</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Sex</w:t>
            </w:r>
          </w:p>
        </w:tc>
        <w:tc>
          <w:tcPr>
            <w:tcW w:w="647"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0.977 (0.785-1.217)</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0.837</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Female</w:t>
            </w:r>
          </w:p>
        </w:tc>
        <w:tc>
          <w:tcPr>
            <w:tcW w:w="647"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176</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Male</w:t>
            </w:r>
          </w:p>
        </w:tc>
        <w:tc>
          <w:tcPr>
            <w:tcW w:w="647"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163</w:t>
            </w:r>
          </w:p>
        </w:tc>
        <w:tc>
          <w:tcPr>
            <w:tcW w:w="150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Smoking status</w:t>
            </w:r>
          </w:p>
        </w:tc>
        <w:tc>
          <w:tcPr>
            <w:tcW w:w="647"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1.402 (1.224-1.605)</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&lt;0.001</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1.405 (1.223-1.615)</w:t>
            </w: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&lt;0.001</w:t>
            </w: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 xml:space="preserve">Non-smoking </w:t>
            </w:r>
          </w:p>
        </w:tc>
        <w:tc>
          <w:tcPr>
            <w:tcW w:w="647"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113</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12</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Smoking cessation</w:t>
            </w:r>
          </w:p>
        </w:tc>
        <w:tc>
          <w:tcPr>
            <w:tcW w:w="647"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113</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 xml:space="preserve">Smoking </w:t>
            </w:r>
          </w:p>
        </w:tc>
        <w:tc>
          <w:tcPr>
            <w:tcW w:w="647"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r>
              <w:rPr>
                <w:rFonts w:ascii="Times New Roman Regular" w:hAnsi="Times New Roman Regular" w:cs="Times New Roman Regular"/>
                <w:color w:val="000000"/>
                <w:sz w:val="16"/>
                <w:szCs w:val="16"/>
              </w:rPr>
              <w:t>113</w:t>
            </w: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5</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bidi="ar"/>
              </w:rPr>
              <w:t>KPS score</w:t>
            </w:r>
          </w:p>
        </w:tc>
        <w:tc>
          <w:tcPr>
            <w:tcW w:w="647"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1.126 (0.898-1.413)</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0.305</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≥90</w:t>
            </w:r>
          </w:p>
        </w:tc>
        <w:tc>
          <w:tcPr>
            <w:tcW w:w="647"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131</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w:t>
            </w:r>
          </w:p>
        </w:tc>
        <w:tc>
          <w:tcPr>
            <w:tcW w:w="647"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208</w:t>
            </w:r>
          </w:p>
        </w:tc>
        <w:tc>
          <w:tcPr>
            <w:tcW w:w="1500"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Pathological pattern</w:t>
            </w:r>
          </w:p>
        </w:tc>
        <w:tc>
          <w:tcPr>
            <w:tcW w:w="647"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0.880 (0.651-1.190)</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0.406</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Squamous carcinoma</w:t>
            </w:r>
          </w:p>
        </w:tc>
        <w:tc>
          <w:tcPr>
            <w:tcW w:w="647"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52</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Adenocarcinoma</w:t>
            </w:r>
          </w:p>
        </w:tc>
        <w:tc>
          <w:tcPr>
            <w:tcW w:w="647"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287</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Lymph node metastasis</w:t>
            </w:r>
          </w:p>
        </w:tc>
        <w:tc>
          <w:tcPr>
            <w:tcW w:w="647"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1.210 (0.936-1.566)</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0.146</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84</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47"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255</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Position</w:t>
            </w:r>
          </w:p>
        </w:tc>
        <w:tc>
          <w:tcPr>
            <w:tcW w:w="647"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1.078 (0.842-1.380)</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0.551</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Peripheral</w:t>
            </w:r>
          </w:p>
        </w:tc>
        <w:tc>
          <w:tcPr>
            <w:tcW w:w="647"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249</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Central</w:t>
            </w:r>
          </w:p>
        </w:tc>
        <w:tc>
          <w:tcPr>
            <w:tcW w:w="647"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90</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 classification</w:t>
            </w:r>
          </w:p>
        </w:tc>
        <w:tc>
          <w:tcPr>
            <w:tcW w:w="647"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1.106 (0.880-1.391)</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0.386</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T1-2</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209</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T3-4</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130</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N</w:t>
            </w:r>
            <w:r>
              <w:rPr>
                <w:rFonts w:ascii="Times New Roman Regular" w:hAnsi="Times New Roman Regular" w:cs="Times New Roman Regular"/>
                <w:b/>
                <w:bCs/>
                <w:color w:val="000000"/>
                <w:sz w:val="16"/>
                <w:szCs w:val="16"/>
              </w:rPr>
              <w:t xml:space="preserve"> classification</w:t>
            </w:r>
          </w:p>
        </w:tc>
        <w:tc>
          <w:tcPr>
            <w:tcW w:w="647"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1.296 (1.032-1.627)</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0.026</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1.164 (0.922-1.468)</w:t>
            </w: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0.201</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N0-1</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134</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N2-3</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205</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Clinical Stag</w:t>
            </w:r>
            <w:r>
              <w:rPr>
                <w:rFonts w:ascii="Times New Roman Regular" w:hAnsi="Times New Roman Regular" w:cs="Times New Roman Regular"/>
                <w:b/>
                <w:bCs/>
                <w:color w:val="000000"/>
                <w:sz w:val="16"/>
                <w:szCs w:val="16"/>
                <w:lang w:eastAsia="zh-Hans"/>
              </w:rPr>
              <w:t>e</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2.224 (1.763-2.807)</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&lt;0.001</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1.591 (1.228-2.062)</w:t>
            </w: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&lt;0.001</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I/II/III</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129</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14</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IV</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210</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Oncogenic driver mutations</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1.287 (0.985-1.682)</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0.065</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1.112 (0.849-1.457)</w:t>
            </w: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0.441</w:t>
            </w: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Negative</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265</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Positive</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74</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EGFR</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65</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ALK</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8</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ERCC1,</w:t>
            </w:r>
          </w:p>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TUBB3</w:t>
            </w:r>
          </w:p>
        </w:tc>
        <w:tc>
          <w:tcPr>
            <w:tcW w:w="647"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eastAsia="zh-Hans" w:bidi="ar"/>
              </w:rPr>
              <w:t>Surgery</w:t>
            </w:r>
          </w:p>
        </w:tc>
        <w:tc>
          <w:tcPr>
            <w:tcW w:w="647"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0.362 (0.280-0.467)</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&lt;0.001</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0.434 (0.327-0.576)</w:t>
            </w: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&lt;0.001</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47"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261</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47"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78</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17</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Chemotherapy</w:t>
            </w:r>
          </w:p>
        </w:tc>
        <w:tc>
          <w:tcPr>
            <w:tcW w:w="647"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0.555 (0.424-0.726)</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&lt;0.001</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0.557 (0.422-0.735)</w:t>
            </w: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&lt;0.001</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47"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236</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47"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103</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16</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Thoracic Radiotherapy</w:t>
            </w:r>
          </w:p>
        </w:tc>
        <w:tc>
          <w:tcPr>
            <w:tcW w:w="647"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500"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0.600 (0.459-0.784)</w:t>
            </w: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&lt;0.001</w:t>
            </w: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0.682 (0.518-0.898)</w:t>
            </w: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0.006</w:t>
            </w:r>
          </w:p>
        </w:tc>
      </w:tr>
      <w:tr>
        <w:trPr>
          <w:trHeight w:val="305"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47"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75</w:t>
            </w:r>
          </w:p>
        </w:tc>
        <w:tc>
          <w:tcPr>
            <w:tcW w:w="1500"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w:t>
            </w:r>
          </w:p>
        </w:tc>
        <w:tc>
          <w:tcPr>
            <w:tcW w:w="148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05" w:hRule="atLeast"/>
          <w:jc w:val="center"/>
        </w:trPr>
        <w:tc>
          <w:tcPr>
            <w:tcW w:w="1313" w:type="dxa"/>
            <w:tcBorders>
              <w:bottom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47"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264</w:t>
            </w:r>
          </w:p>
        </w:tc>
        <w:tc>
          <w:tcPr>
            <w:tcW w:w="1500"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w:t>
            </w:r>
          </w:p>
        </w:tc>
        <w:tc>
          <w:tcPr>
            <w:tcW w:w="1489"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977"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565"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bl>
    <w:p>
      <w:pPr>
        <w:widowControl w:val="0"/>
        <w:spacing w:line="480" w:lineRule="auto"/>
        <w:ind w:firstLine="440" w:firstLineChars="200"/>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Table </w:t>
      </w:r>
      <w:r>
        <w:rPr>
          <w:rFonts w:hint="default" w:ascii="Times New Roman Regular" w:hAnsi="Times New Roman Regular" w:cs="Times New Roman Regular"/>
          <w:sz w:val="22"/>
          <w:szCs w:val="22"/>
        </w:rPr>
        <w:t>S7</w:t>
      </w:r>
      <w:r>
        <w:rPr>
          <w:rFonts w:ascii="Times New Roman Regular" w:hAnsi="Times New Roman Regular" w:cs="Times New Roman Regular"/>
          <w:sz w:val="22"/>
          <w:szCs w:val="22"/>
        </w:rPr>
        <w:t xml:space="preserve"> shows the results of the analysis of factors influencing the length of survival for brain metastases in 461 patients with NSCLC before PSM.</w:t>
      </w:r>
    </w:p>
    <w:p>
      <w:pPr>
        <w:widowControl w:val="0"/>
        <w:spacing w:line="480" w:lineRule="auto"/>
        <w:ind w:firstLine="440" w:firstLineChars="200"/>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Table </w:t>
      </w:r>
      <w:r>
        <w:rPr>
          <w:rFonts w:hint="default" w:ascii="Times New Roman Regular" w:hAnsi="Times New Roman Regular" w:cs="Times New Roman Regular"/>
          <w:sz w:val="22"/>
          <w:szCs w:val="22"/>
        </w:rPr>
        <w:t>S8</w:t>
      </w:r>
      <w:r>
        <w:rPr>
          <w:rFonts w:ascii="Times New Roman Regular" w:hAnsi="Times New Roman Regular" w:cs="Times New Roman Regular"/>
          <w:sz w:val="22"/>
          <w:szCs w:val="22"/>
        </w:rPr>
        <w:t xml:space="preserve"> shows the results of the analysis of factors influencing the length of survival for brain metastases in 339 patients with non-small cell NSCLC after PSM. 1 and 2 year survival rates were 70.5% and 40.7% respectively, with a median survival time of 20 months. The median length of survival after brain metastases from NSCLC in the non-smoking, smoking cessation and smoking groups was 25, 24 and 11 months, respectively. In the univariate analysis, smoking status (</w:t>
      </w:r>
      <w:r>
        <w:rPr>
          <w:rFonts w:ascii="Times New Roman Regular" w:hAnsi="Times New Roman Regular" w:cs="Times New Roman Regular"/>
          <w:i/>
          <w:iCs/>
          <w:sz w:val="22"/>
          <w:szCs w:val="22"/>
        </w:rPr>
        <w:t>P</w:t>
      </w:r>
      <w:r>
        <w:rPr>
          <w:rFonts w:ascii="Times New Roman Regular" w:hAnsi="Times New Roman Regular" w:cs="Times New Roman Regular"/>
          <w:sz w:val="22"/>
          <w:szCs w:val="22"/>
        </w:rPr>
        <w:t>＜0.01), KPS score (</w:t>
      </w:r>
      <w:r>
        <w:rPr>
          <w:rFonts w:ascii="Times New Roman Regular" w:hAnsi="Times New Roman Regular" w:cs="Times New Roman Regular"/>
          <w:i/>
          <w:iCs/>
          <w:sz w:val="22"/>
          <w:szCs w:val="22"/>
        </w:rPr>
        <w:t>P</w:t>
      </w:r>
      <w:r>
        <w:rPr>
          <w:rFonts w:ascii="Times New Roman Regular" w:hAnsi="Times New Roman Regular" w:cs="Times New Roman Regular"/>
          <w:sz w:val="22"/>
          <w:szCs w:val="22"/>
        </w:rPr>
        <w:t xml:space="preserve"> = 0.022), type of pathology (</w:t>
      </w:r>
      <w:r>
        <w:rPr>
          <w:rFonts w:ascii="Times New Roman Regular" w:hAnsi="Times New Roman Regular" w:cs="Times New Roman Regular"/>
          <w:i/>
          <w:iCs/>
          <w:sz w:val="22"/>
          <w:szCs w:val="22"/>
        </w:rPr>
        <w:t>P</w:t>
      </w:r>
      <w:r>
        <w:rPr>
          <w:rFonts w:ascii="Times New Roman Regular" w:hAnsi="Times New Roman Regular" w:cs="Times New Roman Regular"/>
          <w:sz w:val="22"/>
          <w:szCs w:val="22"/>
        </w:rPr>
        <w:t xml:space="preserve"> = 0.023), site of lung cancer (</w:t>
      </w:r>
      <w:r>
        <w:rPr>
          <w:rFonts w:ascii="Times New Roman Regular" w:hAnsi="Times New Roman Regular" w:cs="Times New Roman Regular"/>
          <w:i/>
          <w:iCs/>
          <w:sz w:val="22"/>
          <w:szCs w:val="22"/>
        </w:rPr>
        <w:t xml:space="preserve">P </w:t>
      </w:r>
      <w:r>
        <w:rPr>
          <w:rFonts w:ascii="Times New Roman Regular" w:hAnsi="Times New Roman Regular" w:cs="Times New Roman Regular"/>
          <w:sz w:val="22"/>
          <w:szCs w:val="22"/>
        </w:rPr>
        <w:t>= 0.044) and chest radiotherapy (</w:t>
      </w:r>
      <w:r>
        <w:rPr>
          <w:rFonts w:ascii="Times New Roman Regular" w:hAnsi="Times New Roman Regular" w:cs="Times New Roman Regular"/>
          <w:i/>
          <w:iCs/>
          <w:sz w:val="22"/>
          <w:szCs w:val="22"/>
        </w:rPr>
        <w:t>P</w:t>
      </w:r>
      <w:r>
        <w:rPr>
          <w:rFonts w:ascii="Times New Roman Regular" w:hAnsi="Times New Roman Regular" w:cs="Times New Roman Regular"/>
          <w:sz w:val="22"/>
          <w:szCs w:val="22"/>
        </w:rPr>
        <w:t xml:space="preserve"> = 0.039) were all factors influencing the length of survival after brain metastasis in patients. A multifactorial analysis of elements with P values less than 0.1 in the univariate analysis yielded: smoking status (</w:t>
      </w:r>
      <w:r>
        <w:rPr>
          <w:rFonts w:ascii="Times New Roman Regular" w:hAnsi="Times New Roman Regular" w:cs="Times New Roman Regular"/>
          <w:i/>
          <w:iCs/>
          <w:sz w:val="22"/>
          <w:szCs w:val="22"/>
        </w:rPr>
        <w:t>P</w:t>
      </w:r>
      <w:r>
        <w:rPr>
          <w:rFonts w:ascii="Times New Roman Regular" w:hAnsi="Times New Roman Regular" w:cs="Times New Roman Regular"/>
          <w:sz w:val="22"/>
          <w:szCs w:val="22"/>
        </w:rPr>
        <w:t xml:space="preserve"> &lt; 0.001), driver mutation (</w:t>
      </w:r>
      <w:r>
        <w:rPr>
          <w:rFonts w:ascii="Times New Roman Regular" w:hAnsi="Times New Roman Regular" w:cs="Times New Roman Regular"/>
          <w:i/>
          <w:iCs/>
          <w:sz w:val="22"/>
          <w:szCs w:val="22"/>
        </w:rPr>
        <w:t>P</w:t>
      </w:r>
      <w:r>
        <w:rPr>
          <w:rFonts w:ascii="Times New Roman Regular" w:hAnsi="Times New Roman Regular" w:cs="Times New Roman Regular"/>
          <w:sz w:val="22"/>
          <w:szCs w:val="22"/>
        </w:rPr>
        <w:t xml:space="preserve"> = 0.030), and chest radiotherapy (</w:t>
      </w:r>
      <w:r>
        <w:rPr>
          <w:rFonts w:ascii="Times New Roman Regular" w:hAnsi="Times New Roman Regular" w:cs="Times New Roman Regular"/>
          <w:i/>
          <w:iCs/>
          <w:sz w:val="22"/>
          <w:szCs w:val="22"/>
        </w:rPr>
        <w:t>P</w:t>
      </w:r>
      <w:r>
        <w:rPr>
          <w:rFonts w:ascii="Times New Roman Regular" w:hAnsi="Times New Roman Regular" w:cs="Times New Roman Regular"/>
          <w:sz w:val="22"/>
          <w:szCs w:val="22"/>
        </w:rPr>
        <w:t xml:space="preserve"> = 0.002) as independent factors influencing the length of survival after brain metastasis in NSCLC.</w:t>
      </w:r>
    </w:p>
    <w:p>
      <w:pPr>
        <w:widowControl w:val="0"/>
        <w:spacing w:line="480" w:lineRule="auto"/>
        <w:rPr>
          <w:rFonts w:ascii="Times New Roman Regular" w:hAnsi="Times New Roman Regular" w:cs="Times New Roman Regular"/>
          <w:sz w:val="22"/>
          <w:szCs w:val="22"/>
        </w:rPr>
      </w:pPr>
      <w:r>
        <w:rPr>
          <w:rFonts w:ascii="Times New Roman Bold" w:hAnsi="Times New Roman Bold" w:cs="Times New Roman Bold"/>
          <w:b/>
          <w:bCs/>
          <w:sz w:val="22"/>
          <w:szCs w:val="22"/>
        </w:rPr>
        <w:t xml:space="preserve">Table </w:t>
      </w:r>
      <w:r>
        <w:rPr>
          <w:rFonts w:hint="default" w:ascii="Times New Roman Bold" w:hAnsi="Times New Roman Bold" w:cs="Times New Roman Bold"/>
          <w:b/>
          <w:bCs/>
          <w:sz w:val="22"/>
          <w:szCs w:val="22"/>
        </w:rPr>
        <w:t>S7</w:t>
      </w:r>
      <w:r>
        <w:rPr>
          <w:rFonts w:ascii="Times New Roman Bold" w:hAnsi="Times New Roman Bold" w:cs="Times New Roman Bold"/>
          <w:b/>
          <w:bCs/>
          <w:sz w:val="22"/>
          <w:szCs w:val="22"/>
        </w:rPr>
        <w:t>.</w:t>
      </w:r>
      <w:r>
        <w:rPr>
          <w:rFonts w:ascii="Times New Roman Regular" w:hAnsi="Times New Roman Regular" w:cs="Times New Roman Regular"/>
          <w:sz w:val="22"/>
          <w:szCs w:val="22"/>
        </w:rPr>
        <w:t xml:space="preserve"> Analysis of factors influencing prognosis after the development of brain metastases in NSCLC (pre-PSM)</w:t>
      </w:r>
    </w:p>
    <w:tbl>
      <w:tblPr>
        <w:tblStyle w:val="3"/>
        <w:tblW w:w="10031" w:type="dxa"/>
        <w:jc w:val="center"/>
        <w:tblLayout w:type="fixed"/>
        <w:tblCellMar>
          <w:top w:w="0" w:type="dxa"/>
          <w:left w:w="108" w:type="dxa"/>
          <w:bottom w:w="0" w:type="dxa"/>
          <w:right w:w="108" w:type="dxa"/>
        </w:tblCellMar>
      </w:tblPr>
      <w:tblGrid>
        <w:gridCol w:w="1313"/>
        <w:gridCol w:w="606"/>
        <w:gridCol w:w="1071"/>
        <w:gridCol w:w="863"/>
        <w:gridCol w:w="1791"/>
        <w:gridCol w:w="1229"/>
        <w:gridCol w:w="1111"/>
        <w:gridCol w:w="1233"/>
        <w:gridCol w:w="814"/>
      </w:tblGrid>
      <w:tr>
        <w:trPr>
          <w:trHeight w:val="255" w:hRule="atLeast"/>
          <w:jc w:val="center"/>
        </w:trPr>
        <w:tc>
          <w:tcPr>
            <w:tcW w:w="1313" w:type="dxa"/>
            <w:vMerge w:val="restart"/>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sz w:val="16"/>
                <w:szCs w:val="16"/>
              </w:rPr>
              <w:t>Characteristic</w:t>
            </w:r>
            <w:r>
              <w:rPr>
                <w:rFonts w:ascii="Times New Roman Bold" w:hAnsi="Times New Roman Bold" w:cs="Times New Roman Bold"/>
                <w:b/>
                <w:bCs/>
                <w:sz w:val="16"/>
                <w:szCs w:val="16"/>
                <w:lang w:eastAsia="zh-Hans"/>
              </w:rPr>
              <w:t>s</w:t>
            </w:r>
          </w:p>
        </w:tc>
        <w:tc>
          <w:tcPr>
            <w:tcW w:w="606" w:type="dxa"/>
            <w:vMerge w:val="restart"/>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n</w:t>
            </w:r>
          </w:p>
        </w:tc>
        <w:tc>
          <w:tcPr>
            <w:tcW w:w="1934" w:type="dxa"/>
            <w:gridSpan w:val="2"/>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Bold" w:hAnsi="Times New Roman Bold" w:cs="Times New Roman Bold"/>
                <w:b/>
                <w:bCs/>
                <w:color w:val="000000"/>
                <w:kern w:val="0"/>
                <w:sz w:val="16"/>
                <w:szCs w:val="16"/>
                <w:lang w:bidi="ar"/>
              </w:rPr>
              <w:t>Survival rate(%)</w:t>
            </w:r>
          </w:p>
        </w:tc>
        <w:tc>
          <w:tcPr>
            <w:tcW w:w="1791" w:type="dxa"/>
            <w:vMerge w:val="restart"/>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Bold" w:hAnsi="Times New Roman Bold" w:cs="Times New Roman Bold"/>
                <w:b/>
                <w:bCs/>
                <w:color w:val="000000"/>
                <w:kern w:val="0"/>
                <w:sz w:val="16"/>
                <w:szCs w:val="16"/>
                <w:lang w:bidi="ar"/>
              </w:rPr>
              <w:t>Survival probabilities (months)</w:t>
            </w:r>
          </w:p>
        </w:tc>
        <w:tc>
          <w:tcPr>
            <w:tcW w:w="2340" w:type="dxa"/>
            <w:gridSpan w:val="2"/>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Univariate analysis</w:t>
            </w:r>
          </w:p>
        </w:tc>
        <w:tc>
          <w:tcPr>
            <w:tcW w:w="2047" w:type="dxa"/>
            <w:gridSpan w:val="2"/>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Bold" w:hAnsi="Times New Roman Bold" w:cs="Times New Roman Bold"/>
                <w:b/>
                <w:bCs/>
                <w:color w:val="000000"/>
                <w:kern w:val="0"/>
                <w:sz w:val="16"/>
                <w:szCs w:val="16"/>
                <w:lang w:bidi="ar"/>
              </w:rPr>
              <w:t>Multivariate analysis</w:t>
            </w:r>
          </w:p>
        </w:tc>
      </w:tr>
      <w:tr>
        <w:trPr>
          <w:trHeight w:val="255" w:hRule="atLeast"/>
          <w:jc w:val="center"/>
        </w:trPr>
        <w:tc>
          <w:tcPr>
            <w:tcW w:w="1313" w:type="dxa"/>
            <w:vMerge w:val="continue"/>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p>
        </w:tc>
        <w:tc>
          <w:tcPr>
            <w:tcW w:w="606" w:type="dxa"/>
            <w:vMerge w:val="continue"/>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p>
        </w:tc>
        <w:tc>
          <w:tcPr>
            <w:tcW w:w="1071" w:type="dxa"/>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1-year</w:t>
            </w:r>
          </w:p>
        </w:tc>
        <w:tc>
          <w:tcPr>
            <w:tcW w:w="863" w:type="dxa"/>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2-years</w:t>
            </w:r>
          </w:p>
        </w:tc>
        <w:tc>
          <w:tcPr>
            <w:tcW w:w="1791" w:type="dxa"/>
            <w:vMerge w:val="continue"/>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p>
        </w:tc>
        <w:tc>
          <w:tcPr>
            <w:tcW w:w="1229" w:type="dxa"/>
            <w:tcBorders>
              <w:top w:val="single" w:color="auto" w:sz="4" w:space="0"/>
              <w:bottom w:val="single" w:color="auto" w:sz="4" w:space="0"/>
            </w:tcBorders>
            <w:shd w:val="clear" w:color="auto" w:fill="auto"/>
            <w:vAlign w:val="center"/>
          </w:tcPr>
          <w:p>
            <w:pPr>
              <w:spacing w:line="480" w:lineRule="auto"/>
              <w:jc w:val="center"/>
              <w:textAlignment w:val="center"/>
              <w:rPr>
                <w:rStyle w:val="7"/>
                <w:rFonts w:hint="default" w:ascii="Times New Roman Regular" w:hAnsi="Times New Roman Regular" w:cs="Times New Roman Regular"/>
                <w:lang w:bidi="ar"/>
              </w:rPr>
            </w:pPr>
            <w:r>
              <w:rPr>
                <w:rStyle w:val="7"/>
                <w:rFonts w:hint="default" w:ascii="Times New Roman Regular" w:hAnsi="Times New Roman Regular" w:cs="Times New Roman Regular"/>
                <w:lang w:bidi="ar"/>
              </w:rPr>
              <w:t>HR (95% CI)</w:t>
            </w:r>
          </w:p>
        </w:tc>
        <w:tc>
          <w:tcPr>
            <w:tcW w:w="1111"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i/>
                <w:iCs/>
                <w:color w:val="000000"/>
                <w:kern w:val="0"/>
                <w:sz w:val="16"/>
                <w:szCs w:val="16"/>
                <w:lang w:bidi="ar"/>
              </w:rPr>
              <w:t xml:space="preserve">P </w:t>
            </w:r>
            <w:r>
              <w:rPr>
                <w:rFonts w:ascii="Times New Roman Regular" w:hAnsi="Times New Roman Regular" w:cs="Times New Roman Regular"/>
                <w:b/>
                <w:bCs/>
                <w:color w:val="000000"/>
                <w:kern w:val="0"/>
                <w:sz w:val="16"/>
                <w:szCs w:val="16"/>
                <w:lang w:bidi="ar"/>
              </w:rPr>
              <w:t>value</w:t>
            </w:r>
          </w:p>
        </w:tc>
        <w:tc>
          <w:tcPr>
            <w:tcW w:w="1233"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HR (95% CI)</w:t>
            </w:r>
          </w:p>
        </w:tc>
        <w:tc>
          <w:tcPr>
            <w:tcW w:w="814"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i/>
                <w:iCs/>
                <w:color w:val="000000"/>
                <w:kern w:val="0"/>
                <w:sz w:val="16"/>
                <w:szCs w:val="16"/>
                <w:lang w:bidi="ar"/>
              </w:rPr>
              <w:t xml:space="preserve">P </w:t>
            </w:r>
            <w:r>
              <w:rPr>
                <w:rFonts w:ascii="Times New Roman Regular" w:hAnsi="Times New Roman Regular" w:cs="Times New Roman Regular"/>
                <w:b/>
                <w:bCs/>
                <w:color w:val="000000"/>
                <w:kern w:val="0"/>
                <w:sz w:val="16"/>
                <w:szCs w:val="16"/>
                <w:lang w:bidi="ar"/>
              </w:rPr>
              <w:t>value</w:t>
            </w:r>
          </w:p>
        </w:tc>
      </w:tr>
      <w:tr>
        <w:trPr>
          <w:trHeight w:val="290" w:hRule="atLeast"/>
          <w:jc w:val="center"/>
        </w:trPr>
        <w:tc>
          <w:tcPr>
            <w:tcW w:w="1313" w:type="dxa"/>
            <w:tcBorders>
              <w:top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Age</w:t>
            </w:r>
          </w:p>
        </w:tc>
        <w:tc>
          <w:tcPr>
            <w:tcW w:w="606" w:type="dxa"/>
            <w:tcBorders>
              <w:top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1.111 (0.915-1.349)</w:t>
            </w:r>
          </w:p>
        </w:tc>
        <w:tc>
          <w:tcPr>
            <w:tcW w:w="1111"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0.287</w:t>
            </w:r>
          </w:p>
        </w:tc>
        <w:tc>
          <w:tcPr>
            <w:tcW w:w="1233"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277</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70.4</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43.3</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20</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184</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71.7</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38.6</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20</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Sex</w:t>
            </w:r>
          </w:p>
        </w:tc>
        <w:tc>
          <w:tcPr>
            <w:tcW w:w="606"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1.347 (1.112-1.632)</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0.002</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1.109 (0.906-1.359)</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0.316</w:t>
            </w: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Female</w:t>
            </w:r>
          </w:p>
        </w:tc>
        <w:tc>
          <w:tcPr>
            <w:tcW w:w="60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233</w:t>
            </w:r>
          </w:p>
        </w:tc>
        <w:tc>
          <w:tcPr>
            <w:tcW w:w="107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73.0</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45.5</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21</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Male</w:t>
            </w:r>
          </w:p>
        </w:tc>
        <w:tc>
          <w:tcPr>
            <w:tcW w:w="606"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228</w:t>
            </w:r>
          </w:p>
        </w:tc>
        <w:tc>
          <w:tcPr>
            <w:tcW w:w="1071" w:type="dxa"/>
            <w:shd w:val="clear" w:color="auto" w:fill="auto"/>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68.9</w:t>
            </w:r>
          </w:p>
        </w:tc>
        <w:tc>
          <w:tcPr>
            <w:tcW w:w="863" w:type="dxa"/>
            <w:shd w:val="clear" w:color="auto" w:fill="auto"/>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37.3</w:t>
            </w:r>
          </w:p>
        </w:tc>
        <w:tc>
          <w:tcPr>
            <w:tcW w:w="1791"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Smoking status</w:t>
            </w:r>
          </w:p>
        </w:tc>
        <w:tc>
          <w:tcPr>
            <w:tcW w:w="606"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1.742 (1.540-1.971)</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&lt;0.001</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1.752 (1.539-1.994)</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&lt;0.001</w:t>
            </w: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 xml:space="preserve">Non-smoking </w:t>
            </w:r>
          </w:p>
        </w:tc>
        <w:tc>
          <w:tcPr>
            <w:tcW w:w="60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164</w:t>
            </w:r>
          </w:p>
        </w:tc>
        <w:tc>
          <w:tcPr>
            <w:tcW w:w="107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83.5</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54.3</w:t>
            </w: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26</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Smoking cessation</w:t>
            </w:r>
          </w:p>
        </w:tc>
        <w:tc>
          <w:tcPr>
            <w:tcW w:w="60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150</w:t>
            </w:r>
          </w:p>
        </w:tc>
        <w:tc>
          <w:tcPr>
            <w:tcW w:w="107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83.3</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50.0</w:t>
            </w: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24</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 xml:space="preserve">Smoking </w:t>
            </w:r>
          </w:p>
        </w:tc>
        <w:tc>
          <w:tcPr>
            <w:tcW w:w="606"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r>
              <w:rPr>
                <w:rFonts w:ascii="Times New Roman Regular" w:hAnsi="Times New Roman Regular" w:cs="Times New Roman Regular"/>
                <w:color w:val="000000"/>
                <w:sz w:val="16"/>
                <w:szCs w:val="16"/>
              </w:rPr>
              <w:t>147</w:t>
            </w: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44.2</w:t>
            </w: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18.4</w:t>
            </w: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bidi="ar"/>
              </w:rPr>
              <w:t>KPS score</w:t>
            </w:r>
          </w:p>
        </w:tc>
        <w:tc>
          <w:tcPr>
            <w:tcW w:w="606"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1.188 (0.978-1.444)</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0.082</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1.147 (0.942-1.396)</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0.172</w:t>
            </w: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≥90</w:t>
            </w:r>
          </w:p>
        </w:tc>
        <w:tc>
          <w:tcPr>
            <w:tcW w:w="60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184</w:t>
            </w:r>
          </w:p>
        </w:tc>
        <w:tc>
          <w:tcPr>
            <w:tcW w:w="107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75.5</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50.0</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24</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w:t>
            </w:r>
          </w:p>
        </w:tc>
        <w:tc>
          <w:tcPr>
            <w:tcW w:w="606"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277</w:t>
            </w:r>
          </w:p>
        </w:tc>
        <w:tc>
          <w:tcPr>
            <w:tcW w:w="1071" w:type="dxa"/>
            <w:shd w:val="clear" w:color="auto" w:fill="auto"/>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67.9</w:t>
            </w:r>
          </w:p>
        </w:tc>
        <w:tc>
          <w:tcPr>
            <w:tcW w:w="863" w:type="dxa"/>
            <w:shd w:val="clear" w:color="auto" w:fill="auto"/>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35.7</w:t>
            </w:r>
          </w:p>
        </w:tc>
        <w:tc>
          <w:tcPr>
            <w:tcW w:w="1791"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Pathological pattern</w:t>
            </w:r>
          </w:p>
        </w:tc>
        <w:tc>
          <w:tcPr>
            <w:tcW w:w="606"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0.632 (0.488-0.820)</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&lt;0.001</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0.649 (0.468-0.898)</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0.009</w:t>
            </w: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Squamous carcinoma</w:t>
            </w:r>
          </w:p>
        </w:tc>
        <w:tc>
          <w:tcPr>
            <w:tcW w:w="60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69</w:t>
            </w:r>
          </w:p>
        </w:tc>
        <w:tc>
          <w:tcPr>
            <w:tcW w:w="107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62.3</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30.4</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15</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Adenocarcinoma</w:t>
            </w:r>
          </w:p>
        </w:tc>
        <w:tc>
          <w:tcPr>
            <w:tcW w:w="606"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392</w:t>
            </w:r>
          </w:p>
        </w:tc>
        <w:tc>
          <w:tcPr>
            <w:tcW w:w="107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72.4</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43.4</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21</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Lymph node metastasis</w:t>
            </w:r>
          </w:p>
        </w:tc>
        <w:tc>
          <w:tcPr>
            <w:tcW w:w="606"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1.031 (0.830-1.281)</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0.781</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121</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67.8</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46.3</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23</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06"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340</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72.1</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39.7</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Position</w:t>
            </w:r>
          </w:p>
        </w:tc>
        <w:tc>
          <w:tcPr>
            <w:tcW w:w="606"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1.240 (1.002-1.536)</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0.048</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1.079 (0.832-1.401)</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0.565</w:t>
            </w: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Peripheral</w:t>
            </w:r>
          </w:p>
        </w:tc>
        <w:tc>
          <w:tcPr>
            <w:tcW w:w="606"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337</w:t>
            </w:r>
          </w:p>
        </w:tc>
        <w:tc>
          <w:tcPr>
            <w:tcW w:w="107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73.0</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43.0</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21</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Central</w:t>
            </w:r>
          </w:p>
        </w:tc>
        <w:tc>
          <w:tcPr>
            <w:tcW w:w="606"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124</w:t>
            </w:r>
          </w:p>
        </w:tc>
        <w:tc>
          <w:tcPr>
            <w:tcW w:w="107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65.3</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37.1</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 classification</w:t>
            </w:r>
          </w:p>
        </w:tc>
        <w:tc>
          <w:tcPr>
            <w:tcW w:w="606"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1.110 (0.914-1.349)</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0.293</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T1-2</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282</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73.4</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42.9</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21</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T3-4</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179</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67.0</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39.1</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lang w:eastAsia="zh-Hans"/>
              </w:rPr>
              <w:t>N</w:t>
            </w:r>
            <w:r>
              <w:rPr>
                <w:rFonts w:ascii="Times New Roman Regular" w:hAnsi="Times New Roman Regular" w:cs="Times New Roman Regular"/>
                <w:b/>
                <w:bCs/>
                <w:color w:val="000000"/>
                <w:sz w:val="16"/>
                <w:szCs w:val="16"/>
              </w:rPr>
              <w:t xml:space="preserve"> classification</w:t>
            </w:r>
          </w:p>
        </w:tc>
        <w:tc>
          <w:tcPr>
            <w:tcW w:w="606"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1.058 (0.873-1.283)</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0.564</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N0-1</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195</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69.2</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47.2</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23</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N2-3</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266</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72.2</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37.2</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Clinical Stag</w:t>
            </w:r>
            <w:r>
              <w:rPr>
                <w:rFonts w:ascii="Times New Roman Regular" w:hAnsi="Times New Roman Regular" w:cs="Times New Roman Regular"/>
                <w:b/>
                <w:bCs/>
                <w:color w:val="000000"/>
                <w:sz w:val="16"/>
                <w:szCs w:val="16"/>
                <w:lang w:eastAsia="zh-Hans"/>
              </w:rPr>
              <w:t>e</w:t>
            </w:r>
          </w:p>
        </w:tc>
        <w:tc>
          <w:tcPr>
            <w:tcW w:w="606"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0.883 (0.724-1.077)</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0.219</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I/II/III</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163</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69.3</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40.5</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21</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IV</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298</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71.8</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41.9</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sz w:val="16"/>
                <w:szCs w:val="16"/>
              </w:rPr>
              <w:t>Concurrent diagnosis of brain metastases</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0.843 (0.687-1.035)</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0.102</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sz w:val="16"/>
                <w:szCs w:val="16"/>
                <w:lang w:eastAsia="zh-Hans"/>
              </w:rPr>
              <w:t>No</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315</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69.2</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40.0</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20</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sz w:val="16"/>
                <w:szCs w:val="16"/>
                <w:lang w:eastAsia="zh-Hans"/>
              </w:rPr>
              <w:t>Yes</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146</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74.7</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44.5</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22</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Oncogenic driver mutations</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0.752(0.873-1.283)</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0.002</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0.752(0.590-0.960)</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0.022</w:t>
            </w: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Negative</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361</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67.6</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38.8</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Positive</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100</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82.0</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51.0</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25</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EGFR</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88</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81.8</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48.9</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23</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ALK</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9</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100.0</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77.8</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35</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KRAS</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0.0</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0.0</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ERCC1,</w:t>
            </w:r>
          </w:p>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TUBB3</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100.0</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0.0</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21</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8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MET</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100.0</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100.0</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kern w:val="0"/>
                <w:sz w:val="16"/>
                <w:szCs w:val="16"/>
                <w:lang w:eastAsia="zh-Hans" w:bidi="ar"/>
              </w:rPr>
              <w:t>Surgery</w:t>
            </w:r>
          </w:p>
        </w:tc>
        <w:tc>
          <w:tcPr>
            <w:tcW w:w="606"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0.867 (0.702-1.071)</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0.185</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330</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70.3</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39.1</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131</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72.5</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47.3</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23</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Chemotherapy</w:t>
            </w:r>
          </w:p>
        </w:tc>
        <w:tc>
          <w:tcPr>
            <w:tcW w:w="606"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1.106 (0.889-1.376)</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0.366</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120</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70.8</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42.5</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21</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341</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71.0</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41.1</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20</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Regular" w:hAnsi="Times New Roman Regular" w:cs="Times New Roman Regular"/>
                <w:b/>
                <w:bCs/>
                <w:color w:val="000000"/>
                <w:sz w:val="16"/>
                <w:szCs w:val="16"/>
              </w:rPr>
              <w:t>Thoracic Radiotherapy</w:t>
            </w:r>
          </w:p>
        </w:tc>
        <w:tc>
          <w:tcPr>
            <w:tcW w:w="606"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71"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791"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0.792 (0.626-1.003)</w:t>
            </w: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0.053</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0.644 (0.503-0.823)</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&lt;0.001</w:t>
            </w:r>
          </w:p>
        </w:tc>
      </w:tr>
      <w:tr>
        <w:trPr>
          <w:trHeight w:val="305"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364</w:t>
            </w:r>
          </w:p>
        </w:tc>
        <w:tc>
          <w:tcPr>
            <w:tcW w:w="1071"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69.0</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38.2</w:t>
            </w:r>
          </w:p>
        </w:tc>
        <w:tc>
          <w:tcPr>
            <w:tcW w:w="179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305"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606"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97</w:t>
            </w:r>
          </w:p>
        </w:tc>
        <w:tc>
          <w:tcPr>
            <w:tcW w:w="1071"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78.4</w:t>
            </w:r>
          </w:p>
        </w:tc>
        <w:tc>
          <w:tcPr>
            <w:tcW w:w="863"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53.6</w:t>
            </w:r>
          </w:p>
        </w:tc>
        <w:tc>
          <w:tcPr>
            <w:tcW w:w="1791"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25</w:t>
            </w:r>
          </w:p>
        </w:tc>
        <w:tc>
          <w:tcPr>
            <w:tcW w:w="1229" w:type="dxa"/>
            <w:shd w:val="clear" w:color="auto" w:fill="auto"/>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111" w:type="dxa"/>
            <w:shd w:val="clear" w:color="auto" w:fill="auto"/>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bl>
    <w:p>
      <w:pPr>
        <w:widowControl w:val="0"/>
        <w:spacing w:line="480" w:lineRule="auto"/>
        <w:rPr>
          <w:rFonts w:hint="eastAsia" w:ascii="Times New Roman Regular" w:hAnsi="Times New Roman Regular" w:eastAsia="黑体" w:cs="Times New Roman Regular"/>
          <w:sz w:val="22"/>
          <w:szCs w:val="22"/>
        </w:rPr>
      </w:pPr>
      <w:r>
        <w:rPr>
          <w:rFonts w:ascii="Times New Roman Bold" w:hAnsi="Times New Roman Bold" w:cs="Times New Roman Bold"/>
          <w:b/>
          <w:bCs/>
          <w:sz w:val="22"/>
          <w:szCs w:val="22"/>
        </w:rPr>
        <w:t xml:space="preserve">Table </w:t>
      </w:r>
      <w:r>
        <w:rPr>
          <w:rFonts w:hint="default" w:ascii="Times New Roman Bold" w:hAnsi="Times New Roman Bold" w:cs="Times New Roman Bold"/>
          <w:b/>
          <w:bCs/>
          <w:sz w:val="22"/>
          <w:szCs w:val="22"/>
        </w:rPr>
        <w:t>S8</w:t>
      </w:r>
      <w:r>
        <w:rPr>
          <w:rFonts w:ascii="Times New Roman Bold" w:hAnsi="Times New Roman Bold" w:cs="Times New Roman Bold"/>
          <w:b/>
          <w:bCs/>
          <w:sz w:val="22"/>
          <w:szCs w:val="22"/>
        </w:rPr>
        <w:t xml:space="preserve">. </w:t>
      </w:r>
      <w:r>
        <w:rPr>
          <w:rFonts w:ascii="Times New Roman Regular" w:hAnsi="Times New Roman Regular" w:cs="Times New Roman Regular"/>
          <w:sz w:val="22"/>
          <w:szCs w:val="22"/>
        </w:rPr>
        <w:t>Analysis of factors influencing prognosis after the development of brain metastases in NSCLC (after PSM)</w:t>
      </w:r>
    </w:p>
    <w:tbl>
      <w:tblPr>
        <w:tblStyle w:val="3"/>
        <w:tblW w:w="10031" w:type="dxa"/>
        <w:jc w:val="center"/>
        <w:tblLayout w:type="fixed"/>
        <w:tblCellMar>
          <w:top w:w="0" w:type="dxa"/>
          <w:left w:w="108" w:type="dxa"/>
          <w:bottom w:w="0" w:type="dxa"/>
          <w:right w:w="108" w:type="dxa"/>
        </w:tblCellMar>
      </w:tblPr>
      <w:tblGrid>
        <w:gridCol w:w="1313"/>
        <w:gridCol w:w="593"/>
        <w:gridCol w:w="1084"/>
        <w:gridCol w:w="863"/>
        <w:gridCol w:w="1804"/>
        <w:gridCol w:w="1229"/>
        <w:gridCol w:w="1098"/>
        <w:gridCol w:w="1233"/>
        <w:gridCol w:w="814"/>
      </w:tblGrid>
      <w:tr>
        <w:trPr>
          <w:trHeight w:val="611" w:hRule="atLeast"/>
          <w:jc w:val="center"/>
        </w:trPr>
        <w:tc>
          <w:tcPr>
            <w:tcW w:w="1313" w:type="dxa"/>
            <w:vMerge w:val="restart"/>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Bold" w:hAnsi="Times New Roman Bold" w:cs="Times New Roman Bold"/>
                <w:b/>
                <w:bCs/>
                <w:sz w:val="16"/>
                <w:szCs w:val="16"/>
              </w:rPr>
              <w:t>Characteristic</w:t>
            </w:r>
            <w:r>
              <w:rPr>
                <w:rFonts w:ascii="Times New Roman Bold" w:hAnsi="Times New Roman Bold" w:cs="Times New Roman Bold"/>
                <w:b/>
                <w:bCs/>
                <w:sz w:val="16"/>
                <w:szCs w:val="16"/>
                <w:lang w:eastAsia="zh-Hans"/>
              </w:rPr>
              <w:t>s</w:t>
            </w:r>
          </w:p>
        </w:tc>
        <w:tc>
          <w:tcPr>
            <w:tcW w:w="593" w:type="dxa"/>
            <w:vMerge w:val="restart"/>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n</w:t>
            </w:r>
          </w:p>
        </w:tc>
        <w:tc>
          <w:tcPr>
            <w:tcW w:w="1947" w:type="dxa"/>
            <w:gridSpan w:val="2"/>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Bold" w:hAnsi="Times New Roman Bold" w:cs="Times New Roman Bold"/>
                <w:b/>
                <w:bCs/>
                <w:color w:val="000000"/>
                <w:kern w:val="0"/>
                <w:sz w:val="16"/>
                <w:szCs w:val="16"/>
                <w:lang w:bidi="ar"/>
              </w:rPr>
              <w:t>Survival rate(%)</w:t>
            </w:r>
          </w:p>
        </w:tc>
        <w:tc>
          <w:tcPr>
            <w:tcW w:w="1804" w:type="dxa"/>
            <w:vMerge w:val="restart"/>
            <w:tcBorders>
              <w:top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Bold" w:hAnsi="Times New Roman Bold" w:cs="Times New Roman Bold"/>
                <w:b/>
                <w:bCs/>
                <w:color w:val="000000"/>
                <w:kern w:val="0"/>
                <w:sz w:val="16"/>
                <w:szCs w:val="16"/>
                <w:lang w:bidi="ar"/>
              </w:rPr>
              <w:t>Survival probabilities (months)</w:t>
            </w:r>
          </w:p>
        </w:tc>
        <w:tc>
          <w:tcPr>
            <w:tcW w:w="2327" w:type="dxa"/>
            <w:gridSpan w:val="2"/>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Bold" w:hAnsi="Times New Roman Bold" w:cs="Times New Roman Bold"/>
                <w:b/>
                <w:bCs/>
                <w:color w:val="000000"/>
                <w:sz w:val="16"/>
                <w:szCs w:val="16"/>
              </w:rPr>
              <w:t>Univariate analysis</w:t>
            </w:r>
          </w:p>
        </w:tc>
        <w:tc>
          <w:tcPr>
            <w:tcW w:w="2047" w:type="dxa"/>
            <w:gridSpan w:val="2"/>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Bold" w:hAnsi="Times New Roman Bold" w:cs="Times New Roman Bold"/>
                <w:b/>
                <w:bCs/>
                <w:color w:val="000000"/>
                <w:kern w:val="0"/>
                <w:sz w:val="16"/>
                <w:szCs w:val="16"/>
                <w:lang w:bidi="ar"/>
              </w:rPr>
              <w:t>Multivariate analysis</w:t>
            </w:r>
          </w:p>
        </w:tc>
      </w:tr>
      <w:tr>
        <w:trPr>
          <w:trHeight w:val="255" w:hRule="atLeast"/>
          <w:jc w:val="center"/>
        </w:trPr>
        <w:tc>
          <w:tcPr>
            <w:tcW w:w="1313" w:type="dxa"/>
            <w:vMerge w:val="continue"/>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593" w:type="dxa"/>
            <w:vMerge w:val="continue"/>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084" w:type="dxa"/>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1-year</w:t>
            </w:r>
          </w:p>
        </w:tc>
        <w:tc>
          <w:tcPr>
            <w:tcW w:w="863" w:type="dxa"/>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2-years</w:t>
            </w:r>
          </w:p>
        </w:tc>
        <w:tc>
          <w:tcPr>
            <w:tcW w:w="1804" w:type="dxa"/>
            <w:vMerge w:val="continue"/>
            <w:tcBorders>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229" w:type="dxa"/>
            <w:tcBorders>
              <w:top w:val="single" w:color="auto" w:sz="4" w:space="0"/>
              <w:bottom w:val="single" w:color="auto" w:sz="4" w:space="0"/>
            </w:tcBorders>
            <w:shd w:val="clear" w:color="auto" w:fill="auto"/>
            <w:vAlign w:val="center"/>
          </w:tcPr>
          <w:p>
            <w:pPr>
              <w:spacing w:line="480" w:lineRule="auto"/>
              <w:jc w:val="center"/>
              <w:textAlignment w:val="center"/>
              <w:rPr>
                <w:rStyle w:val="7"/>
                <w:rFonts w:hint="default" w:ascii="Times New Roman Regular" w:hAnsi="Times New Roman Regular" w:cs="Times New Roman Regular"/>
                <w:b w:val="0"/>
                <w:bCs w:val="0"/>
                <w:lang w:bidi="ar"/>
              </w:rPr>
            </w:pPr>
            <w:r>
              <w:rPr>
                <w:rStyle w:val="7"/>
                <w:rFonts w:hint="default" w:ascii="Times New Roman Regular" w:hAnsi="Times New Roman Regular" w:cs="Times New Roman Regular"/>
                <w:lang w:bidi="ar"/>
              </w:rPr>
              <w:t>HR (95% CI)</w:t>
            </w:r>
          </w:p>
        </w:tc>
        <w:tc>
          <w:tcPr>
            <w:tcW w:w="1098"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i/>
                <w:iCs/>
                <w:color w:val="000000"/>
                <w:kern w:val="0"/>
                <w:sz w:val="16"/>
                <w:szCs w:val="16"/>
                <w:lang w:bidi="ar"/>
              </w:rPr>
              <w:t xml:space="preserve">P </w:t>
            </w:r>
            <w:r>
              <w:rPr>
                <w:rFonts w:ascii="Times New Roman Regular" w:hAnsi="Times New Roman Regular" w:cs="Times New Roman Regular"/>
                <w:b/>
                <w:bCs/>
                <w:color w:val="000000"/>
                <w:kern w:val="0"/>
                <w:sz w:val="16"/>
                <w:szCs w:val="16"/>
                <w:lang w:bidi="ar"/>
              </w:rPr>
              <w:t>value</w:t>
            </w:r>
          </w:p>
        </w:tc>
        <w:tc>
          <w:tcPr>
            <w:tcW w:w="1233"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color w:val="000000"/>
                <w:kern w:val="0"/>
                <w:sz w:val="16"/>
                <w:szCs w:val="16"/>
                <w:lang w:bidi="ar"/>
              </w:rPr>
              <w:t>HR (95% CI)</w:t>
            </w:r>
          </w:p>
        </w:tc>
        <w:tc>
          <w:tcPr>
            <w:tcW w:w="814" w:type="dxa"/>
            <w:tcBorders>
              <w:top w:val="single" w:color="auto" w:sz="4" w:space="0"/>
              <w:bottom w:val="single" w:color="auto" w:sz="4" w:space="0"/>
            </w:tcBorders>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b/>
                <w:bCs/>
                <w:i/>
                <w:iCs/>
                <w:color w:val="000000"/>
                <w:kern w:val="0"/>
                <w:sz w:val="16"/>
                <w:szCs w:val="16"/>
                <w:lang w:bidi="ar"/>
              </w:rPr>
              <w:t xml:space="preserve">P </w:t>
            </w:r>
            <w:r>
              <w:rPr>
                <w:rFonts w:ascii="Times New Roman Regular" w:hAnsi="Times New Roman Regular" w:cs="Times New Roman Regular"/>
                <w:b/>
                <w:bCs/>
                <w:color w:val="000000"/>
                <w:kern w:val="0"/>
                <w:sz w:val="16"/>
                <w:szCs w:val="16"/>
                <w:lang w:bidi="ar"/>
              </w:rPr>
              <w:t>value</w:t>
            </w:r>
          </w:p>
        </w:tc>
      </w:tr>
      <w:tr>
        <w:trPr>
          <w:trHeight w:val="290" w:hRule="atLeast"/>
          <w:jc w:val="center"/>
        </w:trPr>
        <w:tc>
          <w:tcPr>
            <w:tcW w:w="1313" w:type="dxa"/>
            <w:tcBorders>
              <w:top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lang w:eastAsia="zh-Hans"/>
              </w:rPr>
              <w:t>Age</w:t>
            </w:r>
          </w:p>
        </w:tc>
        <w:tc>
          <w:tcPr>
            <w:tcW w:w="593" w:type="dxa"/>
            <w:tcBorders>
              <w:top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tcBorders>
              <w:top w:val="single" w:color="auto" w:sz="4" w:space="0"/>
            </w:tcBorders>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1.081 (0.864-1.351)</w:t>
            </w:r>
          </w:p>
        </w:tc>
        <w:tc>
          <w:tcPr>
            <w:tcW w:w="1098"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0.496</w:t>
            </w:r>
          </w:p>
        </w:tc>
        <w:tc>
          <w:tcPr>
            <w:tcW w:w="1233"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tcBorders>
              <w:top w:val="single" w:color="auto" w:sz="4" w:space="0"/>
            </w:tcBorders>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202</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68.8</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42.1</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≥60</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137</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73.0</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38.7</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lang w:eastAsia="zh-Hans"/>
              </w:rPr>
              <w:t>Sex</w:t>
            </w:r>
          </w:p>
        </w:tc>
        <w:tc>
          <w:tcPr>
            <w:tcW w:w="59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1.160 (0.931-1.445)</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0.186</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Female</w:t>
            </w:r>
          </w:p>
        </w:tc>
        <w:tc>
          <w:tcPr>
            <w:tcW w:w="59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176</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70.5</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43.2</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Male</w:t>
            </w:r>
          </w:p>
        </w:tc>
        <w:tc>
          <w:tcPr>
            <w:tcW w:w="59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163</w:t>
            </w:r>
          </w:p>
        </w:tc>
        <w:tc>
          <w:tcPr>
            <w:tcW w:w="1084"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70.6</w:t>
            </w:r>
          </w:p>
        </w:tc>
        <w:tc>
          <w:tcPr>
            <w:tcW w:w="86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38.0</w:t>
            </w:r>
          </w:p>
        </w:tc>
        <w:tc>
          <w:tcPr>
            <w:tcW w:w="1804"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b/>
                <w:bCs/>
                <w:color w:val="000000"/>
                <w:kern w:val="0"/>
                <w:sz w:val="16"/>
                <w:szCs w:val="16"/>
                <w:lang w:bidi="ar"/>
              </w:rPr>
            </w:pPr>
            <w:r>
              <w:rPr>
                <w:rFonts w:ascii="Times New Roman Regular" w:hAnsi="Times New Roman Regular" w:cs="Times New Roman Regular"/>
                <w:b/>
                <w:bCs/>
                <w:color w:val="000000"/>
                <w:kern w:val="0"/>
                <w:sz w:val="16"/>
                <w:szCs w:val="16"/>
                <w:lang w:bidi="ar"/>
              </w:rPr>
              <w:t>Smoking status</w:t>
            </w:r>
          </w:p>
        </w:tc>
        <w:tc>
          <w:tcPr>
            <w:tcW w:w="59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1.602 (1.391-1.846)</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1.671 (1.443-1.935)</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&lt;0.001</w:t>
            </w: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 xml:space="preserve">Non-smoking </w:t>
            </w:r>
          </w:p>
        </w:tc>
        <w:tc>
          <w:tcPr>
            <w:tcW w:w="59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113</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82.3</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52.2</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25</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Smoking cessation</w:t>
            </w:r>
          </w:p>
        </w:tc>
        <w:tc>
          <w:tcPr>
            <w:tcW w:w="59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113</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80.5</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48.7</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24</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 xml:space="preserve">Smoking </w:t>
            </w:r>
          </w:p>
        </w:tc>
        <w:tc>
          <w:tcPr>
            <w:tcW w:w="59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r>
              <w:rPr>
                <w:rFonts w:ascii="Times New Roman Regular" w:hAnsi="Times New Roman Regular" w:cs="Times New Roman Regular"/>
                <w:color w:val="000000"/>
                <w:sz w:val="16"/>
                <w:szCs w:val="16"/>
              </w:rPr>
              <w:t>113</w:t>
            </w: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48.7</w:t>
            </w: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21.2</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11</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kern w:val="0"/>
                <w:sz w:val="16"/>
                <w:szCs w:val="16"/>
                <w:lang w:bidi="ar"/>
              </w:rPr>
              <w:t>KPS score</w:t>
            </w:r>
          </w:p>
        </w:tc>
        <w:tc>
          <w:tcPr>
            <w:tcW w:w="59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1.302 (1.038-1.632)</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0.022</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1.230 (0.974-1.553)</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0.082</w:t>
            </w: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≥90</w:t>
            </w:r>
          </w:p>
        </w:tc>
        <w:tc>
          <w:tcPr>
            <w:tcW w:w="59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131</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76.3</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51.9</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25</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＜90</w:t>
            </w:r>
          </w:p>
        </w:tc>
        <w:tc>
          <w:tcPr>
            <w:tcW w:w="59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208</w:t>
            </w:r>
          </w:p>
        </w:tc>
        <w:tc>
          <w:tcPr>
            <w:tcW w:w="1084"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66.8</w:t>
            </w:r>
          </w:p>
        </w:tc>
        <w:tc>
          <w:tcPr>
            <w:tcW w:w="86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33.7</w:t>
            </w:r>
          </w:p>
        </w:tc>
        <w:tc>
          <w:tcPr>
            <w:tcW w:w="1804"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18</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lang w:eastAsia="zh-Hans"/>
              </w:rPr>
              <w:t>Pathological pattern</w:t>
            </w:r>
          </w:p>
        </w:tc>
        <w:tc>
          <w:tcPr>
            <w:tcW w:w="59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0.707 (0.525-0.953)</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0.023</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0.767 (0.530-1.110)</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0.159</w:t>
            </w: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Squamous carcinoma</w:t>
            </w:r>
          </w:p>
        </w:tc>
        <w:tc>
          <w:tcPr>
            <w:tcW w:w="59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52</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65.4</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34.6</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15</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Adenocarcinoma</w:t>
            </w:r>
          </w:p>
        </w:tc>
        <w:tc>
          <w:tcPr>
            <w:tcW w:w="59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287</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71.4</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41.8</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Lymph node metastasis</w:t>
            </w:r>
          </w:p>
        </w:tc>
        <w:tc>
          <w:tcPr>
            <w:tcW w:w="593"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1.137 (0.881-1.468)</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0.324</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84</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71.4</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47.6</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23</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59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255</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70.2</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38.4</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noWrap/>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Position</w:t>
            </w:r>
          </w:p>
        </w:tc>
        <w:tc>
          <w:tcPr>
            <w:tcW w:w="59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1.287 (1.006-1.646)</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0.044</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1.182 (0.873-1.599)</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0.279</w:t>
            </w:r>
          </w:p>
        </w:tc>
      </w:tr>
      <w:tr>
        <w:trPr>
          <w:trHeight w:val="290" w:hRule="atLeast"/>
          <w:jc w:val="center"/>
        </w:trPr>
        <w:tc>
          <w:tcPr>
            <w:tcW w:w="1313" w:type="dxa"/>
            <w:shd w:val="clear" w:color="auto" w:fill="auto"/>
            <w:noWrap/>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Peripheral</w:t>
            </w:r>
          </w:p>
        </w:tc>
        <w:tc>
          <w:tcPr>
            <w:tcW w:w="59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249</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72.3</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41.8</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21</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Central</w:t>
            </w:r>
          </w:p>
        </w:tc>
        <w:tc>
          <w:tcPr>
            <w:tcW w:w="59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90</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65.6</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37.8</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16</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T classification</w:t>
            </w:r>
          </w:p>
        </w:tc>
        <w:tc>
          <w:tcPr>
            <w:tcW w:w="593"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1.042 (0.832-1.306)</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0.720</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T1-2</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209</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71.8</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41.6</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T3-4</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130</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68.5</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39.2</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lang w:eastAsia="zh-Hans"/>
              </w:rPr>
              <w:t>N</w:t>
            </w:r>
            <w:r>
              <w:rPr>
                <w:rFonts w:ascii="Times New Roman Bold" w:hAnsi="Times New Roman Bold" w:cs="Times New Roman Bold"/>
                <w:b/>
                <w:bCs/>
                <w:color w:val="000000"/>
                <w:sz w:val="16"/>
                <w:szCs w:val="16"/>
              </w:rPr>
              <w:t xml:space="preserve"> classification</w:t>
            </w:r>
          </w:p>
        </w:tc>
        <w:tc>
          <w:tcPr>
            <w:tcW w:w="593"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1.080 (0.863-1.352)</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0.500</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N0-1</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134</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69.4</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45.5</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21</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N2-3</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205</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71.2</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37.6</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Clinical Stag</w:t>
            </w:r>
            <w:r>
              <w:rPr>
                <w:rFonts w:ascii="Times New Roman Bold" w:hAnsi="Times New Roman Bold" w:cs="Times New Roman Bold"/>
                <w:b/>
                <w:bCs/>
                <w:color w:val="000000"/>
                <w:sz w:val="16"/>
                <w:szCs w:val="16"/>
                <w:lang w:eastAsia="zh-Hans"/>
              </w:rPr>
              <w:t>e</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0.884 (0.705-1.107)</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0.283</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I/II/III</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129</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68.2</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39.5</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18</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8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IV</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210</w:t>
            </w:r>
          </w:p>
        </w:tc>
        <w:tc>
          <w:tcPr>
            <w:tcW w:w="1084"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71.9</w:t>
            </w:r>
          </w:p>
        </w:tc>
        <w:tc>
          <w:tcPr>
            <w:tcW w:w="863" w:type="dxa"/>
            <w:shd w:val="clear" w:color="auto" w:fill="auto"/>
            <w:noWrap/>
            <w:vAlign w:val="center"/>
          </w:tcPr>
          <w:p>
            <w:pPr>
              <w:spacing w:line="480" w:lineRule="auto"/>
              <w:jc w:val="center"/>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41.4</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kern w:val="0"/>
                <w:sz w:val="16"/>
                <w:szCs w:val="16"/>
                <w:lang w:bidi="ar"/>
              </w:rPr>
            </w:pPr>
            <w:r>
              <w:rPr>
                <w:rFonts w:ascii="Times New Roman Bold" w:hAnsi="Times New Roman Bold" w:cs="Times New Roman Bold"/>
                <w:b/>
                <w:bCs/>
                <w:color w:val="000000"/>
                <w:sz w:val="16"/>
                <w:szCs w:val="16"/>
              </w:rPr>
              <w:t>Concurrent diagnosis of brain metastases</w:t>
            </w:r>
          </w:p>
        </w:tc>
        <w:tc>
          <w:tcPr>
            <w:tcW w:w="593"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0.838 (0.656-1.069)</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0.155</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sz w:val="16"/>
                <w:szCs w:val="16"/>
                <w:lang w:eastAsia="zh-Hans"/>
              </w:rPr>
              <w:t>No</w:t>
            </w:r>
          </w:p>
        </w:tc>
        <w:tc>
          <w:tcPr>
            <w:tcW w:w="593" w:type="dxa"/>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244</w:t>
            </w: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68.4</w:t>
            </w: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39.8</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sz w:val="16"/>
                <w:szCs w:val="16"/>
                <w:lang w:eastAsia="zh-Hans"/>
              </w:rPr>
              <w:t>Yes</w:t>
            </w:r>
          </w:p>
        </w:tc>
        <w:tc>
          <w:tcPr>
            <w:tcW w:w="593" w:type="dxa"/>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95</w:t>
            </w: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75.8</w:t>
            </w: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43.2</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Bold" w:hAnsi="Times New Roman Bold" w:cs="Times New Roman Bold"/>
                <w:b/>
                <w:bCs/>
                <w:color w:val="000000"/>
                <w:kern w:val="0"/>
                <w:sz w:val="16"/>
                <w:szCs w:val="16"/>
                <w:lang w:bidi="ar"/>
              </w:rPr>
              <w:t>Oncogenic driver mutations</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0.752 (0.576-0.983)</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0.037</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0.734 (0.556-0.970)</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0.030</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Negative</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265</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66.8</w:t>
            </w: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38.5</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Positive</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74</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82.4</w:t>
            </w: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48.6</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23</w:t>
            </w: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EGFR</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65</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81.5</w:t>
            </w: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46.2</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22</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ALK</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8</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100.0</w:t>
            </w: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75.0</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32</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ERCC1,</w:t>
            </w:r>
          </w:p>
          <w:p>
            <w:pPr>
              <w:spacing w:line="480" w:lineRule="auto"/>
              <w:ind w:firstLine="320" w:firstLineChars="200"/>
              <w:jc w:val="left"/>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TUBB3</w:t>
            </w:r>
          </w:p>
        </w:tc>
        <w:tc>
          <w:tcPr>
            <w:tcW w:w="593" w:type="dxa"/>
            <w:shd w:val="clear" w:color="auto" w:fill="auto"/>
            <w:vAlign w:val="center"/>
          </w:tcPr>
          <w:p>
            <w:pPr>
              <w:spacing w:line="480" w:lineRule="auto"/>
              <w:jc w:val="center"/>
              <w:textAlignment w:val="center"/>
              <w:rPr>
                <w:rFonts w:ascii="Times New Roman Regular" w:hAnsi="Times New Roman Regular" w:cs="Times New Roman Regular"/>
                <w:color w:val="000000"/>
                <w:kern w:val="0"/>
                <w:sz w:val="16"/>
                <w:szCs w:val="16"/>
                <w:lang w:bidi="ar"/>
              </w:rPr>
            </w:pPr>
            <w:r>
              <w:rPr>
                <w:rFonts w:ascii="Times New Roman Regular" w:hAnsi="Times New Roman Regular" w:cs="Times New Roman Regular"/>
                <w:color w:val="000000"/>
                <w:kern w:val="0"/>
                <w:sz w:val="16"/>
                <w:szCs w:val="16"/>
                <w:lang w:bidi="ar"/>
              </w:rPr>
              <w:t>1</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100.0</w:t>
            </w: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0.0</w:t>
            </w: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21</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kern w:val="0"/>
                <w:sz w:val="16"/>
                <w:szCs w:val="16"/>
                <w:lang w:bidi="ar"/>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kern w:val="0"/>
                <w:sz w:val="16"/>
                <w:szCs w:val="16"/>
                <w:lang w:eastAsia="zh-Hans" w:bidi="ar"/>
              </w:rPr>
              <w:t>Surgery</w:t>
            </w:r>
          </w:p>
        </w:tc>
        <w:tc>
          <w:tcPr>
            <w:tcW w:w="593"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0.792 (0.622-1.008)</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0.058</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0.811 (0.628-1.048)</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0.109</w:t>
            </w: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59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261</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70.9</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39.5</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59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78</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69.2</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44.9</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22</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Chemotherapy</w:t>
            </w:r>
          </w:p>
        </w:tc>
        <w:tc>
          <w:tcPr>
            <w:tcW w:w="593"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1.062 (0.815-1.382)</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0.657</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59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236</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69.9</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38.1</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19</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59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103</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71.8</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46.6</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23</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290"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b/>
                <w:bCs/>
                <w:color w:val="000000"/>
                <w:sz w:val="16"/>
                <w:szCs w:val="16"/>
              </w:rPr>
            </w:pPr>
            <w:r>
              <w:rPr>
                <w:rFonts w:ascii="Times New Roman Bold" w:hAnsi="Times New Roman Bold" w:cs="Times New Roman Bold"/>
                <w:b/>
                <w:bCs/>
                <w:color w:val="000000"/>
                <w:sz w:val="16"/>
                <w:szCs w:val="16"/>
              </w:rPr>
              <w:t>Thoracic Radiotherapy</w:t>
            </w:r>
          </w:p>
        </w:tc>
        <w:tc>
          <w:tcPr>
            <w:tcW w:w="593" w:type="dxa"/>
            <w:shd w:val="clear" w:color="auto" w:fill="auto"/>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084"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863" w:type="dxa"/>
            <w:shd w:val="clear" w:color="auto" w:fill="auto"/>
            <w:noWrap/>
            <w:vAlign w:val="center"/>
          </w:tcPr>
          <w:p>
            <w:pPr>
              <w:widowControl w:val="0"/>
              <w:spacing w:line="480" w:lineRule="auto"/>
              <w:jc w:val="center"/>
              <w:rPr>
                <w:rFonts w:ascii="Times New Roman Regular" w:hAnsi="Times New Roman Regular" w:cs="Times New Roman Regular"/>
                <w:b/>
                <w:bCs/>
                <w:color w:val="000000"/>
                <w:sz w:val="16"/>
                <w:szCs w:val="16"/>
              </w:rPr>
            </w:pPr>
          </w:p>
        </w:tc>
        <w:tc>
          <w:tcPr>
            <w:tcW w:w="180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29"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0.757 (0.581-0.986)</w:t>
            </w:r>
          </w:p>
        </w:tc>
        <w:tc>
          <w:tcPr>
            <w:tcW w:w="1098"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0.039</w:t>
            </w:r>
          </w:p>
        </w:tc>
        <w:tc>
          <w:tcPr>
            <w:tcW w:w="123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0.651 (0.495-0.857)</w:t>
            </w:r>
          </w:p>
        </w:tc>
        <w:tc>
          <w:tcPr>
            <w:tcW w:w="81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kern w:val="0"/>
                <w:sz w:val="16"/>
                <w:szCs w:val="16"/>
                <w:lang w:bidi="ar"/>
              </w:rPr>
              <w:t>0.002</w:t>
            </w:r>
          </w:p>
        </w:tc>
      </w:tr>
      <w:tr>
        <w:trPr>
          <w:trHeight w:val="305" w:hRule="atLeast"/>
          <w:jc w:val="center"/>
        </w:trPr>
        <w:tc>
          <w:tcPr>
            <w:tcW w:w="1313" w:type="dxa"/>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No</w:t>
            </w:r>
          </w:p>
        </w:tc>
        <w:tc>
          <w:tcPr>
            <w:tcW w:w="593" w:type="dxa"/>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75</w:t>
            </w:r>
          </w:p>
        </w:tc>
        <w:tc>
          <w:tcPr>
            <w:tcW w:w="108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62.7</w:t>
            </w:r>
          </w:p>
        </w:tc>
        <w:tc>
          <w:tcPr>
            <w:tcW w:w="863"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36.0</w:t>
            </w:r>
          </w:p>
        </w:tc>
        <w:tc>
          <w:tcPr>
            <w:tcW w:w="1804" w:type="dxa"/>
            <w:shd w:val="clear" w:color="auto" w:fill="auto"/>
            <w:noWrap/>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shd w:val="clear" w:color="auto" w:fill="auto"/>
            <w:noWrap/>
            <w:vAlign w:val="center"/>
          </w:tcPr>
          <w:p>
            <w:pPr>
              <w:widowControl w:val="0"/>
              <w:spacing w:line="480" w:lineRule="auto"/>
              <w:jc w:val="center"/>
              <w:rPr>
                <w:rFonts w:ascii="Times New Roman Regular" w:hAnsi="Times New Roman Regular" w:cs="Times New Roman Regular"/>
                <w:color w:val="000000"/>
                <w:sz w:val="16"/>
                <w:szCs w:val="16"/>
              </w:rPr>
            </w:pPr>
          </w:p>
        </w:tc>
      </w:tr>
      <w:tr>
        <w:trPr>
          <w:trHeight w:val="305" w:hRule="atLeast"/>
          <w:jc w:val="center"/>
        </w:trPr>
        <w:tc>
          <w:tcPr>
            <w:tcW w:w="1313" w:type="dxa"/>
            <w:tcBorders>
              <w:bottom w:val="single" w:color="auto" w:sz="4" w:space="0"/>
            </w:tcBorders>
            <w:shd w:val="clear" w:color="auto" w:fill="auto"/>
            <w:vAlign w:val="center"/>
          </w:tcPr>
          <w:p>
            <w:pPr>
              <w:spacing w:line="480" w:lineRule="auto"/>
              <w:jc w:val="left"/>
              <w:textAlignment w:val="center"/>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lang w:eastAsia="zh-Hans"/>
              </w:rPr>
              <w:t>Yes</w:t>
            </w:r>
          </w:p>
        </w:tc>
        <w:tc>
          <w:tcPr>
            <w:tcW w:w="593"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264</w:t>
            </w:r>
          </w:p>
        </w:tc>
        <w:tc>
          <w:tcPr>
            <w:tcW w:w="1084"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72.7</w:t>
            </w:r>
          </w:p>
        </w:tc>
        <w:tc>
          <w:tcPr>
            <w:tcW w:w="863"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42.0</w:t>
            </w:r>
          </w:p>
        </w:tc>
        <w:tc>
          <w:tcPr>
            <w:tcW w:w="1804" w:type="dxa"/>
            <w:tcBorders>
              <w:bottom w:val="single" w:color="auto" w:sz="4" w:space="0"/>
            </w:tcBorders>
            <w:shd w:val="clear" w:color="auto" w:fill="auto"/>
            <w:vAlign w:val="center"/>
          </w:tcPr>
          <w:p>
            <w:pPr>
              <w:spacing w:line="480" w:lineRule="auto"/>
              <w:jc w:val="center"/>
              <w:textAlignment w:val="bottom"/>
              <w:rPr>
                <w:rFonts w:ascii="Times New Roman Regular" w:hAnsi="Times New Roman Regular" w:cs="Times New Roman Regular"/>
                <w:color w:val="000000"/>
                <w:sz w:val="16"/>
                <w:szCs w:val="16"/>
              </w:rPr>
            </w:pPr>
            <w:r>
              <w:rPr>
                <w:rFonts w:ascii="Times New Roman Regular" w:hAnsi="Times New Roman Regular" w:cs="Times New Roman Regular"/>
                <w:color w:val="000000"/>
                <w:sz w:val="16"/>
                <w:szCs w:val="16"/>
              </w:rPr>
              <w:t>20</w:t>
            </w:r>
          </w:p>
        </w:tc>
        <w:tc>
          <w:tcPr>
            <w:tcW w:w="1229"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098"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1233"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c>
          <w:tcPr>
            <w:tcW w:w="814" w:type="dxa"/>
            <w:tcBorders>
              <w:bottom w:val="single" w:color="auto" w:sz="4" w:space="0"/>
            </w:tcBorders>
            <w:shd w:val="clear" w:color="auto" w:fill="auto"/>
            <w:vAlign w:val="center"/>
          </w:tcPr>
          <w:p>
            <w:pPr>
              <w:widowControl w:val="0"/>
              <w:spacing w:line="480" w:lineRule="auto"/>
              <w:jc w:val="center"/>
              <w:rPr>
                <w:rFonts w:ascii="Times New Roman Regular" w:hAnsi="Times New Roman Regular" w:cs="Times New Roman Regular"/>
                <w:color w:val="000000"/>
                <w:sz w:val="16"/>
                <w:szCs w:val="16"/>
              </w:rPr>
            </w:pPr>
          </w:p>
        </w:tc>
      </w:tr>
    </w:tbl>
    <w:p>
      <w:pPr>
        <w:widowControl w:val="0"/>
        <w:spacing w:line="480" w:lineRule="auto"/>
        <w:rPr>
          <w:rFonts w:ascii="Times New Roman" w:hAnsi="Times New Roman" w:eastAsia="Calibri" w:cs="Times New Roman"/>
          <w:b/>
          <w:bCs/>
          <w:kern w:val="0"/>
          <w:sz w:val="22"/>
          <w:szCs w:val="22"/>
        </w:rPr>
      </w:pPr>
      <w:bookmarkStart w:id="0" w:name="_GoBack"/>
      <w:bookmarkEnd w:id="0"/>
      <w:r>
        <w:rPr>
          <w:rFonts w:ascii="Times New Roman" w:hAnsi="Times New Roman" w:eastAsia="Calibri" w:cs="Times New Roman"/>
          <w:b/>
          <w:bCs/>
          <w:kern w:val="0"/>
          <w:sz w:val="22"/>
          <w:szCs w:val="22"/>
        </w:rPr>
        <w:t>List of abbreviations</w:t>
      </w:r>
    </w:p>
    <w:p>
      <w:pPr>
        <w:widowControl w:val="0"/>
        <w:tabs>
          <w:tab w:val="left" w:pos="1310"/>
        </w:tabs>
        <w:spacing w:line="480" w:lineRule="auto"/>
        <w:rPr>
          <w:rFonts w:ascii="Times New Roman Regular" w:hAnsi="Times New Roman Regular" w:cs="Times New Roman Regular"/>
          <w:color w:val="000000"/>
          <w:sz w:val="22"/>
          <w:szCs w:val="22"/>
        </w:rPr>
      </w:pPr>
      <w:r>
        <w:rPr>
          <w:rFonts w:ascii="Times New Roman Regular" w:hAnsi="Times New Roman Regular" w:cs="Times New Roman Regular"/>
          <w:color w:val="000000"/>
          <w:sz w:val="22"/>
          <w:szCs w:val="22"/>
        </w:rPr>
        <w:t>NSCLC: non-small cell lung cancer</w:t>
      </w:r>
    </w:p>
    <w:p>
      <w:pPr>
        <w:tabs>
          <w:tab w:val="left" w:pos="1310"/>
        </w:tabs>
        <w:spacing w:line="480" w:lineRule="auto"/>
        <w:textAlignment w:val="center"/>
        <w:rPr>
          <w:rFonts w:ascii="Times New Roman Regular" w:hAnsi="Times New Roman Regular" w:cs="Times New Roman Regular"/>
          <w:color w:val="000000"/>
          <w:sz w:val="22"/>
          <w:szCs w:val="22"/>
        </w:rPr>
      </w:pPr>
      <w:r>
        <w:rPr>
          <w:rFonts w:ascii="Times New Roman Regular" w:hAnsi="Times New Roman Regular" w:cs="Times New Roman Regular"/>
          <w:color w:val="000000"/>
          <w:sz w:val="22"/>
          <w:szCs w:val="22"/>
        </w:rPr>
        <w:t>BMs: brain metastases</w:t>
      </w:r>
    </w:p>
    <w:p>
      <w:pPr>
        <w:widowControl w:val="0"/>
        <w:tabs>
          <w:tab w:val="left" w:pos="1310"/>
        </w:tabs>
        <w:spacing w:line="480" w:lineRule="auto"/>
        <w:rPr>
          <w:rFonts w:ascii="Times New Roman Regular" w:hAnsi="Times New Roman Regular" w:cs="Times New Roman Regular"/>
          <w:color w:val="000000"/>
          <w:sz w:val="22"/>
          <w:szCs w:val="22"/>
        </w:rPr>
      </w:pPr>
      <w:r>
        <w:rPr>
          <w:rFonts w:ascii="Times New Roman Regular" w:hAnsi="Times New Roman Regular" w:cs="Times New Roman Regular"/>
          <w:color w:val="000000"/>
          <w:sz w:val="22"/>
          <w:szCs w:val="22"/>
        </w:rPr>
        <w:t>iPFS: intracranial progression-free survival</w:t>
      </w:r>
    </w:p>
    <w:p>
      <w:pPr>
        <w:tabs>
          <w:tab w:val="left" w:pos="1310"/>
        </w:tabs>
        <w:spacing w:line="480" w:lineRule="auto"/>
        <w:textAlignment w:val="bottom"/>
        <w:rPr>
          <w:rFonts w:ascii="Times New Roman Regular" w:hAnsi="Times New Roman Regular" w:cs="Times New Roman Regular"/>
          <w:color w:val="000000"/>
          <w:sz w:val="22"/>
          <w:szCs w:val="22"/>
        </w:rPr>
      </w:pPr>
      <w:r>
        <w:rPr>
          <w:rFonts w:ascii="Times New Roman Regular" w:hAnsi="Times New Roman Regular" w:cs="Times New Roman Regular"/>
          <w:color w:val="000000"/>
          <w:sz w:val="22"/>
          <w:szCs w:val="22"/>
        </w:rPr>
        <w:t>OS: overall survival</w:t>
      </w:r>
    </w:p>
    <w:p>
      <w:pPr>
        <w:tabs>
          <w:tab w:val="left" w:pos="1310"/>
        </w:tabs>
        <w:spacing w:line="480" w:lineRule="auto"/>
        <w:textAlignment w:val="bottom"/>
        <w:rPr>
          <w:rFonts w:ascii="Times New Roman Regular" w:hAnsi="Times New Roman Regular" w:cs="Times New Roman Regular"/>
          <w:color w:val="000000"/>
          <w:sz w:val="22"/>
          <w:szCs w:val="22"/>
        </w:rPr>
      </w:pPr>
      <w:r>
        <w:rPr>
          <w:rFonts w:ascii="Times New Roman Regular" w:hAnsi="Times New Roman Regular" w:cs="Times New Roman Regular"/>
          <w:color w:val="000000"/>
          <w:sz w:val="22"/>
          <w:szCs w:val="22"/>
        </w:rPr>
        <w:t>KPS: karnofsky performance status</w:t>
      </w:r>
    </w:p>
    <w:p>
      <w:pPr>
        <w:widowControl w:val="0"/>
        <w:tabs>
          <w:tab w:val="left" w:pos="1310"/>
        </w:tabs>
        <w:spacing w:line="480" w:lineRule="auto"/>
        <w:rPr>
          <w:rFonts w:ascii="Times New Roman Regular" w:hAnsi="Times New Roman Regular" w:cs="Times New Roman Regular"/>
          <w:color w:val="000000"/>
          <w:sz w:val="22"/>
          <w:szCs w:val="22"/>
        </w:rPr>
      </w:pPr>
      <w:r>
        <w:rPr>
          <w:rFonts w:ascii="Times New Roman Regular" w:hAnsi="Times New Roman Regular" w:cs="Times New Roman Regular"/>
          <w:color w:val="000000"/>
          <w:sz w:val="22"/>
          <w:szCs w:val="22"/>
        </w:rPr>
        <w:t>PSM: propensity score matching</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 w:name="Times New Roman Bold">
    <w:panose1 w:val="020206030504050203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B2F66"/>
    <w:rsid w:val="BF71310E"/>
    <w:rsid w:val="D7573EB0"/>
    <w:rsid w:val="DF0E86EB"/>
    <w:rsid w:val="DFFB2F66"/>
    <w:rsid w:val="F77F4962"/>
    <w:rsid w:val="FFCFA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iPriority w:val="0"/>
    <w:rPr>
      <w:color w:val="0000FF"/>
      <w:u w:val="single"/>
    </w:rPr>
  </w:style>
  <w:style w:type="character" w:customStyle="1" w:styleId="7">
    <w:name w:val="font11"/>
    <w:qFormat/>
    <w:uiPriority w:val="0"/>
    <w:rPr>
      <w:rFonts w:hint="eastAsia" w:ascii="宋体" w:hAnsi="宋体" w:eastAsia="宋体" w:cs="宋体"/>
      <w:b/>
      <w:bCs/>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Office_5.0.0.7550_F1E327BC-269C-435d-A152-05C5408002CA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2023-03-16T20:26:00Z</dcterms:created>
  <dc:creator>曾玮琳</dc:creator>
  <cp:lastModifiedBy>曾玮琳</cp:lastModifiedBy>
  <dcterms:modified xsi:type="dcterms:W3CDTF">2023-08-24T22:02:31Z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2052-5.0.0.7550</vt:lpwstr>
  </property>
  <property fmtid="{D5CDD505-2E9C-101B-9397-08002B2CF9AE}" pid="3" name="ICV">
    <vt:lpwstr>D46A11CA85D7E0A6F362E7641137ED89</vt:lpwstr>
  </property>
</Properties>
</file>