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A156C" w14:textId="77777777" w:rsidR="006A0489" w:rsidRPr="000066D0" w:rsidRDefault="006A0489" w:rsidP="006A0489">
      <w:pPr>
        <w:spacing w:line="360" w:lineRule="auto"/>
        <w:jc w:val="both"/>
        <w:rPr>
          <w:shd w:val="clear" w:color="auto" w:fill="FFFFFF"/>
          <w:lang w:val="en-US"/>
        </w:rPr>
      </w:pPr>
      <w:r w:rsidRPr="000066D0">
        <w:rPr>
          <w:shd w:val="clear" w:color="auto" w:fill="FFFFFF"/>
          <w:lang w:val="en-US"/>
        </w:rPr>
        <w:t xml:space="preserve">Supplementary material </w:t>
      </w:r>
    </w:p>
    <w:tbl>
      <w:tblPr>
        <w:tblStyle w:val="TableGrid"/>
        <w:tblW w:w="8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402"/>
        <w:gridCol w:w="2253"/>
      </w:tblGrid>
      <w:tr w:rsidR="006A0489" w:rsidRPr="000066D0" w14:paraId="3BAEBC5A" w14:textId="77777777" w:rsidTr="00655312">
        <w:trPr>
          <w:trHeight w:val="454"/>
        </w:trPr>
        <w:tc>
          <w:tcPr>
            <w:tcW w:w="8632" w:type="dxa"/>
            <w:gridSpan w:val="3"/>
            <w:tcBorders>
              <w:bottom w:val="single" w:sz="4" w:space="0" w:color="auto"/>
            </w:tcBorders>
            <w:vAlign w:val="center"/>
          </w:tcPr>
          <w:p w14:paraId="1A54A0EF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T</w:t>
            </w:r>
            <w:r w:rsidRPr="000066D0">
              <w:rPr>
                <w:sz w:val="20"/>
                <w:szCs w:val="20"/>
              </w:rPr>
              <w:t xml:space="preserve">able S1 </w:t>
            </w:r>
            <w:r w:rsidRPr="000066D0">
              <w:rPr>
                <w:sz w:val="20"/>
                <w:szCs w:val="20"/>
                <w:shd w:val="clear" w:color="auto" w:fill="FFFFFF"/>
              </w:rPr>
              <w:t>Variables Abstracted From Medical Records</w:t>
            </w:r>
            <w:r w:rsidRPr="000066D0" w:rsidDel="0055174C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6A0489" w:rsidRPr="000066D0" w14:paraId="60456120" w14:textId="77777777" w:rsidTr="00655312">
        <w:trPr>
          <w:trHeight w:val="454"/>
        </w:trPr>
        <w:tc>
          <w:tcPr>
            <w:tcW w:w="2977" w:type="dxa"/>
            <w:tcBorders>
              <w:top w:val="single" w:sz="4" w:space="0" w:color="auto"/>
            </w:tcBorders>
          </w:tcPr>
          <w:p w14:paraId="397CA622" w14:textId="77777777" w:rsidR="006A0489" w:rsidRPr="000066D0" w:rsidRDefault="006A0489" w:rsidP="00655312">
            <w:pPr>
              <w:jc w:val="center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Demographic Characteristics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DFE2D3B" w14:textId="77777777" w:rsidR="006A0489" w:rsidRPr="000066D0" w:rsidRDefault="006A0489" w:rsidP="00655312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Medical an Neuropsychological</w:t>
            </w:r>
          </w:p>
          <w:p w14:paraId="1B1A2A32" w14:textId="77777777" w:rsidR="006A0489" w:rsidRPr="000066D0" w:rsidRDefault="006A0489" w:rsidP="00655312">
            <w:pPr>
              <w:jc w:val="center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Characteristics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55D17A15" w14:textId="77777777" w:rsidR="006A0489" w:rsidRPr="000066D0" w:rsidRDefault="006A0489" w:rsidP="00655312">
            <w:pPr>
              <w:jc w:val="center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Genetic, clinical  and imaging tests</w:t>
            </w:r>
          </w:p>
        </w:tc>
      </w:tr>
      <w:tr w:rsidR="006A0489" w:rsidRPr="000066D0" w14:paraId="3102EDCA" w14:textId="77777777" w:rsidTr="00655312">
        <w:trPr>
          <w:trHeight w:val="454"/>
        </w:trPr>
        <w:tc>
          <w:tcPr>
            <w:tcW w:w="2977" w:type="dxa"/>
          </w:tcPr>
          <w:p w14:paraId="60ABFF3C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Age at diagnosis</w:t>
            </w:r>
          </w:p>
        </w:tc>
        <w:tc>
          <w:tcPr>
            <w:tcW w:w="3402" w:type="dxa"/>
          </w:tcPr>
          <w:p w14:paraId="416B8F3E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Dysmorphic features reported by clinician</w:t>
            </w:r>
          </w:p>
        </w:tc>
        <w:tc>
          <w:tcPr>
            <w:tcW w:w="2253" w:type="dxa"/>
          </w:tcPr>
          <w:p w14:paraId="56630D52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ADOS-2, ID, language alteration</w:t>
            </w:r>
          </w:p>
        </w:tc>
      </w:tr>
      <w:tr w:rsidR="006A0489" w:rsidRPr="000066D0" w14:paraId="34EFDCA4" w14:textId="77777777" w:rsidTr="00655312">
        <w:trPr>
          <w:trHeight w:val="454"/>
        </w:trPr>
        <w:tc>
          <w:tcPr>
            <w:tcW w:w="2977" w:type="dxa"/>
          </w:tcPr>
          <w:p w14:paraId="5869208B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Sex</w:t>
            </w:r>
          </w:p>
        </w:tc>
        <w:tc>
          <w:tcPr>
            <w:tcW w:w="3402" w:type="dxa"/>
          </w:tcPr>
          <w:p w14:paraId="54125D3F" w14:textId="77777777" w:rsidR="006A0489" w:rsidRPr="000066D0" w:rsidRDefault="006A0489" w:rsidP="00655312">
            <w:pPr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14:paraId="5F90112D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i/>
                <w:iCs/>
                <w:sz w:val="20"/>
                <w:szCs w:val="20"/>
                <w:shd w:val="clear" w:color="auto" w:fill="FFFFFF"/>
              </w:rPr>
              <w:t>Karyotype, X fragile, Mycroarray, exome</w:t>
            </w:r>
          </w:p>
        </w:tc>
      </w:tr>
      <w:tr w:rsidR="006A0489" w:rsidRPr="000066D0" w14:paraId="2917AD20" w14:textId="77777777" w:rsidTr="00655312">
        <w:trPr>
          <w:trHeight w:val="454"/>
        </w:trPr>
        <w:tc>
          <w:tcPr>
            <w:tcW w:w="2977" w:type="dxa"/>
          </w:tcPr>
          <w:p w14:paraId="70F04BA1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Demograpics (rural/urban)</w:t>
            </w:r>
          </w:p>
        </w:tc>
        <w:tc>
          <w:tcPr>
            <w:tcW w:w="3402" w:type="dxa"/>
          </w:tcPr>
          <w:p w14:paraId="4D924757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Epilepsy</w:t>
            </w:r>
          </w:p>
        </w:tc>
        <w:tc>
          <w:tcPr>
            <w:tcW w:w="2253" w:type="dxa"/>
          </w:tcPr>
          <w:p w14:paraId="7FC7A526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MRI</w:t>
            </w:r>
          </w:p>
        </w:tc>
      </w:tr>
      <w:tr w:rsidR="006A0489" w:rsidRPr="000066D0" w14:paraId="5C619A6C" w14:textId="77777777" w:rsidTr="00655312">
        <w:trPr>
          <w:trHeight w:val="454"/>
        </w:trPr>
        <w:tc>
          <w:tcPr>
            <w:tcW w:w="8632" w:type="dxa"/>
            <w:gridSpan w:val="3"/>
          </w:tcPr>
          <w:p w14:paraId="0C596418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  <w:shd w:val="clear" w:color="auto" w:fill="FFFFFF"/>
              </w:rPr>
              <w:t>ADOS-2: Autism Diagnostic Observation Schedule, Second Edition ; M</w:t>
            </w:r>
            <w:r w:rsidRPr="000066D0">
              <w:rPr>
                <w:sz w:val="20"/>
                <w:szCs w:val="20"/>
              </w:rPr>
              <w:t>RI</w:t>
            </w:r>
            <w:r w:rsidRPr="000066D0">
              <w:rPr>
                <w:sz w:val="20"/>
                <w:szCs w:val="20"/>
                <w:shd w:val="clear" w:color="auto" w:fill="FFFFFF"/>
              </w:rPr>
              <w:t>: Magnetic Resonance Imaging; ID: Intellectual disability</w:t>
            </w:r>
          </w:p>
        </w:tc>
      </w:tr>
    </w:tbl>
    <w:p w14:paraId="276E19CC" w14:textId="77777777" w:rsidR="006A0489" w:rsidRPr="000066D0" w:rsidRDefault="006A0489" w:rsidP="006A0489">
      <w:pPr>
        <w:spacing w:line="360" w:lineRule="auto"/>
        <w:jc w:val="both"/>
        <w:rPr>
          <w:shd w:val="clear" w:color="auto" w:fill="FFFFFF"/>
          <w:lang w:val="en-US"/>
        </w:rPr>
      </w:pPr>
    </w:p>
    <w:p w14:paraId="45E0648D" w14:textId="77777777" w:rsidR="006A0489" w:rsidRPr="000066D0" w:rsidRDefault="006A0489" w:rsidP="006A0489">
      <w:pPr>
        <w:spacing w:line="360" w:lineRule="auto"/>
        <w:jc w:val="both"/>
        <w:rPr>
          <w:shd w:val="clear" w:color="auto" w:fill="FFFFFF"/>
          <w:lang w:val="en-US"/>
        </w:rPr>
      </w:pP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670"/>
        <w:gridCol w:w="425"/>
      </w:tblGrid>
      <w:tr w:rsidR="006A0489" w:rsidRPr="000066D0" w14:paraId="629BDB7F" w14:textId="77777777" w:rsidTr="00655312">
        <w:tc>
          <w:tcPr>
            <w:tcW w:w="8784" w:type="dxa"/>
            <w:gridSpan w:val="3"/>
          </w:tcPr>
          <w:p w14:paraId="4C7E4CF7" w14:textId="77777777" w:rsidR="006A0489" w:rsidRPr="000066D0" w:rsidRDefault="006A0489" w:rsidP="00655312">
            <w:pPr>
              <w:pStyle w:val="CommentText"/>
              <w:rPr>
                <w:rFonts w:ascii="Times New Roman" w:hAnsi="Times New Roman" w:cs="Times New Roman"/>
              </w:rPr>
            </w:pPr>
            <w:r w:rsidRPr="000066D0">
              <w:rPr>
                <w:rFonts w:ascii="Times New Roman" w:hAnsi="Times New Roman" w:cs="Times New Roman"/>
              </w:rPr>
              <w:t xml:space="preserve">Table S2 MRI anomalies reported in patients with dysmophic features and/or organic comorbidities </w:t>
            </w:r>
          </w:p>
          <w:p w14:paraId="245B6E1C" w14:textId="77777777" w:rsidR="006A0489" w:rsidRPr="000066D0" w:rsidRDefault="006A0489" w:rsidP="00655312">
            <w:pPr>
              <w:jc w:val="right"/>
              <w:rPr>
                <w:sz w:val="20"/>
                <w:szCs w:val="20"/>
              </w:rPr>
            </w:pPr>
          </w:p>
        </w:tc>
      </w:tr>
      <w:tr w:rsidR="006A0489" w:rsidRPr="000066D0" w14:paraId="520B9570" w14:textId="77777777" w:rsidTr="00655312">
        <w:tc>
          <w:tcPr>
            <w:tcW w:w="2689" w:type="dxa"/>
          </w:tcPr>
          <w:p w14:paraId="1040813D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Nonspecific anomalies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15AABC6E" w14:textId="77777777" w:rsidR="006A0489" w:rsidRPr="000066D0" w:rsidRDefault="006A0489" w:rsidP="00655312">
            <w:pPr>
              <w:jc w:val="right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19</w:t>
            </w:r>
          </w:p>
        </w:tc>
      </w:tr>
      <w:tr w:rsidR="006A0489" w:rsidRPr="000066D0" w14:paraId="5C621240" w14:textId="77777777" w:rsidTr="00655312">
        <w:tc>
          <w:tcPr>
            <w:tcW w:w="2689" w:type="dxa"/>
          </w:tcPr>
          <w:p w14:paraId="2170BC7C" w14:textId="77777777" w:rsidR="006A0489" w:rsidRPr="000066D0" w:rsidRDefault="006A0489" w:rsidP="00655312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CFBAFDE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Hyperintense white matter signal foci: delayed myelination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E96DB25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9</w:t>
            </w:r>
          </w:p>
        </w:tc>
      </w:tr>
      <w:tr w:rsidR="006A0489" w:rsidRPr="000066D0" w14:paraId="3DE63914" w14:textId="77777777" w:rsidTr="00655312">
        <w:tc>
          <w:tcPr>
            <w:tcW w:w="2689" w:type="dxa"/>
          </w:tcPr>
          <w:p w14:paraId="39630C19" w14:textId="77777777" w:rsidR="006A0489" w:rsidRPr="000066D0" w:rsidRDefault="006A0489" w:rsidP="00655312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27D3F5AC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Choroid plexus cysts</w:t>
            </w:r>
          </w:p>
        </w:tc>
        <w:tc>
          <w:tcPr>
            <w:tcW w:w="425" w:type="dxa"/>
          </w:tcPr>
          <w:p w14:paraId="0984921E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2</w:t>
            </w:r>
          </w:p>
        </w:tc>
      </w:tr>
      <w:tr w:rsidR="006A0489" w:rsidRPr="000066D0" w14:paraId="63F134D6" w14:textId="77777777" w:rsidTr="00655312">
        <w:tc>
          <w:tcPr>
            <w:tcW w:w="2689" w:type="dxa"/>
          </w:tcPr>
          <w:p w14:paraId="4428863D" w14:textId="77777777" w:rsidR="006A0489" w:rsidRPr="000066D0" w:rsidRDefault="006A0489" w:rsidP="00655312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61B2A10F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Left hippocampal malrotation</w:t>
            </w:r>
          </w:p>
        </w:tc>
        <w:tc>
          <w:tcPr>
            <w:tcW w:w="425" w:type="dxa"/>
          </w:tcPr>
          <w:p w14:paraId="1CD9A08E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2</w:t>
            </w:r>
          </w:p>
        </w:tc>
      </w:tr>
      <w:tr w:rsidR="006A0489" w:rsidRPr="000066D0" w14:paraId="0C303DB3" w14:textId="77777777" w:rsidTr="00655312">
        <w:tc>
          <w:tcPr>
            <w:tcW w:w="2689" w:type="dxa"/>
          </w:tcPr>
          <w:p w14:paraId="3784D9FF" w14:textId="77777777" w:rsidR="006A0489" w:rsidRPr="000066D0" w:rsidRDefault="006A0489" w:rsidP="00655312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EABE6D2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Megacysterna magna</w:t>
            </w:r>
          </w:p>
        </w:tc>
        <w:tc>
          <w:tcPr>
            <w:tcW w:w="425" w:type="dxa"/>
          </w:tcPr>
          <w:p w14:paraId="23C308AB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4</w:t>
            </w:r>
          </w:p>
        </w:tc>
      </w:tr>
      <w:tr w:rsidR="006A0489" w:rsidRPr="000066D0" w14:paraId="6921B344" w14:textId="77777777" w:rsidTr="00655312">
        <w:tc>
          <w:tcPr>
            <w:tcW w:w="2689" w:type="dxa"/>
          </w:tcPr>
          <w:p w14:paraId="31BBAAA2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Significant alterations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078DE1F2" w14:textId="77777777" w:rsidR="006A0489" w:rsidRPr="000066D0" w:rsidRDefault="006A0489" w:rsidP="00655312">
            <w:pPr>
              <w:rPr>
                <w:sz w:val="20"/>
                <w:szCs w:val="20"/>
              </w:rPr>
            </w:pPr>
          </w:p>
        </w:tc>
      </w:tr>
      <w:tr w:rsidR="006A0489" w:rsidRPr="000066D0" w14:paraId="3F8031CE" w14:textId="77777777" w:rsidTr="00655312">
        <w:tc>
          <w:tcPr>
            <w:tcW w:w="2689" w:type="dxa"/>
            <w:tcBorders>
              <w:bottom w:val="single" w:sz="4" w:space="0" w:color="auto"/>
            </w:tcBorders>
          </w:tcPr>
          <w:p w14:paraId="4CE713F0" w14:textId="77777777" w:rsidR="006A0489" w:rsidRPr="000066D0" w:rsidRDefault="006A0489" w:rsidP="00655312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7F4CF07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Old ventricular hemorrhage, leukoencephalomalacia</w:t>
            </w:r>
            <w:r w:rsidRPr="000066D0" w:rsidDel="009A48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5B72E83" w14:textId="77777777" w:rsidR="006A0489" w:rsidRPr="000066D0" w:rsidRDefault="006A0489" w:rsidP="00655312">
            <w:pPr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2</w:t>
            </w:r>
          </w:p>
        </w:tc>
      </w:tr>
    </w:tbl>
    <w:p w14:paraId="340379FD" w14:textId="77777777" w:rsidR="006A0489" w:rsidRPr="000066D0" w:rsidRDefault="006A0489" w:rsidP="006A0489">
      <w:pPr>
        <w:spacing w:line="360" w:lineRule="auto"/>
        <w:jc w:val="both"/>
        <w:rPr>
          <w:shd w:val="clear" w:color="auto" w:fill="FFFFFF"/>
          <w:lang w:val="en-US"/>
        </w:rPr>
      </w:pPr>
    </w:p>
    <w:p w14:paraId="046BA3B3" w14:textId="77777777" w:rsidR="006A0489" w:rsidRPr="000066D0" w:rsidRDefault="006A0489" w:rsidP="006A0489">
      <w:pPr>
        <w:spacing w:line="360" w:lineRule="auto"/>
        <w:jc w:val="both"/>
        <w:rPr>
          <w:shd w:val="clear" w:color="auto" w:fill="FFFFFF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7"/>
        <w:gridCol w:w="6423"/>
      </w:tblGrid>
      <w:tr w:rsidR="006A0489" w:rsidRPr="000066D0" w14:paraId="61C42059" w14:textId="77777777" w:rsidTr="00655312">
        <w:tc>
          <w:tcPr>
            <w:tcW w:w="0" w:type="auto"/>
            <w:gridSpan w:val="2"/>
          </w:tcPr>
          <w:p w14:paraId="3073B3C4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 xml:space="preserve">Table S3. Genetic Databases used </w:t>
            </w:r>
          </w:p>
        </w:tc>
      </w:tr>
      <w:tr w:rsidR="006A0489" w:rsidRPr="000066D0" w14:paraId="6B038E0B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3C19CE60" w14:textId="77777777" w:rsidR="006A0489" w:rsidRPr="000066D0" w:rsidRDefault="006A0489" w:rsidP="0065531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Database Name</w:t>
            </w:r>
          </w:p>
        </w:tc>
        <w:tc>
          <w:tcPr>
            <w:tcW w:w="0" w:type="auto"/>
            <w:hideMark/>
          </w:tcPr>
          <w:p w14:paraId="450EFCC3" w14:textId="77777777" w:rsidR="006A0489" w:rsidRPr="000066D0" w:rsidRDefault="006A0489" w:rsidP="0065531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Description</w:t>
            </w:r>
          </w:p>
        </w:tc>
      </w:tr>
      <w:tr w:rsidR="006A0489" w:rsidRPr="000066D0" w14:paraId="5673B7FC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026D2799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DECIPHER</w:t>
            </w:r>
          </w:p>
        </w:tc>
        <w:tc>
          <w:tcPr>
            <w:tcW w:w="0" w:type="auto"/>
            <w:hideMark/>
          </w:tcPr>
          <w:p w14:paraId="3094C5C4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Database of Chromosomal Imbalance and Phenotype in Humans Using Ensembl Resources</w:t>
            </w:r>
          </w:p>
        </w:tc>
      </w:tr>
      <w:tr w:rsidR="006A0489" w:rsidRPr="000066D0" w14:paraId="2AF34162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30662FD7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ClinVar</w:t>
            </w:r>
          </w:p>
        </w:tc>
        <w:tc>
          <w:tcPr>
            <w:tcW w:w="0" w:type="auto"/>
            <w:hideMark/>
          </w:tcPr>
          <w:p w14:paraId="5B461728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Archive of reports on relationships among human variations and phenotypes, with a focus on clinical significance</w:t>
            </w:r>
          </w:p>
        </w:tc>
      </w:tr>
      <w:tr w:rsidR="006A0489" w:rsidRPr="000066D0" w14:paraId="611B0A5F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51201D00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SFARI</w:t>
            </w:r>
          </w:p>
        </w:tc>
        <w:tc>
          <w:tcPr>
            <w:tcW w:w="0" w:type="auto"/>
            <w:hideMark/>
          </w:tcPr>
          <w:p w14:paraId="58055F04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Simons Foundation Autism Research Initiative - Resource for autism research community</w:t>
            </w:r>
          </w:p>
        </w:tc>
      </w:tr>
      <w:tr w:rsidR="006A0489" w:rsidRPr="000066D0" w14:paraId="43D39968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6569CA42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GenoGlyphix (PerkinElmer)</w:t>
            </w:r>
          </w:p>
        </w:tc>
        <w:tc>
          <w:tcPr>
            <w:tcW w:w="0" w:type="auto"/>
            <w:hideMark/>
          </w:tcPr>
          <w:p w14:paraId="26812776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Tool for visualizing and interpreting genomic data provided by PerkinElmer</w:t>
            </w:r>
          </w:p>
        </w:tc>
      </w:tr>
      <w:tr w:rsidR="006A0489" w:rsidRPr="000066D0" w14:paraId="22422EF7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27B105D2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DGV (Database of Genomic Variants)</w:t>
            </w:r>
          </w:p>
        </w:tc>
        <w:tc>
          <w:tcPr>
            <w:tcW w:w="0" w:type="auto"/>
            <w:hideMark/>
          </w:tcPr>
          <w:p w14:paraId="4D39175D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Catalog of structural variations in the human genome</w:t>
            </w:r>
          </w:p>
        </w:tc>
      </w:tr>
      <w:tr w:rsidR="006A0489" w:rsidRPr="000066D0" w14:paraId="25182EB5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60108DF3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Dosage Sensitivity ClinGen</w:t>
            </w:r>
          </w:p>
        </w:tc>
        <w:tc>
          <w:tcPr>
            <w:tcW w:w="0" w:type="auto"/>
            <w:hideMark/>
          </w:tcPr>
          <w:p w14:paraId="76228368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Part of ClinGen project, focuses on curating and interpreting dosage sensitivity information for genes</w:t>
            </w:r>
          </w:p>
        </w:tc>
      </w:tr>
      <w:tr w:rsidR="006A0489" w:rsidRPr="000066D0" w14:paraId="7EE704F7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2BC4AE65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ISCA</w:t>
            </w:r>
          </w:p>
        </w:tc>
        <w:tc>
          <w:tcPr>
            <w:tcW w:w="0" w:type="auto"/>
            <w:hideMark/>
          </w:tcPr>
          <w:p w14:paraId="33632DF6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International Standards for Cytogenomic Arrays - Database for curated and standardized genomic variant information</w:t>
            </w:r>
          </w:p>
        </w:tc>
      </w:tr>
      <w:tr w:rsidR="006A0489" w:rsidRPr="000066D0" w14:paraId="3E51F64C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7FB66652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lastRenderedPageBreak/>
              <w:t>HGMD</w:t>
            </w:r>
          </w:p>
        </w:tc>
        <w:tc>
          <w:tcPr>
            <w:tcW w:w="0" w:type="auto"/>
            <w:hideMark/>
          </w:tcPr>
          <w:p w14:paraId="13805BE4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Human Gene Mutation Database - Collection of information on human gene mutations associated with inherited diseases</w:t>
            </w:r>
          </w:p>
        </w:tc>
      </w:tr>
      <w:tr w:rsidR="006A0489" w:rsidRPr="000066D0" w14:paraId="5A3B6674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69628B7D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Autism Chromosome Rearrangement Database</w:t>
            </w:r>
          </w:p>
        </w:tc>
        <w:tc>
          <w:tcPr>
            <w:tcW w:w="0" w:type="auto"/>
            <w:hideMark/>
          </w:tcPr>
          <w:p w14:paraId="048E1800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Database dedicated to cataloging and curating chromosomal rearrangements associated with autism spectrum disorders</w:t>
            </w:r>
          </w:p>
        </w:tc>
      </w:tr>
      <w:tr w:rsidR="006A0489" w:rsidRPr="000066D0" w14:paraId="75E2A765" w14:textId="77777777" w:rsidTr="006553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hideMark/>
          </w:tcPr>
          <w:p w14:paraId="33D661A8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gnomAD</w:t>
            </w:r>
          </w:p>
        </w:tc>
        <w:tc>
          <w:tcPr>
            <w:tcW w:w="0" w:type="auto"/>
            <w:hideMark/>
          </w:tcPr>
          <w:p w14:paraId="426D4AFD" w14:textId="77777777" w:rsidR="006A0489" w:rsidRPr="000066D0" w:rsidRDefault="006A0489" w:rsidP="00655312">
            <w:pPr>
              <w:spacing w:line="360" w:lineRule="auto"/>
              <w:rPr>
                <w:sz w:val="20"/>
                <w:szCs w:val="20"/>
              </w:rPr>
            </w:pPr>
            <w:r w:rsidRPr="000066D0">
              <w:rPr>
                <w:sz w:val="20"/>
                <w:szCs w:val="20"/>
              </w:rPr>
              <w:t>Genome Aggregation Database - Large-scale genome and exome database aggregating genetic variation data</w:t>
            </w:r>
          </w:p>
        </w:tc>
      </w:tr>
    </w:tbl>
    <w:p w14:paraId="133CC594" w14:textId="77777777" w:rsidR="006A0489" w:rsidRPr="000066D0" w:rsidRDefault="006A0489" w:rsidP="006A0489">
      <w:pPr>
        <w:spacing w:line="360" w:lineRule="auto"/>
        <w:jc w:val="both"/>
        <w:rPr>
          <w:shd w:val="clear" w:color="auto" w:fill="FFFFFF"/>
          <w:lang w:val="en-US"/>
        </w:rPr>
      </w:pPr>
    </w:p>
    <w:p w14:paraId="1D748A39" w14:textId="77777777" w:rsidR="006A0489" w:rsidRPr="000066D0" w:rsidRDefault="006A0489" w:rsidP="006A0489">
      <w:pPr>
        <w:spacing w:line="360" w:lineRule="auto"/>
        <w:jc w:val="both"/>
        <w:rPr>
          <w:shd w:val="clear" w:color="auto" w:fill="FFFFFF"/>
          <w:lang w:val="en-US"/>
        </w:rPr>
      </w:pPr>
    </w:p>
    <w:p w14:paraId="1EA62357" w14:textId="77777777" w:rsidR="00CA67E5" w:rsidRDefault="006A0489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89"/>
    <w:rsid w:val="00342DA6"/>
    <w:rsid w:val="005868F4"/>
    <w:rsid w:val="006A0489"/>
    <w:rsid w:val="00703469"/>
    <w:rsid w:val="00753CA0"/>
    <w:rsid w:val="007D23AF"/>
    <w:rsid w:val="0090563E"/>
    <w:rsid w:val="00AA3094"/>
    <w:rsid w:val="00AC3DA1"/>
    <w:rsid w:val="00AD5955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AF89"/>
  <w15:chartTrackingRefBased/>
  <w15:docId w15:val="{30C478A2-D56F-45BC-868B-E08EE888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6A0489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489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6A048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Company>Springer Nature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2023-11-21T10:15:00Z</dcterms:created>
  <dcterms:modified xsi:type="dcterms:W3CDTF">2023-11-21T10:15:00Z</dcterms:modified>
</cp:coreProperties>
</file>