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26A05" w:rsidTr="009B1F3C">
        <w:tc>
          <w:tcPr>
            <w:tcW w:w="9350" w:type="dxa"/>
          </w:tcPr>
          <w:p w:rsidR="00641591" w:rsidRDefault="007E75EA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8pt;height:269.2pt">
                  <v:imagedata r:id="rId4" o:title="fig_s1_boxplot_SMOC1"/>
                </v:shape>
              </w:pict>
            </w:r>
          </w:p>
        </w:tc>
      </w:tr>
      <w:tr w:rsidR="00026A05" w:rsidTr="009B1F3C">
        <w:tc>
          <w:tcPr>
            <w:tcW w:w="9350" w:type="dxa"/>
          </w:tcPr>
          <w:p w:rsidR="00026A05" w:rsidRDefault="00641591" w:rsidP="00744495">
            <w:pPr>
              <w:jc w:val="both"/>
            </w:pPr>
            <w:r w:rsidRPr="007F33C8">
              <w:rPr>
                <w:b/>
                <w:sz w:val="20"/>
              </w:rPr>
              <w:t>Supplementary Figure 1: Protein expression level across different AT strata.</w:t>
            </w:r>
            <w:r w:rsidRPr="007F33C8">
              <w:rPr>
                <w:sz w:val="20"/>
              </w:rPr>
              <w:t xml:space="preserve"> CSF proteomic abundance of an AD-</w:t>
            </w:r>
            <w:r w:rsidR="00B46B4B">
              <w:rPr>
                <w:sz w:val="20"/>
              </w:rPr>
              <w:t>bio</w:t>
            </w:r>
            <w:r w:rsidRPr="007F33C8">
              <w:rPr>
                <w:sz w:val="20"/>
              </w:rPr>
              <w:t>marker protein (SMOC1) across different AT groups (A-T-, A+T-, and A+T+) in Stage1 (Knight ADRC and FACE) and Stage2 cohorts (ADNI and Barcelona-1)</w:t>
            </w:r>
            <w:r w:rsidR="009B1F3C">
              <w:rPr>
                <w:sz w:val="20"/>
              </w:rPr>
              <w:t>.</w:t>
            </w:r>
          </w:p>
        </w:tc>
      </w:tr>
    </w:tbl>
    <w:p w:rsidR="007F33C8" w:rsidRDefault="007F33C8"/>
    <w:p w:rsidR="00641591" w:rsidRDefault="0064159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641591" w:rsidTr="009B1F3C">
        <w:tc>
          <w:tcPr>
            <w:tcW w:w="9350" w:type="dxa"/>
          </w:tcPr>
          <w:p w:rsidR="00641591" w:rsidRDefault="00B64685" w:rsidP="009B1F3C">
            <w:pPr>
              <w:jc w:val="center"/>
            </w:pPr>
            <w:r>
              <w:lastRenderedPageBreak/>
              <w:pict>
                <v:shape id="_x0000_i1026" type="#_x0000_t75" style="width:460.8pt;height:175.95pt">
                  <v:imagedata r:id="rId5" o:title="fig_s2_corrplot_estimate_pval"/>
                </v:shape>
              </w:pict>
            </w:r>
          </w:p>
        </w:tc>
      </w:tr>
      <w:tr w:rsidR="00641591" w:rsidTr="009B1F3C">
        <w:tc>
          <w:tcPr>
            <w:tcW w:w="9350" w:type="dxa"/>
          </w:tcPr>
          <w:p w:rsidR="00641591" w:rsidRPr="00744495" w:rsidRDefault="003F5346" w:rsidP="00744495">
            <w:pPr>
              <w:jc w:val="both"/>
              <w:rPr>
                <w:sz w:val="20"/>
              </w:rPr>
            </w:pPr>
            <w:bookmarkStart w:id="0" w:name="OLE_LINK3"/>
            <w:bookmarkStart w:id="1" w:name="OLE_LINK4"/>
            <w:bookmarkStart w:id="2" w:name="OLE_LINK1"/>
            <w:bookmarkStart w:id="3" w:name="OLE_LINK2"/>
            <w:r w:rsidRPr="007F33C8">
              <w:rPr>
                <w:b/>
                <w:sz w:val="20"/>
              </w:rPr>
              <w:t xml:space="preserve">Supplementary Figure 2: </w:t>
            </w:r>
            <w:bookmarkEnd w:id="0"/>
            <w:bookmarkEnd w:id="1"/>
            <w:r w:rsidRPr="007F33C8">
              <w:rPr>
                <w:b/>
                <w:sz w:val="20"/>
              </w:rPr>
              <w:t>Replication in external dataset (Stanford ADRC)</w:t>
            </w:r>
            <w:r w:rsidRPr="009B1F3C">
              <w:rPr>
                <w:b/>
                <w:sz w:val="20"/>
              </w:rPr>
              <w:t>.</w:t>
            </w:r>
            <w:bookmarkEnd w:id="2"/>
            <w:bookmarkEnd w:id="3"/>
            <w:r w:rsidRPr="007F33C8">
              <w:rPr>
                <w:sz w:val="20"/>
              </w:rPr>
              <w:t xml:space="preserve"> Correlation of </w:t>
            </w:r>
            <w:r w:rsidR="00D910F2">
              <w:rPr>
                <w:sz w:val="20"/>
              </w:rPr>
              <w:t xml:space="preserve">unadjusted </w:t>
            </w:r>
            <w:r w:rsidRPr="007F33C8">
              <w:rPr>
                <w:sz w:val="20"/>
              </w:rPr>
              <w:t>P-values (A) and Estimates (B) for proteins (N=577) that are altered between A-T- and A+T+ individuals in the stage1+2 meta-analysis (P-</w:t>
            </w:r>
            <w:proofErr w:type="spellStart"/>
            <w:r w:rsidRPr="007F33C8">
              <w:rPr>
                <w:sz w:val="20"/>
              </w:rPr>
              <w:t>Bonf</w:t>
            </w:r>
            <w:proofErr w:type="spellEnd"/>
            <w:r w:rsidRPr="007F33C8">
              <w:rPr>
                <w:sz w:val="20"/>
              </w:rPr>
              <w:t xml:space="preserve"> &lt; 0.05) and Stanford ADRC cohort (P &lt; 0.05; Stanford)</w:t>
            </w:r>
            <w:r w:rsidR="009B1F3C">
              <w:rPr>
                <w:sz w:val="20"/>
              </w:rPr>
              <w:t>.</w:t>
            </w:r>
            <w:r w:rsidR="00D910F2">
              <w:rPr>
                <w:sz w:val="20"/>
              </w:rPr>
              <w:t xml:space="preserve"> Both estimates and p-values </w:t>
            </w:r>
            <w:proofErr w:type="gramStart"/>
            <w:r w:rsidR="00D910F2">
              <w:rPr>
                <w:sz w:val="20"/>
              </w:rPr>
              <w:t>have been transformed</w:t>
            </w:r>
            <w:proofErr w:type="gramEnd"/>
            <w:r w:rsidR="00D910F2">
              <w:rPr>
                <w:sz w:val="20"/>
              </w:rPr>
              <w:t xml:space="preserve"> to log10 scale.</w:t>
            </w:r>
          </w:p>
        </w:tc>
      </w:tr>
    </w:tbl>
    <w:p w:rsidR="007F33C8" w:rsidRDefault="007F33C8"/>
    <w:p w:rsidR="003F5346" w:rsidRDefault="003F534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F5346" w:rsidTr="009B1F3C">
        <w:tc>
          <w:tcPr>
            <w:tcW w:w="9350" w:type="dxa"/>
          </w:tcPr>
          <w:p w:rsidR="003F5346" w:rsidRDefault="00B64685">
            <w:r>
              <w:lastRenderedPageBreak/>
              <w:pict>
                <v:shape id="_x0000_i1027" type="#_x0000_t75" style="width:452.65pt;height:278.6pt">
                  <v:imagedata r:id="rId6" o:title="fig_s3_PredModel_COAsympADCDR"/>
                </v:shape>
              </w:pict>
            </w:r>
          </w:p>
        </w:tc>
      </w:tr>
      <w:tr w:rsidR="003F5346" w:rsidTr="009B1F3C">
        <w:tc>
          <w:tcPr>
            <w:tcW w:w="9350" w:type="dxa"/>
          </w:tcPr>
          <w:p w:rsidR="003F5346" w:rsidRPr="007F33C8" w:rsidRDefault="003F5346" w:rsidP="00744495">
            <w:pPr>
              <w:jc w:val="both"/>
              <w:rPr>
                <w:sz w:val="20"/>
                <w:szCs w:val="20"/>
              </w:rPr>
            </w:pPr>
            <w:r w:rsidRPr="00501F88">
              <w:rPr>
                <w:b/>
                <w:sz w:val="20"/>
                <w:szCs w:val="20"/>
              </w:rPr>
              <w:t>Supplementary Figure 3: Perfor</w:t>
            </w:r>
            <w:r w:rsidR="00501F88" w:rsidRPr="00501F88">
              <w:rPr>
                <w:b/>
                <w:sz w:val="20"/>
                <w:szCs w:val="20"/>
              </w:rPr>
              <w:t xml:space="preserve">mance of AD prediction model. </w:t>
            </w:r>
            <w:r w:rsidR="00501F88">
              <w:rPr>
                <w:sz w:val="20"/>
                <w:szCs w:val="20"/>
              </w:rPr>
              <w:t>Performance of 11</w:t>
            </w:r>
            <w:r w:rsidR="00501F88" w:rsidRPr="00501F88">
              <w:rPr>
                <w:sz w:val="20"/>
                <w:szCs w:val="20"/>
              </w:rPr>
              <w:t xml:space="preserve"> </w:t>
            </w:r>
            <w:proofErr w:type="spellStart"/>
            <w:r w:rsidR="00501F88" w:rsidRPr="00501F88">
              <w:rPr>
                <w:sz w:val="20"/>
                <w:szCs w:val="20"/>
              </w:rPr>
              <w:t>analytes</w:t>
            </w:r>
            <w:proofErr w:type="spellEnd"/>
            <w:r w:rsidR="00501F88" w:rsidRPr="00501F88">
              <w:rPr>
                <w:sz w:val="20"/>
                <w:szCs w:val="20"/>
              </w:rPr>
              <w:t xml:space="preserve"> AD prediction model in </w:t>
            </w:r>
            <w:r w:rsidR="00501F88">
              <w:rPr>
                <w:sz w:val="20"/>
                <w:szCs w:val="20"/>
              </w:rPr>
              <w:t xml:space="preserve">distinguishing healthy controls from A) early-stage (A-T- vs. A+T-), B) </w:t>
            </w:r>
            <w:r w:rsidR="00501F88" w:rsidRPr="00501F88">
              <w:rPr>
                <w:sz w:val="20"/>
                <w:szCs w:val="20"/>
              </w:rPr>
              <w:t>late-stage (A+T- vs. A+T+)</w:t>
            </w:r>
            <w:r w:rsidR="00501F88">
              <w:rPr>
                <w:sz w:val="20"/>
                <w:szCs w:val="20"/>
              </w:rPr>
              <w:t xml:space="preserve"> AD individuals, and at</w:t>
            </w:r>
            <w:r w:rsidR="00501F88" w:rsidRPr="00501F88">
              <w:rPr>
                <w:sz w:val="20"/>
                <w:szCs w:val="20"/>
              </w:rPr>
              <w:t xml:space="preserve"> different CDR-scales (CDR 0 vs. 0.5, CDR 0 vs. &gt;0.5, and CDR 0.5 vs. &gt;0.5)</w:t>
            </w:r>
            <w:r w:rsidR="00501F88">
              <w:rPr>
                <w:sz w:val="20"/>
                <w:szCs w:val="20"/>
              </w:rPr>
              <w:t>. D) Different model performance measures (</w:t>
            </w:r>
            <w:r w:rsidR="007F33C8">
              <w:rPr>
                <w:sz w:val="20"/>
                <w:szCs w:val="20"/>
              </w:rPr>
              <w:t xml:space="preserve">e.g. </w:t>
            </w:r>
            <w:r w:rsidR="00501F88">
              <w:rPr>
                <w:sz w:val="20"/>
                <w:szCs w:val="20"/>
              </w:rPr>
              <w:t xml:space="preserve">AUC, NPV, </w:t>
            </w:r>
            <w:proofErr w:type="gramStart"/>
            <w:r w:rsidR="00501F88">
              <w:rPr>
                <w:sz w:val="20"/>
                <w:szCs w:val="20"/>
              </w:rPr>
              <w:t>PPV</w:t>
            </w:r>
            <w:proofErr w:type="gramEnd"/>
            <w:r w:rsidR="00501F88">
              <w:rPr>
                <w:sz w:val="20"/>
                <w:szCs w:val="20"/>
              </w:rPr>
              <w:t xml:space="preserve">) for the </w:t>
            </w:r>
            <w:r w:rsidR="007F33C8">
              <w:rPr>
                <w:sz w:val="20"/>
                <w:szCs w:val="20"/>
              </w:rPr>
              <w:t xml:space="preserve">tested prediction </w:t>
            </w:r>
            <w:r w:rsidR="00501F88">
              <w:rPr>
                <w:sz w:val="20"/>
                <w:szCs w:val="20"/>
              </w:rPr>
              <w:t>models.</w:t>
            </w:r>
          </w:p>
        </w:tc>
      </w:tr>
    </w:tbl>
    <w:p w:rsidR="00C113E0" w:rsidRDefault="00C113E0"/>
    <w:p w:rsidR="00C113E0" w:rsidRDefault="00C113E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13E0" w:rsidTr="00C113E0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13E0" w:rsidRDefault="00C113E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62250" cy="3209925"/>
                  <wp:effectExtent l="0" t="0" r="0" b="9525"/>
                  <wp:docPr id="2" name="Picture 2" descr="fig_s5_boxplot_cdr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g_s5_boxplot_cdr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3E0" w:rsidTr="00C113E0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13E0" w:rsidRDefault="00C113E0">
            <w:pPr>
              <w:jc w:val="both"/>
            </w:pPr>
            <w:r>
              <w:rPr>
                <w:b/>
                <w:sz w:val="20"/>
              </w:rPr>
              <w:t>Supplementary Figure 4: Change of CDR-SB across proteomic signature (biomarker) positive and negative individuals.</w:t>
            </w:r>
            <w:r>
              <w:rPr>
                <w:sz w:val="20"/>
              </w:rPr>
              <w:t xml:space="preserve"> A boxplot showing the difference in the rate of disease progression (CDR-SB) between predicted biomarker–positive and –negative individuals.</w:t>
            </w:r>
          </w:p>
        </w:tc>
      </w:tr>
    </w:tbl>
    <w:p w:rsidR="00A16D78" w:rsidRDefault="007E75EA"/>
    <w:p w:rsidR="007F33C8" w:rsidRDefault="007F33C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F33C8" w:rsidTr="009B1F3C">
        <w:tc>
          <w:tcPr>
            <w:tcW w:w="9350" w:type="dxa"/>
          </w:tcPr>
          <w:p w:rsidR="007F33C8" w:rsidRDefault="007E75EA">
            <w:r>
              <w:lastRenderedPageBreak/>
              <w:pict>
                <v:shape id="_x0000_i1028" type="#_x0000_t75" style="width:467.05pt;height:178.45pt">
                  <v:imagedata r:id="rId8" o:title="fig_s4_survival_analysis_ageSex"/>
                </v:shape>
              </w:pict>
            </w:r>
          </w:p>
        </w:tc>
      </w:tr>
      <w:tr w:rsidR="007F33C8" w:rsidTr="009B1F3C">
        <w:tc>
          <w:tcPr>
            <w:tcW w:w="9350" w:type="dxa"/>
          </w:tcPr>
          <w:p w:rsidR="007F33C8" w:rsidRDefault="007F33C8" w:rsidP="00744495">
            <w:pPr>
              <w:jc w:val="both"/>
            </w:pPr>
            <w:r w:rsidRPr="00744495">
              <w:rPr>
                <w:b/>
                <w:sz w:val="20"/>
              </w:rPr>
              <w:t>Supplement</w:t>
            </w:r>
            <w:r w:rsidR="009B1F3C">
              <w:rPr>
                <w:b/>
                <w:sz w:val="20"/>
              </w:rPr>
              <w:t xml:space="preserve">ary Figure </w:t>
            </w:r>
            <w:r w:rsidR="00C113E0">
              <w:rPr>
                <w:b/>
                <w:sz w:val="20"/>
              </w:rPr>
              <w:t>5</w:t>
            </w:r>
            <w:r w:rsidRPr="00744495">
              <w:rPr>
                <w:b/>
                <w:sz w:val="20"/>
              </w:rPr>
              <w:t>: Effect of covariates (age and sex) on probability for not developing AD</w:t>
            </w:r>
            <w:r w:rsidRPr="009B1F3C">
              <w:rPr>
                <w:b/>
                <w:sz w:val="20"/>
              </w:rPr>
              <w:t>.</w:t>
            </w:r>
            <w:r w:rsidRPr="00744495">
              <w:rPr>
                <w:sz w:val="20"/>
              </w:rPr>
              <w:t xml:space="preserve"> Cox-Proportional Hazards Model using sex (A) and age (B) as covariates.</w:t>
            </w:r>
          </w:p>
        </w:tc>
      </w:tr>
    </w:tbl>
    <w:p w:rsidR="007F33C8" w:rsidRDefault="007F33C8"/>
    <w:p w:rsidR="007F33C8" w:rsidRDefault="007F33C8">
      <w:r>
        <w:br w:type="page"/>
      </w:r>
    </w:p>
    <w:p w:rsidR="0095636B" w:rsidRDefault="0095636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44495" w:rsidTr="009B1F3C">
        <w:tc>
          <w:tcPr>
            <w:tcW w:w="9350" w:type="dxa"/>
          </w:tcPr>
          <w:p w:rsidR="00744495" w:rsidRDefault="007E75EA" w:rsidP="00744495">
            <w:pPr>
              <w:jc w:val="center"/>
            </w:pPr>
            <w:r>
              <w:pict>
                <v:shape id="_x0000_i1029" type="#_x0000_t75" style="width:457.65pt;height:572.25pt">
                  <v:imagedata r:id="rId9" o:title="fig_s6_pathway_enrichment_DEPs"/>
                </v:shape>
              </w:pict>
            </w:r>
          </w:p>
        </w:tc>
      </w:tr>
      <w:tr w:rsidR="00744495" w:rsidTr="009B1F3C">
        <w:tc>
          <w:tcPr>
            <w:tcW w:w="9350" w:type="dxa"/>
          </w:tcPr>
          <w:p w:rsidR="00744495" w:rsidRPr="00744495" w:rsidRDefault="009B1F3C" w:rsidP="00744495">
            <w:pPr>
              <w:jc w:val="both"/>
              <w:rPr>
                <w:sz w:val="20"/>
              </w:rPr>
            </w:pPr>
            <w:bookmarkStart w:id="4" w:name="OLE_LINK5"/>
            <w:bookmarkStart w:id="5" w:name="OLE_LINK6"/>
            <w:r>
              <w:rPr>
                <w:b/>
                <w:sz w:val="20"/>
              </w:rPr>
              <w:t xml:space="preserve">Supplementary Figure </w:t>
            </w:r>
            <w:r w:rsidR="00744495" w:rsidRPr="00744495">
              <w:rPr>
                <w:b/>
                <w:sz w:val="20"/>
              </w:rPr>
              <w:t>6: Pathway enrichment analysis for differentially expressed proteins</w:t>
            </w:r>
            <w:r w:rsidR="00744495" w:rsidRPr="00F861A4">
              <w:rPr>
                <w:b/>
                <w:sz w:val="20"/>
              </w:rPr>
              <w:t>.</w:t>
            </w:r>
            <w:r w:rsidR="00744495" w:rsidRPr="00744495">
              <w:rPr>
                <w:sz w:val="20"/>
              </w:rPr>
              <w:t xml:space="preserve"> </w:t>
            </w:r>
            <w:bookmarkEnd w:id="4"/>
            <w:bookmarkEnd w:id="5"/>
            <w:r w:rsidR="00744495" w:rsidRPr="00744495">
              <w:rPr>
                <w:sz w:val="20"/>
              </w:rPr>
              <w:t>Pathway enrichment analysis for complete set of unique proteins (N=2030) differentially abundant between A+T+ and controls A-T-. A) Disease ontology (DO) enrichment analysis, B) Gene Ontology (GO) Biological processes, C) Molecular functions, D) and cellular components.</w:t>
            </w:r>
          </w:p>
        </w:tc>
      </w:tr>
    </w:tbl>
    <w:p w:rsidR="00744495" w:rsidRDefault="0074449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6"/>
      </w:tblGrid>
      <w:tr w:rsidR="00744495" w:rsidTr="009B1F3C">
        <w:trPr>
          <w:trHeight w:val="9253"/>
        </w:trPr>
        <w:tc>
          <w:tcPr>
            <w:tcW w:w="8639" w:type="dxa"/>
          </w:tcPr>
          <w:p w:rsidR="00744495" w:rsidRDefault="007511AD" w:rsidP="007511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1804" cy="6555080"/>
                  <wp:effectExtent l="0" t="0" r="7620" b="0"/>
                  <wp:docPr id="1" name="Picture 1" descr="C:\Users\m.ali\AppData\Local\Microsoft\Windows\INetCache\Content.Word\fig_s6_pathway_kegg_reactome_DE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.ali\AppData\Local\Microsoft\Windows\INetCache\Content.Word\fig_s6_pathway_kegg_reactome_DE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980" cy="656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495" w:rsidTr="009B1F3C">
        <w:trPr>
          <w:trHeight w:val="206"/>
        </w:trPr>
        <w:tc>
          <w:tcPr>
            <w:tcW w:w="8639" w:type="dxa"/>
          </w:tcPr>
          <w:p w:rsidR="00744495" w:rsidRPr="0007170A" w:rsidRDefault="007511AD" w:rsidP="007511AD">
            <w:pPr>
              <w:jc w:val="both"/>
              <w:rPr>
                <w:b/>
                <w:sz w:val="20"/>
                <w:szCs w:val="20"/>
              </w:rPr>
            </w:pPr>
            <w:r w:rsidRPr="0007170A">
              <w:rPr>
                <w:b/>
                <w:sz w:val="20"/>
                <w:szCs w:val="20"/>
              </w:rPr>
              <w:t>Supplementar</w:t>
            </w:r>
            <w:r w:rsidR="009B1F3C">
              <w:rPr>
                <w:b/>
                <w:sz w:val="20"/>
                <w:szCs w:val="20"/>
              </w:rPr>
              <w:t xml:space="preserve">y Figure </w:t>
            </w:r>
            <w:r w:rsidRPr="0007170A">
              <w:rPr>
                <w:b/>
                <w:sz w:val="20"/>
                <w:szCs w:val="20"/>
              </w:rPr>
              <w:t xml:space="preserve">7: </w:t>
            </w:r>
            <w:bookmarkStart w:id="6" w:name="OLE_LINK9"/>
            <w:bookmarkStart w:id="7" w:name="OLE_LINK10"/>
            <w:r w:rsidR="0007170A" w:rsidRPr="0007170A">
              <w:rPr>
                <w:b/>
                <w:sz w:val="20"/>
                <w:szCs w:val="20"/>
              </w:rPr>
              <w:t>Over-representation analysis</w:t>
            </w:r>
            <w:bookmarkEnd w:id="6"/>
            <w:bookmarkEnd w:id="7"/>
            <w:r w:rsidR="0007170A" w:rsidRPr="0007170A">
              <w:rPr>
                <w:b/>
                <w:sz w:val="20"/>
                <w:szCs w:val="20"/>
              </w:rPr>
              <w:t xml:space="preserve"> using KEGG and REACTOME database. </w:t>
            </w:r>
            <w:r w:rsidRPr="0007170A">
              <w:rPr>
                <w:sz w:val="20"/>
                <w:szCs w:val="20"/>
              </w:rPr>
              <w:t xml:space="preserve">Pathway enrichment analysis for complete set of unique proteins (N=2030) differentially abundant between A+T+ and A-T-. </w:t>
            </w:r>
            <w:proofErr w:type="gramStart"/>
            <w:r w:rsidRPr="0007170A">
              <w:rPr>
                <w:sz w:val="20"/>
                <w:szCs w:val="20"/>
              </w:rPr>
              <w:t>A) KEGG pathway enrichment analysis, B) and interactions among those pathways.</w:t>
            </w:r>
            <w:proofErr w:type="gramEnd"/>
            <w:r w:rsidRPr="0007170A">
              <w:rPr>
                <w:sz w:val="20"/>
                <w:szCs w:val="20"/>
              </w:rPr>
              <w:t xml:space="preserve"> C) </w:t>
            </w:r>
            <w:proofErr w:type="spellStart"/>
            <w:r w:rsidRPr="0007170A">
              <w:rPr>
                <w:sz w:val="20"/>
                <w:szCs w:val="20"/>
              </w:rPr>
              <w:t>Reactome</w:t>
            </w:r>
            <w:proofErr w:type="spellEnd"/>
            <w:r w:rsidRPr="0007170A">
              <w:rPr>
                <w:sz w:val="20"/>
                <w:szCs w:val="20"/>
              </w:rPr>
              <w:t xml:space="preserve"> pathway enrichment analysis, D) and interactions among those pathways. </w:t>
            </w:r>
          </w:p>
        </w:tc>
      </w:tr>
    </w:tbl>
    <w:p w:rsidR="007511AD" w:rsidRDefault="007511AD"/>
    <w:p w:rsidR="007511AD" w:rsidRDefault="007511A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11AD" w:rsidTr="009B1F3C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7511AD" w:rsidRDefault="007E75EA" w:rsidP="007511AD">
            <w:pPr>
              <w:jc w:val="center"/>
            </w:pPr>
            <w:r>
              <w:lastRenderedPageBreak/>
              <w:pict>
                <v:shape id="_x0000_i1030" type="#_x0000_t75" style="width:450.8pt;height:545.95pt">
                  <v:imagedata r:id="rId11" o:title="fig_s8_pathways_DO_groups"/>
                </v:shape>
              </w:pict>
            </w:r>
          </w:p>
        </w:tc>
      </w:tr>
      <w:tr w:rsidR="007511AD" w:rsidTr="00F861A4">
        <w:trPr>
          <w:trHeight w:val="693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7511AD" w:rsidRDefault="007511AD" w:rsidP="00F861A4">
            <w:pPr>
              <w:jc w:val="both"/>
            </w:pPr>
            <w:r w:rsidRPr="00F861A4">
              <w:rPr>
                <w:b/>
                <w:sz w:val="20"/>
              </w:rPr>
              <w:t xml:space="preserve">Supplementary </w:t>
            </w:r>
            <w:r w:rsidR="009B1F3C" w:rsidRPr="00F861A4">
              <w:rPr>
                <w:b/>
                <w:sz w:val="20"/>
              </w:rPr>
              <w:t xml:space="preserve">Figure </w:t>
            </w:r>
            <w:r w:rsidRPr="00F861A4">
              <w:rPr>
                <w:b/>
                <w:sz w:val="20"/>
              </w:rPr>
              <w:t xml:space="preserve">8: </w:t>
            </w:r>
            <w:bookmarkStart w:id="8" w:name="OLE_LINK7"/>
            <w:bookmarkStart w:id="9" w:name="OLE_LINK8"/>
            <w:r w:rsidRPr="00F861A4">
              <w:rPr>
                <w:b/>
                <w:sz w:val="20"/>
              </w:rPr>
              <w:t>Over-representation analysis</w:t>
            </w:r>
            <w:bookmarkEnd w:id="8"/>
            <w:bookmarkEnd w:id="9"/>
            <w:r w:rsidRPr="00F861A4">
              <w:rPr>
                <w:b/>
                <w:sz w:val="20"/>
              </w:rPr>
              <w:t xml:space="preserve"> for disease ontology</w:t>
            </w:r>
            <w:r w:rsidR="00A04E22" w:rsidRPr="00F861A4">
              <w:rPr>
                <w:b/>
                <w:sz w:val="20"/>
              </w:rPr>
              <w:t xml:space="preserve"> (DO)</w:t>
            </w:r>
            <w:r w:rsidRPr="00F861A4">
              <w:rPr>
                <w:b/>
                <w:sz w:val="20"/>
              </w:rPr>
              <w:t>.</w:t>
            </w:r>
            <w:r w:rsidRPr="00F861A4">
              <w:rPr>
                <w:sz w:val="20"/>
              </w:rPr>
              <w:t xml:space="preserve"> </w:t>
            </w:r>
            <w:r w:rsidR="00A04E22" w:rsidRPr="00F861A4">
              <w:rPr>
                <w:sz w:val="20"/>
              </w:rPr>
              <w:t>DO enrichment analysis individually performed on 4 different groups (Group 1-4) of proteins differentially abundant between A+T+ and A-T-.</w:t>
            </w:r>
          </w:p>
        </w:tc>
      </w:tr>
    </w:tbl>
    <w:p w:rsidR="0007170A" w:rsidRDefault="0007170A"/>
    <w:p w:rsidR="0007170A" w:rsidRDefault="0007170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7170A" w:rsidTr="009B1F3C">
        <w:tc>
          <w:tcPr>
            <w:tcW w:w="9350" w:type="dxa"/>
          </w:tcPr>
          <w:p w:rsidR="0007170A" w:rsidRDefault="007E75EA" w:rsidP="0007170A">
            <w:pPr>
              <w:jc w:val="center"/>
            </w:pPr>
            <w:r>
              <w:lastRenderedPageBreak/>
              <w:pict>
                <v:shape id="_x0000_i1031" type="#_x0000_t75" style="width:451.4pt;height:478.95pt">
                  <v:imagedata r:id="rId12" o:title="fig_s9_pathways_GO_groups"/>
                </v:shape>
              </w:pict>
            </w:r>
          </w:p>
        </w:tc>
      </w:tr>
      <w:tr w:rsidR="0007170A" w:rsidTr="009B1F3C">
        <w:tc>
          <w:tcPr>
            <w:tcW w:w="9350" w:type="dxa"/>
          </w:tcPr>
          <w:p w:rsidR="0007170A" w:rsidRPr="0007170A" w:rsidRDefault="0007170A" w:rsidP="00C25CAC">
            <w:pPr>
              <w:jc w:val="both"/>
              <w:rPr>
                <w:sz w:val="20"/>
                <w:szCs w:val="20"/>
              </w:rPr>
            </w:pPr>
            <w:bookmarkStart w:id="10" w:name="OLE_LINK11"/>
            <w:bookmarkStart w:id="11" w:name="OLE_LINK12"/>
            <w:r w:rsidRPr="00C25CAC">
              <w:rPr>
                <w:b/>
                <w:sz w:val="20"/>
                <w:szCs w:val="20"/>
              </w:rPr>
              <w:t xml:space="preserve">Supplementary </w:t>
            </w:r>
            <w:r w:rsidR="009B1F3C">
              <w:rPr>
                <w:b/>
                <w:sz w:val="20"/>
                <w:szCs w:val="20"/>
              </w:rPr>
              <w:t xml:space="preserve">Figure </w:t>
            </w:r>
            <w:r w:rsidRPr="00C25CAC">
              <w:rPr>
                <w:b/>
                <w:sz w:val="20"/>
                <w:szCs w:val="20"/>
              </w:rPr>
              <w:t>9</w:t>
            </w:r>
            <w:bookmarkEnd w:id="10"/>
            <w:bookmarkEnd w:id="11"/>
            <w:r w:rsidRPr="00C25CAC">
              <w:rPr>
                <w:b/>
                <w:sz w:val="20"/>
                <w:szCs w:val="20"/>
              </w:rPr>
              <w:t>:</w:t>
            </w:r>
            <w:r w:rsidRPr="0007170A">
              <w:rPr>
                <w:sz w:val="20"/>
                <w:szCs w:val="20"/>
              </w:rPr>
              <w:t xml:space="preserve"> </w:t>
            </w:r>
            <w:r w:rsidRPr="0007170A">
              <w:rPr>
                <w:b/>
                <w:sz w:val="20"/>
                <w:szCs w:val="20"/>
              </w:rPr>
              <w:t>Over-representation analysis for Gene Ontology (GO).</w:t>
            </w:r>
            <w:r w:rsidRPr="0007170A">
              <w:rPr>
                <w:sz w:val="20"/>
                <w:szCs w:val="20"/>
              </w:rPr>
              <w:t xml:space="preserve"> GO enrichment analysis for biological processes (BP; A</w:t>
            </w:r>
            <w:proofErr w:type="gramStart"/>
            <w:r w:rsidRPr="0007170A">
              <w:rPr>
                <w:sz w:val="20"/>
                <w:szCs w:val="20"/>
              </w:rPr>
              <w:t>,B,C</w:t>
            </w:r>
            <w:proofErr w:type="gramEnd"/>
            <w:r w:rsidRPr="0007170A">
              <w:rPr>
                <w:sz w:val="20"/>
                <w:szCs w:val="20"/>
              </w:rPr>
              <w:t xml:space="preserve">), molecular functions (MF; D,E), and cellular components (CC; F,G,H) individually performed on 4 different groups of proteins differentially abundant between A+T+ and A-T-. Only pathways passing the significance threshold (P-FDR &lt; 0.05) </w:t>
            </w:r>
            <w:proofErr w:type="gramStart"/>
            <w:r w:rsidRPr="0007170A">
              <w:rPr>
                <w:sz w:val="20"/>
                <w:szCs w:val="20"/>
              </w:rPr>
              <w:t>are shown</w:t>
            </w:r>
            <w:proofErr w:type="gramEnd"/>
            <w:r w:rsidRPr="0007170A">
              <w:rPr>
                <w:sz w:val="20"/>
                <w:szCs w:val="20"/>
              </w:rPr>
              <w:t>.</w:t>
            </w:r>
          </w:p>
        </w:tc>
      </w:tr>
    </w:tbl>
    <w:p w:rsidR="00B64685" w:rsidRDefault="00B64685"/>
    <w:p w:rsidR="00B64685" w:rsidRDefault="00B6468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64685" w:rsidTr="007E75EA">
        <w:tc>
          <w:tcPr>
            <w:tcW w:w="9350" w:type="dxa"/>
          </w:tcPr>
          <w:p w:rsidR="00B64685" w:rsidRDefault="00B64685">
            <w:r>
              <w:lastRenderedPageBreak/>
              <w:pict>
                <v:shape id="_x0000_i1032" type="#_x0000_t75" style="width:467.7pt;height:460.8pt">
                  <v:imagedata r:id="rId13" o:title="fig_s10_communities"/>
                </v:shape>
              </w:pict>
            </w:r>
          </w:p>
        </w:tc>
      </w:tr>
      <w:tr w:rsidR="00B64685" w:rsidTr="007E75EA">
        <w:tc>
          <w:tcPr>
            <w:tcW w:w="9350" w:type="dxa"/>
          </w:tcPr>
          <w:p w:rsidR="00B64685" w:rsidRDefault="00B64685" w:rsidP="00B64685">
            <w:pPr>
              <w:jc w:val="both"/>
            </w:pPr>
            <w:r>
              <w:rPr>
                <w:b/>
                <w:sz w:val="20"/>
                <w:szCs w:val="20"/>
              </w:rPr>
              <w:t>Supplementary Figure 10</w:t>
            </w:r>
            <w:r w:rsidRPr="00B64685">
              <w:t xml:space="preserve">: </w:t>
            </w:r>
            <w:r w:rsidRPr="00B64685">
              <w:rPr>
                <w:b/>
                <w:sz w:val="20"/>
              </w:rPr>
              <w:t>Protein co-expression based network community analysis</w:t>
            </w:r>
            <w:r w:rsidRPr="00B64685">
              <w:rPr>
                <w:sz w:val="20"/>
              </w:rPr>
              <w:t xml:space="preserve">. A </w:t>
            </w:r>
            <w:proofErr w:type="gramStart"/>
            <w:r w:rsidRPr="00B64685">
              <w:rPr>
                <w:sz w:val="20"/>
              </w:rPr>
              <w:t>network community detection algorithm</w:t>
            </w:r>
            <w:proofErr w:type="gramEnd"/>
            <w:r w:rsidRPr="00B64685">
              <w:rPr>
                <w:sz w:val="20"/>
              </w:rPr>
              <w:t xml:space="preserve"> was used t</w:t>
            </w:r>
            <w:r>
              <w:rPr>
                <w:sz w:val="20"/>
              </w:rPr>
              <w:t xml:space="preserve">o perform protein co-expression </w:t>
            </w:r>
            <w:r w:rsidRPr="00B64685">
              <w:rPr>
                <w:sz w:val="20"/>
              </w:rPr>
              <w:t xml:space="preserve">based network analysis, individually for each protein group. Proteins </w:t>
            </w:r>
            <w:proofErr w:type="gramStart"/>
            <w:r w:rsidRPr="00B64685">
              <w:rPr>
                <w:sz w:val="20"/>
              </w:rPr>
              <w:t>in group</w:t>
            </w:r>
            <w:proofErr w:type="gramEnd"/>
            <w:r w:rsidRPr="00B64685">
              <w:rPr>
                <w:sz w:val="20"/>
              </w:rPr>
              <w:t xml:space="preserve"> 1 contained 17 different communities (A). Group 2 comprised of 17 communities (B) and group 3 had only 10 different communities (C) with a maximum of 12 different proteins (red nodes). Finally, group 4 contained 38 different communities. Only network communities containing highly co-expressed (</w:t>
            </w:r>
            <w:proofErr w:type="spellStart"/>
            <w:r w:rsidRPr="00B64685">
              <w:rPr>
                <w:sz w:val="20"/>
              </w:rPr>
              <w:t>cor</w:t>
            </w:r>
            <w:proofErr w:type="spellEnd"/>
            <w:r w:rsidRPr="00B64685">
              <w:rPr>
                <w:sz w:val="20"/>
              </w:rPr>
              <w:t xml:space="preserve"> &gt; 0.7) proteins are shown.</w:t>
            </w:r>
          </w:p>
        </w:tc>
      </w:tr>
    </w:tbl>
    <w:p w:rsidR="007F33C8" w:rsidRDefault="007F33C8">
      <w:bookmarkStart w:id="12" w:name="_GoBack"/>
      <w:bookmarkEnd w:id="12"/>
    </w:p>
    <w:sectPr w:rsidR="007F3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476"/>
    <w:rsid w:val="00025370"/>
    <w:rsid w:val="00026A05"/>
    <w:rsid w:val="0007170A"/>
    <w:rsid w:val="001C0265"/>
    <w:rsid w:val="00215902"/>
    <w:rsid w:val="003F5346"/>
    <w:rsid w:val="00501F88"/>
    <w:rsid w:val="00641591"/>
    <w:rsid w:val="00744495"/>
    <w:rsid w:val="007511AD"/>
    <w:rsid w:val="00760409"/>
    <w:rsid w:val="007D3F5C"/>
    <w:rsid w:val="007E75EA"/>
    <w:rsid w:val="007F33C8"/>
    <w:rsid w:val="008F7476"/>
    <w:rsid w:val="0095636B"/>
    <w:rsid w:val="009B1F3C"/>
    <w:rsid w:val="00A04E22"/>
    <w:rsid w:val="00B46B4B"/>
    <w:rsid w:val="00B64685"/>
    <w:rsid w:val="00C113E0"/>
    <w:rsid w:val="00C14069"/>
    <w:rsid w:val="00C25CAC"/>
    <w:rsid w:val="00D910F2"/>
    <w:rsid w:val="00E63CC0"/>
    <w:rsid w:val="00F8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2C580"/>
  <w15:chartTrackingRefBased/>
  <w15:docId w15:val="{6CF22105-BE62-4734-9D5E-F4A87498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Ali, Muhammad</dc:creator>
  <cp:keywords/>
  <dc:description/>
  <cp:lastModifiedBy>Ali, Muhammad</cp:lastModifiedBy>
  <cp:revision>12</cp:revision>
  <dcterms:created xsi:type="dcterms:W3CDTF">2023-08-24T14:52:00Z</dcterms:created>
  <dcterms:modified xsi:type="dcterms:W3CDTF">2023-09-14T21:20:00Z</dcterms:modified>
</cp:coreProperties>
</file>