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0E351" w14:textId="77777777" w:rsidR="006D5ED6" w:rsidRDefault="006D5ED6" w:rsidP="004B53AC">
      <w:pPr>
        <w:spacing w:after="0"/>
      </w:pPr>
    </w:p>
    <w:p w14:paraId="69F55560" w14:textId="65A7CCA9" w:rsidR="00D54F60" w:rsidRDefault="00D54F60" w:rsidP="00D54F60">
      <w:pPr>
        <w:spacing w:after="0"/>
        <w:ind w:firstLine="720"/>
      </w:pPr>
      <w:r w:rsidRPr="00E51266">
        <w:rPr>
          <w:rFonts w:ascii="Times New Roman" w:hAnsi="Times New Roman" w:cs="Times New Roman"/>
          <w:sz w:val="24"/>
          <w:szCs w:val="24"/>
        </w:rPr>
        <w:t xml:space="preserve">Antimicrobials </w:t>
      </w:r>
      <w:r>
        <w:rPr>
          <w:rFonts w:ascii="Times New Roman" w:hAnsi="Times New Roman" w:cs="Times New Roman"/>
          <w:sz w:val="24"/>
          <w:szCs w:val="24"/>
        </w:rPr>
        <w:t xml:space="preserve">tested, their group, concentration, </w:t>
      </w:r>
      <w:r w:rsidRPr="00E51266">
        <w:rPr>
          <w:rFonts w:ascii="Times New Roman" w:hAnsi="Times New Roman" w:cs="Times New Roman"/>
          <w:sz w:val="24"/>
          <w:szCs w:val="24"/>
        </w:rPr>
        <w:t xml:space="preserve">and cutpoints </w:t>
      </w:r>
      <w:r>
        <w:rPr>
          <w:rFonts w:ascii="Times New Roman" w:hAnsi="Times New Roman" w:cs="Times New Roman"/>
          <w:sz w:val="24"/>
          <w:szCs w:val="24"/>
        </w:rPr>
        <w:fldChar w:fldCharType="begin" w:fldLock="1"/>
      </w:r>
      <w:r>
        <w:rPr>
          <w:rFonts w:ascii="Times New Roman" w:hAnsi="Times New Roman" w:cs="Times New Roman"/>
          <w:sz w:val="24"/>
          <w:szCs w:val="24"/>
        </w:rPr>
        <w:instrText>ADDIN CSL_CITATION {"citationItems":[{"id":"ITEM-1","itemData":{"ISBN":"1562388657","author":[{"dropping-particle":"","family":"CLSI","given":"","non-dropping-particle":"","parse-names":false,"suffix":""}],"id":"ITEM-1","issue":"January","issued":{"date-parts":[["2013"]]},"title":"M100-S23, Performance Standards for Antimicrobial Susceptibility Testing; Twenty-Third Informational Supplemen","type":"book"},"uris":["http://www.mendeley.com/documents/?uuid=759c97d6-867e-4fa3-900f-d7ff429b7931"]}],"mendeley":{"formattedCitation":"(CLSI, 2013)","plainTextFormattedCitation":"(CLSI, 2013)","previouslyFormattedCitation":"(1)"},"properties":{"noteIndex":0},"schema":"https://github.com/citation-style-language/schema/raw/master/csl-citation.json"}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385103">
        <w:rPr>
          <w:rFonts w:ascii="Times New Roman" w:hAnsi="Times New Roman" w:cs="Times New Roman"/>
          <w:noProof/>
          <w:sz w:val="24"/>
          <w:szCs w:val="24"/>
        </w:rPr>
        <w:t>(CLSI, 20</w:t>
      </w:r>
      <w:r w:rsidR="0035049D">
        <w:rPr>
          <w:rFonts w:ascii="Times New Roman" w:hAnsi="Times New Roman" w:cs="Times New Roman"/>
          <w:noProof/>
          <w:sz w:val="24"/>
          <w:szCs w:val="24"/>
        </w:rPr>
        <w:t>2</w:t>
      </w:r>
      <w:r w:rsidRPr="00385103">
        <w:rPr>
          <w:rFonts w:ascii="Times New Roman" w:hAnsi="Times New Roman" w:cs="Times New Roman"/>
          <w:noProof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tbl>
      <w:tblPr>
        <w:tblStyle w:val="TableGrid"/>
        <w:tblW w:w="10891" w:type="dxa"/>
        <w:tblInd w:w="354" w:type="dxa"/>
        <w:tblLayout w:type="fixed"/>
        <w:tblLook w:val="04A0" w:firstRow="1" w:lastRow="0" w:firstColumn="1" w:lastColumn="0" w:noHBand="0" w:noVBand="1"/>
      </w:tblPr>
      <w:tblGrid>
        <w:gridCol w:w="495"/>
        <w:gridCol w:w="4096"/>
        <w:gridCol w:w="3420"/>
        <w:gridCol w:w="810"/>
        <w:gridCol w:w="2070"/>
      </w:tblGrid>
      <w:tr w:rsidR="00A539CF" w:rsidRPr="00A539CF" w14:paraId="6A39B908" w14:textId="5C5C5264" w:rsidTr="00A539CF">
        <w:trPr>
          <w:trHeight w:val="215"/>
        </w:trPr>
        <w:tc>
          <w:tcPr>
            <w:tcW w:w="495" w:type="dxa"/>
          </w:tcPr>
          <w:p w14:paraId="2723DE3A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S/n</w:t>
            </w:r>
          </w:p>
        </w:tc>
        <w:tc>
          <w:tcPr>
            <w:tcW w:w="4096" w:type="dxa"/>
          </w:tcPr>
          <w:p w14:paraId="261127D8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3420" w:type="dxa"/>
          </w:tcPr>
          <w:p w14:paraId="7B325BF6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Antimicrobials</w:t>
            </w:r>
          </w:p>
        </w:tc>
        <w:tc>
          <w:tcPr>
            <w:tcW w:w="810" w:type="dxa"/>
          </w:tcPr>
          <w:p w14:paraId="2FB24F9E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Code</w:t>
            </w:r>
          </w:p>
        </w:tc>
        <w:tc>
          <w:tcPr>
            <w:tcW w:w="2070" w:type="dxa"/>
          </w:tcPr>
          <w:p w14:paraId="198BBE68" w14:textId="4105E4F2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Concentration</w:t>
            </w:r>
            <w:r w:rsidRPr="00A53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µg</w:t>
            </w: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539CF" w:rsidRPr="00A539CF" w14:paraId="699160AE" w14:textId="6B48AACC" w:rsidTr="00A539CF">
        <w:tc>
          <w:tcPr>
            <w:tcW w:w="495" w:type="dxa"/>
          </w:tcPr>
          <w:p w14:paraId="525875F8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</w:tcPr>
          <w:p w14:paraId="26B2950B" w14:textId="07BD7F89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Penicillins</w:t>
            </w:r>
          </w:p>
        </w:tc>
        <w:tc>
          <w:tcPr>
            <w:tcW w:w="3420" w:type="dxa"/>
          </w:tcPr>
          <w:p w14:paraId="2C0C9AB1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Ampicillin</w:t>
            </w:r>
          </w:p>
        </w:tc>
        <w:tc>
          <w:tcPr>
            <w:tcW w:w="810" w:type="dxa"/>
          </w:tcPr>
          <w:p w14:paraId="1998E7DE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AMP</w:t>
            </w:r>
          </w:p>
        </w:tc>
        <w:tc>
          <w:tcPr>
            <w:tcW w:w="2070" w:type="dxa"/>
          </w:tcPr>
          <w:p w14:paraId="25DAAA00" w14:textId="0647A542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539CF" w:rsidRPr="00A539CF" w14:paraId="7B113B7A" w14:textId="27E38180" w:rsidTr="00A539CF">
        <w:tc>
          <w:tcPr>
            <w:tcW w:w="495" w:type="dxa"/>
          </w:tcPr>
          <w:p w14:paraId="0936DCA4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</w:tcPr>
          <w:p w14:paraId="18BB227F" w14:textId="063F2B1F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 xml:space="preserve">Penicillins and beta-lactamase inhibitor </w:t>
            </w:r>
          </w:p>
        </w:tc>
        <w:tc>
          <w:tcPr>
            <w:tcW w:w="3420" w:type="dxa"/>
          </w:tcPr>
          <w:p w14:paraId="5E272E56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Amoxicillin-clavulanic acid</w:t>
            </w:r>
          </w:p>
        </w:tc>
        <w:tc>
          <w:tcPr>
            <w:tcW w:w="810" w:type="dxa"/>
          </w:tcPr>
          <w:p w14:paraId="7560EE0F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AMC</w:t>
            </w:r>
          </w:p>
        </w:tc>
        <w:tc>
          <w:tcPr>
            <w:tcW w:w="2070" w:type="dxa"/>
          </w:tcPr>
          <w:p w14:paraId="528A97F2" w14:textId="3C7597A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20/10</w:t>
            </w:r>
          </w:p>
        </w:tc>
      </w:tr>
      <w:tr w:rsidR="00A539CF" w:rsidRPr="00A539CF" w14:paraId="53DAB034" w14:textId="3ADBCE08" w:rsidTr="00A539CF">
        <w:trPr>
          <w:trHeight w:val="278"/>
        </w:trPr>
        <w:tc>
          <w:tcPr>
            <w:tcW w:w="495" w:type="dxa"/>
            <w:vMerge w:val="restart"/>
          </w:tcPr>
          <w:p w14:paraId="5F23AF0E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vMerge w:val="restart"/>
          </w:tcPr>
          <w:p w14:paraId="76FF901D" w14:textId="35367BFB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Cephems</w:t>
            </w:r>
          </w:p>
        </w:tc>
        <w:tc>
          <w:tcPr>
            <w:tcW w:w="3420" w:type="dxa"/>
          </w:tcPr>
          <w:p w14:paraId="4548952E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Cephalothin</w:t>
            </w:r>
          </w:p>
        </w:tc>
        <w:tc>
          <w:tcPr>
            <w:tcW w:w="810" w:type="dxa"/>
          </w:tcPr>
          <w:p w14:paraId="08B35C8D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KF</w:t>
            </w:r>
            <w:proofErr w:type="spellEnd"/>
          </w:p>
        </w:tc>
        <w:tc>
          <w:tcPr>
            <w:tcW w:w="2070" w:type="dxa"/>
          </w:tcPr>
          <w:p w14:paraId="0EE5BDF0" w14:textId="50AE68EB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</w:tr>
      <w:tr w:rsidR="00A539CF" w:rsidRPr="00A539CF" w14:paraId="2795FBA8" w14:textId="34DBE961" w:rsidTr="00A539CF">
        <w:tc>
          <w:tcPr>
            <w:tcW w:w="495" w:type="dxa"/>
            <w:vMerge/>
          </w:tcPr>
          <w:p w14:paraId="07A68B4B" w14:textId="77777777" w:rsidR="00A539CF" w:rsidRPr="00A539CF" w:rsidRDefault="00A539CF" w:rsidP="00A539CF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vMerge/>
          </w:tcPr>
          <w:p w14:paraId="1B3A6BE7" w14:textId="29BA7B66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2B4A447A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Ceftazidime</w:t>
            </w:r>
          </w:p>
        </w:tc>
        <w:tc>
          <w:tcPr>
            <w:tcW w:w="810" w:type="dxa"/>
          </w:tcPr>
          <w:p w14:paraId="1EE0F7E0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CAZ</w:t>
            </w:r>
          </w:p>
        </w:tc>
        <w:tc>
          <w:tcPr>
            <w:tcW w:w="2070" w:type="dxa"/>
          </w:tcPr>
          <w:p w14:paraId="05932299" w14:textId="48A50A11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539CF" w:rsidRPr="00A539CF" w14:paraId="3C07D8BE" w14:textId="350AF3F8" w:rsidTr="00A539CF">
        <w:tc>
          <w:tcPr>
            <w:tcW w:w="495" w:type="dxa"/>
            <w:vMerge/>
          </w:tcPr>
          <w:p w14:paraId="3FE417D3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vMerge/>
          </w:tcPr>
          <w:p w14:paraId="2C72D18B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BDD9DCF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Ceftriaxone</w:t>
            </w:r>
          </w:p>
        </w:tc>
        <w:tc>
          <w:tcPr>
            <w:tcW w:w="810" w:type="dxa"/>
          </w:tcPr>
          <w:p w14:paraId="4CBFA7CA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CRO</w:t>
            </w:r>
          </w:p>
        </w:tc>
        <w:tc>
          <w:tcPr>
            <w:tcW w:w="2070" w:type="dxa"/>
          </w:tcPr>
          <w:p w14:paraId="21EA8494" w14:textId="4FAF1613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539CF" w:rsidRPr="00A539CF" w14:paraId="4DE3A2CD" w14:textId="6D97697B" w:rsidTr="00A539CF">
        <w:tc>
          <w:tcPr>
            <w:tcW w:w="495" w:type="dxa"/>
            <w:vMerge/>
          </w:tcPr>
          <w:p w14:paraId="1412BFED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vMerge/>
          </w:tcPr>
          <w:p w14:paraId="2E59A4D7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015995B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Cefotaxime</w:t>
            </w:r>
          </w:p>
        </w:tc>
        <w:tc>
          <w:tcPr>
            <w:tcW w:w="810" w:type="dxa"/>
          </w:tcPr>
          <w:p w14:paraId="4DB00440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2070" w:type="dxa"/>
          </w:tcPr>
          <w:p w14:paraId="655E75F3" w14:textId="2FA1CD96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539CF" w:rsidRPr="00A539CF" w14:paraId="52A48D0A" w14:textId="49AADEBD" w:rsidTr="00A539CF">
        <w:tc>
          <w:tcPr>
            <w:tcW w:w="495" w:type="dxa"/>
          </w:tcPr>
          <w:p w14:paraId="30E96711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</w:tcPr>
          <w:p w14:paraId="0523D3CB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Phenols</w:t>
            </w:r>
          </w:p>
        </w:tc>
        <w:tc>
          <w:tcPr>
            <w:tcW w:w="3420" w:type="dxa"/>
          </w:tcPr>
          <w:p w14:paraId="4A80B357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Chloramphenicol</w:t>
            </w:r>
          </w:p>
        </w:tc>
        <w:tc>
          <w:tcPr>
            <w:tcW w:w="810" w:type="dxa"/>
          </w:tcPr>
          <w:p w14:paraId="5B7F082E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2070" w:type="dxa"/>
          </w:tcPr>
          <w:p w14:paraId="7031612A" w14:textId="0EB816B5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39CF" w:rsidRPr="00A539CF" w14:paraId="2E4839F0" w14:textId="3457EDEC" w:rsidTr="00A539CF">
        <w:tc>
          <w:tcPr>
            <w:tcW w:w="495" w:type="dxa"/>
            <w:vMerge w:val="restart"/>
          </w:tcPr>
          <w:p w14:paraId="0DC38E34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vMerge w:val="restart"/>
          </w:tcPr>
          <w:p w14:paraId="22332501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Tetracyclines</w:t>
            </w:r>
          </w:p>
        </w:tc>
        <w:tc>
          <w:tcPr>
            <w:tcW w:w="3420" w:type="dxa"/>
          </w:tcPr>
          <w:p w14:paraId="1F1F4F1D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Tetracycline</w:t>
            </w:r>
          </w:p>
        </w:tc>
        <w:tc>
          <w:tcPr>
            <w:tcW w:w="810" w:type="dxa"/>
          </w:tcPr>
          <w:p w14:paraId="76BD9E72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  <w:proofErr w:type="spellEnd"/>
          </w:p>
        </w:tc>
        <w:tc>
          <w:tcPr>
            <w:tcW w:w="2070" w:type="dxa"/>
          </w:tcPr>
          <w:p w14:paraId="35B98A3D" w14:textId="1B6DDB08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539CF" w:rsidRPr="00A539CF" w14:paraId="43360E52" w14:textId="7A6B4237" w:rsidTr="00A539CF">
        <w:tc>
          <w:tcPr>
            <w:tcW w:w="495" w:type="dxa"/>
            <w:vMerge/>
          </w:tcPr>
          <w:p w14:paraId="23E37ADD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vMerge/>
          </w:tcPr>
          <w:p w14:paraId="68ED3F7B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0A951A9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Doxycycline</w:t>
            </w:r>
          </w:p>
        </w:tc>
        <w:tc>
          <w:tcPr>
            <w:tcW w:w="810" w:type="dxa"/>
          </w:tcPr>
          <w:p w14:paraId="08C43183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</w:p>
        </w:tc>
        <w:tc>
          <w:tcPr>
            <w:tcW w:w="2070" w:type="dxa"/>
          </w:tcPr>
          <w:p w14:paraId="55E00B13" w14:textId="0A744AEE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539CF" w:rsidRPr="00A539CF" w14:paraId="160B586F" w14:textId="26A2415F" w:rsidTr="00A539CF">
        <w:trPr>
          <w:trHeight w:val="251"/>
        </w:trPr>
        <w:tc>
          <w:tcPr>
            <w:tcW w:w="495" w:type="dxa"/>
          </w:tcPr>
          <w:p w14:paraId="0BD02E3E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</w:tcPr>
          <w:p w14:paraId="4C8ABAD1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Macrolides</w:t>
            </w:r>
          </w:p>
        </w:tc>
        <w:tc>
          <w:tcPr>
            <w:tcW w:w="3420" w:type="dxa"/>
          </w:tcPr>
          <w:p w14:paraId="012DC9E8" w14:textId="1AC28D96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 xml:space="preserve">Azithromycin </w:t>
            </w:r>
          </w:p>
        </w:tc>
        <w:tc>
          <w:tcPr>
            <w:tcW w:w="810" w:type="dxa"/>
          </w:tcPr>
          <w:p w14:paraId="39A3420E" w14:textId="4EC1B4B9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</w:p>
        </w:tc>
        <w:tc>
          <w:tcPr>
            <w:tcW w:w="2070" w:type="dxa"/>
          </w:tcPr>
          <w:p w14:paraId="513ED5F1" w14:textId="79859DBA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539CF" w:rsidRPr="00A539CF" w14:paraId="71AD902B" w14:textId="129B0ECA" w:rsidTr="00A539CF">
        <w:tc>
          <w:tcPr>
            <w:tcW w:w="495" w:type="dxa"/>
            <w:vMerge w:val="restart"/>
          </w:tcPr>
          <w:p w14:paraId="22C189F9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vMerge w:val="restart"/>
          </w:tcPr>
          <w:p w14:paraId="75D6D85D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Aminoglycosides</w:t>
            </w:r>
          </w:p>
        </w:tc>
        <w:tc>
          <w:tcPr>
            <w:tcW w:w="3420" w:type="dxa"/>
          </w:tcPr>
          <w:p w14:paraId="4E376FDB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Gentamicin</w:t>
            </w:r>
          </w:p>
        </w:tc>
        <w:tc>
          <w:tcPr>
            <w:tcW w:w="810" w:type="dxa"/>
          </w:tcPr>
          <w:p w14:paraId="68BF6A09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2070" w:type="dxa"/>
          </w:tcPr>
          <w:p w14:paraId="58DDE93B" w14:textId="6A6A6C41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539CF" w:rsidRPr="00A539CF" w14:paraId="5948C56A" w14:textId="659BF254" w:rsidTr="00A539CF">
        <w:tc>
          <w:tcPr>
            <w:tcW w:w="495" w:type="dxa"/>
            <w:vMerge/>
          </w:tcPr>
          <w:p w14:paraId="2A80B516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vMerge/>
          </w:tcPr>
          <w:p w14:paraId="26AFE363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4B31100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Kanamycin</w:t>
            </w:r>
          </w:p>
        </w:tc>
        <w:tc>
          <w:tcPr>
            <w:tcW w:w="810" w:type="dxa"/>
          </w:tcPr>
          <w:p w14:paraId="29CBBC6F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2070" w:type="dxa"/>
          </w:tcPr>
          <w:p w14:paraId="2062205B" w14:textId="1E5C3050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539CF" w:rsidRPr="00A539CF" w14:paraId="4CD6E010" w14:textId="33520CDE" w:rsidTr="00A539CF">
        <w:trPr>
          <w:trHeight w:val="42"/>
        </w:trPr>
        <w:tc>
          <w:tcPr>
            <w:tcW w:w="495" w:type="dxa"/>
            <w:vMerge w:val="restart"/>
          </w:tcPr>
          <w:p w14:paraId="57CA5DAE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vMerge w:val="restart"/>
          </w:tcPr>
          <w:p w14:paraId="0978C4D1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Fluoroquinolones</w:t>
            </w:r>
          </w:p>
        </w:tc>
        <w:tc>
          <w:tcPr>
            <w:tcW w:w="3420" w:type="dxa"/>
          </w:tcPr>
          <w:p w14:paraId="792328EA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Nalidixic acid</w:t>
            </w:r>
          </w:p>
        </w:tc>
        <w:tc>
          <w:tcPr>
            <w:tcW w:w="810" w:type="dxa"/>
          </w:tcPr>
          <w:p w14:paraId="0633A9F4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070" w:type="dxa"/>
          </w:tcPr>
          <w:p w14:paraId="1FD90120" w14:textId="7F56C03C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539CF" w:rsidRPr="00A539CF" w14:paraId="67094E48" w14:textId="22C1BFEF" w:rsidTr="00A539CF">
        <w:tc>
          <w:tcPr>
            <w:tcW w:w="495" w:type="dxa"/>
            <w:vMerge/>
          </w:tcPr>
          <w:p w14:paraId="6A5E9695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vMerge/>
          </w:tcPr>
          <w:p w14:paraId="49C3CAFD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74F2539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Norfloxacin</w:t>
            </w:r>
          </w:p>
        </w:tc>
        <w:tc>
          <w:tcPr>
            <w:tcW w:w="810" w:type="dxa"/>
          </w:tcPr>
          <w:p w14:paraId="582B0B77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NOR</w:t>
            </w:r>
          </w:p>
        </w:tc>
        <w:tc>
          <w:tcPr>
            <w:tcW w:w="2070" w:type="dxa"/>
          </w:tcPr>
          <w:p w14:paraId="046C692F" w14:textId="3152FB2C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539CF" w:rsidRPr="00A539CF" w14:paraId="74B0DAC6" w14:textId="0604B48B" w:rsidTr="00A539CF">
        <w:tc>
          <w:tcPr>
            <w:tcW w:w="495" w:type="dxa"/>
            <w:vMerge/>
          </w:tcPr>
          <w:p w14:paraId="6B0D0E99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vMerge/>
          </w:tcPr>
          <w:p w14:paraId="6EF5F9BE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D7AD918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bCs/>
                <w:sz w:val="24"/>
                <w:szCs w:val="24"/>
              </w:rPr>
              <w:t>Ciprofloxacin</w:t>
            </w:r>
          </w:p>
        </w:tc>
        <w:tc>
          <w:tcPr>
            <w:tcW w:w="810" w:type="dxa"/>
          </w:tcPr>
          <w:p w14:paraId="72F2A530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bCs/>
                <w:sz w:val="24"/>
                <w:szCs w:val="24"/>
              </w:rPr>
              <w:t>CIP</w:t>
            </w:r>
          </w:p>
        </w:tc>
        <w:tc>
          <w:tcPr>
            <w:tcW w:w="2070" w:type="dxa"/>
          </w:tcPr>
          <w:p w14:paraId="385C32F3" w14:textId="228AEC2E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A539CF" w:rsidRPr="00A539CF" w14:paraId="7FB8D2F0" w14:textId="6EBA843B" w:rsidTr="00A539CF">
        <w:tc>
          <w:tcPr>
            <w:tcW w:w="495" w:type="dxa"/>
          </w:tcPr>
          <w:p w14:paraId="3FC5E4BA" w14:textId="77777777" w:rsidR="00A539CF" w:rsidRPr="00A539CF" w:rsidRDefault="00A539CF" w:rsidP="00A539CF">
            <w:pPr>
              <w:pStyle w:val="ListParagraph"/>
              <w:numPr>
                <w:ilvl w:val="0"/>
                <w:numId w:val="2"/>
              </w:numPr>
              <w:ind w:left="0"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</w:tcPr>
          <w:p w14:paraId="25E484B8" w14:textId="77777777" w:rsidR="00A539CF" w:rsidRPr="00A539CF" w:rsidRDefault="00A539CF" w:rsidP="00A5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Folate pathway antagonists</w:t>
            </w:r>
          </w:p>
        </w:tc>
        <w:tc>
          <w:tcPr>
            <w:tcW w:w="3420" w:type="dxa"/>
          </w:tcPr>
          <w:p w14:paraId="4AC455D1" w14:textId="77777777" w:rsidR="00A539CF" w:rsidRPr="00A539CF" w:rsidRDefault="00A539CF" w:rsidP="00A539C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</w:rPr>
              <w:t>Sulphamethoxazole-trimethoprim</w:t>
            </w:r>
          </w:p>
        </w:tc>
        <w:tc>
          <w:tcPr>
            <w:tcW w:w="810" w:type="dxa"/>
          </w:tcPr>
          <w:p w14:paraId="1D14AF22" w14:textId="77777777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STX</w:t>
            </w:r>
            <w:proofErr w:type="spellEnd"/>
          </w:p>
        </w:tc>
        <w:tc>
          <w:tcPr>
            <w:tcW w:w="2070" w:type="dxa"/>
          </w:tcPr>
          <w:p w14:paraId="6887E729" w14:textId="72D926BC" w:rsidR="00A539CF" w:rsidRPr="00A539CF" w:rsidRDefault="00A539CF" w:rsidP="00A53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9CF">
              <w:rPr>
                <w:rFonts w:ascii="Times New Roman" w:hAnsi="Times New Roman" w:cs="Times New Roman"/>
                <w:sz w:val="24"/>
                <w:szCs w:val="24"/>
              </w:rPr>
              <w:t>21.75/1.25</w:t>
            </w:r>
          </w:p>
        </w:tc>
      </w:tr>
    </w:tbl>
    <w:p w14:paraId="3EDC5E8B" w14:textId="77777777" w:rsidR="00D54F60" w:rsidRDefault="00D54F60" w:rsidP="004B53AC">
      <w:pPr>
        <w:spacing w:after="0"/>
      </w:pPr>
    </w:p>
    <w:p w14:paraId="5772EDBC" w14:textId="77777777" w:rsidR="0035049D" w:rsidRDefault="0035049D" w:rsidP="004B53AC">
      <w:pPr>
        <w:spacing w:after="0"/>
      </w:pPr>
    </w:p>
    <w:sectPr w:rsidR="0035049D" w:rsidSect="00847804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970F4"/>
    <w:multiLevelType w:val="hybridMultilevel"/>
    <w:tmpl w:val="C72ECEFA"/>
    <w:lvl w:ilvl="0" w:tplc="0809000F">
      <w:start w:val="1"/>
      <w:numFmt w:val="decimal"/>
      <w:lvlText w:val="%1."/>
      <w:lvlJc w:val="left"/>
      <w:pPr>
        <w:ind w:left="54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A61719"/>
    <w:multiLevelType w:val="hybridMultilevel"/>
    <w:tmpl w:val="B80E87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4573509">
    <w:abstractNumId w:val="0"/>
  </w:num>
  <w:num w:numId="2" w16cid:durableId="18474725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3AC"/>
    <w:rsid w:val="00302D76"/>
    <w:rsid w:val="0035049D"/>
    <w:rsid w:val="004B53AC"/>
    <w:rsid w:val="0051007E"/>
    <w:rsid w:val="006D5ED6"/>
    <w:rsid w:val="00847804"/>
    <w:rsid w:val="00854BAD"/>
    <w:rsid w:val="00A463EB"/>
    <w:rsid w:val="00A539CF"/>
    <w:rsid w:val="00D17E3F"/>
    <w:rsid w:val="00D54F60"/>
    <w:rsid w:val="00E45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B0660"/>
  <w15:chartTrackingRefBased/>
  <w15:docId w15:val="{BBA86DBF-EAEB-4B77-A8B7-186EABAAD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0">
    <w:name w:val="A0"/>
    <w:uiPriority w:val="99"/>
    <w:rsid w:val="006D5ED6"/>
    <w:rPr>
      <w:rFonts w:cs="Cambria"/>
      <w:color w:val="000000"/>
      <w:sz w:val="18"/>
      <w:szCs w:val="18"/>
    </w:rPr>
  </w:style>
  <w:style w:type="table" w:styleId="TableGrid">
    <w:name w:val="Table Grid"/>
    <w:basedOn w:val="TableNormal"/>
    <w:uiPriority w:val="39"/>
    <w:rsid w:val="004B53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2D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achenef beyene</dc:creator>
  <cp:keywords/>
  <dc:description/>
  <cp:lastModifiedBy>achenef beyene</cp:lastModifiedBy>
  <cp:revision>6</cp:revision>
  <dcterms:created xsi:type="dcterms:W3CDTF">2023-11-02T11:02:00Z</dcterms:created>
  <dcterms:modified xsi:type="dcterms:W3CDTF">2023-11-17T05:03:00Z</dcterms:modified>
</cp:coreProperties>
</file>