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129E07" w14:textId="77777777" w:rsidR="009C0692" w:rsidRPr="00B31EFB" w:rsidRDefault="009C0692" w:rsidP="009C069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color w:val="000000" w:themeColor="text1"/>
              <w:sz w:val="24"/>
              <w:szCs w:val="24"/>
            </w:rPr>
            <m:t>Lint Index=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Seed Index×Lint Percentage</m:t>
              </m:r>
            </m:num>
            <m:den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</w:rPr>
                <m:t>1-Lint Percentage</m:t>
              </m:r>
            </m:den>
          </m:f>
        </m:oMath>
      </m:oMathPara>
    </w:p>
    <w:p w14:paraId="3E77FCFB" w14:textId="77777777" w:rsidR="00386883" w:rsidRDefault="009C0692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692"/>
    <w:rsid w:val="00316534"/>
    <w:rsid w:val="009C0692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ED82A"/>
  <w15:chartTrackingRefBased/>
  <w15:docId w15:val="{39C8DF37-1DDB-48D0-9BAC-A6BCD64B0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0692"/>
    <w:pPr>
      <w:spacing w:after="200" w:line="276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2020-08-21T14:00:00Z</dcterms:created>
  <dcterms:modified xsi:type="dcterms:W3CDTF">2020-08-21T14:00:00Z</dcterms:modified>
</cp:coreProperties>
</file>