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527F4" w14:textId="77777777" w:rsidR="00005AE1" w:rsidRPr="00DF5257" w:rsidRDefault="00005AE1" w:rsidP="00005AE1">
      <w:pPr>
        <w:spacing w:after="0" w:line="480" w:lineRule="auto"/>
      </w:pPr>
      <w:r w:rsidRPr="00DF5257">
        <w:t>The rationale behind selecting an anionic surfactant lies in its demonstrated efficacy for EOR, aligning with the goal of maximizing extraction. Additionally, considering the high salinity of the crude oil, an auxiliary surfactant could be employed to bolster stability, though the unique aspect of this thesis involved investigating the impacts of MWCNTs within high-salinity conditions.</w:t>
      </w:r>
    </w:p>
    <w:p w14:paraId="74001252" w14:textId="77777777" w:rsidR="00FD35B5" w:rsidRDefault="00005AE1" w:rsidP="00FD35B5">
      <w:pPr>
        <w:spacing w:line="480" w:lineRule="auto"/>
      </w:pPr>
      <w:r w:rsidRPr="00DF5257">
        <w:t xml:space="preserve">Having considered the comprehensive literature survey, </w:t>
      </w:r>
      <w:proofErr w:type="gramStart"/>
      <w:r w:rsidRPr="00DF5257">
        <w:t>it can be seen that the</w:t>
      </w:r>
      <w:proofErr w:type="gramEnd"/>
      <w:r w:rsidRPr="00DF5257">
        <w:t xml:space="preserve"> incorporation of MWCNTs into crude oil-based nanofluids holds the potential to elevate thermophysical properties, particularly when employing SDS as the chosen surfactant. The judicious selection and balance of </w:t>
      </w:r>
      <w:r>
        <w:t>surfactants</w:t>
      </w:r>
      <w:r w:rsidRPr="00DF5257">
        <w:t xml:space="preserve"> emerge as fundamental elements in achieving stable and effective nanofluids boasting enhanced thermal properties. This area of research assumes paramount importance across diverse industrial applications, ranging from heat transfer systems to the transportation of oil. </w:t>
      </w:r>
    </w:p>
    <w:p w14:paraId="521188BA" w14:textId="45DABFE2" w:rsidR="00005AE1" w:rsidRPr="00DF5257" w:rsidRDefault="00005AE1" w:rsidP="00FD35B5">
      <w:pPr>
        <w:spacing w:line="480" w:lineRule="auto"/>
      </w:pPr>
      <w:r w:rsidRPr="00DF5257">
        <w:t>As evident, previous investigations primarily centered on assessing the efficacy of MWCNTs, evaluating different concentrations, and comparing MWCNTs with alternative nanomaterial additives. Remarkably, none of these prior studies delved into the influence of surfactant ratios. Hence, for the first time, to the best of our knowledge, this research study will delve into the efficacy of MWCNT utilization in crude oil using a limited quantity of MWCNTs as nanomaterial additives, the impact of employing the most suitable surfactant, SDS, and the critical role played by the MWCNTs: SDS surfactant ratio in influencing thermophysical properties.</w:t>
      </w:r>
    </w:p>
    <w:p w14:paraId="3CF0DEF8" w14:textId="63C12F98" w:rsidR="006E093B" w:rsidRPr="00005AE1" w:rsidRDefault="006E093B" w:rsidP="00005AE1">
      <w:pPr>
        <w:spacing w:line="480" w:lineRule="auto"/>
      </w:pPr>
    </w:p>
    <w:sectPr w:rsidR="006E093B" w:rsidRPr="00005AE1" w:rsidSect="00F47D2A">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126519"/>
    <w:multiLevelType w:val="hybridMultilevel"/>
    <w:tmpl w:val="64360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9487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jEztDSzMDU3MbcwMDFQ0lEKTi0uzszPAykwqgUANwO/4SwAAAA="/>
  </w:docVars>
  <w:rsids>
    <w:rsidRoot w:val="004B5C67"/>
    <w:rsid w:val="00005AE1"/>
    <w:rsid w:val="00145940"/>
    <w:rsid w:val="001C26AE"/>
    <w:rsid w:val="001E0EF9"/>
    <w:rsid w:val="002B4E96"/>
    <w:rsid w:val="004A42B3"/>
    <w:rsid w:val="004B5C67"/>
    <w:rsid w:val="004D7952"/>
    <w:rsid w:val="00675D3C"/>
    <w:rsid w:val="00680329"/>
    <w:rsid w:val="006E093B"/>
    <w:rsid w:val="00751E37"/>
    <w:rsid w:val="00801430"/>
    <w:rsid w:val="008E6227"/>
    <w:rsid w:val="00A73157"/>
    <w:rsid w:val="00B53C9A"/>
    <w:rsid w:val="00C96035"/>
    <w:rsid w:val="00C976F4"/>
    <w:rsid w:val="00DE65BA"/>
    <w:rsid w:val="00F47D2A"/>
    <w:rsid w:val="00F94C1F"/>
    <w:rsid w:val="00FD35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ADCF0A"/>
  <w15:chartTrackingRefBased/>
  <w15:docId w15:val="{1A37659F-42FB-4A1C-8976-2061F198B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E96"/>
    <w:pPr>
      <w:spacing w:before="120" w:after="120" w:line="360" w:lineRule="auto"/>
      <w:ind w:firstLine="36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C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224</Words>
  <Characters>1386</Characters>
  <Application>Microsoft Office Word</Application>
  <DocSecurity>0</DocSecurity>
  <Lines>20</Lines>
  <Paragraphs>3</Paragraphs>
  <ScaleCrop>false</ScaleCrop>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shamin.hosseini.nami@gmail.com</dc:creator>
  <cp:keywords/>
  <dc:description/>
  <cp:lastModifiedBy>Seyed Borhan Mousavi</cp:lastModifiedBy>
  <cp:revision>15</cp:revision>
  <dcterms:created xsi:type="dcterms:W3CDTF">2023-07-20T07:55:00Z</dcterms:created>
  <dcterms:modified xsi:type="dcterms:W3CDTF">2023-11-15T01:57:00Z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611084075a6789734d8828481cef3c92aa7a539483c3fa61591cb8eea41ce179</vt:lpwstr>
  </property>
</Properties>
</file>