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0207" w14:textId="41F5C49E" w:rsidR="009A16B7" w:rsidRDefault="009A16B7" w:rsidP="009A16B7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Additional</w:t>
      </w:r>
      <w:r w:rsidRPr="002F54DA">
        <w:rPr>
          <w:rFonts w:cs="Arial"/>
          <w:b/>
          <w:bCs/>
          <w:sz w:val="28"/>
          <w:szCs w:val="28"/>
        </w:rPr>
        <w:t xml:space="preserve"> file </w:t>
      </w:r>
      <w:r>
        <w:rPr>
          <w:rFonts w:cs="Arial"/>
          <w:b/>
          <w:bCs/>
          <w:sz w:val="28"/>
          <w:szCs w:val="28"/>
        </w:rPr>
        <w:t>2</w:t>
      </w:r>
    </w:p>
    <w:p w14:paraId="421AFF3B" w14:textId="77777777" w:rsidR="009A16B7" w:rsidRPr="002F54DA" w:rsidRDefault="009A16B7" w:rsidP="009A16B7">
      <w:pPr>
        <w:rPr>
          <w:rFonts w:cs="Arial"/>
          <w:b/>
          <w:bCs/>
          <w:sz w:val="28"/>
          <w:szCs w:val="28"/>
        </w:rPr>
      </w:pPr>
    </w:p>
    <w:p w14:paraId="1A459962" w14:textId="4CA44F9A" w:rsidR="00F829DF" w:rsidRPr="00102464" w:rsidRDefault="00F829DF" w:rsidP="00F829DF">
      <w:pPr>
        <w:spacing w:line="480" w:lineRule="auto"/>
        <w:rPr>
          <w:rFonts w:cs="Arial"/>
          <w:lang w:val="en-CA"/>
        </w:rPr>
      </w:pPr>
      <w:r w:rsidRPr="00102464">
        <w:rPr>
          <w:rFonts w:cs="Arial"/>
          <w:b/>
          <w:lang w:bidi="en-US"/>
        </w:rPr>
        <w:t>Table 5</w:t>
      </w:r>
      <w:r>
        <w:rPr>
          <w:rFonts w:cs="Arial"/>
          <w:b/>
          <w:lang w:bidi="en-US"/>
        </w:rPr>
        <w:t xml:space="preserve"> </w:t>
      </w:r>
      <w:r w:rsidRPr="00102464">
        <w:rPr>
          <w:rFonts w:cs="Arial"/>
          <w:lang w:bidi="en-US"/>
        </w:rPr>
        <w:t>Evolution of items that failed to achieve consensus in round </w:t>
      </w:r>
      <w:proofErr w:type="gramStart"/>
      <w:r w:rsidRPr="00102464">
        <w:rPr>
          <w:rFonts w:cs="Arial"/>
          <w:lang w:bidi="en-US"/>
        </w:rPr>
        <w:t>2</w:t>
      </w:r>
      <w:proofErr w:type="gramEnd"/>
    </w:p>
    <w:tbl>
      <w:tblPr>
        <w:tblStyle w:val="Grilledutableau"/>
        <w:tblW w:w="13018" w:type="dxa"/>
        <w:tblLook w:val="04A0" w:firstRow="1" w:lastRow="0" w:firstColumn="1" w:lastColumn="0" w:noHBand="0" w:noVBand="1"/>
      </w:tblPr>
      <w:tblGrid>
        <w:gridCol w:w="2793"/>
        <w:gridCol w:w="906"/>
        <w:gridCol w:w="673"/>
        <w:gridCol w:w="897"/>
        <w:gridCol w:w="986"/>
        <w:gridCol w:w="940"/>
        <w:gridCol w:w="906"/>
        <w:gridCol w:w="718"/>
        <w:gridCol w:w="925"/>
        <w:gridCol w:w="925"/>
        <w:gridCol w:w="925"/>
        <w:gridCol w:w="1424"/>
      </w:tblGrid>
      <w:tr w:rsidR="00F829DF" w14:paraId="7AA259DE" w14:textId="77777777" w:rsidTr="002C66ED">
        <w:tc>
          <w:tcPr>
            <w:tcW w:w="2793" w:type="dxa"/>
            <w:tcBorders>
              <w:top w:val="nil"/>
              <w:left w:val="nil"/>
            </w:tcBorders>
          </w:tcPr>
          <w:p w14:paraId="7B1A06AF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</w:p>
        </w:tc>
        <w:tc>
          <w:tcPr>
            <w:tcW w:w="4402" w:type="dxa"/>
            <w:gridSpan w:val="5"/>
            <w:shd w:val="clear" w:color="auto" w:fill="E7E6E6" w:themeFill="background2"/>
          </w:tcPr>
          <w:p w14:paraId="307F6FB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bidi="en-US"/>
              </w:rPr>
              <w:t>Round 2 (</w:t>
            </w:r>
            <w:r w:rsidRPr="00102464">
              <w:rPr>
                <w:rFonts w:cs="Arial"/>
                <w:i/>
                <w:lang w:bidi="en-US"/>
              </w:rPr>
              <w:t>n </w:t>
            </w:r>
            <w:r w:rsidRPr="00102464">
              <w:rPr>
                <w:rFonts w:cs="Arial"/>
                <w:lang w:bidi="en-US"/>
              </w:rPr>
              <w:t>= 25)</w:t>
            </w:r>
          </w:p>
        </w:tc>
        <w:tc>
          <w:tcPr>
            <w:tcW w:w="4399" w:type="dxa"/>
            <w:gridSpan w:val="5"/>
            <w:shd w:val="clear" w:color="auto" w:fill="E7E6E6" w:themeFill="background2"/>
          </w:tcPr>
          <w:p w14:paraId="23EDC15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bidi="en-US"/>
              </w:rPr>
              <w:t>Round 3 (</w:t>
            </w:r>
            <w:r w:rsidRPr="00102464">
              <w:rPr>
                <w:rFonts w:cs="Arial"/>
                <w:i/>
                <w:lang w:bidi="en-US"/>
              </w:rPr>
              <w:t>n </w:t>
            </w:r>
            <w:r w:rsidRPr="00102464">
              <w:rPr>
                <w:rFonts w:cs="Arial"/>
                <w:lang w:bidi="en-US"/>
              </w:rPr>
              <w:t>= 25)</w:t>
            </w:r>
          </w:p>
        </w:tc>
        <w:tc>
          <w:tcPr>
            <w:tcW w:w="1424" w:type="dxa"/>
            <w:vMerge w:val="restart"/>
            <w:shd w:val="clear" w:color="auto" w:fill="E7E6E6" w:themeFill="background2"/>
          </w:tcPr>
          <w:p w14:paraId="731EAB66" w14:textId="77777777" w:rsidR="00F829DF" w:rsidRPr="00A57550" w:rsidRDefault="00F829DF" w:rsidP="001F3599">
            <w:pPr>
              <w:jc w:val="center"/>
              <w:rPr>
                <w:rFonts w:cs="Arial"/>
                <w:i/>
                <w:iCs/>
              </w:rPr>
            </w:pPr>
            <w:r w:rsidRPr="00E96FFA">
              <w:rPr>
                <w:rFonts w:cs="Arial"/>
                <w:lang w:bidi="en-US"/>
              </w:rPr>
              <w:t>Agreement between rounds 2 and 3</w:t>
            </w:r>
            <w:r>
              <w:rPr>
                <w:rFonts w:cs="Arial"/>
                <w:lang w:bidi="en-US"/>
              </w:rPr>
              <w:t xml:space="preserve"> (</w:t>
            </w:r>
            <w:r>
              <w:rPr>
                <w:rFonts w:cs="Arial"/>
                <w:i/>
                <w:iCs/>
                <w:lang w:bidi="en-US"/>
              </w:rPr>
              <w:t>k</w:t>
            </w:r>
            <w:r w:rsidRPr="00A57550">
              <w:rPr>
                <w:rFonts w:cs="Arial"/>
                <w:lang w:bidi="en-US"/>
              </w:rPr>
              <w:t>)</w:t>
            </w:r>
          </w:p>
        </w:tc>
      </w:tr>
      <w:tr w:rsidR="002C66ED" w14:paraId="65411C1B" w14:textId="77777777" w:rsidTr="002C66ED">
        <w:tc>
          <w:tcPr>
            <w:tcW w:w="2793" w:type="dxa"/>
            <w:shd w:val="clear" w:color="auto" w:fill="E7E6E6" w:themeFill="background2"/>
          </w:tcPr>
          <w:p w14:paraId="415E968E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  <w:lang w:eastAsia="en-GB"/>
              </w:rPr>
              <w:t>Item</w:t>
            </w:r>
          </w:p>
        </w:tc>
        <w:tc>
          <w:tcPr>
            <w:tcW w:w="906" w:type="dxa"/>
            <w:shd w:val="clear" w:color="auto" w:fill="E7E6E6" w:themeFill="background2"/>
          </w:tcPr>
          <w:p w14:paraId="64C297A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Mean</w:t>
            </w:r>
            <w:r w:rsidRPr="00102464">
              <w:rPr>
                <w:rFonts w:cs="Arial"/>
                <w:vertAlign w:val="superscript"/>
              </w:rPr>
              <w:t>a</w:t>
            </w:r>
            <w:r w:rsidRPr="00102464">
              <w:rPr>
                <w:rFonts w:cs="Arial"/>
              </w:rPr>
              <w:t xml:space="preserve"> (SD)</w:t>
            </w:r>
          </w:p>
        </w:tc>
        <w:tc>
          <w:tcPr>
            <w:tcW w:w="673" w:type="dxa"/>
            <w:shd w:val="clear" w:color="auto" w:fill="E7E6E6" w:themeFill="background2"/>
          </w:tcPr>
          <w:p w14:paraId="183FF7B9" w14:textId="77777777" w:rsidR="00F829DF" w:rsidRPr="00102464" w:rsidRDefault="00F829DF" w:rsidP="001F3599">
            <w:pPr>
              <w:jc w:val="center"/>
              <w:rPr>
                <w:rFonts w:cs="Arial"/>
                <w:vertAlign w:val="superscript"/>
              </w:rPr>
            </w:pPr>
            <w:r w:rsidRPr="00102464">
              <w:rPr>
                <w:rFonts w:cs="Arial"/>
              </w:rPr>
              <w:t>IQR</w:t>
            </w:r>
          </w:p>
        </w:tc>
        <w:tc>
          <w:tcPr>
            <w:tcW w:w="897" w:type="dxa"/>
            <w:shd w:val="clear" w:color="auto" w:fill="E7E6E6" w:themeFill="background2"/>
          </w:tcPr>
          <w:p w14:paraId="690F2DD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eastAsia="en-US" w:bidi="en-US"/>
              </w:rPr>
              <w:t>% of rating 1 or 2</w:t>
            </w:r>
          </w:p>
        </w:tc>
        <w:tc>
          <w:tcPr>
            <w:tcW w:w="986" w:type="dxa"/>
            <w:shd w:val="clear" w:color="auto" w:fill="E7E6E6" w:themeFill="background2"/>
          </w:tcPr>
          <w:p w14:paraId="065DEBA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eastAsia="en-US" w:bidi="en-US"/>
              </w:rPr>
              <w:t>% of rating 3</w:t>
            </w:r>
          </w:p>
        </w:tc>
        <w:tc>
          <w:tcPr>
            <w:tcW w:w="940" w:type="dxa"/>
            <w:shd w:val="clear" w:color="auto" w:fill="E7E6E6" w:themeFill="background2"/>
          </w:tcPr>
          <w:p w14:paraId="5C25D34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eastAsia="en-US" w:bidi="en-US"/>
              </w:rPr>
              <w:t>% of rating 4 or 5</w:t>
            </w:r>
          </w:p>
        </w:tc>
        <w:tc>
          <w:tcPr>
            <w:tcW w:w="906" w:type="dxa"/>
            <w:shd w:val="clear" w:color="auto" w:fill="E7E6E6" w:themeFill="background2"/>
          </w:tcPr>
          <w:p w14:paraId="32286AA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Mean</w:t>
            </w:r>
            <w:r w:rsidRPr="00102464">
              <w:rPr>
                <w:rFonts w:cs="Arial"/>
                <w:vertAlign w:val="superscript"/>
              </w:rPr>
              <w:t>a</w:t>
            </w:r>
            <w:r w:rsidRPr="00102464">
              <w:rPr>
                <w:rFonts w:cs="Arial"/>
              </w:rPr>
              <w:t xml:space="preserve"> (SD)</w:t>
            </w:r>
          </w:p>
        </w:tc>
        <w:tc>
          <w:tcPr>
            <w:tcW w:w="718" w:type="dxa"/>
            <w:shd w:val="clear" w:color="auto" w:fill="E7E6E6" w:themeFill="background2"/>
          </w:tcPr>
          <w:p w14:paraId="539019D3" w14:textId="77777777" w:rsidR="00F829DF" w:rsidRPr="00102464" w:rsidRDefault="00F829DF" w:rsidP="001F3599">
            <w:pPr>
              <w:jc w:val="center"/>
              <w:rPr>
                <w:rFonts w:cs="Arial"/>
                <w:vertAlign w:val="superscript"/>
              </w:rPr>
            </w:pPr>
            <w:r w:rsidRPr="00102464">
              <w:rPr>
                <w:rFonts w:cs="Arial"/>
              </w:rPr>
              <w:t>IQR</w:t>
            </w:r>
          </w:p>
        </w:tc>
        <w:tc>
          <w:tcPr>
            <w:tcW w:w="925" w:type="dxa"/>
            <w:shd w:val="clear" w:color="auto" w:fill="E7E6E6" w:themeFill="background2"/>
          </w:tcPr>
          <w:p w14:paraId="5A3BA45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eastAsia="en-US" w:bidi="en-US"/>
              </w:rPr>
              <w:t>% of rating 1 or 2</w:t>
            </w:r>
          </w:p>
        </w:tc>
        <w:tc>
          <w:tcPr>
            <w:tcW w:w="925" w:type="dxa"/>
            <w:shd w:val="clear" w:color="auto" w:fill="E7E6E6" w:themeFill="background2"/>
          </w:tcPr>
          <w:p w14:paraId="3D1CA50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  <w:lang w:eastAsia="en-US" w:bidi="en-US"/>
              </w:rPr>
              <w:t>% of rating 3</w:t>
            </w:r>
          </w:p>
        </w:tc>
        <w:tc>
          <w:tcPr>
            <w:tcW w:w="925" w:type="dxa"/>
            <w:shd w:val="clear" w:color="auto" w:fill="E7E6E6" w:themeFill="background2"/>
          </w:tcPr>
          <w:p w14:paraId="0EF2D376" w14:textId="6BAE6EBF" w:rsidR="00F829DF" w:rsidRPr="00102464" w:rsidRDefault="00F829DF" w:rsidP="001F3599">
            <w:pPr>
              <w:jc w:val="center"/>
              <w:rPr>
                <w:rFonts w:cs="Arial"/>
                <w:vertAlign w:val="superscript"/>
              </w:rPr>
            </w:pPr>
            <w:r w:rsidRPr="00102464">
              <w:rPr>
                <w:rFonts w:cs="Arial"/>
                <w:lang w:eastAsia="en-US" w:bidi="en-US"/>
              </w:rPr>
              <w:t>% of rating 4 or 5</w:t>
            </w:r>
            <w:r w:rsidR="003A1F6E">
              <w:rPr>
                <w:rFonts w:cs="Arial"/>
                <w:vertAlign w:val="superscript"/>
                <w:lang w:eastAsia="en-GB"/>
              </w:rPr>
              <w:t>b</w:t>
            </w:r>
          </w:p>
        </w:tc>
        <w:tc>
          <w:tcPr>
            <w:tcW w:w="1424" w:type="dxa"/>
            <w:vMerge/>
            <w:shd w:val="clear" w:color="auto" w:fill="E7E6E6" w:themeFill="background2"/>
          </w:tcPr>
          <w:p w14:paraId="14A6FCE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</w:p>
        </w:tc>
      </w:tr>
      <w:tr w:rsidR="00F829DF" w14:paraId="01625478" w14:textId="77777777" w:rsidTr="002C66ED">
        <w:tc>
          <w:tcPr>
            <w:tcW w:w="2793" w:type="dxa"/>
            <w:vAlign w:val="bottom"/>
          </w:tcPr>
          <w:p w14:paraId="0DE0311F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  <w:r w:rsidRPr="00E96FFA">
              <w:rPr>
                <w:rFonts w:cs="Arial"/>
              </w:rPr>
              <w:t>Photo for accurate wound measurement</w:t>
            </w:r>
          </w:p>
        </w:tc>
        <w:tc>
          <w:tcPr>
            <w:tcW w:w="906" w:type="dxa"/>
          </w:tcPr>
          <w:p w14:paraId="6CC928A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4.3 (1.2)</w:t>
            </w:r>
          </w:p>
        </w:tc>
        <w:tc>
          <w:tcPr>
            <w:tcW w:w="673" w:type="dxa"/>
          </w:tcPr>
          <w:p w14:paraId="7C29B04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897" w:type="dxa"/>
          </w:tcPr>
          <w:p w14:paraId="665CD91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86" w:type="dxa"/>
          </w:tcPr>
          <w:p w14:paraId="1300B82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40" w:type="dxa"/>
            <w:shd w:val="clear" w:color="auto" w:fill="auto"/>
          </w:tcPr>
          <w:p w14:paraId="1DA5422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76.0%</w:t>
            </w:r>
          </w:p>
        </w:tc>
        <w:tc>
          <w:tcPr>
            <w:tcW w:w="906" w:type="dxa"/>
          </w:tcPr>
          <w:p w14:paraId="67E79C6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4.5 (1.1)</w:t>
            </w:r>
          </w:p>
        </w:tc>
        <w:tc>
          <w:tcPr>
            <w:tcW w:w="718" w:type="dxa"/>
          </w:tcPr>
          <w:p w14:paraId="3B68B54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</w:t>
            </w:r>
          </w:p>
        </w:tc>
        <w:tc>
          <w:tcPr>
            <w:tcW w:w="925" w:type="dxa"/>
          </w:tcPr>
          <w:p w14:paraId="3B000B3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</w:tcPr>
          <w:p w14:paraId="0BB9FD7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0.0%</w:t>
            </w:r>
          </w:p>
        </w:tc>
        <w:tc>
          <w:tcPr>
            <w:tcW w:w="925" w:type="dxa"/>
          </w:tcPr>
          <w:p w14:paraId="793D8D9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92.0%</w:t>
            </w:r>
          </w:p>
        </w:tc>
        <w:tc>
          <w:tcPr>
            <w:tcW w:w="1424" w:type="dxa"/>
          </w:tcPr>
          <w:p w14:paraId="496D4E5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0.63</w:t>
            </w:r>
          </w:p>
        </w:tc>
      </w:tr>
      <w:tr w:rsidR="00F829DF" w14:paraId="4F59D7D8" w14:textId="77777777" w:rsidTr="002C66ED">
        <w:tc>
          <w:tcPr>
            <w:tcW w:w="2793" w:type="dxa"/>
            <w:vAlign w:val="bottom"/>
          </w:tcPr>
          <w:p w14:paraId="344F274F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Palpation of peripheral pulses</w:t>
            </w:r>
          </w:p>
        </w:tc>
        <w:tc>
          <w:tcPr>
            <w:tcW w:w="906" w:type="dxa"/>
          </w:tcPr>
          <w:p w14:paraId="5BA3BF8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4.2 (1.2)</w:t>
            </w:r>
          </w:p>
        </w:tc>
        <w:tc>
          <w:tcPr>
            <w:tcW w:w="673" w:type="dxa"/>
          </w:tcPr>
          <w:p w14:paraId="33F70AA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897" w:type="dxa"/>
          </w:tcPr>
          <w:p w14:paraId="2761573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86" w:type="dxa"/>
          </w:tcPr>
          <w:p w14:paraId="5C5C37BE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40" w:type="dxa"/>
            <w:shd w:val="clear" w:color="auto" w:fill="auto"/>
          </w:tcPr>
          <w:p w14:paraId="58D34E8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76.0%</w:t>
            </w:r>
          </w:p>
        </w:tc>
        <w:tc>
          <w:tcPr>
            <w:tcW w:w="906" w:type="dxa"/>
          </w:tcPr>
          <w:p w14:paraId="3D78C7C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4.8 (0.5)</w:t>
            </w:r>
          </w:p>
        </w:tc>
        <w:tc>
          <w:tcPr>
            <w:tcW w:w="718" w:type="dxa"/>
          </w:tcPr>
          <w:p w14:paraId="5D95916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</w:t>
            </w:r>
          </w:p>
        </w:tc>
        <w:tc>
          <w:tcPr>
            <w:tcW w:w="925" w:type="dxa"/>
          </w:tcPr>
          <w:p w14:paraId="4DF83ABE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0.0%</w:t>
            </w:r>
          </w:p>
        </w:tc>
        <w:tc>
          <w:tcPr>
            <w:tcW w:w="925" w:type="dxa"/>
          </w:tcPr>
          <w:p w14:paraId="46F25D7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4.0%</w:t>
            </w:r>
          </w:p>
        </w:tc>
        <w:tc>
          <w:tcPr>
            <w:tcW w:w="925" w:type="dxa"/>
          </w:tcPr>
          <w:p w14:paraId="5AF7B0C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96.0%</w:t>
            </w:r>
          </w:p>
        </w:tc>
        <w:tc>
          <w:tcPr>
            <w:tcW w:w="1424" w:type="dxa"/>
          </w:tcPr>
          <w:p w14:paraId="6B44F43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0.16</w:t>
            </w:r>
          </w:p>
        </w:tc>
      </w:tr>
      <w:tr w:rsidR="00F829DF" w14:paraId="2E6797FE" w14:textId="77777777" w:rsidTr="002C66ED">
        <w:tc>
          <w:tcPr>
            <w:tcW w:w="2793" w:type="dxa"/>
            <w:vAlign w:val="bottom"/>
          </w:tcPr>
          <w:p w14:paraId="44BA48AB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  <w:r w:rsidRPr="00E96FFA">
              <w:rPr>
                <w:rFonts w:cs="Arial"/>
              </w:rPr>
              <w:t>Links to independent studies on various products</w:t>
            </w:r>
          </w:p>
        </w:tc>
        <w:tc>
          <w:tcPr>
            <w:tcW w:w="906" w:type="dxa"/>
          </w:tcPr>
          <w:p w14:paraId="3982A1B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 (1.3)</w:t>
            </w:r>
          </w:p>
        </w:tc>
        <w:tc>
          <w:tcPr>
            <w:tcW w:w="673" w:type="dxa"/>
          </w:tcPr>
          <w:p w14:paraId="63838C6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897" w:type="dxa"/>
          </w:tcPr>
          <w:p w14:paraId="48AF175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86" w:type="dxa"/>
          </w:tcPr>
          <w:p w14:paraId="001FA4C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40" w:type="dxa"/>
            <w:shd w:val="clear" w:color="auto" w:fill="auto"/>
          </w:tcPr>
          <w:p w14:paraId="5901FC6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76.0%</w:t>
            </w:r>
          </w:p>
        </w:tc>
        <w:tc>
          <w:tcPr>
            <w:tcW w:w="906" w:type="dxa"/>
          </w:tcPr>
          <w:p w14:paraId="3C3DC50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3.8 (1.2)</w:t>
            </w:r>
          </w:p>
        </w:tc>
        <w:tc>
          <w:tcPr>
            <w:tcW w:w="718" w:type="dxa"/>
          </w:tcPr>
          <w:p w14:paraId="28BC873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639B40F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</w:tcPr>
          <w:p w14:paraId="5618E9B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  <w:shd w:val="clear" w:color="auto" w:fill="auto"/>
          </w:tcPr>
          <w:p w14:paraId="14CC3B4D" w14:textId="77777777" w:rsidR="00F829DF" w:rsidRPr="003A1F6E" w:rsidRDefault="00F829DF" w:rsidP="001F3599">
            <w:pPr>
              <w:jc w:val="center"/>
              <w:rPr>
                <w:rFonts w:cs="Arial"/>
                <w:b/>
                <w:bCs/>
              </w:rPr>
            </w:pPr>
            <w:r w:rsidRPr="003A1F6E">
              <w:rPr>
                <w:rFonts w:cs="Arial"/>
                <w:b/>
                <w:bCs/>
              </w:rPr>
              <w:t>76.0%</w:t>
            </w:r>
          </w:p>
        </w:tc>
        <w:tc>
          <w:tcPr>
            <w:tcW w:w="1424" w:type="dxa"/>
            <w:shd w:val="clear" w:color="auto" w:fill="auto"/>
          </w:tcPr>
          <w:p w14:paraId="7A0BB68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0.80</w:t>
            </w:r>
          </w:p>
        </w:tc>
      </w:tr>
      <w:tr w:rsidR="00F829DF" w14:paraId="5584CF27" w14:textId="77777777" w:rsidTr="002C66ED">
        <w:tc>
          <w:tcPr>
            <w:tcW w:w="2793" w:type="dxa"/>
            <w:vAlign w:val="bottom"/>
          </w:tcPr>
          <w:p w14:paraId="573EB17B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  <w:r w:rsidRPr="00E96FFA">
              <w:rPr>
                <w:rFonts w:cs="Arial"/>
              </w:rPr>
              <w:t>Links to international best practice guides</w:t>
            </w:r>
          </w:p>
        </w:tc>
        <w:tc>
          <w:tcPr>
            <w:tcW w:w="906" w:type="dxa"/>
          </w:tcPr>
          <w:p w14:paraId="1B2B9D1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 (1.2)</w:t>
            </w:r>
          </w:p>
        </w:tc>
        <w:tc>
          <w:tcPr>
            <w:tcW w:w="673" w:type="dxa"/>
          </w:tcPr>
          <w:p w14:paraId="73365A4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897" w:type="dxa"/>
          </w:tcPr>
          <w:p w14:paraId="0732A80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86" w:type="dxa"/>
          </w:tcPr>
          <w:p w14:paraId="3D657BD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40" w:type="dxa"/>
            <w:shd w:val="clear" w:color="auto" w:fill="auto"/>
          </w:tcPr>
          <w:p w14:paraId="794D031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76.0%</w:t>
            </w:r>
          </w:p>
        </w:tc>
        <w:tc>
          <w:tcPr>
            <w:tcW w:w="906" w:type="dxa"/>
          </w:tcPr>
          <w:p w14:paraId="1A7D036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3.8 (1.3)</w:t>
            </w:r>
          </w:p>
        </w:tc>
        <w:tc>
          <w:tcPr>
            <w:tcW w:w="718" w:type="dxa"/>
          </w:tcPr>
          <w:p w14:paraId="48F7F26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6B1B933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25" w:type="dxa"/>
          </w:tcPr>
          <w:p w14:paraId="1BEC76F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  <w:shd w:val="clear" w:color="auto" w:fill="auto"/>
          </w:tcPr>
          <w:p w14:paraId="599D63B5" w14:textId="77777777" w:rsidR="00F829DF" w:rsidRPr="003A1F6E" w:rsidRDefault="00F829DF" w:rsidP="001F3599">
            <w:pPr>
              <w:jc w:val="center"/>
              <w:rPr>
                <w:rFonts w:cs="Arial"/>
                <w:b/>
                <w:bCs/>
              </w:rPr>
            </w:pPr>
            <w:r w:rsidRPr="003A1F6E">
              <w:rPr>
                <w:rFonts w:cs="Arial"/>
                <w:b/>
                <w:bCs/>
              </w:rPr>
              <w:t>76.0%</w:t>
            </w:r>
          </w:p>
        </w:tc>
        <w:tc>
          <w:tcPr>
            <w:tcW w:w="1424" w:type="dxa"/>
            <w:shd w:val="clear" w:color="auto" w:fill="auto"/>
          </w:tcPr>
          <w:p w14:paraId="0606FF8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0.59</w:t>
            </w:r>
          </w:p>
        </w:tc>
      </w:tr>
      <w:tr w:rsidR="00F829DF" w14:paraId="09A703F3" w14:textId="77777777" w:rsidTr="002C66ED">
        <w:tc>
          <w:tcPr>
            <w:tcW w:w="2793" w:type="dxa"/>
            <w:vAlign w:val="bottom"/>
          </w:tcPr>
          <w:p w14:paraId="630BFC75" w14:textId="77777777" w:rsidR="00F829DF" w:rsidRPr="00102464" w:rsidRDefault="00F829DF" w:rsidP="001F3599">
            <w:pPr>
              <w:rPr>
                <w:rFonts w:cs="Arial"/>
                <w:vertAlign w:val="superscript"/>
              </w:rPr>
            </w:pPr>
            <w:r w:rsidRPr="00102464">
              <w:rPr>
                <w:rFonts w:cs="Arial"/>
              </w:rPr>
              <w:t>BWAT checklist</w:t>
            </w:r>
          </w:p>
        </w:tc>
        <w:tc>
          <w:tcPr>
            <w:tcW w:w="906" w:type="dxa"/>
          </w:tcPr>
          <w:p w14:paraId="5DE106E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3.9 (1.2)</w:t>
            </w:r>
          </w:p>
        </w:tc>
        <w:tc>
          <w:tcPr>
            <w:tcW w:w="673" w:type="dxa"/>
          </w:tcPr>
          <w:p w14:paraId="1CD34D3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897" w:type="dxa"/>
          </w:tcPr>
          <w:p w14:paraId="7146541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86" w:type="dxa"/>
          </w:tcPr>
          <w:p w14:paraId="321565D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40" w:type="dxa"/>
            <w:shd w:val="clear" w:color="auto" w:fill="auto"/>
          </w:tcPr>
          <w:p w14:paraId="79F03D9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76.0%</w:t>
            </w:r>
          </w:p>
        </w:tc>
        <w:tc>
          <w:tcPr>
            <w:tcW w:w="906" w:type="dxa"/>
          </w:tcPr>
          <w:p w14:paraId="1076F5C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4.1 (0.9)</w:t>
            </w:r>
          </w:p>
        </w:tc>
        <w:tc>
          <w:tcPr>
            <w:tcW w:w="718" w:type="dxa"/>
          </w:tcPr>
          <w:p w14:paraId="3EC001A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670C312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4.0%</w:t>
            </w:r>
          </w:p>
        </w:tc>
        <w:tc>
          <w:tcPr>
            <w:tcW w:w="925" w:type="dxa"/>
          </w:tcPr>
          <w:p w14:paraId="59C62B3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</w:tcPr>
          <w:p w14:paraId="227591F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88.0%</w:t>
            </w:r>
          </w:p>
        </w:tc>
        <w:tc>
          <w:tcPr>
            <w:tcW w:w="1424" w:type="dxa"/>
          </w:tcPr>
          <w:p w14:paraId="136E4DB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0.21</w:t>
            </w:r>
          </w:p>
        </w:tc>
      </w:tr>
      <w:tr w:rsidR="00F829DF" w14:paraId="6F609493" w14:textId="77777777" w:rsidTr="002C66ED">
        <w:tc>
          <w:tcPr>
            <w:tcW w:w="2793" w:type="dxa"/>
            <w:vAlign w:val="bottom"/>
          </w:tcPr>
          <w:p w14:paraId="674F3ECB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  <w:r w:rsidRPr="00E96FFA">
              <w:rPr>
                <w:rFonts w:cs="Arial"/>
              </w:rPr>
              <w:t>Examples of directives in the therapeutic nursing plan</w:t>
            </w:r>
          </w:p>
        </w:tc>
        <w:tc>
          <w:tcPr>
            <w:tcW w:w="906" w:type="dxa"/>
          </w:tcPr>
          <w:p w14:paraId="6628D07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 (1.3)</w:t>
            </w:r>
          </w:p>
        </w:tc>
        <w:tc>
          <w:tcPr>
            <w:tcW w:w="673" w:type="dxa"/>
          </w:tcPr>
          <w:p w14:paraId="46D1E2C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7CF5068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86" w:type="dxa"/>
          </w:tcPr>
          <w:p w14:paraId="5F08C2B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40" w:type="dxa"/>
            <w:shd w:val="clear" w:color="auto" w:fill="auto"/>
          </w:tcPr>
          <w:p w14:paraId="6E228D3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72.0%</w:t>
            </w:r>
          </w:p>
        </w:tc>
        <w:tc>
          <w:tcPr>
            <w:tcW w:w="906" w:type="dxa"/>
          </w:tcPr>
          <w:p w14:paraId="3E9073A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4.6 (1.0)</w:t>
            </w:r>
          </w:p>
        </w:tc>
        <w:tc>
          <w:tcPr>
            <w:tcW w:w="718" w:type="dxa"/>
          </w:tcPr>
          <w:p w14:paraId="46B1FDD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</w:t>
            </w:r>
          </w:p>
        </w:tc>
        <w:tc>
          <w:tcPr>
            <w:tcW w:w="925" w:type="dxa"/>
          </w:tcPr>
          <w:p w14:paraId="356362E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</w:tcPr>
          <w:p w14:paraId="40D68DF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4.0%</w:t>
            </w:r>
          </w:p>
        </w:tc>
        <w:tc>
          <w:tcPr>
            <w:tcW w:w="925" w:type="dxa"/>
          </w:tcPr>
          <w:p w14:paraId="0211FAB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88.0%</w:t>
            </w:r>
          </w:p>
        </w:tc>
        <w:tc>
          <w:tcPr>
            <w:tcW w:w="1424" w:type="dxa"/>
          </w:tcPr>
          <w:p w14:paraId="06CC86E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0.56</w:t>
            </w:r>
          </w:p>
        </w:tc>
      </w:tr>
      <w:tr w:rsidR="00F829DF" w14:paraId="360B229F" w14:textId="77777777" w:rsidTr="002C66ED">
        <w:tc>
          <w:tcPr>
            <w:tcW w:w="2793" w:type="dxa"/>
            <w:vAlign w:val="bottom"/>
          </w:tcPr>
          <w:p w14:paraId="6730CCDE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  <w:r w:rsidRPr="00E96FFA">
              <w:rPr>
                <w:rFonts w:cs="Arial"/>
              </w:rPr>
              <w:t>Inclusion of photos of dressings</w:t>
            </w:r>
          </w:p>
        </w:tc>
        <w:tc>
          <w:tcPr>
            <w:tcW w:w="906" w:type="dxa"/>
          </w:tcPr>
          <w:p w14:paraId="56304CE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 (1.3)</w:t>
            </w:r>
          </w:p>
        </w:tc>
        <w:tc>
          <w:tcPr>
            <w:tcW w:w="673" w:type="dxa"/>
          </w:tcPr>
          <w:p w14:paraId="1603BF4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28CD832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86" w:type="dxa"/>
          </w:tcPr>
          <w:p w14:paraId="6F2C19E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40" w:type="dxa"/>
            <w:shd w:val="clear" w:color="auto" w:fill="auto"/>
          </w:tcPr>
          <w:p w14:paraId="09EB4E8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72.0%</w:t>
            </w:r>
          </w:p>
        </w:tc>
        <w:tc>
          <w:tcPr>
            <w:tcW w:w="906" w:type="dxa"/>
          </w:tcPr>
          <w:p w14:paraId="233031C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4.7 (0.9)</w:t>
            </w:r>
          </w:p>
        </w:tc>
        <w:tc>
          <w:tcPr>
            <w:tcW w:w="718" w:type="dxa"/>
          </w:tcPr>
          <w:p w14:paraId="0AF2D45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</w:t>
            </w:r>
          </w:p>
        </w:tc>
        <w:tc>
          <w:tcPr>
            <w:tcW w:w="925" w:type="dxa"/>
          </w:tcPr>
          <w:p w14:paraId="20C821A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4.0%</w:t>
            </w:r>
          </w:p>
        </w:tc>
        <w:tc>
          <w:tcPr>
            <w:tcW w:w="925" w:type="dxa"/>
          </w:tcPr>
          <w:p w14:paraId="38BF278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0.0%</w:t>
            </w:r>
          </w:p>
        </w:tc>
        <w:tc>
          <w:tcPr>
            <w:tcW w:w="925" w:type="dxa"/>
          </w:tcPr>
          <w:p w14:paraId="185B700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96.0%</w:t>
            </w:r>
          </w:p>
        </w:tc>
        <w:tc>
          <w:tcPr>
            <w:tcW w:w="1424" w:type="dxa"/>
          </w:tcPr>
          <w:p w14:paraId="06E5B98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0.26</w:t>
            </w:r>
          </w:p>
        </w:tc>
      </w:tr>
      <w:tr w:rsidR="00F829DF" w14:paraId="4DB95E30" w14:textId="77777777" w:rsidTr="002C66ED">
        <w:tc>
          <w:tcPr>
            <w:tcW w:w="2793" w:type="dxa"/>
            <w:vAlign w:val="bottom"/>
          </w:tcPr>
          <w:p w14:paraId="643BF88A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Frostbite</w:t>
            </w:r>
          </w:p>
        </w:tc>
        <w:tc>
          <w:tcPr>
            <w:tcW w:w="906" w:type="dxa"/>
          </w:tcPr>
          <w:p w14:paraId="6BBAAA9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 (1.1)</w:t>
            </w:r>
          </w:p>
        </w:tc>
        <w:tc>
          <w:tcPr>
            <w:tcW w:w="673" w:type="dxa"/>
          </w:tcPr>
          <w:p w14:paraId="733012C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164CB8D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86" w:type="dxa"/>
          </w:tcPr>
          <w:p w14:paraId="185C605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20.0%</w:t>
            </w:r>
          </w:p>
        </w:tc>
        <w:tc>
          <w:tcPr>
            <w:tcW w:w="940" w:type="dxa"/>
            <w:shd w:val="clear" w:color="auto" w:fill="auto"/>
          </w:tcPr>
          <w:p w14:paraId="2AE86E4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72.0%</w:t>
            </w:r>
          </w:p>
        </w:tc>
        <w:tc>
          <w:tcPr>
            <w:tcW w:w="906" w:type="dxa"/>
          </w:tcPr>
          <w:p w14:paraId="31DA712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3.8 (1.1)</w:t>
            </w:r>
          </w:p>
        </w:tc>
        <w:tc>
          <w:tcPr>
            <w:tcW w:w="718" w:type="dxa"/>
          </w:tcPr>
          <w:p w14:paraId="2432DDB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4E6FE64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25" w:type="dxa"/>
          </w:tcPr>
          <w:p w14:paraId="35E2323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  <w:shd w:val="clear" w:color="auto" w:fill="auto"/>
          </w:tcPr>
          <w:p w14:paraId="41AD74EC" w14:textId="5391F712" w:rsidR="00F829DF" w:rsidRPr="003A1F6E" w:rsidRDefault="00F829DF" w:rsidP="001F3599">
            <w:pPr>
              <w:jc w:val="center"/>
              <w:rPr>
                <w:rFonts w:cs="Arial"/>
                <w:b/>
                <w:bCs/>
              </w:rPr>
            </w:pPr>
            <w:r w:rsidRPr="003A1F6E">
              <w:rPr>
                <w:rFonts w:cs="Arial"/>
                <w:b/>
                <w:bCs/>
              </w:rPr>
              <w:t>76.0</w:t>
            </w:r>
            <w:r w:rsidR="003A1F6E">
              <w:rPr>
                <w:rFonts w:cs="Arial"/>
                <w:b/>
                <w:bCs/>
              </w:rPr>
              <w:t>%</w:t>
            </w:r>
          </w:p>
        </w:tc>
        <w:tc>
          <w:tcPr>
            <w:tcW w:w="1424" w:type="dxa"/>
            <w:shd w:val="clear" w:color="auto" w:fill="auto"/>
          </w:tcPr>
          <w:p w14:paraId="366B4EC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0.67</w:t>
            </w:r>
          </w:p>
        </w:tc>
      </w:tr>
      <w:tr w:rsidR="00F829DF" w14:paraId="0C00AE8C" w14:textId="77777777" w:rsidTr="002C66ED">
        <w:tc>
          <w:tcPr>
            <w:tcW w:w="2793" w:type="dxa"/>
            <w:vAlign w:val="bottom"/>
          </w:tcPr>
          <w:p w14:paraId="5B5F3EFD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Doppler</w:t>
            </w:r>
          </w:p>
        </w:tc>
        <w:tc>
          <w:tcPr>
            <w:tcW w:w="906" w:type="dxa"/>
          </w:tcPr>
          <w:p w14:paraId="70004AC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3.9 (1.2)</w:t>
            </w:r>
          </w:p>
        </w:tc>
        <w:tc>
          <w:tcPr>
            <w:tcW w:w="673" w:type="dxa"/>
          </w:tcPr>
          <w:p w14:paraId="56425A9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4A9AFF1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86" w:type="dxa"/>
          </w:tcPr>
          <w:p w14:paraId="37390F3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40" w:type="dxa"/>
            <w:shd w:val="clear" w:color="auto" w:fill="auto"/>
          </w:tcPr>
          <w:p w14:paraId="23088B9E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72.0%</w:t>
            </w:r>
          </w:p>
        </w:tc>
        <w:tc>
          <w:tcPr>
            <w:tcW w:w="906" w:type="dxa"/>
          </w:tcPr>
          <w:p w14:paraId="19E0E47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4.4 (0.8)</w:t>
            </w:r>
          </w:p>
        </w:tc>
        <w:tc>
          <w:tcPr>
            <w:tcW w:w="718" w:type="dxa"/>
          </w:tcPr>
          <w:p w14:paraId="63A8BE2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5B93EF1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4.0%</w:t>
            </w:r>
          </w:p>
        </w:tc>
        <w:tc>
          <w:tcPr>
            <w:tcW w:w="925" w:type="dxa"/>
          </w:tcPr>
          <w:p w14:paraId="5547B75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4.0%</w:t>
            </w:r>
          </w:p>
        </w:tc>
        <w:tc>
          <w:tcPr>
            <w:tcW w:w="925" w:type="dxa"/>
          </w:tcPr>
          <w:p w14:paraId="3B51861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92.0%</w:t>
            </w:r>
          </w:p>
        </w:tc>
        <w:tc>
          <w:tcPr>
            <w:tcW w:w="1424" w:type="dxa"/>
          </w:tcPr>
          <w:p w14:paraId="4191A8A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0.36</w:t>
            </w:r>
          </w:p>
        </w:tc>
      </w:tr>
      <w:tr w:rsidR="00F829DF" w14:paraId="304DD9E0" w14:textId="77777777" w:rsidTr="002C66ED">
        <w:tc>
          <w:tcPr>
            <w:tcW w:w="2793" w:type="dxa"/>
            <w:vAlign w:val="bottom"/>
          </w:tcPr>
          <w:p w14:paraId="1134DF18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Wounds around drains</w:t>
            </w:r>
          </w:p>
        </w:tc>
        <w:tc>
          <w:tcPr>
            <w:tcW w:w="906" w:type="dxa"/>
          </w:tcPr>
          <w:p w14:paraId="345F51F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3.9 (0.9)</w:t>
            </w:r>
          </w:p>
        </w:tc>
        <w:tc>
          <w:tcPr>
            <w:tcW w:w="673" w:type="dxa"/>
          </w:tcPr>
          <w:p w14:paraId="47D85E0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529CF31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86" w:type="dxa"/>
          </w:tcPr>
          <w:p w14:paraId="6A266F1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20.0%</w:t>
            </w:r>
          </w:p>
        </w:tc>
        <w:tc>
          <w:tcPr>
            <w:tcW w:w="940" w:type="dxa"/>
            <w:shd w:val="clear" w:color="auto" w:fill="auto"/>
          </w:tcPr>
          <w:p w14:paraId="5F80352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72.0%</w:t>
            </w:r>
          </w:p>
        </w:tc>
        <w:tc>
          <w:tcPr>
            <w:tcW w:w="906" w:type="dxa"/>
          </w:tcPr>
          <w:p w14:paraId="5484A9D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3.9 (1.0)</w:t>
            </w:r>
          </w:p>
        </w:tc>
        <w:tc>
          <w:tcPr>
            <w:tcW w:w="718" w:type="dxa"/>
          </w:tcPr>
          <w:p w14:paraId="007429D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037618A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</w:tcPr>
          <w:p w14:paraId="649CF96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  <w:shd w:val="clear" w:color="auto" w:fill="auto"/>
          </w:tcPr>
          <w:p w14:paraId="7518492D" w14:textId="77777777" w:rsidR="00F829DF" w:rsidRPr="003A1F6E" w:rsidRDefault="00F829DF" w:rsidP="001F3599">
            <w:pPr>
              <w:jc w:val="center"/>
              <w:rPr>
                <w:rFonts w:cs="Arial"/>
                <w:b/>
                <w:bCs/>
              </w:rPr>
            </w:pPr>
            <w:r w:rsidRPr="003A1F6E">
              <w:rPr>
                <w:rFonts w:cs="Arial"/>
                <w:b/>
                <w:bCs/>
              </w:rPr>
              <w:t>76.0%</w:t>
            </w:r>
          </w:p>
        </w:tc>
        <w:tc>
          <w:tcPr>
            <w:tcW w:w="1424" w:type="dxa"/>
            <w:shd w:val="clear" w:color="auto" w:fill="auto"/>
          </w:tcPr>
          <w:p w14:paraId="3FBC27C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0.58</w:t>
            </w:r>
          </w:p>
        </w:tc>
      </w:tr>
      <w:tr w:rsidR="00F829DF" w14:paraId="7B80E504" w14:textId="77777777" w:rsidTr="002C66ED">
        <w:tc>
          <w:tcPr>
            <w:tcW w:w="2793" w:type="dxa"/>
            <w:vAlign w:val="bottom"/>
          </w:tcPr>
          <w:p w14:paraId="35AC3A25" w14:textId="77777777" w:rsidR="00F829DF" w:rsidRPr="00102464" w:rsidRDefault="00F829DF" w:rsidP="001F3599">
            <w:pPr>
              <w:rPr>
                <w:rFonts w:cs="Arial"/>
                <w:lang w:val="en-CA"/>
              </w:rPr>
            </w:pPr>
            <w:r w:rsidRPr="00E96FFA">
              <w:rPr>
                <w:rFonts w:cs="Arial"/>
              </w:rPr>
              <w:lastRenderedPageBreak/>
              <w:t>Differentiation between the elements of the treatment plan that fall within different scopes of practice: nursing assistant, nurse, nurse prescriber, nurse practitioner, or physician</w:t>
            </w:r>
          </w:p>
        </w:tc>
        <w:tc>
          <w:tcPr>
            <w:tcW w:w="906" w:type="dxa"/>
          </w:tcPr>
          <w:p w14:paraId="2B3F7A2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4.0 (1.2)</w:t>
            </w:r>
          </w:p>
        </w:tc>
        <w:tc>
          <w:tcPr>
            <w:tcW w:w="673" w:type="dxa"/>
          </w:tcPr>
          <w:p w14:paraId="3D3D11E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6AE5143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86" w:type="dxa"/>
          </w:tcPr>
          <w:p w14:paraId="7146B7B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20.0%</w:t>
            </w:r>
          </w:p>
        </w:tc>
        <w:tc>
          <w:tcPr>
            <w:tcW w:w="940" w:type="dxa"/>
            <w:shd w:val="clear" w:color="auto" w:fill="auto"/>
          </w:tcPr>
          <w:p w14:paraId="4102A0A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68.0%</w:t>
            </w:r>
          </w:p>
        </w:tc>
        <w:tc>
          <w:tcPr>
            <w:tcW w:w="906" w:type="dxa"/>
          </w:tcPr>
          <w:p w14:paraId="1CD9F0E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4.1 (1.0)</w:t>
            </w:r>
          </w:p>
        </w:tc>
        <w:tc>
          <w:tcPr>
            <w:tcW w:w="718" w:type="dxa"/>
          </w:tcPr>
          <w:p w14:paraId="6FFC67C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</w:t>
            </w:r>
          </w:p>
        </w:tc>
        <w:tc>
          <w:tcPr>
            <w:tcW w:w="925" w:type="dxa"/>
          </w:tcPr>
          <w:p w14:paraId="4126E3B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</w:tcPr>
          <w:p w14:paraId="0BF9A40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</w:tcPr>
          <w:p w14:paraId="0316E9F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80.0%</w:t>
            </w:r>
          </w:p>
        </w:tc>
        <w:tc>
          <w:tcPr>
            <w:tcW w:w="1424" w:type="dxa"/>
          </w:tcPr>
          <w:p w14:paraId="2119F2B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0.58</w:t>
            </w:r>
          </w:p>
        </w:tc>
      </w:tr>
      <w:tr w:rsidR="00F829DF" w14:paraId="7E99C002" w14:textId="77777777" w:rsidTr="002C66ED">
        <w:tc>
          <w:tcPr>
            <w:tcW w:w="2793" w:type="dxa"/>
            <w:vAlign w:val="bottom"/>
          </w:tcPr>
          <w:p w14:paraId="1ADEC470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Examples of nursing prescriptions</w:t>
            </w:r>
          </w:p>
        </w:tc>
        <w:tc>
          <w:tcPr>
            <w:tcW w:w="906" w:type="dxa"/>
          </w:tcPr>
          <w:p w14:paraId="6F22CB6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3.9 (1.5)</w:t>
            </w:r>
          </w:p>
        </w:tc>
        <w:tc>
          <w:tcPr>
            <w:tcW w:w="673" w:type="dxa"/>
          </w:tcPr>
          <w:p w14:paraId="24E35DD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4194703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20.0%</w:t>
            </w:r>
          </w:p>
        </w:tc>
        <w:tc>
          <w:tcPr>
            <w:tcW w:w="986" w:type="dxa"/>
          </w:tcPr>
          <w:p w14:paraId="76A145F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16.0%</w:t>
            </w:r>
          </w:p>
        </w:tc>
        <w:tc>
          <w:tcPr>
            <w:tcW w:w="940" w:type="dxa"/>
            <w:shd w:val="clear" w:color="auto" w:fill="auto"/>
          </w:tcPr>
          <w:p w14:paraId="2406151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64.0%</w:t>
            </w:r>
          </w:p>
        </w:tc>
        <w:tc>
          <w:tcPr>
            <w:tcW w:w="906" w:type="dxa"/>
          </w:tcPr>
          <w:p w14:paraId="1863A65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4.4 (1.1)</w:t>
            </w:r>
          </w:p>
        </w:tc>
        <w:tc>
          <w:tcPr>
            <w:tcW w:w="718" w:type="dxa"/>
          </w:tcPr>
          <w:p w14:paraId="41F0232E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</w:t>
            </w:r>
          </w:p>
        </w:tc>
        <w:tc>
          <w:tcPr>
            <w:tcW w:w="925" w:type="dxa"/>
          </w:tcPr>
          <w:p w14:paraId="34826691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</w:tcPr>
          <w:p w14:paraId="09A58DC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</w:tcPr>
          <w:p w14:paraId="2F3C377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80.0%</w:t>
            </w:r>
          </w:p>
        </w:tc>
        <w:tc>
          <w:tcPr>
            <w:tcW w:w="1424" w:type="dxa"/>
          </w:tcPr>
          <w:p w14:paraId="342806C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0.46</w:t>
            </w:r>
          </w:p>
        </w:tc>
      </w:tr>
      <w:tr w:rsidR="00F829DF" w14:paraId="3B9FE515" w14:textId="77777777" w:rsidTr="002C66ED">
        <w:tc>
          <w:tcPr>
            <w:tcW w:w="2793" w:type="dxa"/>
            <w:vAlign w:val="bottom"/>
          </w:tcPr>
          <w:p w14:paraId="6B680F40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Monofilament</w:t>
            </w:r>
          </w:p>
        </w:tc>
        <w:tc>
          <w:tcPr>
            <w:tcW w:w="906" w:type="dxa"/>
          </w:tcPr>
          <w:p w14:paraId="121DF44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3.9 (1.3)</w:t>
            </w:r>
          </w:p>
        </w:tc>
        <w:tc>
          <w:tcPr>
            <w:tcW w:w="673" w:type="dxa"/>
          </w:tcPr>
          <w:p w14:paraId="2230FC2C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4C46D630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86" w:type="dxa"/>
          </w:tcPr>
          <w:p w14:paraId="5493BDBD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24.0%</w:t>
            </w:r>
          </w:p>
        </w:tc>
        <w:tc>
          <w:tcPr>
            <w:tcW w:w="940" w:type="dxa"/>
            <w:shd w:val="clear" w:color="auto" w:fill="auto"/>
          </w:tcPr>
          <w:p w14:paraId="42E2CE6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64.0%</w:t>
            </w:r>
          </w:p>
        </w:tc>
        <w:tc>
          <w:tcPr>
            <w:tcW w:w="906" w:type="dxa"/>
          </w:tcPr>
          <w:p w14:paraId="12144D7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4.1 (0.6)</w:t>
            </w:r>
          </w:p>
        </w:tc>
        <w:tc>
          <w:tcPr>
            <w:tcW w:w="718" w:type="dxa"/>
          </w:tcPr>
          <w:p w14:paraId="2FEC62C3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</w:t>
            </w:r>
          </w:p>
        </w:tc>
        <w:tc>
          <w:tcPr>
            <w:tcW w:w="925" w:type="dxa"/>
          </w:tcPr>
          <w:p w14:paraId="1A95A3D7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0.0%</w:t>
            </w:r>
          </w:p>
        </w:tc>
        <w:tc>
          <w:tcPr>
            <w:tcW w:w="925" w:type="dxa"/>
          </w:tcPr>
          <w:p w14:paraId="79BB302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12.0%</w:t>
            </w:r>
          </w:p>
        </w:tc>
        <w:tc>
          <w:tcPr>
            <w:tcW w:w="925" w:type="dxa"/>
          </w:tcPr>
          <w:p w14:paraId="1D32C865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88.0%</w:t>
            </w:r>
          </w:p>
        </w:tc>
        <w:tc>
          <w:tcPr>
            <w:tcW w:w="1424" w:type="dxa"/>
          </w:tcPr>
          <w:p w14:paraId="403E9326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0.14</w:t>
            </w:r>
          </w:p>
        </w:tc>
      </w:tr>
      <w:tr w:rsidR="00F829DF" w14:paraId="79053C29" w14:textId="77777777" w:rsidTr="002C66ED">
        <w:tc>
          <w:tcPr>
            <w:tcW w:w="2793" w:type="dxa"/>
            <w:vAlign w:val="bottom"/>
          </w:tcPr>
          <w:p w14:paraId="00242D07" w14:textId="77777777" w:rsidR="00F829DF" w:rsidRPr="00102464" w:rsidRDefault="00F829DF" w:rsidP="001F3599">
            <w:pPr>
              <w:rPr>
                <w:rFonts w:cs="Arial"/>
              </w:rPr>
            </w:pPr>
            <w:r w:rsidRPr="00102464">
              <w:rPr>
                <w:rFonts w:cs="Arial"/>
              </w:rPr>
              <w:t>Toe pressure</w:t>
            </w:r>
          </w:p>
        </w:tc>
        <w:tc>
          <w:tcPr>
            <w:tcW w:w="906" w:type="dxa"/>
          </w:tcPr>
          <w:p w14:paraId="06E00338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3.5 (1.4)</w:t>
            </w:r>
          </w:p>
        </w:tc>
        <w:tc>
          <w:tcPr>
            <w:tcW w:w="673" w:type="dxa"/>
          </w:tcPr>
          <w:p w14:paraId="5AE82C1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897" w:type="dxa"/>
          </w:tcPr>
          <w:p w14:paraId="17F192FF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20.0%</w:t>
            </w:r>
          </w:p>
        </w:tc>
        <w:tc>
          <w:tcPr>
            <w:tcW w:w="986" w:type="dxa"/>
          </w:tcPr>
          <w:p w14:paraId="29A100DA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24.0%</w:t>
            </w:r>
          </w:p>
        </w:tc>
        <w:tc>
          <w:tcPr>
            <w:tcW w:w="940" w:type="dxa"/>
            <w:shd w:val="clear" w:color="auto" w:fill="auto"/>
          </w:tcPr>
          <w:p w14:paraId="20AA783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56.0%</w:t>
            </w:r>
          </w:p>
        </w:tc>
        <w:tc>
          <w:tcPr>
            <w:tcW w:w="906" w:type="dxa"/>
          </w:tcPr>
          <w:p w14:paraId="46D2F20E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3.8 (1.4)</w:t>
            </w:r>
          </w:p>
        </w:tc>
        <w:tc>
          <w:tcPr>
            <w:tcW w:w="718" w:type="dxa"/>
          </w:tcPr>
          <w:p w14:paraId="259CEAA4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</w:t>
            </w:r>
          </w:p>
        </w:tc>
        <w:tc>
          <w:tcPr>
            <w:tcW w:w="925" w:type="dxa"/>
          </w:tcPr>
          <w:p w14:paraId="0FE24A1B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20.0%</w:t>
            </w:r>
          </w:p>
        </w:tc>
        <w:tc>
          <w:tcPr>
            <w:tcW w:w="925" w:type="dxa"/>
          </w:tcPr>
          <w:p w14:paraId="7741ADF2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8.0%</w:t>
            </w:r>
          </w:p>
        </w:tc>
        <w:tc>
          <w:tcPr>
            <w:tcW w:w="925" w:type="dxa"/>
            <w:shd w:val="clear" w:color="auto" w:fill="auto"/>
          </w:tcPr>
          <w:p w14:paraId="2DBB0956" w14:textId="77777777" w:rsidR="00F829DF" w:rsidRPr="003A1F6E" w:rsidRDefault="00F829DF" w:rsidP="001F3599">
            <w:pPr>
              <w:jc w:val="center"/>
              <w:rPr>
                <w:rFonts w:cs="Arial"/>
                <w:b/>
                <w:bCs/>
              </w:rPr>
            </w:pPr>
            <w:r w:rsidRPr="003A1F6E">
              <w:rPr>
                <w:rFonts w:cs="Arial"/>
                <w:b/>
                <w:bCs/>
              </w:rPr>
              <w:t>72.0%</w:t>
            </w:r>
          </w:p>
        </w:tc>
        <w:tc>
          <w:tcPr>
            <w:tcW w:w="1424" w:type="dxa"/>
            <w:shd w:val="clear" w:color="auto" w:fill="auto"/>
          </w:tcPr>
          <w:p w14:paraId="7B61FBC9" w14:textId="77777777" w:rsidR="00F829DF" w:rsidRPr="00102464" w:rsidRDefault="00F829DF" w:rsidP="001F3599">
            <w:pPr>
              <w:jc w:val="center"/>
              <w:rPr>
                <w:rFonts w:cs="Arial"/>
              </w:rPr>
            </w:pPr>
            <w:r w:rsidRPr="00102464">
              <w:rPr>
                <w:rFonts w:cs="Arial"/>
              </w:rPr>
              <w:t>0.70</w:t>
            </w:r>
          </w:p>
        </w:tc>
      </w:tr>
    </w:tbl>
    <w:p w14:paraId="58E1F1B2" w14:textId="77777777" w:rsidR="00F829DF" w:rsidRPr="003A1F6E" w:rsidRDefault="00F829DF" w:rsidP="00F829DF">
      <w:pPr>
        <w:rPr>
          <w:rFonts w:cs="Arial"/>
          <w:lang w:val="en-CA"/>
        </w:rPr>
      </w:pPr>
      <w:proofErr w:type="spellStart"/>
      <w:proofErr w:type="gramStart"/>
      <w:r w:rsidRPr="003A1F6E">
        <w:rPr>
          <w:rFonts w:cs="Arial"/>
          <w:vertAlign w:val="superscript"/>
          <w:lang w:bidi="en-US"/>
        </w:rPr>
        <w:t>a</w:t>
      </w:r>
      <w:proofErr w:type="spellEnd"/>
      <w:proofErr w:type="gramEnd"/>
      <w:r w:rsidRPr="003A1F6E">
        <w:rPr>
          <w:rFonts w:cs="Arial"/>
          <w:lang w:bidi="en-US"/>
        </w:rPr>
        <w:t xml:space="preserve"> </w:t>
      </w:r>
      <w:r w:rsidRPr="003A1F6E">
        <w:rPr>
          <w:rFonts w:eastAsia="Arial" w:cs="Arial"/>
          <w:lang w:bidi="en-US"/>
        </w:rPr>
        <w:t>Items were rated on a 5-point Likert scale ranging from 1 (strongly disagree) to 5 (strongly agree)</w:t>
      </w:r>
      <w:r w:rsidRPr="003A1F6E">
        <w:rPr>
          <w:rFonts w:cs="Arial"/>
          <w:lang w:bidi="en-US"/>
        </w:rPr>
        <w:t>.</w:t>
      </w:r>
    </w:p>
    <w:p w14:paraId="5205786D" w14:textId="77777777" w:rsidR="002C66ED" w:rsidRPr="00102464" w:rsidRDefault="002C66ED" w:rsidP="002C66ED">
      <w:pPr>
        <w:rPr>
          <w:rFonts w:cs="Arial"/>
          <w:lang w:val="en-CA"/>
        </w:rPr>
      </w:pPr>
      <w:r w:rsidRPr="003A1F6E">
        <w:rPr>
          <w:rFonts w:cs="Arial"/>
          <w:vertAlign w:val="superscript"/>
          <w:lang w:bidi="en-US"/>
        </w:rPr>
        <w:t>b</w:t>
      </w:r>
      <w:r w:rsidRPr="003A1F6E">
        <w:rPr>
          <w:rFonts w:cs="Arial"/>
          <w:lang w:bidi="en-US"/>
        </w:rPr>
        <w:t xml:space="preserve"> Bold </w:t>
      </w:r>
      <w:r>
        <w:rPr>
          <w:rFonts w:cs="Arial"/>
          <w:lang w:bidi="en-US"/>
        </w:rPr>
        <w:t>numbers</w:t>
      </w:r>
      <w:r w:rsidRPr="003A1F6E">
        <w:rPr>
          <w:rFonts w:cs="Arial"/>
          <w:lang w:bidi="en-US"/>
        </w:rPr>
        <w:t xml:space="preserve"> = items that did not achieve consensus.</w:t>
      </w:r>
    </w:p>
    <w:p w14:paraId="288526EF" w14:textId="77777777" w:rsidR="00AE6EBF" w:rsidRDefault="00F829DF">
      <w:r w:rsidRPr="003A1F6E">
        <w:rPr>
          <w:lang w:eastAsia="en-US" w:bidi="en-US"/>
        </w:rPr>
        <w:t>BWAT</w:t>
      </w:r>
      <w:r w:rsidR="003A1F6E">
        <w:rPr>
          <w:rFonts w:cs="Arial"/>
          <w:lang w:bidi="en-US"/>
        </w:rPr>
        <w:t>=</w:t>
      </w:r>
      <w:r w:rsidRPr="003A1F6E">
        <w:rPr>
          <w:lang w:eastAsia="en-US" w:bidi="en-US"/>
        </w:rPr>
        <w:t xml:space="preserve">Bates-Jensen Wound Assessment Tool </w:t>
      </w:r>
      <w:r w:rsidRPr="003A1F6E">
        <w:rPr>
          <w:lang w:eastAsia="en-US" w:bidi="en-US"/>
        </w:rPr>
        <w:fldChar w:fldCharType="begin"/>
      </w:r>
      <w:r w:rsidR="00AE6EBF">
        <w:rPr>
          <w:lang w:eastAsia="en-US" w:bidi="en-US"/>
        </w:rPr>
        <w:instrText xml:space="preserve"> ADDIN EN.CITE &lt;EndNote&gt;&lt;Cite&gt;&lt;Author&gt;Harris&lt;/Author&gt;&lt;Year&gt;2010&lt;/Year&gt;&lt;RecNum&gt;1280&lt;/RecNum&gt;&lt;DisplayText&gt;[1, 2]&lt;/DisplayText&gt;&lt;record&gt;&lt;rec-number&gt;1280&lt;/rec-number&gt;&lt;foreign-keys&gt;&lt;key app="EN" db-id="r5v9twf5s2spagef0r4xswxnezaz0rr2ewpp" timestamp="1694019989"&gt;1280&lt;/key&gt;&lt;/foreign-keys&gt;&lt;ref-type name="Journal Article"&gt;17&lt;/ref-type&gt;&lt;contributors&gt;&lt;authors&gt;&lt;author&gt;Harris, Connie&lt;/author&gt;&lt;author&gt;Bates-Jensen, Barbara&lt;/author&gt;&lt;author&gt;Parslow, Nancy&lt;/author&gt;&lt;author&gt;Raizman, Rose&lt;/author&gt;&lt;author&gt;Singh, Mina&lt;/author&gt;&lt;author&gt;Ketchen, Robert&lt;/author&gt;&lt;/authors&gt;&lt;/contributors&gt;&lt;titles&gt;&lt;title&gt;Bates-Jensen wound assessment tool: pictorial guide validation project&lt;/title&gt;&lt;secondary-title&gt;Journal of Wound, Ostomy and Continence Nursing&lt;/secondary-title&gt;&lt;/titles&gt;&lt;periodical&gt;&lt;full-title&gt;Journal of Wound, Ostomy and Continence Nursing&lt;/full-title&gt;&lt;abbr-1&gt;J Wound Ostomy Continence Nurs&lt;/abbr-1&gt;&lt;/periodical&gt;&lt;pages&gt;253-259&lt;/pages&gt;&lt;volume&gt;37&lt;/volume&gt;&lt;number&gt;3&lt;/number&gt;&lt;dates&gt;&lt;year&gt;2010&lt;/year&gt;&lt;/dates&gt;&lt;isbn&gt;1071-5754&lt;/isbn&gt;&lt;urls&gt;&lt;/urls&gt;&lt;electronic-resource-num&gt;10.1097/WON.0b013e3181d73aab&lt;/electronic-resource-num&gt;&lt;/record&gt;&lt;/Cite&gt;&lt;Cite&gt;&lt;Author&gt;Bates-Jensen&lt;/Author&gt;&lt;Year&gt;1992&lt;/Year&gt;&lt;RecNum&gt;1283&lt;/RecNum&gt;&lt;record&gt;&lt;rec-number&gt;1283&lt;/rec-number&gt;&lt;foreign-keys&gt;&lt;key app="EN" db-id="r5v9twf5s2spagef0r4xswxnezaz0rr2ewpp" timestamp="1697557501"&gt;1283&lt;/key&gt;&lt;/foreign-keys&gt;&lt;ref-type name="Journal Article"&gt;17&lt;/ref-type&gt;&lt;contributors&gt;&lt;authors&gt;&lt;author&gt;Bates-Jensen, B. M.&lt;/author&gt;&lt;author&gt;Vredevoe, D. L.&lt;/author&gt;&lt;author&gt;Brecht, M. L.&lt;/author&gt;&lt;/authors&gt;&lt;/contributors&gt;&lt;titles&gt;&lt;title&gt;Validity and reliability of the Pressure Sore Status Tool&lt;/title&gt;&lt;secondary-title&gt;Decubitus&lt;/secondary-title&gt;&lt;/titles&gt;&lt;periodical&gt;&lt;full-title&gt;Decubitus&lt;/full-title&gt;&lt;/periodical&gt;&lt;pages&gt;20-28&lt;/pages&gt;&lt;volume&gt;5&lt;/volume&gt;&lt;number&gt;6&lt;/number&gt;&lt;dates&gt;&lt;year&gt;1992&lt;/year&gt;&lt;/dates&gt;&lt;urls&gt;&lt;related-urls&gt;&lt;url&gt;https://pubmed.ncbi.nlm.nih.gov/1489512/&lt;/url&gt;&lt;/related-urls&gt;&lt;/urls&gt;&lt;/record&gt;&lt;/Cite&gt;&lt;/EndNote&gt;</w:instrText>
      </w:r>
      <w:r w:rsidRPr="003A1F6E">
        <w:rPr>
          <w:lang w:eastAsia="en-US" w:bidi="en-US"/>
        </w:rPr>
        <w:fldChar w:fldCharType="separate"/>
      </w:r>
      <w:r w:rsidR="00AE6EBF">
        <w:rPr>
          <w:noProof/>
          <w:lang w:eastAsia="en-US" w:bidi="en-US"/>
        </w:rPr>
        <w:t>[1, 2]</w:t>
      </w:r>
      <w:r w:rsidRPr="003A1F6E">
        <w:rPr>
          <w:lang w:eastAsia="en-US" w:bidi="en-US"/>
        </w:rPr>
        <w:fldChar w:fldCharType="end"/>
      </w:r>
      <w:r w:rsidR="003A1F6E">
        <w:rPr>
          <w:lang w:eastAsia="en-US" w:bidi="en-US"/>
        </w:rPr>
        <w:t>;</w:t>
      </w:r>
      <w:r w:rsidRPr="003A1F6E">
        <w:rPr>
          <w:lang w:eastAsia="en-US" w:bidi="en-US"/>
        </w:rPr>
        <w:t xml:space="preserve"> </w:t>
      </w:r>
      <w:r w:rsidRPr="003A1F6E">
        <w:t>IQR</w:t>
      </w:r>
      <w:r w:rsidR="003A1F6E">
        <w:t>=</w:t>
      </w:r>
      <w:r w:rsidRPr="003A1F6E">
        <w:rPr>
          <w:rFonts w:cs="Arial"/>
          <w:lang w:bidi="en-US"/>
        </w:rPr>
        <w:t>Interquartile range</w:t>
      </w:r>
      <w:r w:rsidR="003A1F6E">
        <w:rPr>
          <w:rFonts w:cs="Arial"/>
          <w:lang w:bidi="en-US"/>
        </w:rPr>
        <w:t>;</w:t>
      </w:r>
      <w:r w:rsidRPr="003A1F6E">
        <w:rPr>
          <w:rFonts w:cs="Arial"/>
          <w:lang w:bidi="en-US"/>
        </w:rPr>
        <w:t xml:space="preserve"> </w:t>
      </w:r>
      <w:r w:rsidRPr="003A1F6E">
        <w:rPr>
          <w:rFonts w:cs="Arial"/>
          <w:i/>
          <w:iCs/>
          <w:lang w:bidi="en-US"/>
        </w:rPr>
        <w:t>k</w:t>
      </w:r>
      <w:r w:rsidR="003A1F6E">
        <w:rPr>
          <w:rFonts w:cs="Arial"/>
          <w:lang w:bidi="en-US"/>
        </w:rPr>
        <w:t>=</w:t>
      </w:r>
      <w:r w:rsidR="003A1F6E">
        <w:t>K</w:t>
      </w:r>
      <w:r w:rsidRPr="003A1F6E">
        <w:t>appa value</w:t>
      </w:r>
      <w:r w:rsidR="003A1F6E">
        <w:t>;</w:t>
      </w:r>
      <w:r w:rsidRPr="003A1F6E">
        <w:t xml:space="preserve"> SD</w:t>
      </w:r>
      <w:r w:rsidR="003A1F6E">
        <w:t>=</w:t>
      </w:r>
      <w:r w:rsidRPr="003A1F6E">
        <w:t>Standard deviation</w:t>
      </w:r>
    </w:p>
    <w:p w14:paraId="2BD42D00" w14:textId="77777777" w:rsidR="00AE6EBF" w:rsidRDefault="00AE6EBF"/>
    <w:p w14:paraId="1394D45C" w14:textId="5106A863" w:rsidR="00AE6EBF" w:rsidRPr="00AE6EBF" w:rsidRDefault="00AE6EBF">
      <w:pPr>
        <w:rPr>
          <w:b/>
          <w:bCs/>
        </w:rPr>
      </w:pPr>
      <w:r w:rsidRPr="00AE6EBF">
        <w:rPr>
          <w:b/>
          <w:bCs/>
        </w:rPr>
        <w:t>References</w:t>
      </w:r>
    </w:p>
    <w:p w14:paraId="5B8880D6" w14:textId="77777777" w:rsidR="00AE6EBF" w:rsidRPr="00D32E30" w:rsidRDefault="00AE6EBF" w:rsidP="00AE6EBF">
      <w:pPr>
        <w:pStyle w:val="EndNoteBibliography"/>
        <w:ind w:left="720" w:hanging="720"/>
        <w:rPr>
          <w:noProof/>
          <w:lang w:val="en-US"/>
        </w:rPr>
      </w:pPr>
      <w:r>
        <w:fldChar w:fldCharType="begin"/>
      </w:r>
      <w:r w:rsidRPr="00D32E30">
        <w:rPr>
          <w:lang w:val="en-US"/>
        </w:rPr>
        <w:instrText xml:space="preserve"> ADDIN EN.REFLIST </w:instrText>
      </w:r>
      <w:r>
        <w:fldChar w:fldCharType="separate"/>
      </w:r>
      <w:r w:rsidRPr="00D32E30">
        <w:rPr>
          <w:noProof/>
          <w:lang w:val="en-US"/>
        </w:rPr>
        <w:t>1.</w:t>
      </w:r>
      <w:r w:rsidRPr="00D32E30">
        <w:rPr>
          <w:noProof/>
          <w:lang w:val="en-US"/>
        </w:rPr>
        <w:tab/>
        <w:t>Harris C, Bates-Jensen B, Parslow N, Raizman R, Singh M, Ketchen R. Bates-Jensen wound assessment tool: pictorial guide validation project. J Wound Ostomy Continence Nurs</w:t>
      </w:r>
      <w:r w:rsidRPr="00D32E30">
        <w:rPr>
          <w:i/>
          <w:noProof/>
          <w:lang w:val="en-US"/>
        </w:rPr>
        <w:t xml:space="preserve">. </w:t>
      </w:r>
      <w:r w:rsidRPr="00D32E30">
        <w:rPr>
          <w:noProof/>
          <w:lang w:val="en-US"/>
        </w:rPr>
        <w:t>2010; 37(3):253-9. doi:10.1097/WON.0b013e3181d73aab.</w:t>
      </w:r>
    </w:p>
    <w:p w14:paraId="6ACA0259" w14:textId="41F22E69" w:rsidR="00AE6EBF" w:rsidRPr="00AE6EBF" w:rsidRDefault="00AE6EBF" w:rsidP="00AE6EBF">
      <w:pPr>
        <w:pStyle w:val="EndNoteBibliography"/>
        <w:ind w:left="720" w:hanging="720"/>
        <w:rPr>
          <w:noProof/>
        </w:rPr>
      </w:pPr>
      <w:r w:rsidRPr="00D32E30">
        <w:rPr>
          <w:noProof/>
          <w:lang w:val="en-US"/>
        </w:rPr>
        <w:t>2.</w:t>
      </w:r>
      <w:r w:rsidRPr="00D32E30">
        <w:rPr>
          <w:noProof/>
          <w:lang w:val="en-US"/>
        </w:rPr>
        <w:tab/>
        <w:t xml:space="preserve">Bates-Jensen BM, Vredevoe DL, Brecht ML. Validity and reliability of the Pressure Sore Status Tool. </w:t>
      </w:r>
      <w:r w:rsidRPr="00AE6EBF">
        <w:rPr>
          <w:noProof/>
        </w:rPr>
        <w:t>Decubitus</w:t>
      </w:r>
      <w:r w:rsidRPr="00AE6EBF">
        <w:rPr>
          <w:i/>
          <w:noProof/>
        </w:rPr>
        <w:t xml:space="preserve">. </w:t>
      </w:r>
      <w:r w:rsidRPr="00AE6EBF">
        <w:rPr>
          <w:noProof/>
        </w:rPr>
        <w:t xml:space="preserve">1992; 5(6):20-8. </w:t>
      </w:r>
      <w:hyperlink r:id="rId4" w:history="1">
        <w:r w:rsidRPr="00AE6EBF">
          <w:rPr>
            <w:rStyle w:val="Lienhypertexte"/>
            <w:noProof/>
          </w:rPr>
          <w:t>https://pubmed.ncbi.nlm.nih.gov/1489512/</w:t>
        </w:r>
      </w:hyperlink>
    </w:p>
    <w:p w14:paraId="0BDA2020" w14:textId="4AFD198D" w:rsidR="005C5447" w:rsidRPr="003A1F6E" w:rsidRDefault="00AE6EBF">
      <w:r>
        <w:fldChar w:fldCharType="end"/>
      </w:r>
    </w:p>
    <w:sectPr w:rsidR="005C5447" w:rsidRPr="003A1F6E" w:rsidSect="00F829DF">
      <w:pgSz w:w="15840" w:h="12240" w:orient="landscape" w:code="1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Titres)">
    <w:altName w:val="Calibri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Nursing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v9twf5s2spagef0r4xswxnezaz0rr2ewpp&quot;&gt;Thèse doc&lt;record-ids&gt;&lt;item&gt;1280&lt;/item&gt;&lt;item&gt;1283&lt;/item&gt;&lt;/record-ids&gt;&lt;/item&gt;&lt;/Libraries&gt;"/>
  </w:docVars>
  <w:rsids>
    <w:rsidRoot w:val="00F829DF"/>
    <w:rsid w:val="00004469"/>
    <w:rsid w:val="00006EE6"/>
    <w:rsid w:val="00007486"/>
    <w:rsid w:val="00011296"/>
    <w:rsid w:val="00014651"/>
    <w:rsid w:val="00021BDF"/>
    <w:rsid w:val="000244DF"/>
    <w:rsid w:val="00032037"/>
    <w:rsid w:val="0003253D"/>
    <w:rsid w:val="00032E8C"/>
    <w:rsid w:val="00034036"/>
    <w:rsid w:val="00035248"/>
    <w:rsid w:val="000357CF"/>
    <w:rsid w:val="00040187"/>
    <w:rsid w:val="00043F98"/>
    <w:rsid w:val="000447D9"/>
    <w:rsid w:val="00050051"/>
    <w:rsid w:val="00063E31"/>
    <w:rsid w:val="00067B7A"/>
    <w:rsid w:val="00071651"/>
    <w:rsid w:val="000776D5"/>
    <w:rsid w:val="0008039A"/>
    <w:rsid w:val="00086E69"/>
    <w:rsid w:val="000922C2"/>
    <w:rsid w:val="000A30CC"/>
    <w:rsid w:val="000A42AC"/>
    <w:rsid w:val="000B2E15"/>
    <w:rsid w:val="000B44FE"/>
    <w:rsid w:val="000C62C3"/>
    <w:rsid w:val="000D3D2D"/>
    <w:rsid w:val="000D6EA8"/>
    <w:rsid w:val="000E3E27"/>
    <w:rsid w:val="000E6A24"/>
    <w:rsid w:val="000E7847"/>
    <w:rsid w:val="00100435"/>
    <w:rsid w:val="001054A1"/>
    <w:rsid w:val="001119B6"/>
    <w:rsid w:val="00111DD1"/>
    <w:rsid w:val="00113306"/>
    <w:rsid w:val="001134DA"/>
    <w:rsid w:val="00120935"/>
    <w:rsid w:val="001210E9"/>
    <w:rsid w:val="00125AC0"/>
    <w:rsid w:val="00141398"/>
    <w:rsid w:val="00143083"/>
    <w:rsid w:val="0015078F"/>
    <w:rsid w:val="00152944"/>
    <w:rsid w:val="001601F9"/>
    <w:rsid w:val="00160880"/>
    <w:rsid w:val="0017230C"/>
    <w:rsid w:val="00172C61"/>
    <w:rsid w:val="00190915"/>
    <w:rsid w:val="001919D3"/>
    <w:rsid w:val="001920E2"/>
    <w:rsid w:val="001A698D"/>
    <w:rsid w:val="001B0FD9"/>
    <w:rsid w:val="001B3436"/>
    <w:rsid w:val="001B3862"/>
    <w:rsid w:val="001B386F"/>
    <w:rsid w:val="001B4B99"/>
    <w:rsid w:val="001D14F0"/>
    <w:rsid w:val="001D3893"/>
    <w:rsid w:val="001E6943"/>
    <w:rsid w:val="001F0371"/>
    <w:rsid w:val="001F0846"/>
    <w:rsid w:val="001F4BA4"/>
    <w:rsid w:val="00203821"/>
    <w:rsid w:val="00203E31"/>
    <w:rsid w:val="00212B88"/>
    <w:rsid w:val="0021606C"/>
    <w:rsid w:val="00216535"/>
    <w:rsid w:val="0021655F"/>
    <w:rsid w:val="002225DB"/>
    <w:rsid w:val="00225123"/>
    <w:rsid w:val="00244BA4"/>
    <w:rsid w:val="002731F3"/>
    <w:rsid w:val="002759B3"/>
    <w:rsid w:val="00277FC6"/>
    <w:rsid w:val="002819A6"/>
    <w:rsid w:val="002877D9"/>
    <w:rsid w:val="002913A9"/>
    <w:rsid w:val="002978B2"/>
    <w:rsid w:val="002B25EA"/>
    <w:rsid w:val="002B6AD0"/>
    <w:rsid w:val="002C242F"/>
    <w:rsid w:val="002C66ED"/>
    <w:rsid w:val="002E28D3"/>
    <w:rsid w:val="002E61F0"/>
    <w:rsid w:val="002F333D"/>
    <w:rsid w:val="002F5A63"/>
    <w:rsid w:val="002F7DDB"/>
    <w:rsid w:val="003015B7"/>
    <w:rsid w:val="00302B18"/>
    <w:rsid w:val="00304EDE"/>
    <w:rsid w:val="00315E7D"/>
    <w:rsid w:val="003175F8"/>
    <w:rsid w:val="00320D0D"/>
    <w:rsid w:val="003239FA"/>
    <w:rsid w:val="00330317"/>
    <w:rsid w:val="00350C10"/>
    <w:rsid w:val="00354699"/>
    <w:rsid w:val="00362609"/>
    <w:rsid w:val="00372BA8"/>
    <w:rsid w:val="0038739A"/>
    <w:rsid w:val="003914AF"/>
    <w:rsid w:val="00391CEF"/>
    <w:rsid w:val="003A1F6E"/>
    <w:rsid w:val="003B3435"/>
    <w:rsid w:val="003C0F4C"/>
    <w:rsid w:val="003C35F6"/>
    <w:rsid w:val="003E4FF4"/>
    <w:rsid w:val="003F2D1E"/>
    <w:rsid w:val="003F5199"/>
    <w:rsid w:val="003F753A"/>
    <w:rsid w:val="00420904"/>
    <w:rsid w:val="00430937"/>
    <w:rsid w:val="00436B55"/>
    <w:rsid w:val="004375AD"/>
    <w:rsid w:val="00437CE9"/>
    <w:rsid w:val="00441CA1"/>
    <w:rsid w:val="00455BEC"/>
    <w:rsid w:val="00461A3B"/>
    <w:rsid w:val="00497BF1"/>
    <w:rsid w:val="004A2D9B"/>
    <w:rsid w:val="004A3D23"/>
    <w:rsid w:val="004A6B22"/>
    <w:rsid w:val="004B56A8"/>
    <w:rsid w:val="004C294D"/>
    <w:rsid w:val="004C4048"/>
    <w:rsid w:val="004D42BD"/>
    <w:rsid w:val="004E2C13"/>
    <w:rsid w:val="004E49E8"/>
    <w:rsid w:val="004E4BD2"/>
    <w:rsid w:val="004E6DF9"/>
    <w:rsid w:val="004F0ED3"/>
    <w:rsid w:val="004F2142"/>
    <w:rsid w:val="004F7509"/>
    <w:rsid w:val="00504A3D"/>
    <w:rsid w:val="0052477A"/>
    <w:rsid w:val="00524835"/>
    <w:rsid w:val="0053154B"/>
    <w:rsid w:val="00540D24"/>
    <w:rsid w:val="00541FE2"/>
    <w:rsid w:val="005464EA"/>
    <w:rsid w:val="00550ED1"/>
    <w:rsid w:val="005644A4"/>
    <w:rsid w:val="00567D57"/>
    <w:rsid w:val="005A408C"/>
    <w:rsid w:val="005A630F"/>
    <w:rsid w:val="005B1C27"/>
    <w:rsid w:val="005B2433"/>
    <w:rsid w:val="005C2764"/>
    <w:rsid w:val="005C4B57"/>
    <w:rsid w:val="005C5447"/>
    <w:rsid w:val="005C64ED"/>
    <w:rsid w:val="005E20B8"/>
    <w:rsid w:val="005E74D8"/>
    <w:rsid w:val="00625806"/>
    <w:rsid w:val="00630E52"/>
    <w:rsid w:val="0063758B"/>
    <w:rsid w:val="00640E06"/>
    <w:rsid w:val="00645B1F"/>
    <w:rsid w:val="006506C7"/>
    <w:rsid w:val="00651251"/>
    <w:rsid w:val="00653C7C"/>
    <w:rsid w:val="0066316A"/>
    <w:rsid w:val="0066451B"/>
    <w:rsid w:val="00666FFB"/>
    <w:rsid w:val="00681960"/>
    <w:rsid w:val="00694626"/>
    <w:rsid w:val="006A076A"/>
    <w:rsid w:val="006B007C"/>
    <w:rsid w:val="006B46BE"/>
    <w:rsid w:val="006B7134"/>
    <w:rsid w:val="006C6C71"/>
    <w:rsid w:val="006C6F62"/>
    <w:rsid w:val="0070315C"/>
    <w:rsid w:val="00726463"/>
    <w:rsid w:val="00750F14"/>
    <w:rsid w:val="00760937"/>
    <w:rsid w:val="007725C4"/>
    <w:rsid w:val="00777E73"/>
    <w:rsid w:val="007860F7"/>
    <w:rsid w:val="007956E2"/>
    <w:rsid w:val="00797422"/>
    <w:rsid w:val="007A652F"/>
    <w:rsid w:val="007A75E9"/>
    <w:rsid w:val="007B4527"/>
    <w:rsid w:val="007C571F"/>
    <w:rsid w:val="007D1722"/>
    <w:rsid w:val="007D24B4"/>
    <w:rsid w:val="007D25E1"/>
    <w:rsid w:val="007D341B"/>
    <w:rsid w:val="007D4175"/>
    <w:rsid w:val="007E4E2E"/>
    <w:rsid w:val="007F077B"/>
    <w:rsid w:val="007F572C"/>
    <w:rsid w:val="00815ACA"/>
    <w:rsid w:val="00831286"/>
    <w:rsid w:val="0083404D"/>
    <w:rsid w:val="00852AF8"/>
    <w:rsid w:val="008533C5"/>
    <w:rsid w:val="00861423"/>
    <w:rsid w:val="00865134"/>
    <w:rsid w:val="00867B58"/>
    <w:rsid w:val="00870570"/>
    <w:rsid w:val="00870D99"/>
    <w:rsid w:val="008775B9"/>
    <w:rsid w:val="00894DC7"/>
    <w:rsid w:val="00895368"/>
    <w:rsid w:val="008955AA"/>
    <w:rsid w:val="008A6A74"/>
    <w:rsid w:val="008B7150"/>
    <w:rsid w:val="008D60BF"/>
    <w:rsid w:val="008F5835"/>
    <w:rsid w:val="00901BCC"/>
    <w:rsid w:val="00907712"/>
    <w:rsid w:val="00912308"/>
    <w:rsid w:val="009131DB"/>
    <w:rsid w:val="00914260"/>
    <w:rsid w:val="009148F7"/>
    <w:rsid w:val="009159CB"/>
    <w:rsid w:val="00917D23"/>
    <w:rsid w:val="00924EBE"/>
    <w:rsid w:val="00926797"/>
    <w:rsid w:val="00927182"/>
    <w:rsid w:val="0092763E"/>
    <w:rsid w:val="009335C2"/>
    <w:rsid w:val="00941D3C"/>
    <w:rsid w:val="0095236C"/>
    <w:rsid w:val="009713BC"/>
    <w:rsid w:val="00971557"/>
    <w:rsid w:val="009857C6"/>
    <w:rsid w:val="009862F2"/>
    <w:rsid w:val="009930D7"/>
    <w:rsid w:val="009943C4"/>
    <w:rsid w:val="009A16B7"/>
    <w:rsid w:val="009A4FE0"/>
    <w:rsid w:val="009B2111"/>
    <w:rsid w:val="009B5576"/>
    <w:rsid w:val="009D0C82"/>
    <w:rsid w:val="009D4E5C"/>
    <w:rsid w:val="009E57F6"/>
    <w:rsid w:val="009E6294"/>
    <w:rsid w:val="009E6D06"/>
    <w:rsid w:val="009E7261"/>
    <w:rsid w:val="009F0682"/>
    <w:rsid w:val="009F1C6E"/>
    <w:rsid w:val="009F5E20"/>
    <w:rsid w:val="009F796B"/>
    <w:rsid w:val="00A00823"/>
    <w:rsid w:val="00A067CC"/>
    <w:rsid w:val="00A0730A"/>
    <w:rsid w:val="00A15823"/>
    <w:rsid w:val="00A308C8"/>
    <w:rsid w:val="00A611A8"/>
    <w:rsid w:val="00A61DBD"/>
    <w:rsid w:val="00A663BC"/>
    <w:rsid w:val="00A71C33"/>
    <w:rsid w:val="00A721DB"/>
    <w:rsid w:val="00A86F78"/>
    <w:rsid w:val="00A95833"/>
    <w:rsid w:val="00AA1474"/>
    <w:rsid w:val="00AA2DEA"/>
    <w:rsid w:val="00AC0CFC"/>
    <w:rsid w:val="00AC6611"/>
    <w:rsid w:val="00AD6F55"/>
    <w:rsid w:val="00AE5858"/>
    <w:rsid w:val="00AE6EBF"/>
    <w:rsid w:val="00AE77BE"/>
    <w:rsid w:val="00B03CEA"/>
    <w:rsid w:val="00B12EC5"/>
    <w:rsid w:val="00B2222A"/>
    <w:rsid w:val="00B269AC"/>
    <w:rsid w:val="00B36C56"/>
    <w:rsid w:val="00B4031A"/>
    <w:rsid w:val="00B46C77"/>
    <w:rsid w:val="00B47F44"/>
    <w:rsid w:val="00B51440"/>
    <w:rsid w:val="00B55A75"/>
    <w:rsid w:val="00B84F7D"/>
    <w:rsid w:val="00B867D8"/>
    <w:rsid w:val="00B8689B"/>
    <w:rsid w:val="00B87CA9"/>
    <w:rsid w:val="00B9175D"/>
    <w:rsid w:val="00B950DD"/>
    <w:rsid w:val="00BA46C7"/>
    <w:rsid w:val="00BA4A48"/>
    <w:rsid w:val="00BB6B1B"/>
    <w:rsid w:val="00BD2F11"/>
    <w:rsid w:val="00BD3E59"/>
    <w:rsid w:val="00BD429A"/>
    <w:rsid w:val="00BE2A98"/>
    <w:rsid w:val="00BE7A14"/>
    <w:rsid w:val="00BF3B53"/>
    <w:rsid w:val="00BF5AA3"/>
    <w:rsid w:val="00BF7A26"/>
    <w:rsid w:val="00C14DBA"/>
    <w:rsid w:val="00C21E45"/>
    <w:rsid w:val="00C30713"/>
    <w:rsid w:val="00C47794"/>
    <w:rsid w:val="00C518A0"/>
    <w:rsid w:val="00C53766"/>
    <w:rsid w:val="00C77E64"/>
    <w:rsid w:val="00C91261"/>
    <w:rsid w:val="00C9156E"/>
    <w:rsid w:val="00C94988"/>
    <w:rsid w:val="00C9591D"/>
    <w:rsid w:val="00C970FA"/>
    <w:rsid w:val="00CA030E"/>
    <w:rsid w:val="00CA14C7"/>
    <w:rsid w:val="00CB105C"/>
    <w:rsid w:val="00CB1154"/>
    <w:rsid w:val="00CC040D"/>
    <w:rsid w:val="00CC0417"/>
    <w:rsid w:val="00CC285A"/>
    <w:rsid w:val="00CC3B66"/>
    <w:rsid w:val="00CC59BC"/>
    <w:rsid w:val="00CC6EB2"/>
    <w:rsid w:val="00CD0B89"/>
    <w:rsid w:val="00CD10C3"/>
    <w:rsid w:val="00CD5CE3"/>
    <w:rsid w:val="00CE3353"/>
    <w:rsid w:val="00CF0814"/>
    <w:rsid w:val="00CF0A2C"/>
    <w:rsid w:val="00CF3535"/>
    <w:rsid w:val="00CF3725"/>
    <w:rsid w:val="00CF417F"/>
    <w:rsid w:val="00CF499B"/>
    <w:rsid w:val="00CF4B5A"/>
    <w:rsid w:val="00CF7387"/>
    <w:rsid w:val="00CF7756"/>
    <w:rsid w:val="00D0161E"/>
    <w:rsid w:val="00D05061"/>
    <w:rsid w:val="00D17F51"/>
    <w:rsid w:val="00D22689"/>
    <w:rsid w:val="00D32E30"/>
    <w:rsid w:val="00D365BD"/>
    <w:rsid w:val="00D43D3C"/>
    <w:rsid w:val="00D47CA9"/>
    <w:rsid w:val="00D526E1"/>
    <w:rsid w:val="00D64313"/>
    <w:rsid w:val="00D85E36"/>
    <w:rsid w:val="00D97685"/>
    <w:rsid w:val="00DA0ADE"/>
    <w:rsid w:val="00DA1605"/>
    <w:rsid w:val="00DA6546"/>
    <w:rsid w:val="00DB3934"/>
    <w:rsid w:val="00DB48D0"/>
    <w:rsid w:val="00DC093B"/>
    <w:rsid w:val="00DC111A"/>
    <w:rsid w:val="00DC3E33"/>
    <w:rsid w:val="00DC444F"/>
    <w:rsid w:val="00DC7477"/>
    <w:rsid w:val="00DD04E9"/>
    <w:rsid w:val="00DD36CD"/>
    <w:rsid w:val="00DD7C9D"/>
    <w:rsid w:val="00DE020A"/>
    <w:rsid w:val="00DF12E4"/>
    <w:rsid w:val="00DF14A7"/>
    <w:rsid w:val="00DF1F55"/>
    <w:rsid w:val="00DF6953"/>
    <w:rsid w:val="00E02847"/>
    <w:rsid w:val="00E06E9C"/>
    <w:rsid w:val="00E14ABF"/>
    <w:rsid w:val="00E15E33"/>
    <w:rsid w:val="00E23A6F"/>
    <w:rsid w:val="00E36C20"/>
    <w:rsid w:val="00E4141B"/>
    <w:rsid w:val="00E421B7"/>
    <w:rsid w:val="00E4534F"/>
    <w:rsid w:val="00E56A4A"/>
    <w:rsid w:val="00E60851"/>
    <w:rsid w:val="00E729AB"/>
    <w:rsid w:val="00E73123"/>
    <w:rsid w:val="00E77E3A"/>
    <w:rsid w:val="00E80076"/>
    <w:rsid w:val="00E83109"/>
    <w:rsid w:val="00E9432B"/>
    <w:rsid w:val="00E96708"/>
    <w:rsid w:val="00EA0777"/>
    <w:rsid w:val="00EA2844"/>
    <w:rsid w:val="00EB139F"/>
    <w:rsid w:val="00EB541D"/>
    <w:rsid w:val="00EB7F2B"/>
    <w:rsid w:val="00EC43D3"/>
    <w:rsid w:val="00EC5983"/>
    <w:rsid w:val="00EC73A8"/>
    <w:rsid w:val="00ED6162"/>
    <w:rsid w:val="00ED760F"/>
    <w:rsid w:val="00EE7447"/>
    <w:rsid w:val="00EF16E1"/>
    <w:rsid w:val="00F03531"/>
    <w:rsid w:val="00F165DE"/>
    <w:rsid w:val="00F343CC"/>
    <w:rsid w:val="00F42044"/>
    <w:rsid w:val="00F44E70"/>
    <w:rsid w:val="00F52356"/>
    <w:rsid w:val="00F57148"/>
    <w:rsid w:val="00F60928"/>
    <w:rsid w:val="00F64F20"/>
    <w:rsid w:val="00F65856"/>
    <w:rsid w:val="00F66F62"/>
    <w:rsid w:val="00F72CE3"/>
    <w:rsid w:val="00F76C36"/>
    <w:rsid w:val="00F829DF"/>
    <w:rsid w:val="00F84E62"/>
    <w:rsid w:val="00F91E38"/>
    <w:rsid w:val="00FA07BE"/>
    <w:rsid w:val="00FA0D1C"/>
    <w:rsid w:val="00FA3C96"/>
    <w:rsid w:val="00FA5353"/>
    <w:rsid w:val="00FB4440"/>
    <w:rsid w:val="00FB6217"/>
    <w:rsid w:val="00FC404C"/>
    <w:rsid w:val="00FC59CC"/>
    <w:rsid w:val="00FD1F01"/>
    <w:rsid w:val="00FD335E"/>
    <w:rsid w:val="00FE2353"/>
    <w:rsid w:val="00FE480E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62CE8D"/>
  <w14:defaultImageDpi w14:val="32767"/>
  <w15:chartTrackingRefBased/>
  <w15:docId w15:val="{D0D6EDF5-876A-AC42-B355-FEC4E79F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(Titres)"/>
        <w:kern w:val="2"/>
        <w:sz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829DF"/>
    <w:rPr>
      <w:rFonts w:ascii="Arial" w:eastAsia="Times New Roman" w:hAnsi="Arial" w:cs="Times New Roman"/>
      <w:kern w:val="0"/>
      <w:szCs w:val="24"/>
      <w:lang w:val="en-US" w:eastAsia="fr-FR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67D57"/>
    <w:pPr>
      <w:keepNext/>
      <w:keepLines/>
      <w:spacing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iCs/>
      <w:kern w:val="2"/>
      <w:szCs w:val="32"/>
      <w:lang w:val="fr-C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67D57"/>
    <w:pPr>
      <w:keepNext/>
      <w:keepLines/>
      <w:spacing w:before="40" w:line="480" w:lineRule="auto"/>
      <w:outlineLvl w:val="1"/>
    </w:pPr>
    <w:rPr>
      <w:rFonts w:ascii="Times New Roman" w:hAnsi="Times New Roman"/>
      <w:b/>
      <w:noProof/>
      <w:kern w:val="2"/>
      <w:lang w:val="fr-C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67D57"/>
    <w:pPr>
      <w:keepNext/>
      <w:keepLines/>
      <w:spacing w:before="40" w:line="480" w:lineRule="auto"/>
      <w:outlineLvl w:val="2"/>
    </w:pPr>
    <w:rPr>
      <w:rFonts w:ascii="Times New Roman" w:eastAsiaTheme="majorEastAsia" w:hAnsi="Times New Roman" w:cstheme="majorBidi"/>
      <w:b/>
      <w:i/>
      <w:kern w:val="2"/>
      <w:lang w:val="fr-C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67D57"/>
    <w:pPr>
      <w:keepNext/>
      <w:keepLines/>
      <w:spacing w:before="40" w:line="480" w:lineRule="auto"/>
      <w:outlineLvl w:val="3"/>
    </w:pPr>
    <w:rPr>
      <w:rFonts w:ascii="Times New Roman" w:eastAsiaTheme="majorEastAsia" w:hAnsi="Times New Roman" w:cstheme="majorBidi"/>
      <w:b/>
      <w:iCs/>
      <w:kern w:val="2"/>
      <w:lang w:val="fr-C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7D57"/>
    <w:rPr>
      <w:rFonts w:ascii="Times New Roman" w:eastAsiaTheme="majorEastAsia" w:hAnsi="Times New Roman" w:cstheme="majorBidi"/>
      <w:b/>
      <w:bCs/>
      <w:iCs/>
      <w:szCs w:val="32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1286"/>
    <w:pPr>
      <w:spacing w:line="480" w:lineRule="auto"/>
    </w:pPr>
    <w:rPr>
      <w:rFonts w:ascii="Times New Roman" w:eastAsiaTheme="minorHAnsi" w:hAnsi="Times New Roman" w:cs="Calibri (Titres)"/>
      <w:kern w:val="2"/>
      <w:sz w:val="18"/>
      <w:szCs w:val="18"/>
      <w:lang w:val="fr-FR" w:eastAsia="en-US"/>
      <w14:ligatures w14:val="standardContextual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286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ar"/>
    <w:autoRedefine/>
    <w:rsid w:val="00DD36CD"/>
    <w:rPr>
      <w:rFonts w:eastAsiaTheme="minorHAnsi" w:cs="Arial"/>
      <w:kern w:val="2"/>
      <w:szCs w:val="20"/>
      <w:lang w:val="fr-FR" w:eastAsia="en-US"/>
      <w14:ligatures w14:val="standardContextual"/>
    </w:rPr>
  </w:style>
  <w:style w:type="character" w:customStyle="1" w:styleId="EndNoteBibliographyCar">
    <w:name w:val="EndNote Bibliography Car"/>
    <w:basedOn w:val="Policepardfaut"/>
    <w:link w:val="EndNoteBibliography"/>
    <w:rsid w:val="00DD36CD"/>
    <w:rPr>
      <w:rFonts w:ascii="Arial" w:hAnsi="Arial" w:cs="Arial"/>
    </w:rPr>
  </w:style>
  <w:style w:type="paragraph" w:customStyle="1" w:styleId="EndNoteBibliographyTitle">
    <w:name w:val="EndNote Bibliography Title"/>
    <w:basedOn w:val="Normal"/>
    <w:link w:val="EndNoteBibliographyTitleCar"/>
    <w:autoRedefine/>
    <w:rsid w:val="005B2433"/>
    <w:pPr>
      <w:spacing w:line="480" w:lineRule="auto"/>
      <w:jc w:val="center"/>
    </w:pPr>
    <w:rPr>
      <w:rFonts w:eastAsiaTheme="minorHAnsi" w:cs="Arial"/>
      <w:kern w:val="2"/>
      <w:szCs w:val="20"/>
      <w:lang w:val="fr-CA" w:eastAsia="en-US"/>
      <w14:ligatures w14:val="standardContextual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5B2433"/>
    <w:rPr>
      <w:rFonts w:ascii="Arial" w:hAnsi="Arial" w:cs="Arial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567D57"/>
    <w:rPr>
      <w:rFonts w:ascii="Times New Roman" w:eastAsia="Times New Roman" w:hAnsi="Times New Roman" w:cs="Times New Roman"/>
      <w:b/>
      <w:noProof/>
      <w:szCs w:val="24"/>
      <w:lang w:val="fr-CA" w:eastAsia="fr-FR"/>
    </w:rPr>
  </w:style>
  <w:style w:type="paragraph" w:customStyle="1" w:styleId="Style1">
    <w:name w:val="Style1"/>
    <w:basedOn w:val="Titre2"/>
    <w:autoRedefine/>
    <w:qFormat/>
    <w:rsid w:val="005B2433"/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B2433"/>
    <w:pPr>
      <w:spacing w:before="480"/>
      <w:outlineLvl w:val="9"/>
    </w:pPr>
    <w:rPr>
      <w:bCs w:val="0"/>
      <w:szCs w:val="28"/>
    </w:rPr>
  </w:style>
  <w:style w:type="paragraph" w:styleId="Paragraphedeliste">
    <w:name w:val="List Paragraph"/>
    <w:basedOn w:val="Normal"/>
    <w:uiPriority w:val="34"/>
    <w:qFormat/>
    <w:rsid w:val="00F84E62"/>
    <w:pPr>
      <w:widowControl w:val="0"/>
      <w:autoSpaceDE w:val="0"/>
      <w:autoSpaceDN w:val="0"/>
      <w:ind w:left="720"/>
      <w:contextualSpacing/>
    </w:pPr>
    <w:rPr>
      <w:rFonts w:ascii="Times New Roman" w:eastAsia="Arial Narrow" w:hAnsi="Times New Roman" w:cs="Arial Narrow"/>
      <w:kern w:val="2"/>
      <w:szCs w:val="22"/>
      <w:lang w:eastAsia="en-US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9"/>
    <w:rsid w:val="00567D57"/>
    <w:rPr>
      <w:rFonts w:ascii="Times New Roman" w:eastAsiaTheme="majorEastAsia" w:hAnsi="Times New Roman" w:cstheme="majorBidi"/>
      <w:b/>
      <w:i/>
      <w:szCs w:val="24"/>
      <w:lang w:val="fr-CA" w:eastAsia="fr-FR"/>
    </w:rPr>
  </w:style>
  <w:style w:type="character" w:customStyle="1" w:styleId="Titre4Car">
    <w:name w:val="Titre 4 Car"/>
    <w:basedOn w:val="Policepardfaut"/>
    <w:link w:val="Titre4"/>
    <w:uiPriority w:val="9"/>
    <w:rsid w:val="00567D57"/>
    <w:rPr>
      <w:rFonts w:ascii="Times New Roman" w:eastAsiaTheme="majorEastAsia" w:hAnsi="Times New Roman" w:cstheme="majorBidi"/>
      <w:b/>
      <w:iCs/>
      <w:szCs w:val="24"/>
      <w:lang w:val="fr-CA" w:eastAsia="fr-FR"/>
    </w:rPr>
  </w:style>
  <w:style w:type="table" w:styleId="Grilledutableau">
    <w:name w:val="Table Grid"/>
    <w:basedOn w:val="TableauNormal"/>
    <w:uiPriority w:val="39"/>
    <w:rsid w:val="00F829D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F829DF"/>
  </w:style>
  <w:style w:type="character" w:styleId="Lienhypertexte">
    <w:name w:val="Hyperlink"/>
    <w:basedOn w:val="Policepardfaut"/>
    <w:uiPriority w:val="99"/>
    <w:unhideWhenUsed/>
    <w:rsid w:val="00AE6EB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AE6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med.ncbi.nlm.nih.gov/1489512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684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Gagnon</dc:creator>
  <cp:keywords/>
  <dc:description/>
  <cp:lastModifiedBy>Julie Gagnon</cp:lastModifiedBy>
  <cp:revision>9</cp:revision>
  <dcterms:created xsi:type="dcterms:W3CDTF">2023-11-17T21:28:00Z</dcterms:created>
  <dcterms:modified xsi:type="dcterms:W3CDTF">2023-11-19T05:29:00Z</dcterms:modified>
</cp:coreProperties>
</file>