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E51F" w14:textId="5BDC7E9A" w:rsidR="009D5223" w:rsidRDefault="009D5223" w:rsidP="009D5223">
      <w:pPr>
        <w:pStyle w:val="MDPI41tablecaption"/>
        <w:ind w:left="0" w:right="0"/>
      </w:pPr>
      <w:r>
        <w:rPr>
          <w:b/>
        </w:rPr>
        <w:t xml:space="preserve">Supplementary File </w:t>
      </w:r>
      <w:r w:rsidR="00E85E22">
        <w:rPr>
          <w:b/>
        </w:rPr>
        <w:t>2</w:t>
      </w:r>
      <w:r w:rsidRPr="004D2D8A">
        <w:rPr>
          <w:b/>
        </w:rPr>
        <w:t>.</w:t>
      </w:r>
      <w:r w:rsidRPr="004D2D8A">
        <w:t xml:space="preserve"> </w:t>
      </w:r>
      <w:r>
        <w:rPr>
          <w:szCs w:val="24"/>
        </w:rPr>
        <w:t>G</w:t>
      </w:r>
      <w:r w:rsidRPr="00BA41DB">
        <w:rPr>
          <w:szCs w:val="24"/>
        </w:rPr>
        <w:t xml:space="preserve">roup-specific mean value and standard deviation for </w:t>
      </w:r>
      <w:r w:rsidRPr="00BA41DB">
        <w:rPr>
          <w:noProof/>
          <w:szCs w:val="24"/>
        </w:rPr>
        <w:t>cerebellum</w:t>
      </w:r>
      <w:r w:rsidRPr="00BA41DB">
        <w:rPr>
          <w:szCs w:val="24"/>
        </w:rPr>
        <w:t xml:space="preserve"> volume and folding together with the results of statistical testing and effect size analysis</w:t>
      </w:r>
      <w:r>
        <w:rPr>
          <w:szCs w:val="24"/>
        </w:rPr>
        <w:t>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475"/>
        <w:gridCol w:w="1660"/>
        <w:gridCol w:w="1640"/>
        <w:gridCol w:w="1660"/>
        <w:gridCol w:w="1637"/>
      </w:tblGrid>
      <w:tr w:rsidR="00100D5A" w:rsidRPr="00F724B0" w14:paraId="180724A7" w14:textId="77777777" w:rsidTr="009D5223">
        <w:trPr>
          <w:jc w:val="center"/>
        </w:trPr>
        <w:tc>
          <w:tcPr>
            <w:tcW w:w="1364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CAFA41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8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F408A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b/>
                <w:color w:val="000000"/>
                <w:sz w:val="18"/>
                <w:szCs w:val="20"/>
              </w:rPr>
              <w:t>All patients (N=18)</w:t>
            </w:r>
          </w:p>
        </w:tc>
        <w:tc>
          <w:tcPr>
            <w:tcW w:w="18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BDF6D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b/>
                <w:color w:val="000000"/>
                <w:sz w:val="18"/>
                <w:szCs w:val="20"/>
              </w:rPr>
              <w:t>Age-matched patients (N=9)</w:t>
            </w:r>
          </w:p>
        </w:tc>
      </w:tr>
      <w:tr w:rsidR="00100D5A" w:rsidRPr="00F724B0" w14:paraId="5AC7D8C3" w14:textId="77777777" w:rsidTr="009D5223">
        <w:trPr>
          <w:jc w:val="center"/>
        </w:trPr>
        <w:tc>
          <w:tcPr>
            <w:tcW w:w="136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15DC27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BBAEF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Cerebellum volume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F127A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Cerebellum folding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4C03D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Cerebellum volume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FCFE9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Cerebellum folding</w:t>
            </w:r>
          </w:p>
        </w:tc>
      </w:tr>
      <w:tr w:rsidR="00100D5A" w:rsidRPr="00F724B0" w14:paraId="469F3407" w14:textId="77777777" w:rsidTr="009D5223">
        <w:trPr>
          <w:jc w:val="center"/>
        </w:trPr>
        <w:tc>
          <w:tcPr>
            <w:tcW w:w="13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396BE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PD-CN</w:t>
            </w: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AD210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11.13 ± 1.18</w:t>
            </w:r>
          </w:p>
        </w:tc>
        <w:tc>
          <w:tcPr>
            <w:tcW w:w="9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97DE3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0.22 ± 0.02</w:t>
            </w: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F51A4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12.49 ± 0.59</w:t>
            </w:r>
          </w:p>
        </w:tc>
        <w:tc>
          <w:tcPr>
            <w:tcW w:w="9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BFB2A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0.24 ± 0.02</w:t>
            </w:r>
          </w:p>
        </w:tc>
      </w:tr>
      <w:tr w:rsidR="00100D5A" w:rsidRPr="00F724B0" w14:paraId="52230409" w14:textId="77777777" w:rsidTr="009D5223">
        <w:trPr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649BCC1B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PD-MCI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7F20BC3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10.17 ± 0.97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BBA1D85" w14:textId="77777777" w:rsidR="00100D5A" w:rsidRPr="00F724B0" w:rsidRDefault="00100D5A" w:rsidP="00CA6FF2">
            <w:pPr>
              <w:pStyle w:val="Standard"/>
              <w:keepNext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0.20 ± 0.02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E0B3D74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10.01 ± 1.08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30413F38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0.20 ± 0.01</w:t>
            </w:r>
          </w:p>
        </w:tc>
      </w:tr>
      <w:tr w:rsidR="00100D5A" w:rsidRPr="00F724B0" w14:paraId="6720397E" w14:textId="77777777" w:rsidTr="009D5223">
        <w:trPr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245EAC0E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PDD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EFB664F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8.61 ± 0.70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D90BAA4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0.18 ± 0.01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4550C87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8.29 ± 0.26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DCE8710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0.17 ± 0.02</w:t>
            </w:r>
          </w:p>
        </w:tc>
      </w:tr>
      <w:tr w:rsidR="00100D5A" w:rsidRPr="00F724B0" w14:paraId="2C1E68F2" w14:textId="77777777" w:rsidTr="009D5223">
        <w:trPr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5A4A77F4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ANOVA p-value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5E8BC08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0.003834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C826A6D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0.003054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239CA9D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0.0012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E1EBBFA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0.0018</w:t>
            </w:r>
          </w:p>
        </w:tc>
      </w:tr>
      <w:tr w:rsidR="00100D5A" w:rsidRPr="00F724B0" w14:paraId="360A148F" w14:textId="77777777" w:rsidTr="009D5223">
        <w:trPr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25ACE0F6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Effect size – parametric η</w:t>
            </w: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  <w:vertAlign w:val="superscript"/>
              </w:rPr>
              <w:t>2</w:t>
            </w: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43EF70F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0.5254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E98F568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0.5357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3D0B7378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0.8941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B599084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0.8777</w:t>
            </w:r>
          </w:p>
        </w:tc>
      </w:tr>
      <w:tr w:rsidR="00100D5A" w:rsidRPr="00F724B0" w14:paraId="47BA1FB8" w14:textId="77777777" w:rsidTr="009D5223">
        <w:trPr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3BC38E7C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Kruskal-Wallis ANOVA p-value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83E1166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0.0176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02E548A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0.0057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C6E0DD8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0.0273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5515FDE5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0.0273</w:t>
            </w:r>
          </w:p>
        </w:tc>
      </w:tr>
      <w:tr w:rsidR="00100D5A" w:rsidRPr="00F724B0" w14:paraId="2612A097" w14:textId="77777777" w:rsidTr="009D5223">
        <w:trPr>
          <w:jc w:val="center"/>
        </w:trPr>
        <w:tc>
          <w:tcPr>
            <w:tcW w:w="1364" w:type="pct"/>
            <w:shd w:val="clear" w:color="auto" w:fill="auto"/>
            <w:vAlign w:val="center"/>
          </w:tcPr>
          <w:p w14:paraId="4A5FB467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Effect size – nonparametric η</w:t>
            </w: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  <w:vertAlign w:val="superscript"/>
              </w:rPr>
              <w:t>2</w:t>
            </w: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498B619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0.4133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018EBF64" w14:textId="77777777" w:rsidR="00100D5A" w:rsidRPr="00F724B0" w:rsidRDefault="00100D5A" w:rsidP="00CA6FF2">
            <w:pPr>
              <w:pStyle w:val="Standard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</w:pPr>
            <w:r w:rsidRPr="00F724B0">
              <w:rPr>
                <w:rFonts w:ascii="Palatino Linotype" w:hAnsi="Palatino Linotype" w:cs="Times New Roman"/>
                <w:color w:val="000000"/>
                <w:sz w:val="18"/>
                <w:szCs w:val="20"/>
              </w:rPr>
              <w:t>0.5513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C511ECA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0.9000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F1725D1" w14:textId="77777777" w:rsidR="00100D5A" w:rsidRPr="00F724B0" w:rsidRDefault="00100D5A" w:rsidP="00CA6FF2">
            <w:pPr>
              <w:adjustRightInd w:val="0"/>
              <w:snapToGrid w:val="0"/>
              <w:jc w:val="center"/>
              <w:rPr>
                <w:rFonts w:ascii="Palatino Linotype" w:hAnsi="Palatino Linotype"/>
                <w:sz w:val="18"/>
              </w:rPr>
            </w:pPr>
            <w:r w:rsidRPr="00F724B0">
              <w:rPr>
                <w:rFonts w:ascii="Palatino Linotype" w:hAnsi="Palatino Linotype"/>
                <w:sz w:val="18"/>
              </w:rPr>
              <w:t>0.9000</w:t>
            </w:r>
          </w:p>
        </w:tc>
      </w:tr>
    </w:tbl>
    <w:p w14:paraId="1B78BDB8" w14:textId="758BEF8E" w:rsidR="00E061C7" w:rsidRDefault="00E061C7"/>
    <w:p w14:paraId="1472183E" w14:textId="3358435F" w:rsidR="009D5223" w:rsidRDefault="009D5223"/>
    <w:p w14:paraId="5D61371B" w14:textId="77777777" w:rsidR="009D5223" w:rsidRDefault="009D5223"/>
    <w:sectPr w:rsidR="009D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I0szSxMDMzMrGwNDVU0lEKTi0uzszPAykwqgUAt38ZSiwAAAA="/>
  </w:docVars>
  <w:rsids>
    <w:rsidRoot w:val="00100D5A"/>
    <w:rsid w:val="00100D5A"/>
    <w:rsid w:val="009D5223"/>
    <w:rsid w:val="00E061C7"/>
    <w:rsid w:val="00E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001B"/>
  <w15:chartTrackingRefBased/>
  <w15:docId w15:val="{D7FCD007-BC99-4DB6-B136-B5710D48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D5A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0D5A"/>
    <w:pPr>
      <w:suppressAutoHyphens/>
      <w:autoSpaceDN w:val="0"/>
      <w:spacing w:before="120" w:after="240" w:line="240" w:lineRule="auto"/>
      <w:textAlignment w:val="baseline"/>
    </w:pPr>
    <w:rPr>
      <w:rFonts w:ascii="Times New Roman" w:eastAsia="SimSun" w:hAnsi="Times New Roman" w:cs="F"/>
      <w:kern w:val="3"/>
      <w:sz w:val="24"/>
      <w:lang w:val="en-US"/>
    </w:rPr>
  </w:style>
  <w:style w:type="paragraph" w:customStyle="1" w:styleId="MDPI41tablecaption">
    <w:name w:val="MDPI_4.1_table_caption"/>
    <w:basedOn w:val="Normalny"/>
    <w:qFormat/>
    <w:rsid w:val="009D5223"/>
    <w:pPr>
      <w:adjustRightInd w:val="0"/>
      <w:snapToGrid w:val="0"/>
      <w:spacing w:before="240" w:after="120" w:line="260" w:lineRule="atLeast"/>
      <w:ind w:left="425" w:right="425"/>
    </w:pPr>
    <w:rPr>
      <w:rFonts w:ascii="Palatino Linotype" w:hAnsi="Palatino Linotype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Suwalska</dc:creator>
  <cp:keywords/>
  <dc:description/>
  <cp:lastModifiedBy>Aleksandra Suwalska</cp:lastModifiedBy>
  <cp:revision>3</cp:revision>
  <dcterms:created xsi:type="dcterms:W3CDTF">2021-02-19T15:57:00Z</dcterms:created>
  <dcterms:modified xsi:type="dcterms:W3CDTF">2022-07-22T13:38:00Z</dcterms:modified>
</cp:coreProperties>
</file>