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480" w:lineRule="auto"/>
        <w:jc w:val="center"/>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SUPPLEMENTAL DATA for</w:t>
      </w:r>
    </w:p>
    <w:p>
      <w:pPr>
        <w:keepNext w:val="0"/>
        <w:keepLines w:val="0"/>
        <w:pageBreakBefore w:val="0"/>
        <w:widowControl w:val="0"/>
        <w:kinsoku/>
        <w:wordWrap/>
        <w:overflowPunct/>
        <w:topLinePunct w:val="0"/>
        <w:autoSpaceDE/>
        <w:autoSpaceDN/>
        <w:bidi w:val="0"/>
        <w:adjustRightInd/>
        <w:spacing w:line="480" w:lineRule="auto"/>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Jinyan Li et al., Probiotic-derived extracellular vesicles protect against aflatoxin B1-induced inflammatory intestinal injury by remodelling the gut microbiota and activating intestinal AHR/IL-22 signalling in mice</w:t>
      </w:r>
    </w:p>
    <w:p>
      <w:pPr>
        <w:keepNext w:val="0"/>
        <w:keepLines w:val="0"/>
        <w:pageBreakBefore w:val="0"/>
        <w:widowControl w:val="0"/>
        <w:kinsoku/>
        <w:wordWrap/>
        <w:overflowPunct/>
        <w:topLinePunct w:val="0"/>
        <w:autoSpaceDE/>
        <w:autoSpaceDN/>
        <w:bidi w:val="0"/>
        <w:adjustRightInd/>
        <w:spacing w:line="480" w:lineRule="auto"/>
        <w:rPr>
          <w:rFonts w:hint="eastAsia" w:ascii="Times New Roman" w:hAnsi="Times New Roman" w:eastAsia="Times New Roman" w:cs="Times New Roman"/>
          <w:b w:val="0"/>
          <w:i w:val="0"/>
          <w:sz w:val="24"/>
          <w:szCs w:val="28"/>
          <w:lang w:val="en-US" w:eastAsia="zh-CN"/>
        </w:rPr>
      </w:pPr>
      <w:r>
        <w:rPr>
          <w:rFonts w:hint="eastAsia" w:eastAsia="宋体"/>
          <w:lang w:eastAsia="zh-CN"/>
        </w:rPr>
        <w:drawing>
          <wp:inline distT="0" distB="0" distL="114300" distR="114300">
            <wp:extent cx="5269865" cy="5414010"/>
            <wp:effectExtent l="0" t="0" r="6985" b="15240"/>
            <wp:docPr id="1" name="图片 2" descr="F.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F.S2"/>
                    <pic:cNvPicPr>
                      <a:picLocks noChangeAspect="1"/>
                    </pic:cNvPicPr>
                  </pic:nvPicPr>
                  <pic:blipFill>
                    <a:blip r:embed="rId4"/>
                    <a:stretch>
                      <a:fillRect/>
                    </a:stretch>
                  </pic:blipFill>
                  <pic:spPr>
                    <a:xfrm>
                      <a:off x="0" y="0"/>
                      <a:ext cx="5269865" cy="5414010"/>
                    </a:xfrm>
                    <a:prstGeom prst="rect">
                      <a:avLst/>
                    </a:prstGeom>
                    <a:noFill/>
                    <a:ln>
                      <a:noFill/>
                    </a:ln>
                  </pic:spPr>
                </pic:pic>
              </a:graphicData>
            </a:graphic>
          </wp:inline>
        </w:drawing>
      </w:r>
      <w:r>
        <w:rPr>
          <w:rFonts w:hint="default" w:ascii="Times New Roman" w:hAnsi="Times New Roman" w:eastAsia="Times New Roman" w:cs="Times New Roman"/>
          <w:b/>
          <w:bCs/>
          <w:i w:val="0"/>
          <w:sz w:val="24"/>
          <w:szCs w:val="28"/>
          <w:lang w:val="en-US" w:eastAsia="zh-CN"/>
        </w:rPr>
        <w:t xml:space="preserve">Figure. </w:t>
      </w:r>
      <w:r>
        <w:rPr>
          <w:rFonts w:hint="eastAsia" w:ascii="Times New Roman" w:hAnsi="Times New Roman" w:eastAsia="Times New Roman" w:cs="Times New Roman"/>
          <w:b/>
          <w:bCs/>
          <w:i w:val="0"/>
          <w:sz w:val="24"/>
          <w:szCs w:val="28"/>
          <w:lang w:val="en-US" w:eastAsia="zh-CN"/>
        </w:rPr>
        <w:t>S1 LA.EVs modulated the diversity and composition of intestinal microbiota in AFB1-exposed mice</w:t>
      </w:r>
      <w:r>
        <w:rPr>
          <w:rFonts w:hint="eastAsia" w:ascii="Times New Roman" w:hAnsi="Times New Roman" w:eastAsia="Times New Roman" w:cs="Times New Roman"/>
          <w:b w:val="0"/>
          <w:i w:val="0"/>
          <w:sz w:val="24"/>
          <w:szCs w:val="28"/>
          <w:lang w:val="en-US" w:eastAsia="zh-CN"/>
        </w:rPr>
        <w:t xml:space="preserve"> (A) Five levels of species construct evolutionary branching trees. (B) Heat map showed the species composition and abundance of samples at the genetic level. (C) Species differences Wilcox Test results map. (D, E) Functional predictions in three groups were performed based on level 1 and level 2 of the Kyoto Encyclopedia of Genes and Genomes (KEGG) </w:t>
      </w:r>
      <w:bookmarkStart w:id="0" w:name="OLE_LINK13"/>
      <w:r>
        <w:rPr>
          <w:rFonts w:hint="eastAsia" w:ascii="Times New Roman" w:hAnsi="Times New Roman" w:eastAsia="Times New Roman" w:cs="Times New Roman"/>
          <w:b w:val="0"/>
          <w:i w:val="0"/>
          <w:sz w:val="24"/>
          <w:szCs w:val="28"/>
          <w:lang w:val="en-US" w:eastAsia="zh-CN"/>
        </w:rPr>
        <w:t>functional categories</w:t>
      </w:r>
      <w:bookmarkEnd w:id="0"/>
      <w:r>
        <w:rPr>
          <w:rFonts w:hint="eastAsia" w:ascii="Times New Roman" w:hAnsi="Times New Roman" w:eastAsia="Times New Roman" w:cs="Times New Roman"/>
          <w:b w:val="0"/>
          <w:i w:val="0"/>
          <w:sz w:val="24"/>
          <w:szCs w:val="28"/>
          <w:lang w:val="en-US" w:eastAsia="zh-CN"/>
        </w:rPr>
        <w:t>. (F, G) Functional predictions in three groups were performed based on level 1 and level 2 of the Clusters of orthologous groups of proteins(COG) functional categories.</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eastAsia="宋体"/>
          <w:lang w:val="en-US" w:eastAsia="zh-CN"/>
        </w:rPr>
      </w:pPr>
      <w:r>
        <w:rPr>
          <w:rFonts w:hint="eastAsia" w:eastAsia="宋体"/>
          <w:lang w:eastAsia="zh-CN"/>
        </w:rPr>
        <w:drawing>
          <wp:inline distT="0" distB="0" distL="114300" distR="114300">
            <wp:extent cx="5267960" cy="6654800"/>
            <wp:effectExtent l="0" t="0" r="8890" b="12700"/>
            <wp:docPr id="2" name="图片 3" descr="F.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F.S1"/>
                    <pic:cNvPicPr>
                      <a:picLocks noChangeAspect="1"/>
                    </pic:cNvPicPr>
                  </pic:nvPicPr>
                  <pic:blipFill>
                    <a:blip r:embed="rId5"/>
                    <a:stretch>
                      <a:fillRect/>
                    </a:stretch>
                  </pic:blipFill>
                  <pic:spPr>
                    <a:xfrm>
                      <a:off x="0" y="0"/>
                      <a:ext cx="5267960" cy="6654800"/>
                    </a:xfrm>
                    <a:prstGeom prst="rect">
                      <a:avLst/>
                    </a:prstGeom>
                    <a:noFill/>
                    <a:ln>
                      <a:noFill/>
                    </a:ln>
                  </pic:spPr>
                </pic:pic>
              </a:graphicData>
            </a:graphic>
          </wp:inline>
        </w:drawing>
      </w:r>
      <w:bookmarkStart w:id="1" w:name="OLE_LINK1"/>
      <w:r>
        <w:rPr>
          <w:rFonts w:hint="default" w:ascii="Times New Roman" w:hAnsi="Times New Roman" w:eastAsia="Times New Roman" w:cs="Times New Roman"/>
          <w:b/>
          <w:bCs/>
          <w:i w:val="0"/>
          <w:sz w:val="24"/>
          <w:szCs w:val="28"/>
          <w:lang w:val="en-US" w:eastAsia="zh-CN"/>
        </w:rPr>
        <w:t xml:space="preserve">Figure. </w:t>
      </w:r>
      <w:r>
        <w:rPr>
          <w:rFonts w:hint="eastAsia" w:ascii="Times New Roman" w:hAnsi="Times New Roman" w:eastAsia="Times New Roman" w:cs="Times New Roman"/>
          <w:b/>
          <w:bCs/>
          <w:i w:val="0"/>
          <w:sz w:val="24"/>
          <w:szCs w:val="28"/>
          <w:lang w:val="en-US" w:eastAsia="zh-CN"/>
        </w:rPr>
        <w:t>S</w:t>
      </w:r>
      <w:bookmarkEnd w:id="1"/>
      <w:r>
        <w:rPr>
          <w:rFonts w:hint="eastAsia" w:ascii="Times New Roman" w:hAnsi="Times New Roman" w:eastAsia="Times New Roman" w:cs="Times New Roman"/>
          <w:b/>
          <w:bCs/>
          <w:i w:val="0"/>
          <w:sz w:val="24"/>
          <w:szCs w:val="28"/>
          <w:lang w:val="en-US" w:eastAsia="zh-CN"/>
        </w:rPr>
        <w:t>2</w:t>
      </w:r>
      <w:r>
        <w:rPr>
          <w:rFonts w:hint="default" w:ascii="Times New Roman" w:hAnsi="Times New Roman" w:eastAsia="Times New Roman" w:cs="Times New Roman"/>
          <w:b/>
          <w:bCs/>
          <w:i w:val="0"/>
          <w:sz w:val="24"/>
          <w:szCs w:val="28"/>
          <w:lang w:val="en-US" w:eastAsia="zh-CN"/>
        </w:rPr>
        <w:t xml:space="preserve"> </w:t>
      </w:r>
      <w:r>
        <w:rPr>
          <w:rFonts w:hint="eastAsia" w:ascii="Times New Roman" w:hAnsi="Times New Roman" w:eastAsia="宋体" w:cs="Times New Roman"/>
          <w:b/>
          <w:bCs/>
          <w:sz w:val="24"/>
          <w:szCs w:val="28"/>
          <w:lang w:val="en-US" w:eastAsia="zh-CN"/>
        </w:rPr>
        <w:t xml:space="preserve">Inhibition of intestinal AHR activation abolished the protective effects of </w:t>
      </w:r>
      <w:r>
        <w:rPr>
          <w:rFonts w:ascii="Times New Roman" w:hAnsi="Times New Roman" w:eastAsia="Times New Roman" w:cs="Times New Roman"/>
          <w:b/>
          <w:bCs/>
          <w:sz w:val="24"/>
          <w:szCs w:val="28"/>
        </w:rPr>
        <w:t>LA.EV</w:t>
      </w:r>
      <w:r>
        <w:rPr>
          <w:rFonts w:hint="eastAsia" w:ascii="Times New Roman" w:hAnsi="Times New Roman" w:eastAsia="宋体" w:cs="Times New Roman"/>
          <w:b/>
          <w:bCs/>
          <w:sz w:val="24"/>
          <w:szCs w:val="28"/>
          <w:lang w:val="en-US" w:eastAsia="zh-CN"/>
        </w:rPr>
        <w:t>s</w:t>
      </w:r>
      <w:r>
        <w:rPr>
          <w:rFonts w:hint="eastAsia" w:ascii="Times New Roman" w:hAnsi="Times New Roman" w:eastAsia="Times New Roman" w:cs="Times New Roman"/>
          <w:b w:val="0"/>
          <w:bCs w:val="0"/>
          <w:i w:val="0"/>
          <w:sz w:val="24"/>
          <w:szCs w:val="28"/>
          <w:lang w:val="en-US" w:eastAsia="zh-CN"/>
        </w:rPr>
        <w:t xml:space="preserve"> </w:t>
      </w:r>
      <w:r>
        <w:rPr>
          <w:rFonts w:hint="default" w:ascii="Times New Roman" w:hAnsi="Times New Roman" w:eastAsia="Times New Roman" w:cs="Times New Roman"/>
          <w:b w:val="0"/>
          <w:i w:val="0"/>
          <w:sz w:val="24"/>
          <w:szCs w:val="28"/>
          <w:lang w:val="en-US" w:eastAsia="zh-CN"/>
        </w:rPr>
        <w:t xml:space="preserve">(A - E) </w:t>
      </w:r>
      <w:r>
        <w:rPr>
          <w:rFonts w:hint="default" w:ascii="Times New Roman" w:hAnsi="Times New Roman" w:eastAsia="Times New Roman" w:cs="Times New Roman"/>
          <w:b w:val="0"/>
          <w:i w:val="0"/>
          <w:sz w:val="24"/>
          <w:szCs w:val="28"/>
        </w:rPr>
        <w:t>AHR</w:t>
      </w:r>
      <w:r>
        <w:rPr>
          <w:rFonts w:hint="default" w:ascii="Times New Roman" w:hAnsi="Times New Roman" w:eastAsia="Times New Roman" w:cs="Times New Roman"/>
          <w:b w:val="0"/>
          <w:i w:val="0"/>
          <w:sz w:val="24"/>
          <w:szCs w:val="28"/>
          <w:lang w:val="en-US" w:eastAsia="zh-CN"/>
        </w:rPr>
        <w:t xml:space="preserve">, </w:t>
      </w:r>
      <w:r>
        <w:rPr>
          <w:rFonts w:hint="default" w:ascii="Times New Roman" w:hAnsi="Times New Roman" w:eastAsia="Times New Roman" w:cs="Times New Roman"/>
          <w:b w:val="0"/>
          <w:i w:val="0"/>
          <w:sz w:val="24"/>
          <w:szCs w:val="28"/>
        </w:rPr>
        <w:t>CYP1A1</w:t>
      </w:r>
      <w:r>
        <w:rPr>
          <w:rFonts w:hint="default" w:ascii="Times New Roman" w:hAnsi="Times New Roman" w:eastAsia="Times New Roman" w:cs="Times New Roman"/>
          <w:b w:val="0"/>
          <w:i w:val="0"/>
          <w:sz w:val="24"/>
          <w:szCs w:val="28"/>
          <w:lang w:val="en-US" w:eastAsia="zh-CN"/>
        </w:rPr>
        <w:t xml:space="preserve">, </w:t>
      </w:r>
      <w:r>
        <w:rPr>
          <w:rFonts w:hint="default" w:ascii="Times New Roman" w:hAnsi="Times New Roman" w:eastAsia="Times New Roman" w:cs="Times New Roman"/>
          <w:b w:val="0"/>
          <w:i w:val="0"/>
          <w:sz w:val="24"/>
          <w:szCs w:val="28"/>
        </w:rPr>
        <w:t>IL-22</w:t>
      </w:r>
      <w:r>
        <w:rPr>
          <w:rFonts w:hint="default" w:ascii="Times New Roman" w:hAnsi="Times New Roman" w:eastAsia="Times New Roman" w:cs="Times New Roman"/>
          <w:b w:val="0"/>
          <w:i w:val="0"/>
          <w:sz w:val="24"/>
          <w:szCs w:val="28"/>
          <w:lang w:val="en-US" w:eastAsia="zh-CN"/>
        </w:rPr>
        <w:t xml:space="preserve">, </w:t>
      </w:r>
      <w:r>
        <w:rPr>
          <w:rFonts w:hint="default" w:ascii="Times New Roman" w:hAnsi="Times New Roman" w:eastAsia="Times New Roman" w:cs="Times New Roman"/>
          <w:b w:val="0"/>
          <w:i w:val="0"/>
          <w:sz w:val="24"/>
          <w:szCs w:val="28"/>
        </w:rPr>
        <w:t xml:space="preserve">Reg3g and Reg3b mRNA abundances in ileum were measured by </w:t>
      </w:r>
      <w:r>
        <w:rPr>
          <w:rFonts w:hint="eastAsia" w:ascii="Times New Roman" w:hAnsi="Times New Roman" w:eastAsia="宋体" w:cs="Times New Roman"/>
          <w:b w:val="0"/>
          <w:i w:val="0"/>
          <w:sz w:val="24"/>
          <w:szCs w:val="28"/>
          <w:lang w:val="en-US" w:eastAsia="zh-CN"/>
        </w:rPr>
        <w:t xml:space="preserve">qRT-PCR. </w:t>
      </w:r>
      <w:r>
        <w:rPr>
          <w:rFonts w:hint="default" w:ascii="Times New Roman" w:hAnsi="Times New Roman" w:eastAsia="Times New Roman" w:cs="Times New Roman"/>
          <w:b w:val="0"/>
          <w:i w:val="0"/>
          <w:sz w:val="24"/>
          <w:szCs w:val="28"/>
          <w:lang w:val="en-US" w:eastAsia="zh-CN"/>
        </w:rPr>
        <w:t>(</w:t>
      </w:r>
      <w:r>
        <w:rPr>
          <w:rFonts w:hint="default" w:ascii="Times New Roman" w:hAnsi="Times New Roman" w:eastAsia="Times New Roman" w:cs="Times New Roman"/>
          <w:b w:val="0"/>
          <w:i w:val="0"/>
          <w:sz w:val="24"/>
          <w:szCs w:val="28"/>
        </w:rPr>
        <w:t>F</w:t>
      </w:r>
      <w:r>
        <w:rPr>
          <w:rFonts w:hint="default" w:ascii="Times New Roman" w:hAnsi="Times New Roman" w:eastAsia="Times New Roman" w:cs="Times New Roman"/>
          <w:b w:val="0"/>
          <w:i w:val="0"/>
          <w:sz w:val="24"/>
          <w:szCs w:val="28"/>
          <w:lang w:val="en-US" w:eastAsia="zh-CN"/>
        </w:rPr>
        <w:t xml:space="preserve">) </w:t>
      </w:r>
      <w:r>
        <w:rPr>
          <w:rFonts w:hint="default" w:ascii="Times New Roman" w:hAnsi="Times New Roman" w:eastAsia="Times New Roman" w:cs="Times New Roman"/>
          <w:b w:val="0"/>
          <w:i w:val="0"/>
          <w:sz w:val="24"/>
          <w:szCs w:val="28"/>
        </w:rPr>
        <w:t xml:space="preserve">The ileum IL-22 levels were measured by ELISA. </w:t>
      </w:r>
      <w:r>
        <w:rPr>
          <w:rFonts w:hint="default" w:ascii="Times New Roman" w:hAnsi="Times New Roman" w:eastAsia="Times New Roman" w:cs="Times New Roman"/>
          <w:b w:val="0"/>
          <w:i w:val="0"/>
          <w:sz w:val="24"/>
          <w:szCs w:val="28"/>
          <w:lang w:val="en-US" w:eastAsia="zh-CN"/>
        </w:rPr>
        <w:t>(</w:t>
      </w:r>
      <w:r>
        <w:rPr>
          <w:rFonts w:hint="default" w:ascii="Times New Roman" w:hAnsi="Times New Roman" w:eastAsia="Times New Roman" w:cs="Times New Roman"/>
          <w:b w:val="0"/>
          <w:i w:val="0"/>
          <w:sz w:val="24"/>
          <w:szCs w:val="28"/>
        </w:rPr>
        <w:t>G</w:t>
      </w:r>
      <w:r>
        <w:rPr>
          <w:rFonts w:hint="eastAsia" w:ascii="Times New Roman" w:hAnsi="Times New Roman" w:eastAsia="宋体" w:cs="Times New Roman"/>
          <w:b w:val="0"/>
          <w:i w:val="0"/>
          <w:sz w:val="24"/>
          <w:szCs w:val="28"/>
          <w:lang w:val="en-US" w:eastAsia="zh-CN"/>
        </w:rPr>
        <w:t>, H</w:t>
      </w:r>
      <w:r>
        <w:rPr>
          <w:rFonts w:hint="default" w:ascii="Times New Roman" w:hAnsi="Times New Roman" w:eastAsia="Times New Roman" w:cs="Times New Roman"/>
          <w:b w:val="0"/>
          <w:i w:val="0"/>
          <w:sz w:val="24"/>
          <w:szCs w:val="28"/>
          <w:lang w:val="en-US" w:eastAsia="zh-CN"/>
        </w:rPr>
        <w:t xml:space="preserve">) </w:t>
      </w:r>
      <w:r>
        <w:rPr>
          <w:rFonts w:hint="default" w:ascii="Times New Roman" w:hAnsi="Times New Roman" w:eastAsia="Times New Roman" w:cs="Times New Roman"/>
          <w:b w:val="0"/>
          <w:i w:val="0"/>
          <w:sz w:val="24"/>
          <w:szCs w:val="28"/>
        </w:rPr>
        <w:t>Representative image of AHR IHC staining in the ileum (Scale bar = 100</w:t>
      </w:r>
      <w:r>
        <w:rPr>
          <w:rFonts w:hint="default" w:ascii="Times New Roman" w:hAnsi="Times New Roman" w:eastAsia="Times New Roman" w:cs="Times New Roman"/>
          <w:b w:val="0"/>
          <w:i w:val="0"/>
          <w:sz w:val="24"/>
          <w:szCs w:val="28"/>
          <w:lang w:val="en-US" w:eastAsia="zh-CN"/>
        </w:rPr>
        <w:t xml:space="preserve"> </w:t>
      </w:r>
      <w:r>
        <w:rPr>
          <w:rFonts w:hint="default" w:ascii="Times New Roman" w:hAnsi="Times New Roman" w:eastAsia="Times New Roman" w:cs="Times New Roman"/>
          <w:b w:val="0"/>
          <w:i w:val="0"/>
          <w:sz w:val="24"/>
          <w:szCs w:val="28"/>
        </w:rPr>
        <w:t>μm)</w:t>
      </w:r>
      <w:r>
        <w:rPr>
          <w:rFonts w:hint="eastAsia" w:ascii="Times New Roman" w:hAnsi="Times New Roman" w:eastAsia="宋体" w:cs="Times New Roman"/>
          <w:b w:val="0"/>
          <w:i w:val="0"/>
          <w:sz w:val="24"/>
          <w:szCs w:val="28"/>
          <w:lang w:val="en-US" w:eastAsia="zh-CN"/>
        </w:rPr>
        <w:t xml:space="preserve"> </w:t>
      </w:r>
      <w:r>
        <w:rPr>
          <w:rFonts w:hint="default" w:ascii="Times New Roman" w:hAnsi="Times New Roman" w:eastAsia="Times New Roman" w:cs="Times New Roman"/>
          <w:b w:val="0"/>
          <w:i w:val="0"/>
          <w:sz w:val="24"/>
          <w:szCs w:val="28"/>
        </w:rPr>
        <w:t>(n</w:t>
      </w:r>
      <w:r>
        <w:rPr>
          <w:rFonts w:hint="default" w:ascii="Times New Roman" w:hAnsi="Times New Roman" w:eastAsia="Times New Roman" w:cs="Times New Roman"/>
          <w:b w:val="0"/>
          <w:i w:val="0"/>
          <w:sz w:val="24"/>
          <w:szCs w:val="28"/>
          <w:lang w:val="en-US" w:eastAsia="zh-CN"/>
        </w:rPr>
        <w:t xml:space="preserve"> </w:t>
      </w:r>
      <w:r>
        <w:rPr>
          <w:rFonts w:hint="default" w:ascii="Times New Roman" w:hAnsi="Times New Roman" w:eastAsia="Times New Roman" w:cs="Times New Roman"/>
          <w:b w:val="0"/>
          <w:i w:val="0"/>
          <w:sz w:val="24"/>
          <w:szCs w:val="28"/>
        </w:rPr>
        <w:t>=</w:t>
      </w:r>
      <w:r>
        <w:rPr>
          <w:rFonts w:hint="default" w:ascii="Times New Roman" w:hAnsi="Times New Roman" w:eastAsia="Times New Roman" w:cs="Times New Roman"/>
          <w:b w:val="0"/>
          <w:i w:val="0"/>
          <w:sz w:val="24"/>
          <w:szCs w:val="28"/>
          <w:lang w:val="en-US" w:eastAsia="zh-CN"/>
        </w:rPr>
        <w:t xml:space="preserve"> 5</w:t>
      </w:r>
      <w:r>
        <w:rPr>
          <w:rFonts w:hint="default" w:ascii="Times New Roman" w:hAnsi="Times New Roman" w:eastAsia="Times New Roman" w:cs="Times New Roman"/>
          <w:b w:val="0"/>
          <w:i w:val="0"/>
          <w:sz w:val="24"/>
          <w:szCs w:val="28"/>
        </w:rPr>
        <w:t>).</w:t>
      </w:r>
      <w:r>
        <w:rPr>
          <w:rFonts w:hint="default" w:ascii="Times New Roman" w:hAnsi="Times New Roman" w:eastAsia="Times New Roman" w:cs="Times New Roman"/>
          <w:b w:val="0"/>
          <w:i w:val="0"/>
          <w:sz w:val="24"/>
          <w:szCs w:val="28"/>
          <w:lang w:val="en-US" w:eastAsia="zh-CN"/>
        </w:rPr>
        <w:t xml:space="preserve"> </w:t>
      </w:r>
      <w:r>
        <w:rPr>
          <w:rFonts w:hint="default" w:ascii="Times New Roman" w:hAnsi="Times New Roman" w:eastAsia="Times New Roman" w:cs="Times New Roman"/>
          <w:b w:val="0"/>
          <w:i w:val="0"/>
          <w:sz w:val="24"/>
          <w:szCs w:val="28"/>
        </w:rPr>
        <w:t>Values are expressed as mean ± SEM. *</w:t>
      </w:r>
      <w:r>
        <w:rPr>
          <w:rFonts w:hint="default" w:ascii="Times New Roman" w:hAnsi="Times New Roman" w:eastAsia="Times New Roman" w:cs="Times New Roman"/>
          <w:b w:val="0"/>
          <w:i/>
          <w:iCs w:val="0"/>
          <w:sz w:val="24"/>
          <w:szCs w:val="28"/>
          <w:lang w:val="en-US" w:eastAsia="zh-CN"/>
        </w:rPr>
        <w:t>p</w:t>
      </w:r>
      <w:r>
        <w:rPr>
          <w:rFonts w:hint="default" w:ascii="Times New Roman" w:hAnsi="Times New Roman" w:eastAsia="Times New Roman" w:cs="Times New Roman"/>
          <w:b w:val="0"/>
          <w:i w:val="0"/>
          <w:iCs/>
          <w:sz w:val="24"/>
          <w:szCs w:val="28"/>
        </w:rPr>
        <w:t xml:space="preserve"> </w:t>
      </w:r>
      <w:r>
        <w:rPr>
          <w:rFonts w:hint="default" w:ascii="Times New Roman" w:hAnsi="Times New Roman" w:eastAsia="Times New Roman" w:cs="Times New Roman"/>
          <w:b w:val="0"/>
          <w:i w:val="0"/>
          <w:sz w:val="24"/>
          <w:szCs w:val="28"/>
        </w:rPr>
        <w:t>&lt; 0.05</w:t>
      </w:r>
      <w:r>
        <w:rPr>
          <w:rFonts w:hint="default" w:ascii="Times New Roman" w:hAnsi="Times New Roman" w:eastAsia="Times New Roman" w:cs="Times New Roman"/>
          <w:b w:val="0"/>
          <w:i w:val="0"/>
          <w:sz w:val="24"/>
          <w:szCs w:val="28"/>
          <w:highlight w:val="none"/>
          <w:lang w:val="en-US" w:eastAsia="zh-CN"/>
        </w:rPr>
        <w:t xml:space="preserve">, </w:t>
      </w:r>
      <w:r>
        <w:rPr>
          <w:rFonts w:hint="default" w:ascii="Times New Roman" w:hAnsi="Times New Roman" w:eastAsia="Times New Roman" w:cs="Times New Roman"/>
          <w:b w:val="0"/>
          <w:i w:val="0"/>
          <w:sz w:val="24"/>
          <w:szCs w:val="28"/>
          <w:highlight w:val="none"/>
        </w:rPr>
        <w:t>**</w:t>
      </w:r>
      <w:r>
        <w:rPr>
          <w:rFonts w:hint="default" w:ascii="Times New Roman" w:hAnsi="Times New Roman" w:eastAsia="Times New Roman" w:cs="Times New Roman"/>
          <w:b w:val="0"/>
          <w:i/>
          <w:iCs w:val="0"/>
          <w:sz w:val="24"/>
          <w:szCs w:val="28"/>
          <w:highlight w:val="none"/>
          <w:lang w:val="en-US" w:eastAsia="zh-CN"/>
        </w:rPr>
        <w:t>p</w:t>
      </w:r>
      <w:r>
        <w:rPr>
          <w:rFonts w:hint="default" w:ascii="Times New Roman" w:hAnsi="Times New Roman" w:eastAsia="Times New Roman" w:cs="Times New Roman"/>
          <w:b w:val="0"/>
          <w:i/>
          <w:iCs w:val="0"/>
          <w:sz w:val="24"/>
          <w:szCs w:val="28"/>
          <w:highlight w:val="none"/>
        </w:rPr>
        <w:t xml:space="preserve"> </w:t>
      </w:r>
      <w:r>
        <w:rPr>
          <w:rFonts w:hint="default" w:ascii="Times New Roman" w:hAnsi="Times New Roman" w:eastAsia="Times New Roman" w:cs="Times New Roman"/>
          <w:b w:val="0"/>
          <w:i w:val="0"/>
          <w:sz w:val="24"/>
          <w:szCs w:val="28"/>
          <w:highlight w:val="none"/>
        </w:rPr>
        <w:t>&lt; 0.01</w:t>
      </w:r>
      <w:r>
        <w:rPr>
          <w:rFonts w:hint="default" w:ascii="Times New Roman" w:hAnsi="Times New Roman" w:eastAsia="Times New Roman" w:cs="Times New Roman"/>
          <w:b w:val="0"/>
          <w:i w:val="0"/>
          <w:sz w:val="24"/>
          <w:szCs w:val="28"/>
          <w:lang w:val="en-US" w:eastAsia="zh-CN"/>
        </w:rPr>
        <w:t xml:space="preserve">, </w:t>
      </w:r>
      <w:r>
        <w:rPr>
          <w:rFonts w:hint="default" w:ascii="Times New Roman" w:hAnsi="Times New Roman" w:eastAsia="Times New Roman" w:cs="Times New Roman"/>
          <w:b w:val="0"/>
          <w:i w:val="0"/>
          <w:sz w:val="24"/>
          <w:szCs w:val="28"/>
        </w:rPr>
        <w:t>ns</w:t>
      </w:r>
      <w:r>
        <w:rPr>
          <w:rFonts w:hint="default" w:ascii="Times New Roman" w:hAnsi="Times New Roman" w:eastAsia="Times New Roman" w:cs="Times New Roman"/>
          <w:b w:val="0"/>
          <w:i w:val="0"/>
          <w:sz w:val="24"/>
          <w:szCs w:val="28"/>
          <w:lang w:val="en-US" w:eastAsia="zh-CN"/>
        </w:rPr>
        <w:t>, the difference is not significant.</w:t>
      </w:r>
    </w:p>
    <w:p>
      <w:pPr>
        <w:keepNext w:val="0"/>
        <w:keepLines w:val="0"/>
        <w:pageBreakBefore w:val="0"/>
        <w:widowControl w:val="0"/>
        <w:kinsoku/>
        <w:wordWrap/>
        <w:overflowPunct/>
        <w:topLinePunct w:val="0"/>
        <w:autoSpaceDE/>
        <w:autoSpaceDN/>
        <w:bidi w:val="0"/>
        <w:adjustRightInd/>
        <w:spacing w:line="480" w:lineRule="auto"/>
        <w:jc w:val="both"/>
        <w:rPr>
          <w:rFonts w:ascii="Times New Roman" w:hAnsi="Times New Roman" w:cs="Times New Roman"/>
          <w:b/>
          <w:bCs/>
          <w:sz w:val="21"/>
          <w:szCs w:val="21"/>
        </w:rPr>
      </w:pPr>
      <w:r>
        <w:rPr>
          <w:rFonts w:hint="eastAsia" w:ascii="Times New Roman" w:hAnsi="Times New Roman" w:cs="Times New Roman"/>
          <w:b/>
          <w:bCs/>
          <w:sz w:val="21"/>
          <w:szCs w:val="21"/>
          <w:lang w:val="en-US" w:eastAsia="zh-CN"/>
        </w:rPr>
        <w:t>T</w:t>
      </w:r>
      <w:r>
        <w:rPr>
          <w:rFonts w:hint="default" w:ascii="Times New Roman" w:hAnsi="Times New Roman" w:cs="Times New Roman"/>
          <w:b/>
          <w:bCs/>
          <w:sz w:val="21"/>
          <w:szCs w:val="21"/>
          <w:lang w:val="en-US" w:eastAsia="zh-CN"/>
        </w:rPr>
        <w:t>able</w:t>
      </w:r>
      <w:r>
        <w:rPr>
          <w:rFonts w:hint="default" w:ascii="Times New Roman" w:hAnsi="Times New Roman" w:cs="Times New Roman"/>
          <w:b/>
          <w:bCs/>
          <w:sz w:val="21"/>
          <w:szCs w:val="21"/>
        </w:rPr>
        <w:t xml:space="preserve"> </w:t>
      </w:r>
      <w:r>
        <w:rPr>
          <w:rFonts w:hint="eastAsia" w:ascii="Times New Roman" w:hAnsi="Times New Roman" w:cs="Times New Roman"/>
          <w:b/>
          <w:bCs/>
          <w:sz w:val="21"/>
          <w:szCs w:val="21"/>
          <w:lang w:val="en-US" w:eastAsia="zh-CN"/>
        </w:rPr>
        <w:t>S</w:t>
      </w:r>
      <w:r>
        <w:rPr>
          <w:rFonts w:hint="default" w:ascii="Times New Roman" w:hAnsi="Times New Roman" w:cs="Times New Roman"/>
          <w:b/>
          <w:bCs/>
          <w:sz w:val="21"/>
          <w:szCs w:val="21"/>
        </w:rPr>
        <w:t>1</w:t>
      </w:r>
      <w:r>
        <w:rPr>
          <w:rFonts w:ascii="Times New Roman" w:hAnsi="Times New Roman" w:cs="Times New Roman"/>
          <w:b/>
          <w:bCs/>
          <w:sz w:val="21"/>
          <w:szCs w:val="21"/>
        </w:rPr>
        <w:t xml:space="preserve"> Primer sequences used in the real‐time PCR</w:t>
      </w:r>
      <w:bookmarkStart w:id="2" w:name="_GoBack"/>
      <w:bookmarkEnd w:id="2"/>
    </w:p>
    <w:tbl>
      <w:tblPr>
        <w:tblStyle w:val="3"/>
        <w:tblW w:w="86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9"/>
        <w:gridCol w:w="2921"/>
        <w:gridCol w:w="3366"/>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99" w:type="dxa"/>
            <w:tcBorders>
              <w:top w:val="single" w:color="000000" w:sz="12" w:space="0"/>
              <w:left w:val="nil"/>
              <w:bottom w:val="single" w:color="000000"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rPr>
                <w:rFonts w:hint="default" w:ascii="Times New Roman" w:hAnsi="Times New Roman" w:cs="Times New Roman"/>
                <w:sz w:val="15"/>
                <w:szCs w:val="15"/>
              </w:rPr>
            </w:pPr>
            <w:r>
              <w:rPr>
                <w:rFonts w:hint="default" w:ascii="Times New Roman" w:hAnsi="Times New Roman" w:cs="Times New Roman"/>
                <w:sz w:val="15"/>
                <w:szCs w:val="15"/>
              </w:rPr>
              <w:t>Gene</w:t>
            </w:r>
          </w:p>
        </w:tc>
        <w:tc>
          <w:tcPr>
            <w:tcW w:w="2921" w:type="dxa"/>
            <w:tcBorders>
              <w:top w:val="single" w:color="000000" w:sz="12" w:space="0"/>
              <w:left w:val="nil"/>
              <w:bottom w:val="single" w:color="000000"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Accession number</w:t>
            </w:r>
          </w:p>
        </w:tc>
        <w:tc>
          <w:tcPr>
            <w:tcW w:w="3366" w:type="dxa"/>
            <w:tcBorders>
              <w:top w:val="single" w:color="000000" w:sz="12" w:space="0"/>
              <w:left w:val="nil"/>
              <w:bottom w:val="single" w:color="000000"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Primer sequence (5ʹ–3ʹ)</w:t>
            </w:r>
          </w:p>
        </w:tc>
        <w:tc>
          <w:tcPr>
            <w:tcW w:w="1200" w:type="dxa"/>
            <w:tcBorders>
              <w:top w:val="single" w:color="000000" w:sz="12" w:space="0"/>
              <w:left w:val="nil"/>
              <w:bottom w:val="single" w:color="000000"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Product</w:t>
            </w:r>
          </w:p>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(bp)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99" w:type="dxa"/>
            <w:tcBorders>
              <w:top w:val="single" w:color="000000" w:sz="8" w:space="0"/>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rPr>
                <w:rFonts w:hint="default" w:ascii="Times New Roman" w:hAnsi="Times New Roman" w:eastAsia="宋体" w:cs="Times New Roman"/>
                <w:sz w:val="15"/>
                <w:szCs w:val="15"/>
                <w:lang w:val="en-US" w:eastAsia="zh-CN"/>
              </w:rPr>
            </w:pPr>
            <w:r>
              <w:rPr>
                <w:rFonts w:hint="default" w:ascii="Times New Roman" w:hAnsi="Times New Roman" w:cs="Times New Roman"/>
                <w:sz w:val="15"/>
                <w:szCs w:val="15"/>
                <w:lang w:val="en-US" w:eastAsia="zh-CN"/>
              </w:rPr>
              <w:t>GAPDH</w:t>
            </w:r>
          </w:p>
        </w:tc>
        <w:tc>
          <w:tcPr>
            <w:tcW w:w="2921" w:type="dxa"/>
            <w:tcBorders>
              <w:top w:val="single" w:color="000000" w:sz="8" w:space="0"/>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eastAsia="宋体" w:cs="Times New Roman"/>
                <w:b/>
                <w:bCs/>
                <w:i w:val="0"/>
                <w:iCs w:val="0"/>
                <w:caps w:val="0"/>
                <w:color w:val="auto"/>
                <w:spacing w:val="0"/>
                <w:sz w:val="15"/>
                <w:szCs w:val="15"/>
                <w:u w:val="none"/>
                <w:shd w:val="clear" w:color="auto" w:fill="FFFFFF"/>
              </w:rPr>
              <w:fldChar w:fldCharType="begin"/>
            </w:r>
            <w:r>
              <w:rPr>
                <w:rFonts w:hint="default" w:ascii="Times New Roman" w:hAnsi="Times New Roman" w:eastAsia="宋体" w:cs="Times New Roman"/>
                <w:b/>
                <w:bCs/>
                <w:i w:val="0"/>
                <w:iCs w:val="0"/>
                <w:caps w:val="0"/>
                <w:color w:val="auto"/>
                <w:spacing w:val="0"/>
                <w:sz w:val="15"/>
                <w:szCs w:val="15"/>
                <w:u w:val="none"/>
                <w:shd w:val="clear" w:color="auto" w:fill="FFFFFF"/>
              </w:rPr>
              <w:instrText xml:space="preserve"> HYPERLINK "http://www.ncbi.nlm.nih.gov/entrez/viewer.fcgi?val=NP_032110" \t "https://pga.mgh.harvard.edu/cgi-bin/primerbank/_blank" </w:instrText>
            </w:r>
            <w:r>
              <w:rPr>
                <w:rFonts w:hint="default" w:ascii="Times New Roman" w:hAnsi="Times New Roman" w:eastAsia="宋体" w:cs="Times New Roman"/>
                <w:b/>
                <w:bCs/>
                <w:i w:val="0"/>
                <w:iCs w:val="0"/>
                <w:caps w:val="0"/>
                <w:color w:val="auto"/>
                <w:spacing w:val="0"/>
                <w:sz w:val="15"/>
                <w:szCs w:val="15"/>
                <w:u w:val="none"/>
                <w:shd w:val="clear" w:color="auto" w:fill="FFFFFF"/>
              </w:rPr>
              <w:fldChar w:fldCharType="separate"/>
            </w:r>
            <w:r>
              <w:rPr>
                <w:rStyle w:val="4"/>
                <w:rFonts w:hint="default" w:ascii="Times New Roman" w:hAnsi="Times New Roman" w:eastAsia="宋体" w:cs="Times New Roman"/>
                <w:b w:val="0"/>
                <w:bCs w:val="0"/>
                <w:i w:val="0"/>
                <w:iCs w:val="0"/>
                <w:caps w:val="0"/>
                <w:color w:val="auto"/>
                <w:spacing w:val="0"/>
                <w:sz w:val="15"/>
                <w:szCs w:val="15"/>
                <w:u w:val="none"/>
                <w:shd w:val="clear" w:color="auto" w:fill="FFFFFF"/>
              </w:rPr>
              <w:t>NP_032110</w:t>
            </w:r>
            <w:r>
              <w:rPr>
                <w:rFonts w:hint="default" w:ascii="Times New Roman" w:hAnsi="Times New Roman" w:eastAsia="宋体" w:cs="Times New Roman"/>
                <w:b/>
                <w:bCs/>
                <w:i w:val="0"/>
                <w:iCs w:val="0"/>
                <w:caps w:val="0"/>
                <w:color w:val="auto"/>
                <w:spacing w:val="0"/>
                <w:sz w:val="15"/>
                <w:szCs w:val="15"/>
                <w:u w:val="none"/>
                <w:shd w:val="clear" w:color="auto" w:fill="FFFFFF"/>
              </w:rPr>
              <w:fldChar w:fldCharType="end"/>
            </w:r>
          </w:p>
        </w:tc>
        <w:tc>
          <w:tcPr>
            <w:tcW w:w="3366" w:type="dxa"/>
            <w:tcBorders>
              <w:top w:val="single" w:color="000000" w:sz="8" w:space="0"/>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宋体" w:cs="Times New Roman"/>
                <w:i w:val="0"/>
                <w:iCs w:val="0"/>
                <w:caps w:val="0"/>
                <w:spacing w:val="0"/>
                <w:sz w:val="15"/>
                <w:szCs w:val="15"/>
                <w:shd w:val="clear" w:color="auto" w:fill="auto"/>
              </w:rPr>
            </w:pPr>
            <w:r>
              <w:rPr>
                <w:rFonts w:hint="default" w:ascii="Times New Roman" w:hAnsi="Times New Roman" w:cs="Times New Roman"/>
                <w:sz w:val="15"/>
                <w:szCs w:val="15"/>
                <w:lang w:val="en-US" w:eastAsia="zh-CN"/>
              </w:rPr>
              <w:t>F:</w:t>
            </w:r>
            <w:r>
              <w:rPr>
                <w:rFonts w:hint="default" w:ascii="Times New Roman" w:hAnsi="Times New Roman" w:eastAsia="宋体" w:cs="Times New Roman"/>
                <w:i w:val="0"/>
                <w:iCs w:val="0"/>
                <w:caps w:val="0"/>
                <w:color w:val="auto"/>
                <w:spacing w:val="0"/>
                <w:sz w:val="15"/>
                <w:szCs w:val="15"/>
                <w:shd w:val="clear" w:color="auto" w:fill="auto"/>
              </w:rPr>
              <w:t>AGGTCGGTGTGAACGGATTTG</w:t>
            </w:r>
          </w:p>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宋体" w:cs="Times New Roman"/>
                <w:i w:val="0"/>
                <w:iCs w:val="0"/>
                <w:caps w:val="0"/>
                <w:spacing w:val="0"/>
                <w:sz w:val="15"/>
                <w:szCs w:val="15"/>
                <w:shd w:val="clear" w:color="auto" w:fill="auto"/>
                <w:lang w:val="en-US" w:eastAsia="zh-CN"/>
              </w:rPr>
            </w:pPr>
            <w:r>
              <w:rPr>
                <w:rFonts w:hint="default" w:ascii="Times New Roman" w:hAnsi="Times New Roman" w:cs="Times New Roman"/>
                <w:i w:val="0"/>
                <w:iCs w:val="0"/>
                <w:caps w:val="0"/>
                <w:spacing w:val="0"/>
                <w:sz w:val="15"/>
                <w:szCs w:val="15"/>
                <w:shd w:val="clear" w:color="auto" w:fill="auto"/>
                <w:lang w:val="en-US" w:eastAsia="zh-CN"/>
              </w:rPr>
              <w:t>R:</w:t>
            </w:r>
            <w:r>
              <w:rPr>
                <w:rFonts w:hint="default" w:ascii="Times New Roman" w:hAnsi="Times New Roman" w:eastAsia="宋体" w:cs="Times New Roman"/>
                <w:i w:val="0"/>
                <w:iCs w:val="0"/>
                <w:caps w:val="0"/>
                <w:color w:val="auto"/>
                <w:spacing w:val="0"/>
                <w:sz w:val="15"/>
                <w:szCs w:val="15"/>
                <w:shd w:val="clear" w:color="auto" w:fill="auto"/>
              </w:rPr>
              <w:t>GGGGTCGTTGATGGCAACA</w:t>
            </w:r>
          </w:p>
        </w:tc>
        <w:tc>
          <w:tcPr>
            <w:tcW w:w="1200" w:type="dxa"/>
            <w:tcBorders>
              <w:top w:val="single" w:color="000000" w:sz="8" w:space="0"/>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宋体" w:cs="Times New Roman"/>
                <w:sz w:val="15"/>
                <w:szCs w:val="15"/>
                <w:lang w:val="en-US" w:eastAsia="zh-CN"/>
              </w:rPr>
            </w:pPr>
            <w:r>
              <w:rPr>
                <w:rFonts w:hint="default" w:ascii="Times New Roman" w:hAnsi="Times New Roman" w:cs="Times New Roman"/>
                <w:sz w:val="15"/>
                <w:szCs w:val="15"/>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rPr>
                <w:rFonts w:hint="default" w:ascii="Times New Roman" w:hAnsi="Times New Roman" w:cs="Times New Roman"/>
                <w:sz w:val="15"/>
                <w:szCs w:val="15"/>
              </w:rPr>
            </w:pPr>
            <w:r>
              <w:rPr>
                <w:rFonts w:hint="default" w:ascii="Times New Roman" w:hAnsi="Times New Roman" w:cs="Times New Roman"/>
                <w:sz w:val="15"/>
                <w:szCs w:val="15"/>
              </w:rPr>
              <w:t>TNF-α</w:t>
            </w:r>
          </w:p>
        </w:tc>
        <w:tc>
          <w:tcPr>
            <w:tcW w:w="2921"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fldChar w:fldCharType="begin"/>
            </w:r>
            <w:r>
              <w:rPr>
                <w:rFonts w:hint="default" w:ascii="Times New Roman" w:hAnsi="Times New Roman" w:cs="Times New Roman"/>
                <w:sz w:val="15"/>
                <w:szCs w:val="15"/>
              </w:rPr>
              <w:instrText xml:space="preserve"> HYPERLINK "https://www.ncbi.nlm.nih.gov/entrez/viewer.fcgi?db=nucleotide&amp;id=518831586" \t "https://www.ncbi.nlm.nih.gov/tools/primer-blast/new_entrez" </w:instrText>
            </w:r>
            <w:r>
              <w:rPr>
                <w:rFonts w:hint="default" w:ascii="Times New Roman" w:hAnsi="Times New Roman" w:cs="Times New Roman"/>
                <w:sz w:val="15"/>
                <w:szCs w:val="15"/>
              </w:rPr>
              <w:fldChar w:fldCharType="separate"/>
            </w:r>
            <w:r>
              <w:rPr>
                <w:rStyle w:val="4"/>
                <w:rFonts w:hint="default" w:ascii="Times New Roman" w:hAnsi="Times New Roman" w:eastAsia="宋体" w:cs="Times New Roman"/>
                <w:color w:val="auto"/>
                <w:sz w:val="15"/>
                <w:szCs w:val="15"/>
                <w:u w:val="none"/>
                <w:shd w:val="clear" w:color="auto" w:fill="FFFFFF"/>
              </w:rPr>
              <w:t>NM_013693.3</w:t>
            </w:r>
            <w:r>
              <w:rPr>
                <w:rStyle w:val="4"/>
                <w:rFonts w:hint="default" w:ascii="Times New Roman" w:hAnsi="Times New Roman" w:eastAsia="宋体" w:cs="Times New Roman"/>
                <w:color w:val="auto"/>
                <w:sz w:val="15"/>
                <w:szCs w:val="15"/>
                <w:u w:val="none"/>
                <w:shd w:val="clear" w:color="auto" w:fill="FFFFFF"/>
              </w:rPr>
              <w:fldChar w:fldCharType="end"/>
            </w:r>
          </w:p>
        </w:tc>
        <w:tc>
          <w:tcPr>
            <w:tcW w:w="336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cs="Times New Roman"/>
                <w:sz w:val="15"/>
                <w:szCs w:val="15"/>
              </w:rPr>
              <w:t>F:</w:t>
            </w:r>
            <w:r>
              <w:rPr>
                <w:rFonts w:hint="default" w:ascii="Times New Roman" w:hAnsi="Times New Roman" w:eastAsia="微软雅黑" w:cs="Times New Roman"/>
                <w:color w:val="222222"/>
                <w:sz w:val="15"/>
                <w:szCs w:val="15"/>
                <w:shd w:val="clear" w:color="auto" w:fill="FFFFFF"/>
              </w:rPr>
              <w:t>ATGTCTCAGCCTCTTCTCATTC</w:t>
            </w:r>
          </w:p>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R:</w:t>
            </w:r>
            <w:r>
              <w:rPr>
                <w:rFonts w:hint="default" w:ascii="Times New Roman" w:hAnsi="Times New Roman" w:eastAsia="微软雅黑" w:cs="Times New Roman"/>
                <w:color w:val="222222"/>
                <w:sz w:val="15"/>
                <w:szCs w:val="15"/>
                <w:shd w:val="clear" w:color="auto" w:fill="FFFFFF"/>
              </w:rPr>
              <w:t>GCTTGTCACTCGAATTTTGAGA</w:t>
            </w:r>
          </w:p>
        </w:tc>
        <w:tc>
          <w:tcPr>
            <w:tcW w:w="1200"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rPr>
                <w:rFonts w:hint="default" w:ascii="Times New Roman" w:hAnsi="Times New Roman" w:cs="Times New Roman"/>
                <w:sz w:val="15"/>
                <w:szCs w:val="15"/>
              </w:rPr>
            </w:pPr>
            <w:r>
              <w:rPr>
                <w:rFonts w:hint="default" w:ascii="Times New Roman" w:hAnsi="Times New Roman" w:cs="Times New Roman"/>
                <w:sz w:val="15"/>
                <w:szCs w:val="15"/>
              </w:rPr>
              <w:t>IL-6</w:t>
            </w:r>
          </w:p>
        </w:tc>
        <w:tc>
          <w:tcPr>
            <w:tcW w:w="2921"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宋体" w:cs="Times New Roman"/>
                <w:color w:val="auto"/>
                <w:sz w:val="15"/>
                <w:szCs w:val="15"/>
                <w:shd w:val="clear" w:color="auto" w:fill="auto"/>
              </w:rPr>
            </w:pPr>
            <w:r>
              <w:rPr>
                <w:rFonts w:hint="default" w:ascii="Times New Roman" w:hAnsi="Times New Roman" w:cs="Times New Roman"/>
                <w:sz w:val="15"/>
                <w:szCs w:val="15"/>
              </w:rPr>
              <w:fldChar w:fldCharType="begin"/>
            </w:r>
            <w:r>
              <w:rPr>
                <w:rFonts w:hint="default" w:ascii="Times New Roman" w:hAnsi="Times New Roman" w:cs="Times New Roman"/>
                <w:sz w:val="15"/>
                <w:szCs w:val="15"/>
              </w:rPr>
              <w:instrText xml:space="preserve"> HYPERLINK "https://www.ncbi.nlm.nih.gov/entrez/viewer.fcgi?db=nucleotide&amp;id=930945755" \t "https://www.ncbi.nlm.nih.gov/tools/primer-blast/new_entrez" </w:instrText>
            </w:r>
            <w:r>
              <w:rPr>
                <w:rFonts w:hint="default" w:ascii="Times New Roman" w:hAnsi="Times New Roman" w:cs="Times New Roman"/>
                <w:sz w:val="15"/>
                <w:szCs w:val="15"/>
              </w:rPr>
              <w:fldChar w:fldCharType="separate"/>
            </w:r>
            <w:r>
              <w:rPr>
                <w:rStyle w:val="4"/>
                <w:rFonts w:hint="default" w:ascii="Times New Roman" w:hAnsi="Times New Roman" w:eastAsia="宋体" w:cs="Times New Roman"/>
                <w:color w:val="auto"/>
                <w:sz w:val="15"/>
                <w:szCs w:val="15"/>
                <w:u w:val="none"/>
                <w:shd w:val="clear" w:color="auto" w:fill="FFFFFF"/>
              </w:rPr>
              <w:t>NM_001314054.1</w:t>
            </w:r>
            <w:r>
              <w:rPr>
                <w:rStyle w:val="4"/>
                <w:rFonts w:hint="default" w:ascii="Times New Roman" w:hAnsi="Times New Roman" w:eastAsia="宋体" w:cs="Times New Roman"/>
                <w:color w:val="auto"/>
                <w:sz w:val="15"/>
                <w:szCs w:val="15"/>
                <w:u w:val="none"/>
                <w:shd w:val="clear" w:color="auto" w:fill="FFFFFF"/>
              </w:rPr>
              <w:fldChar w:fldCharType="end"/>
            </w:r>
          </w:p>
        </w:tc>
        <w:tc>
          <w:tcPr>
            <w:tcW w:w="336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cs="Times New Roman"/>
                <w:sz w:val="15"/>
                <w:szCs w:val="15"/>
              </w:rPr>
              <w:t>F:</w:t>
            </w:r>
            <w:r>
              <w:rPr>
                <w:rFonts w:hint="default" w:ascii="Times New Roman" w:hAnsi="Times New Roman" w:eastAsia="微软雅黑" w:cs="Times New Roman"/>
                <w:color w:val="222222"/>
                <w:sz w:val="15"/>
                <w:szCs w:val="15"/>
                <w:shd w:val="clear" w:color="auto" w:fill="FFFFFF"/>
              </w:rPr>
              <w:t>ACAACCACGGCCTTCCCTACTT</w:t>
            </w:r>
          </w:p>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eastAsia="华文行楷" w:cs="Times New Roman"/>
                <w:color w:val="222222"/>
                <w:sz w:val="15"/>
                <w:szCs w:val="15"/>
                <w:shd w:val="clear" w:color="auto" w:fill="FFFFFF"/>
              </w:rPr>
              <w:t>R:</w:t>
            </w:r>
            <w:r>
              <w:rPr>
                <w:rFonts w:hint="default" w:ascii="Times New Roman" w:hAnsi="Times New Roman" w:eastAsia="微软雅黑" w:cs="Times New Roman"/>
                <w:color w:val="222222"/>
                <w:sz w:val="15"/>
                <w:szCs w:val="15"/>
                <w:shd w:val="clear" w:color="auto" w:fill="FFFFFF"/>
              </w:rPr>
              <w:t>CACGATTTCCCAGAGAACATGTG</w:t>
            </w:r>
          </w:p>
        </w:tc>
        <w:tc>
          <w:tcPr>
            <w:tcW w:w="1200"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rPr>
                <w:rFonts w:hint="default" w:ascii="Times New Roman" w:hAnsi="Times New Roman" w:cs="Times New Roman"/>
                <w:sz w:val="15"/>
                <w:szCs w:val="15"/>
              </w:rPr>
            </w:pPr>
            <w:r>
              <w:rPr>
                <w:rFonts w:hint="default" w:ascii="Times New Roman" w:hAnsi="Times New Roman" w:cs="Times New Roman"/>
                <w:sz w:val="15"/>
                <w:szCs w:val="15"/>
              </w:rPr>
              <w:t>IL-1β</w:t>
            </w:r>
          </w:p>
        </w:tc>
        <w:tc>
          <w:tcPr>
            <w:tcW w:w="2921"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fldChar w:fldCharType="begin"/>
            </w:r>
            <w:r>
              <w:rPr>
                <w:rFonts w:hint="default" w:ascii="Times New Roman" w:hAnsi="Times New Roman" w:cs="Times New Roman"/>
                <w:sz w:val="15"/>
                <w:szCs w:val="15"/>
              </w:rPr>
              <w:instrText xml:space="preserve"> HYPERLINK "https://www.ncbi.nlm.nih.gov/entrez/viewer.fcgi?db=nucleotide&amp;id=921274059" \t "https://www.ncbi.nlm.nih.gov/tools/primer-blast/new_entrez" </w:instrText>
            </w:r>
            <w:r>
              <w:rPr>
                <w:rFonts w:hint="default" w:ascii="Times New Roman" w:hAnsi="Times New Roman" w:cs="Times New Roman"/>
                <w:sz w:val="15"/>
                <w:szCs w:val="15"/>
              </w:rPr>
              <w:fldChar w:fldCharType="separate"/>
            </w:r>
            <w:r>
              <w:rPr>
                <w:rStyle w:val="4"/>
                <w:rFonts w:hint="default" w:ascii="Times New Roman" w:hAnsi="Times New Roman" w:eastAsia="宋体" w:cs="Times New Roman"/>
                <w:color w:val="auto"/>
                <w:sz w:val="15"/>
                <w:szCs w:val="15"/>
                <w:u w:val="none"/>
                <w:shd w:val="clear" w:color="auto" w:fill="FFFFFF"/>
              </w:rPr>
              <w:t>NM_008361.4</w:t>
            </w:r>
            <w:r>
              <w:rPr>
                <w:rStyle w:val="4"/>
                <w:rFonts w:hint="default" w:ascii="Times New Roman" w:hAnsi="Times New Roman" w:eastAsia="宋体" w:cs="Times New Roman"/>
                <w:color w:val="auto"/>
                <w:sz w:val="15"/>
                <w:szCs w:val="15"/>
                <w:u w:val="none"/>
                <w:shd w:val="clear" w:color="auto" w:fill="FFFFFF"/>
              </w:rPr>
              <w:fldChar w:fldCharType="end"/>
            </w:r>
          </w:p>
        </w:tc>
        <w:tc>
          <w:tcPr>
            <w:tcW w:w="336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F:TCGCAGCAGCACATCAACAAGAG</w:t>
            </w:r>
          </w:p>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R:TGCTCATGTCCTCATCCTGGAAGG</w:t>
            </w:r>
          </w:p>
        </w:tc>
        <w:tc>
          <w:tcPr>
            <w:tcW w:w="1200"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rPr>
                <w:rFonts w:hint="default" w:ascii="Times New Roman" w:hAnsi="Times New Roman" w:cs="Times New Roman"/>
                <w:sz w:val="15"/>
                <w:szCs w:val="15"/>
              </w:rPr>
            </w:pPr>
            <w:r>
              <w:rPr>
                <w:rFonts w:hint="default" w:ascii="Times New Roman" w:hAnsi="Times New Roman" w:cs="Times New Roman"/>
                <w:sz w:val="15"/>
                <w:szCs w:val="15"/>
              </w:rPr>
              <w:t>ZO-1</w:t>
            </w:r>
          </w:p>
        </w:tc>
        <w:tc>
          <w:tcPr>
            <w:tcW w:w="2921"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宋体" w:cs="Times New Roman"/>
                <w:sz w:val="15"/>
                <w:szCs w:val="15"/>
                <w:shd w:val="clear" w:color="auto" w:fill="auto"/>
              </w:rPr>
            </w:pPr>
            <w:r>
              <w:rPr>
                <w:rFonts w:hint="default" w:ascii="Times New Roman" w:hAnsi="Times New Roman" w:cs="Times New Roman"/>
                <w:sz w:val="15"/>
                <w:szCs w:val="15"/>
              </w:rPr>
              <w:fldChar w:fldCharType="begin"/>
            </w:r>
            <w:r>
              <w:rPr>
                <w:rFonts w:hint="default" w:ascii="Times New Roman" w:hAnsi="Times New Roman" w:cs="Times New Roman"/>
                <w:sz w:val="15"/>
                <w:szCs w:val="15"/>
              </w:rPr>
              <w:instrText xml:space="preserve"> HYPERLINK "https://www.ncbi.nlm.nih.gov/entrez/viewer.fcgi?db=nucleotide&amp;id=-1843783359" \t "https://www.ncbi.nlm.nih.gov/tools/primer-blast/new_entrez" </w:instrText>
            </w:r>
            <w:r>
              <w:rPr>
                <w:rFonts w:hint="default" w:ascii="Times New Roman" w:hAnsi="Times New Roman" w:cs="Times New Roman"/>
                <w:sz w:val="15"/>
                <w:szCs w:val="15"/>
              </w:rPr>
              <w:fldChar w:fldCharType="separate"/>
            </w:r>
            <w:r>
              <w:rPr>
                <w:rFonts w:hint="default" w:ascii="Times New Roman" w:hAnsi="Times New Roman" w:eastAsia="宋体" w:cs="Times New Roman"/>
                <w:sz w:val="15"/>
                <w:szCs w:val="15"/>
                <w:shd w:val="clear" w:color="auto" w:fill="auto"/>
              </w:rPr>
              <w:t>NM_001417374.1</w:t>
            </w:r>
            <w:r>
              <w:rPr>
                <w:rFonts w:hint="default" w:ascii="Times New Roman" w:hAnsi="Times New Roman" w:eastAsia="宋体" w:cs="Times New Roman"/>
                <w:sz w:val="15"/>
                <w:szCs w:val="15"/>
                <w:shd w:val="clear" w:color="auto" w:fill="auto"/>
              </w:rPr>
              <w:fldChar w:fldCharType="end"/>
            </w:r>
          </w:p>
        </w:tc>
        <w:tc>
          <w:tcPr>
            <w:tcW w:w="336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F:GCCGCTAAGAGCACAGCAA</w:t>
            </w:r>
          </w:p>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color w:val="000000"/>
                <w:sz w:val="15"/>
                <w:szCs w:val="15"/>
              </w:rPr>
            </w:pPr>
            <w:r>
              <w:rPr>
                <w:rFonts w:hint="default" w:ascii="Times New Roman" w:hAnsi="Times New Roman" w:eastAsia="微软雅黑" w:cs="Times New Roman"/>
                <w:color w:val="222222"/>
                <w:sz w:val="15"/>
                <w:szCs w:val="15"/>
                <w:shd w:val="clear" w:color="auto" w:fill="FFFFFF"/>
              </w:rPr>
              <w:t>R:GCCCTCCTTTTAACACATCAGA</w:t>
            </w:r>
          </w:p>
        </w:tc>
        <w:tc>
          <w:tcPr>
            <w:tcW w:w="1200"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rPr>
                <w:rFonts w:hint="default" w:ascii="Times New Roman" w:hAnsi="Times New Roman" w:cs="Times New Roman"/>
                <w:sz w:val="15"/>
                <w:szCs w:val="15"/>
              </w:rPr>
            </w:pPr>
            <w:r>
              <w:rPr>
                <w:rFonts w:hint="default" w:ascii="Times New Roman" w:hAnsi="Times New Roman" w:cs="Times New Roman"/>
                <w:sz w:val="15"/>
                <w:szCs w:val="15"/>
              </w:rPr>
              <w:t>Occludin</w:t>
            </w:r>
          </w:p>
        </w:tc>
        <w:tc>
          <w:tcPr>
            <w:tcW w:w="2921"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宋体" w:cs="Times New Roman"/>
                <w:sz w:val="15"/>
                <w:szCs w:val="15"/>
                <w:shd w:val="clear" w:color="auto" w:fill="auto"/>
              </w:rPr>
            </w:pPr>
            <w:r>
              <w:rPr>
                <w:rFonts w:hint="default" w:ascii="Times New Roman" w:hAnsi="Times New Roman" w:eastAsia="宋体" w:cs="Times New Roman"/>
                <w:sz w:val="15"/>
                <w:szCs w:val="15"/>
                <w:shd w:val="clear" w:color="auto" w:fill="auto"/>
              </w:rPr>
              <w:t>NC_000079.7</w:t>
            </w:r>
          </w:p>
        </w:tc>
        <w:tc>
          <w:tcPr>
            <w:tcW w:w="336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F:TTGAAAGTCCACCTCCTTACAGA</w:t>
            </w:r>
          </w:p>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R:CCGGATAAAAAGAGTACGCTGG</w:t>
            </w:r>
          </w:p>
        </w:tc>
        <w:tc>
          <w:tcPr>
            <w:tcW w:w="1200"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199"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rPr>
                <w:rFonts w:hint="default" w:ascii="Times New Roman" w:hAnsi="Times New Roman" w:cs="Times New Roman"/>
                <w:sz w:val="15"/>
                <w:szCs w:val="15"/>
              </w:rPr>
            </w:pPr>
            <w:r>
              <w:rPr>
                <w:rFonts w:hint="default" w:ascii="Times New Roman" w:hAnsi="Times New Roman" w:cs="Times New Roman"/>
                <w:sz w:val="15"/>
                <w:szCs w:val="15"/>
              </w:rPr>
              <w:t>Claudin-1</w:t>
            </w:r>
          </w:p>
        </w:tc>
        <w:tc>
          <w:tcPr>
            <w:tcW w:w="2921"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cs="Times New Roman"/>
                <w:sz w:val="15"/>
                <w:szCs w:val="15"/>
              </w:rPr>
              <w:fldChar w:fldCharType="begin"/>
            </w:r>
            <w:r>
              <w:rPr>
                <w:rFonts w:hint="default" w:ascii="Times New Roman" w:hAnsi="Times New Roman" w:cs="Times New Roman"/>
                <w:sz w:val="15"/>
                <w:szCs w:val="15"/>
              </w:rPr>
              <w:instrText xml:space="preserve"> HYPERLINK "https://www.ncbi.nlm.nih.gov/entrez/viewer.fcgi?db=nucleotide&amp;id=302129694" \t "https://www.ncbi.nlm.nih.gov/tools/primer-blast/new_entrez" </w:instrText>
            </w:r>
            <w:r>
              <w:rPr>
                <w:rFonts w:hint="default" w:ascii="Times New Roman" w:hAnsi="Times New Roman" w:cs="Times New Roman"/>
                <w:sz w:val="15"/>
                <w:szCs w:val="15"/>
              </w:rPr>
              <w:fldChar w:fldCharType="separate"/>
            </w:r>
            <w:r>
              <w:rPr>
                <w:rFonts w:hint="default" w:ascii="Times New Roman" w:hAnsi="Times New Roman" w:eastAsia="微软雅黑" w:cs="Times New Roman"/>
                <w:color w:val="222222"/>
                <w:sz w:val="15"/>
                <w:szCs w:val="15"/>
                <w:shd w:val="clear" w:color="auto" w:fill="FFFFFF"/>
              </w:rPr>
              <w:t>NM_016674.4</w:t>
            </w:r>
            <w:r>
              <w:rPr>
                <w:rFonts w:hint="default" w:ascii="Times New Roman" w:hAnsi="Times New Roman" w:eastAsia="微软雅黑" w:cs="Times New Roman"/>
                <w:color w:val="222222"/>
                <w:sz w:val="15"/>
                <w:szCs w:val="15"/>
                <w:shd w:val="clear" w:color="auto" w:fill="FFFFFF"/>
              </w:rPr>
              <w:fldChar w:fldCharType="end"/>
            </w:r>
          </w:p>
        </w:tc>
        <w:tc>
          <w:tcPr>
            <w:tcW w:w="336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F:TGCCCCAGTGGAAGATTTACT</w:t>
            </w:r>
          </w:p>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R:CTTTGCGAAACGCAGGACAT</w:t>
            </w:r>
          </w:p>
        </w:tc>
        <w:tc>
          <w:tcPr>
            <w:tcW w:w="1200"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rPr>
                <w:rFonts w:hint="default" w:ascii="Times New Roman" w:hAnsi="Times New Roman" w:cs="Times New Roman"/>
                <w:sz w:val="15"/>
                <w:szCs w:val="15"/>
              </w:rPr>
            </w:pPr>
            <w:r>
              <w:rPr>
                <w:rFonts w:hint="default" w:ascii="Times New Roman" w:hAnsi="Times New Roman" w:cs="Times New Roman"/>
                <w:sz w:val="15"/>
                <w:szCs w:val="15"/>
              </w:rPr>
              <w:t>AHR</w:t>
            </w:r>
          </w:p>
        </w:tc>
        <w:tc>
          <w:tcPr>
            <w:tcW w:w="2921"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Arial" w:cs="Times New Roman"/>
                <w:sz w:val="15"/>
                <w:szCs w:val="15"/>
                <w:shd w:val="clear" w:color="auto" w:fill="FFFFFF"/>
              </w:rPr>
            </w:pPr>
            <w:r>
              <w:rPr>
                <w:rFonts w:hint="default" w:ascii="Times New Roman" w:hAnsi="Times New Roman" w:cs="Times New Roman"/>
                <w:sz w:val="15"/>
                <w:szCs w:val="15"/>
              </w:rPr>
              <w:fldChar w:fldCharType="begin"/>
            </w:r>
            <w:r>
              <w:rPr>
                <w:rFonts w:hint="default" w:ascii="Times New Roman" w:hAnsi="Times New Roman" w:cs="Times New Roman"/>
                <w:sz w:val="15"/>
                <w:szCs w:val="15"/>
              </w:rPr>
              <w:instrText xml:space="preserve"> HYPERLINK "https://www.ncbi.nlm.nih.gov/entrez/viewer.fcgi?db=nucleotide&amp;id=142369296" \t "https://www.ncbi.nlm.nih.gov/tools/primer-blast/new_entrez" </w:instrText>
            </w:r>
            <w:r>
              <w:rPr>
                <w:rFonts w:hint="default" w:ascii="Times New Roman" w:hAnsi="Times New Roman" w:cs="Times New Roman"/>
                <w:sz w:val="15"/>
                <w:szCs w:val="15"/>
              </w:rPr>
              <w:fldChar w:fldCharType="separate"/>
            </w:r>
            <w:r>
              <w:rPr>
                <w:rFonts w:hint="default" w:ascii="Times New Roman" w:hAnsi="Times New Roman" w:eastAsia="微软雅黑" w:cs="Times New Roman"/>
                <w:color w:val="222222"/>
                <w:sz w:val="15"/>
                <w:szCs w:val="15"/>
                <w:shd w:val="clear" w:color="auto" w:fill="FFFFFF"/>
              </w:rPr>
              <w:t>NM_013464.4</w:t>
            </w:r>
            <w:r>
              <w:rPr>
                <w:rFonts w:hint="default" w:ascii="Times New Roman" w:hAnsi="Times New Roman" w:eastAsia="微软雅黑" w:cs="Times New Roman"/>
                <w:color w:val="222222"/>
                <w:sz w:val="15"/>
                <w:szCs w:val="15"/>
                <w:shd w:val="clear" w:color="auto" w:fill="FFFFFF"/>
              </w:rPr>
              <w:fldChar w:fldCharType="end"/>
            </w:r>
          </w:p>
        </w:tc>
        <w:tc>
          <w:tcPr>
            <w:tcW w:w="336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F:GCCCTTCCCGCAAGATGTTAT</w:t>
            </w:r>
          </w:p>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宋体" w:cs="Times New Roman"/>
                <w:color w:val="000000"/>
                <w:sz w:val="15"/>
                <w:szCs w:val="15"/>
                <w:shd w:val="clear" w:color="auto" w:fill="FFFFFF"/>
              </w:rPr>
            </w:pPr>
            <w:r>
              <w:rPr>
                <w:rFonts w:hint="default" w:ascii="Times New Roman" w:hAnsi="Times New Roman" w:eastAsia="微软雅黑" w:cs="Times New Roman"/>
                <w:color w:val="222222"/>
                <w:sz w:val="15"/>
                <w:szCs w:val="15"/>
                <w:shd w:val="clear" w:color="auto" w:fill="FFFFFF"/>
              </w:rPr>
              <w:t>R:TCAGCAGGGGTGGACTTTAAT</w:t>
            </w:r>
          </w:p>
        </w:tc>
        <w:tc>
          <w:tcPr>
            <w:tcW w:w="1200"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117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rPr>
                <w:rFonts w:hint="default" w:ascii="Times New Roman" w:hAnsi="Times New Roman" w:cs="Times New Roman"/>
                <w:sz w:val="15"/>
                <w:szCs w:val="15"/>
              </w:rPr>
            </w:pPr>
            <w:r>
              <w:rPr>
                <w:rFonts w:hint="default" w:ascii="Times New Roman" w:hAnsi="Times New Roman" w:cs="Times New Roman"/>
                <w:sz w:val="15"/>
                <w:szCs w:val="15"/>
              </w:rPr>
              <w:t>CYP1A1</w:t>
            </w:r>
          </w:p>
        </w:tc>
        <w:tc>
          <w:tcPr>
            <w:tcW w:w="2921"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fldChar w:fldCharType="begin"/>
            </w:r>
            <w:r>
              <w:rPr>
                <w:rFonts w:hint="default" w:ascii="Times New Roman" w:hAnsi="Times New Roman" w:cs="Times New Roman"/>
                <w:sz w:val="15"/>
                <w:szCs w:val="15"/>
              </w:rPr>
              <w:instrText xml:space="preserve"> HYPERLINK "https://www.ncbi.nlm.nih.gov/entrez/viewer.fcgi?db=nucleotide&amp;id=327478425" \t "https://www.ncbi.nlm.nih.gov/tools/primer-blast/new_entrez" </w:instrText>
            </w:r>
            <w:r>
              <w:rPr>
                <w:rFonts w:hint="default" w:ascii="Times New Roman" w:hAnsi="Times New Roman" w:cs="Times New Roman"/>
                <w:sz w:val="15"/>
                <w:szCs w:val="15"/>
              </w:rPr>
              <w:fldChar w:fldCharType="separate"/>
            </w:r>
            <w:r>
              <w:rPr>
                <w:rStyle w:val="5"/>
                <w:rFonts w:hint="default" w:ascii="Times New Roman" w:hAnsi="Times New Roman" w:eastAsia="Arial" w:cs="Times New Roman"/>
                <w:color w:val="auto"/>
                <w:sz w:val="15"/>
                <w:szCs w:val="15"/>
                <w:u w:val="none"/>
                <w:shd w:val="clear" w:color="auto" w:fill="FFFFFF"/>
              </w:rPr>
              <w:t>NM_001136059.2</w:t>
            </w:r>
            <w:r>
              <w:rPr>
                <w:rStyle w:val="5"/>
                <w:rFonts w:hint="default" w:ascii="Times New Roman" w:hAnsi="Times New Roman" w:eastAsia="Arial" w:cs="Times New Roman"/>
                <w:color w:val="auto"/>
                <w:sz w:val="15"/>
                <w:szCs w:val="15"/>
                <w:u w:val="none"/>
                <w:shd w:val="clear" w:color="auto" w:fill="FFFFFF"/>
              </w:rPr>
              <w:fldChar w:fldCharType="end"/>
            </w:r>
          </w:p>
        </w:tc>
        <w:tc>
          <w:tcPr>
            <w:tcW w:w="336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F:CAATGAGTTTGGGGAGGTTACTG</w:t>
            </w:r>
          </w:p>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宋体" w:cs="Times New Roman"/>
                <w:color w:val="000000"/>
                <w:sz w:val="15"/>
                <w:szCs w:val="15"/>
                <w:shd w:val="clear" w:color="auto" w:fill="FFFFFF"/>
              </w:rPr>
            </w:pPr>
            <w:r>
              <w:rPr>
                <w:rFonts w:hint="default" w:ascii="Times New Roman" w:hAnsi="Times New Roman" w:eastAsia="微软雅黑" w:cs="Times New Roman"/>
                <w:color w:val="222222"/>
                <w:sz w:val="15"/>
                <w:szCs w:val="15"/>
                <w:shd w:val="clear" w:color="auto" w:fill="FFFFFF"/>
              </w:rPr>
              <w:t>R:CCCTTCTCAAATGTCCTGTAGTG</w:t>
            </w:r>
          </w:p>
        </w:tc>
        <w:tc>
          <w:tcPr>
            <w:tcW w:w="1200"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rPr>
                <w:rFonts w:hint="default" w:ascii="Times New Roman" w:hAnsi="Times New Roman" w:cs="Times New Roman"/>
                <w:sz w:val="15"/>
                <w:szCs w:val="15"/>
              </w:rPr>
            </w:pPr>
            <w:r>
              <w:rPr>
                <w:rFonts w:hint="default" w:ascii="Times New Roman" w:hAnsi="Times New Roman" w:cs="Times New Roman"/>
                <w:sz w:val="15"/>
                <w:szCs w:val="15"/>
              </w:rPr>
              <w:t>IL-22</w:t>
            </w:r>
          </w:p>
        </w:tc>
        <w:tc>
          <w:tcPr>
            <w:tcW w:w="2921"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eastAsia="Arial" w:cs="Times New Roman"/>
                <w:sz w:val="15"/>
                <w:szCs w:val="15"/>
                <w:shd w:val="clear" w:color="auto" w:fill="FFFFFF"/>
              </w:rPr>
              <w:t>NC_000076.7</w:t>
            </w:r>
          </w:p>
        </w:tc>
        <w:tc>
          <w:tcPr>
            <w:tcW w:w="336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F:ATGAGTTTTTCCCTTATGGGGAC</w:t>
            </w:r>
          </w:p>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宋体" w:cs="Times New Roman"/>
                <w:color w:val="000000"/>
                <w:sz w:val="15"/>
                <w:szCs w:val="15"/>
                <w:shd w:val="clear" w:color="auto" w:fill="FFFFFF"/>
              </w:rPr>
            </w:pPr>
            <w:r>
              <w:rPr>
                <w:rFonts w:hint="default" w:ascii="Times New Roman" w:hAnsi="Times New Roman" w:eastAsia="微软雅黑" w:cs="Times New Roman"/>
                <w:color w:val="222222"/>
                <w:sz w:val="15"/>
                <w:szCs w:val="15"/>
                <w:shd w:val="clear" w:color="auto" w:fill="FFFFFF"/>
              </w:rPr>
              <w:t>R:GCTGGAAGTTGGACACCTCAA</w:t>
            </w:r>
          </w:p>
        </w:tc>
        <w:tc>
          <w:tcPr>
            <w:tcW w:w="1200"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rPr>
                <w:rFonts w:hint="default" w:ascii="Times New Roman" w:hAnsi="Times New Roman" w:cs="Times New Roman"/>
                <w:sz w:val="15"/>
                <w:szCs w:val="15"/>
              </w:rPr>
            </w:pPr>
            <w:r>
              <w:rPr>
                <w:rFonts w:hint="default" w:ascii="Times New Roman" w:hAnsi="Times New Roman" w:cs="Times New Roman"/>
                <w:sz w:val="15"/>
                <w:szCs w:val="15"/>
              </w:rPr>
              <w:t>Reg3g</w:t>
            </w:r>
          </w:p>
        </w:tc>
        <w:tc>
          <w:tcPr>
            <w:tcW w:w="2921"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Arial" w:cs="Times New Roman"/>
                <w:sz w:val="15"/>
                <w:szCs w:val="15"/>
                <w:shd w:val="clear" w:color="auto" w:fill="FFFFFF"/>
              </w:rPr>
            </w:pPr>
            <w:r>
              <w:rPr>
                <w:rFonts w:hint="default" w:ascii="Times New Roman" w:hAnsi="Times New Roman" w:cs="Times New Roman"/>
                <w:sz w:val="15"/>
                <w:szCs w:val="15"/>
              </w:rPr>
              <w:fldChar w:fldCharType="begin"/>
            </w:r>
            <w:r>
              <w:rPr>
                <w:rFonts w:hint="default" w:ascii="Times New Roman" w:hAnsi="Times New Roman" w:cs="Times New Roman"/>
                <w:sz w:val="15"/>
                <w:szCs w:val="15"/>
              </w:rPr>
              <w:instrText xml:space="preserve"> HYPERLINK "https://www.ncbi.nlm.nih.gov/entrez/viewer.fcgi?db=nucleotide&amp;id=1041817914" \t "https://www.ncbi.nlm.nih.gov/tools/primer-blast/new_entrez" </w:instrText>
            </w:r>
            <w:r>
              <w:rPr>
                <w:rFonts w:hint="default" w:ascii="Times New Roman" w:hAnsi="Times New Roman" w:cs="Times New Roman"/>
                <w:sz w:val="15"/>
                <w:szCs w:val="15"/>
              </w:rPr>
              <w:fldChar w:fldCharType="separate"/>
            </w:r>
            <w:r>
              <w:rPr>
                <w:rFonts w:hint="default" w:ascii="Times New Roman" w:hAnsi="Times New Roman" w:eastAsia="Arial" w:cs="Times New Roman"/>
                <w:sz w:val="15"/>
                <w:szCs w:val="15"/>
                <w:shd w:val="clear" w:color="auto" w:fill="FFFFFF"/>
              </w:rPr>
              <w:t>NM_011260.2</w:t>
            </w:r>
            <w:r>
              <w:rPr>
                <w:rFonts w:hint="default" w:ascii="Times New Roman" w:hAnsi="Times New Roman" w:eastAsia="Arial" w:cs="Times New Roman"/>
                <w:sz w:val="15"/>
                <w:szCs w:val="15"/>
                <w:shd w:val="clear" w:color="auto" w:fill="FFFFFF"/>
              </w:rPr>
              <w:fldChar w:fldCharType="end"/>
            </w:r>
          </w:p>
        </w:tc>
        <w:tc>
          <w:tcPr>
            <w:tcW w:w="336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F:ATGCTTCCCCGTATAACCATCA</w:t>
            </w:r>
          </w:p>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R:GGCCATATCTGCATCATACCAG</w:t>
            </w:r>
          </w:p>
        </w:tc>
        <w:tc>
          <w:tcPr>
            <w:tcW w:w="1200"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rPr>
                <w:rFonts w:hint="default" w:ascii="Times New Roman" w:hAnsi="Times New Roman" w:cs="Times New Roman"/>
                <w:sz w:val="15"/>
                <w:szCs w:val="15"/>
              </w:rPr>
            </w:pPr>
            <w:r>
              <w:rPr>
                <w:rFonts w:hint="default" w:ascii="Times New Roman" w:hAnsi="Times New Roman" w:cs="Times New Roman"/>
                <w:sz w:val="15"/>
                <w:szCs w:val="15"/>
              </w:rPr>
              <w:t>Reg3b</w:t>
            </w:r>
          </w:p>
        </w:tc>
        <w:tc>
          <w:tcPr>
            <w:tcW w:w="2921"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Arial" w:cs="Times New Roman"/>
                <w:sz w:val="15"/>
                <w:szCs w:val="15"/>
                <w:shd w:val="clear" w:color="auto" w:fill="FFFFFF"/>
              </w:rPr>
            </w:pPr>
            <w:r>
              <w:rPr>
                <w:rFonts w:hint="default" w:ascii="Times New Roman" w:hAnsi="Times New Roman" w:cs="Times New Roman"/>
                <w:sz w:val="15"/>
                <w:szCs w:val="15"/>
              </w:rPr>
              <w:fldChar w:fldCharType="begin"/>
            </w:r>
            <w:r>
              <w:rPr>
                <w:rFonts w:hint="default" w:ascii="Times New Roman" w:hAnsi="Times New Roman" w:cs="Times New Roman"/>
                <w:sz w:val="15"/>
                <w:szCs w:val="15"/>
              </w:rPr>
              <w:instrText xml:space="preserve"> HYPERLINK "https://www.ncbi.nlm.nih.gov/entrez/viewer.fcgi?db=nucleotide&amp;id=6754979" \t "https://www.ncbi.nlm.nih.gov/tools/primer-blast/new_entrez" </w:instrText>
            </w:r>
            <w:r>
              <w:rPr>
                <w:rFonts w:hint="default" w:ascii="Times New Roman" w:hAnsi="Times New Roman" w:cs="Times New Roman"/>
                <w:sz w:val="15"/>
                <w:szCs w:val="15"/>
              </w:rPr>
              <w:fldChar w:fldCharType="separate"/>
            </w:r>
            <w:r>
              <w:rPr>
                <w:rFonts w:hint="default" w:ascii="Times New Roman" w:hAnsi="Times New Roman" w:eastAsia="Arial" w:cs="Times New Roman"/>
                <w:sz w:val="15"/>
                <w:szCs w:val="15"/>
                <w:shd w:val="clear" w:color="auto" w:fill="FFFFFF"/>
              </w:rPr>
              <w:t>NM_011036.1</w:t>
            </w:r>
            <w:r>
              <w:rPr>
                <w:rFonts w:hint="default" w:ascii="Times New Roman" w:hAnsi="Times New Roman" w:eastAsia="Arial" w:cs="Times New Roman"/>
                <w:sz w:val="15"/>
                <w:szCs w:val="15"/>
                <w:shd w:val="clear" w:color="auto" w:fill="FFFFFF"/>
              </w:rPr>
              <w:fldChar w:fldCharType="end"/>
            </w:r>
          </w:p>
        </w:tc>
        <w:tc>
          <w:tcPr>
            <w:tcW w:w="3366"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F:ACTCCCTGAAGAATATACCCTCC</w:t>
            </w:r>
          </w:p>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R:CGCTATTGAGCACAGATACGAG</w:t>
            </w:r>
          </w:p>
        </w:tc>
        <w:tc>
          <w:tcPr>
            <w:tcW w:w="1200"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Borders>
              <w:top w:val="nil"/>
              <w:left w:val="nil"/>
              <w:bottom w:val="single" w:color="000000" w:sz="12" w:space="0"/>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rPr>
                <w:rFonts w:hint="default" w:ascii="Times New Roman" w:hAnsi="Times New Roman" w:cs="Times New Roman"/>
                <w:sz w:val="15"/>
                <w:szCs w:val="15"/>
              </w:rPr>
            </w:pPr>
            <w:r>
              <w:rPr>
                <w:rFonts w:hint="default" w:ascii="Times New Roman" w:hAnsi="Times New Roman" w:cs="Times New Roman"/>
                <w:sz w:val="15"/>
                <w:szCs w:val="15"/>
              </w:rPr>
              <w:t>Muc-2</w:t>
            </w:r>
          </w:p>
        </w:tc>
        <w:tc>
          <w:tcPr>
            <w:tcW w:w="2921" w:type="dxa"/>
            <w:tcBorders>
              <w:top w:val="nil"/>
              <w:left w:val="nil"/>
              <w:bottom w:val="single" w:color="000000" w:sz="12" w:space="0"/>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eastAsia="Arial" w:cs="Times New Roman"/>
                <w:sz w:val="15"/>
                <w:szCs w:val="15"/>
                <w:shd w:val="clear" w:color="auto" w:fill="FFFFFF"/>
              </w:rPr>
              <w:t>NC_000073.7</w:t>
            </w:r>
          </w:p>
        </w:tc>
        <w:tc>
          <w:tcPr>
            <w:tcW w:w="3366" w:type="dxa"/>
            <w:tcBorders>
              <w:top w:val="nil"/>
              <w:left w:val="nil"/>
              <w:bottom w:val="single" w:color="000000" w:sz="12" w:space="0"/>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F:AGGGCTCGGAACTCCAGAAA</w:t>
            </w:r>
          </w:p>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eastAsia="微软雅黑" w:cs="Times New Roman"/>
                <w:color w:val="222222"/>
                <w:sz w:val="15"/>
                <w:szCs w:val="15"/>
                <w:shd w:val="clear" w:color="auto" w:fill="FFFFFF"/>
              </w:rPr>
            </w:pPr>
            <w:r>
              <w:rPr>
                <w:rFonts w:hint="default" w:ascii="Times New Roman" w:hAnsi="Times New Roman" w:eastAsia="微软雅黑" w:cs="Times New Roman"/>
                <w:color w:val="222222"/>
                <w:sz w:val="15"/>
                <w:szCs w:val="15"/>
                <w:shd w:val="clear" w:color="auto" w:fill="FFFFFF"/>
              </w:rPr>
              <w:t>R:CCAGGGAATCGGTAGACATCG</w:t>
            </w:r>
          </w:p>
        </w:tc>
        <w:tc>
          <w:tcPr>
            <w:tcW w:w="1200" w:type="dxa"/>
            <w:tcBorders>
              <w:top w:val="nil"/>
              <w:left w:val="nil"/>
              <w:bottom w:val="single" w:color="000000" w:sz="12" w:space="0"/>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480" w:lineRule="auto"/>
              <w:ind w:left="-105" w:leftChars="-50"/>
              <w:jc w:val="center"/>
              <w:textAlignment w:val="center"/>
              <w:rPr>
                <w:rFonts w:hint="default" w:ascii="Times New Roman" w:hAnsi="Times New Roman" w:cs="Times New Roman"/>
                <w:sz w:val="15"/>
                <w:szCs w:val="15"/>
              </w:rPr>
            </w:pPr>
            <w:r>
              <w:rPr>
                <w:rFonts w:hint="default" w:ascii="Times New Roman" w:hAnsi="Times New Roman" w:cs="Times New Roman"/>
                <w:sz w:val="15"/>
                <w:szCs w:val="15"/>
              </w:rPr>
              <w:t>106</w:t>
            </w:r>
          </w:p>
        </w:tc>
      </w:tr>
    </w:tbl>
    <w:p>
      <w:pPr>
        <w:keepNext w:val="0"/>
        <w:keepLines w:val="0"/>
        <w:pageBreakBefore w:val="0"/>
        <w:widowControl w:val="0"/>
        <w:kinsoku/>
        <w:wordWrap/>
        <w:overflowPunct/>
        <w:topLinePunct w:val="0"/>
        <w:autoSpaceDE/>
        <w:autoSpaceDN/>
        <w:bidi w:val="0"/>
        <w:adjustRightInd/>
        <w:spacing w:beforeLines="0" w:afterLines="0" w:line="480" w:lineRule="auto"/>
        <w:jc w:val="left"/>
        <w:rPr>
          <w:rFonts w:ascii="Times New Roman" w:hAnsi="Times New Roman"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eastAsia="宋体"/>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zMDIwZmEwOGM4ZjE2MjY4NjUwOTI3ZWI5YWNiNTUifQ=="/>
  </w:docVars>
  <w:rsids>
    <w:rsidRoot w:val="00000000"/>
    <w:rsid w:val="1A541EA3"/>
    <w:rsid w:val="22E744D4"/>
    <w:rsid w:val="2F764966"/>
    <w:rsid w:val="4A2E677A"/>
    <w:rsid w:val="53F4158A"/>
    <w:rsid w:val="572C4165"/>
    <w:rsid w:val="596E3674"/>
    <w:rsid w:val="5D990CE7"/>
    <w:rsid w:val="65E5520F"/>
    <w:rsid w:val="77E11E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asus</dc:creator>
  <cp:lastModifiedBy>Re</cp:lastModifiedBy>
  <dcterms:modified xsi:type="dcterms:W3CDTF">2023-11-18T01:35:44Z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ABE4D7E1E8AF4C3FAC104AA451A46FFE_13</vt:lpwstr>
  </property>
</Properties>
</file>