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2600E2" w:rsidRPr="002600E2" w:rsidRDefault="002600E2" w:rsidP="002600E2">
      <w:pPr>
        <w:spacing w:line="276" w:lineRule="auto"/>
        <w:rPr>
          <w:rFonts w:ascii="Times New Roman" w:hAnsi="Times New Roman" w:cs="Times New Roman"/>
          <w:b/>
          <w:bCs/>
          <w:color w:val="000000"/>
          <w:sz w:val="24"/>
          <w:szCs w:val="24"/>
          <w:shd w:val="clear" w:color="auto" w:fill="FFFFFF"/>
          <w:lang w:val="en-US" w:eastAsia="zh-CN"/>
        </w:rPr>
      </w:pPr>
      <w:r w:rsidRPr="002600E2">
        <w:rPr>
          <w:rFonts w:ascii="Times New Roman" w:hAnsi="Times New Roman" w:cs="Times New Roman"/>
          <w:b/>
          <w:bCs/>
          <w:color w:val="000000"/>
          <w:sz w:val="24"/>
          <w:szCs w:val="24"/>
          <w:shd w:val="clear" w:color="auto" w:fill="FFFFFF"/>
          <w:lang w:val="en-US" w:eastAsia="zh-CN"/>
        </w:rPr>
        <w:t xml:space="preserve">Supplement to </w:t>
      </w:r>
      <w:r w:rsidRPr="002600E2">
        <w:rPr>
          <w:rFonts w:ascii="Times New Roman" w:hAnsi="Times New Roman" w:cs="Times New Roman"/>
          <w:b/>
          <w:bCs/>
          <w:color w:val="000000"/>
          <w:sz w:val="24"/>
          <w:szCs w:val="24"/>
          <w:shd w:val="clear" w:color="auto" w:fill="FFFFFF"/>
          <w:lang w:val="en-US" w:eastAsia="zh-CN"/>
        </w:rPr>
        <w:t>Material and methods</w:t>
      </w:r>
      <w:r w:rsidR="009830E7">
        <w:rPr>
          <w:rFonts w:ascii="Times New Roman" w:hAnsi="Times New Roman" w:cs="Times New Roman"/>
          <w:b/>
          <w:bCs/>
          <w:color w:val="000000"/>
          <w:sz w:val="24"/>
          <w:szCs w:val="24"/>
          <w:shd w:val="clear" w:color="auto" w:fill="FFFFFF"/>
          <w:lang w:val="en-US" w:eastAsia="zh-CN"/>
        </w:rPr>
        <w:t xml:space="preserve"> Nissen et al</w:t>
      </w:r>
    </w:p>
    <w:p w:rsidR="002600E2" w:rsidRPr="002600E2" w:rsidRDefault="002600E2" w:rsidP="002600E2">
      <w:pPr>
        <w:spacing w:line="276" w:lineRule="auto"/>
        <w:rPr>
          <w:rFonts w:ascii="Times New Roman" w:hAnsi="Times New Roman" w:cs="Times New Roman"/>
          <w:b/>
          <w:bCs/>
          <w:color w:val="000000"/>
          <w:sz w:val="24"/>
          <w:szCs w:val="24"/>
          <w:shd w:val="clear" w:color="auto" w:fill="FFFFFF"/>
          <w:lang w:val="en-US" w:eastAsia="zh-CN"/>
        </w:rPr>
      </w:pPr>
      <w:r w:rsidRPr="002600E2">
        <w:rPr>
          <w:rFonts w:ascii="Times New Roman" w:hAnsi="Times New Roman" w:cs="Times New Roman"/>
          <w:b/>
          <w:bCs/>
          <w:color w:val="000000"/>
          <w:sz w:val="24"/>
          <w:szCs w:val="24"/>
          <w:shd w:val="clear" w:color="auto" w:fill="FFFFFF"/>
          <w:lang w:val="en-US" w:eastAsia="zh-CN"/>
        </w:rPr>
        <w:t>Cell cultures examined for CPE</w:t>
      </w:r>
    </w:p>
    <w:p w:rsidR="002600E2" w:rsidRPr="002600E2" w:rsidRDefault="002600E2" w:rsidP="002600E2">
      <w:pPr>
        <w:spacing w:line="276" w:lineRule="auto"/>
        <w:jc w:val="both"/>
        <w:rPr>
          <w:rFonts w:ascii="Times New Roman" w:hAnsi="Times New Roman" w:cs="Times New Roman"/>
          <w:color w:val="000000"/>
          <w:sz w:val="24"/>
          <w:szCs w:val="24"/>
          <w:shd w:val="clear" w:color="auto" w:fill="FFFFFF"/>
          <w:lang w:val="en-US" w:eastAsia="zh-CN"/>
        </w:rPr>
      </w:pPr>
      <w:r w:rsidRPr="002600E2">
        <w:rPr>
          <w:rFonts w:ascii="Times New Roman" w:hAnsi="Times New Roman" w:cs="Times New Roman"/>
          <w:color w:val="000000"/>
          <w:sz w:val="24"/>
          <w:szCs w:val="24"/>
          <w:shd w:val="clear" w:color="auto" w:fill="FFFFFF"/>
          <w:lang w:val="en-US" w:eastAsia="zh-CN"/>
        </w:rPr>
        <w:t>The virus was isolated from two samples collected 72h and 24h prior to onset of symptoms as follows.Vero-E6 cells grown in DMEM (Gibco, 41966) supplemented with 10 % FBS (Gibco, USA) and 1x Penicillin-Streptomycin (Sigma-Aldrich, PA333) were harvested, resuspended in the same cell media and seeded into a 6-wells plate at a cell density of 6x10</w:t>
      </w:r>
      <w:r w:rsidRPr="002600E2">
        <w:rPr>
          <w:rFonts w:ascii="Times New Roman" w:hAnsi="Times New Roman" w:cs="Times New Roman"/>
          <w:color w:val="000000"/>
          <w:sz w:val="24"/>
          <w:szCs w:val="24"/>
          <w:shd w:val="clear" w:color="auto" w:fill="FFFFFF"/>
          <w:vertAlign w:val="superscript"/>
          <w:lang w:val="en-US" w:eastAsia="zh-CN"/>
        </w:rPr>
        <w:t>5</w:t>
      </w:r>
      <w:r w:rsidRPr="002600E2">
        <w:rPr>
          <w:rFonts w:ascii="Times New Roman" w:hAnsi="Times New Roman" w:cs="Times New Roman"/>
          <w:color w:val="000000"/>
          <w:sz w:val="24"/>
          <w:szCs w:val="24"/>
          <w:shd w:val="clear" w:color="auto" w:fill="FFFFFF"/>
          <w:lang w:val="en-US" w:eastAsia="zh-CN"/>
        </w:rPr>
        <w:t xml:space="preserve">/well (final volume 2ml/well). After 24h incubation (37°C, 5% CO2) the cell media was substituted with 2ml of DMEM supplemented with 2% FBS, 1x Penicillin-Streptomycin. 600µl of media from the two samples were used to inoculate two different wells (a well for each sample). Infected cells were checked at 24, 48,72, and 96 hours post infection for cytopathic effect and compared to uninfected controls. A total of 50 </w:t>
      </w:r>
      <w:r w:rsidRPr="002600E2">
        <w:rPr>
          <w:rFonts w:ascii="Times New Roman" w:hAnsi="Times New Roman" w:cs="Times New Roman"/>
          <w:color w:val="000000"/>
          <w:sz w:val="24"/>
          <w:szCs w:val="24"/>
          <w:shd w:val="clear" w:color="auto" w:fill="FFFFFF"/>
          <w:lang w:eastAsia="zh-CN"/>
        </w:rPr>
        <w:t>μ</w:t>
      </w:r>
      <w:r w:rsidRPr="002600E2">
        <w:rPr>
          <w:rFonts w:ascii="Times New Roman" w:hAnsi="Times New Roman" w:cs="Times New Roman"/>
          <w:color w:val="000000"/>
          <w:sz w:val="24"/>
          <w:szCs w:val="24"/>
          <w:shd w:val="clear" w:color="auto" w:fill="FFFFFF"/>
          <w:lang w:val="en-US" w:eastAsia="zh-CN"/>
        </w:rPr>
        <w:t xml:space="preserve">l of supernatant from each well at 48 </w:t>
      </w:r>
      <w:proofErr w:type="spellStart"/>
      <w:r w:rsidRPr="002600E2">
        <w:rPr>
          <w:rFonts w:ascii="Times New Roman" w:hAnsi="Times New Roman" w:cs="Times New Roman"/>
          <w:color w:val="000000"/>
          <w:sz w:val="24"/>
          <w:szCs w:val="24"/>
          <w:shd w:val="clear" w:color="auto" w:fill="FFFFFF"/>
          <w:lang w:val="en-US" w:eastAsia="zh-CN"/>
        </w:rPr>
        <w:t>hpi</w:t>
      </w:r>
      <w:proofErr w:type="spellEnd"/>
      <w:r w:rsidRPr="002600E2">
        <w:rPr>
          <w:rFonts w:ascii="Times New Roman" w:hAnsi="Times New Roman" w:cs="Times New Roman"/>
          <w:color w:val="000000"/>
          <w:sz w:val="24"/>
          <w:szCs w:val="24"/>
          <w:shd w:val="clear" w:color="auto" w:fill="FFFFFF"/>
          <w:lang w:val="en-US" w:eastAsia="zh-CN"/>
        </w:rPr>
        <w:t xml:space="preserve">, 72 </w:t>
      </w:r>
      <w:proofErr w:type="spellStart"/>
      <w:r w:rsidRPr="002600E2">
        <w:rPr>
          <w:rFonts w:ascii="Times New Roman" w:hAnsi="Times New Roman" w:cs="Times New Roman"/>
          <w:color w:val="000000"/>
          <w:sz w:val="24"/>
          <w:szCs w:val="24"/>
          <w:shd w:val="clear" w:color="auto" w:fill="FFFFFF"/>
          <w:lang w:val="en-US" w:eastAsia="zh-CN"/>
        </w:rPr>
        <w:t>hpi</w:t>
      </w:r>
      <w:proofErr w:type="spellEnd"/>
      <w:r w:rsidRPr="002600E2">
        <w:rPr>
          <w:rFonts w:ascii="Times New Roman" w:hAnsi="Times New Roman" w:cs="Times New Roman"/>
          <w:color w:val="000000"/>
          <w:sz w:val="24"/>
          <w:szCs w:val="24"/>
          <w:shd w:val="clear" w:color="auto" w:fill="FFFFFF"/>
          <w:lang w:val="en-US" w:eastAsia="zh-CN"/>
        </w:rPr>
        <w:t xml:space="preserve"> and 96 </w:t>
      </w:r>
      <w:proofErr w:type="spellStart"/>
      <w:r w:rsidRPr="002600E2">
        <w:rPr>
          <w:rFonts w:ascii="Times New Roman" w:hAnsi="Times New Roman" w:cs="Times New Roman"/>
          <w:color w:val="000000"/>
          <w:sz w:val="24"/>
          <w:szCs w:val="24"/>
          <w:shd w:val="clear" w:color="auto" w:fill="FFFFFF"/>
          <w:lang w:val="en-US" w:eastAsia="zh-CN"/>
        </w:rPr>
        <w:t>hpi</w:t>
      </w:r>
      <w:proofErr w:type="spellEnd"/>
      <w:r w:rsidRPr="002600E2">
        <w:rPr>
          <w:rFonts w:ascii="Times New Roman" w:hAnsi="Times New Roman" w:cs="Times New Roman"/>
          <w:color w:val="000000"/>
          <w:sz w:val="24"/>
          <w:szCs w:val="24"/>
          <w:shd w:val="clear" w:color="auto" w:fill="FFFFFF"/>
          <w:lang w:val="en-US" w:eastAsia="zh-CN"/>
        </w:rPr>
        <w:t xml:space="preserve"> were collected for real-time RT-PCR detection. All procedures involving live virus were performed in a biosafety level 3 (BSL-3) laboratory.</w:t>
      </w:r>
    </w:p>
    <w:p w:rsidR="002600E2" w:rsidRPr="002600E2" w:rsidRDefault="002600E2" w:rsidP="002600E2">
      <w:pPr>
        <w:spacing w:line="276" w:lineRule="auto"/>
        <w:rPr>
          <w:rFonts w:ascii="Times New Roman" w:hAnsi="Times New Roman" w:cs="Times New Roman"/>
          <w:sz w:val="24"/>
          <w:szCs w:val="24"/>
          <w:lang w:val="en-US"/>
        </w:rPr>
      </w:pPr>
      <w:r w:rsidRPr="002600E2">
        <w:rPr>
          <w:rFonts w:ascii="Times New Roman" w:hAnsi="Times New Roman" w:cs="Times New Roman"/>
          <w:sz w:val="24"/>
          <w:szCs w:val="24"/>
          <w:lang w:val="en-US"/>
        </w:rPr>
        <w:t xml:space="preserve">Virus isolation was attempted to assess the presence of live SARS-CoV-2 virus in the nasopharyngeal samples acquired 72 and 48 hours before the patient developed symptoms. </w:t>
      </w:r>
    </w:p>
    <w:p w:rsidR="002600E2" w:rsidRPr="002600E2" w:rsidRDefault="002600E2" w:rsidP="002600E2">
      <w:pPr>
        <w:spacing w:line="276" w:lineRule="auto"/>
        <w:rPr>
          <w:rFonts w:ascii="Times New Roman" w:hAnsi="Times New Roman" w:cs="Times New Roman"/>
          <w:sz w:val="24"/>
          <w:szCs w:val="24"/>
          <w:lang w:val="en-US"/>
        </w:rPr>
      </w:pPr>
      <w:r w:rsidRPr="002600E2">
        <w:rPr>
          <w:rFonts w:ascii="Times New Roman" w:hAnsi="Times New Roman" w:cs="Times New Roman"/>
          <w:sz w:val="24"/>
          <w:szCs w:val="24"/>
          <w:lang w:val="en-US"/>
        </w:rPr>
        <w:t xml:space="preserve">Vero-E6 cells seeded into a 6-wells plate were inoculated with </w:t>
      </w:r>
      <w:r w:rsidRPr="002600E2">
        <w:rPr>
          <w:rFonts w:ascii="Times New Roman" w:hAnsi="Times New Roman" w:cs="Times New Roman"/>
          <w:color w:val="000000"/>
          <w:sz w:val="24"/>
          <w:szCs w:val="24"/>
          <w:shd w:val="clear" w:color="auto" w:fill="FFFFFF"/>
          <w:lang w:val="en-US" w:eastAsia="zh-CN"/>
        </w:rPr>
        <w:t xml:space="preserve">600µl of sample media in which the </w:t>
      </w:r>
      <w:r w:rsidRPr="002600E2">
        <w:rPr>
          <w:rFonts w:ascii="Times New Roman" w:hAnsi="Times New Roman" w:cs="Times New Roman"/>
          <w:sz w:val="24"/>
          <w:szCs w:val="24"/>
          <w:lang w:val="en-US"/>
        </w:rPr>
        <w:t xml:space="preserve">nasopharyngeal were kept and the development of cytopathic effected (CPE) was monitored at 24 hours intervals for up to four days. </w:t>
      </w:r>
    </w:p>
    <w:p w:rsidR="002600E2" w:rsidRPr="002600E2" w:rsidRDefault="002600E2" w:rsidP="002600E2">
      <w:pPr>
        <w:spacing w:line="276" w:lineRule="auto"/>
        <w:rPr>
          <w:rFonts w:ascii="Times New Roman" w:hAnsi="Times New Roman" w:cs="Times New Roman"/>
          <w:sz w:val="24"/>
          <w:szCs w:val="24"/>
          <w:lang w:val="en-US"/>
        </w:rPr>
      </w:pPr>
      <w:r w:rsidRPr="002600E2">
        <w:rPr>
          <w:rFonts w:ascii="Times New Roman" w:hAnsi="Times New Roman" w:cs="Times New Roman"/>
          <w:sz w:val="24"/>
          <w:szCs w:val="24"/>
          <w:lang w:val="en-US"/>
        </w:rPr>
        <w:t>Cells inoculated with the sample taken 72 hours prior to patient onset of symptoms developed evident CPE 48 hours post infection (PI) (Figure 1A). More than 70% of the cell monolayer displayed CPE after 72 hours PI (Figure 1B) at which point the cell supernatant was harvested. Same results could be replicated by transferring 200</w:t>
      </w:r>
      <w:r w:rsidRPr="002600E2">
        <w:rPr>
          <w:rFonts w:ascii="Times New Roman" w:hAnsi="Times New Roman" w:cs="Times New Roman"/>
          <w:color w:val="000000"/>
          <w:sz w:val="24"/>
          <w:szCs w:val="24"/>
          <w:shd w:val="clear" w:color="auto" w:fill="FFFFFF"/>
          <w:lang w:val="en-US" w:eastAsia="zh-CN"/>
        </w:rPr>
        <w:t>µl of supernatant collected 72 hours PI into a T-25 flask containing 70% confluent Vero-E6 cells.</w:t>
      </w:r>
    </w:p>
    <w:p w:rsidR="002600E2" w:rsidRPr="002600E2" w:rsidRDefault="002600E2" w:rsidP="002600E2">
      <w:pPr>
        <w:spacing w:line="276" w:lineRule="auto"/>
        <w:rPr>
          <w:rFonts w:ascii="Times New Roman" w:hAnsi="Times New Roman" w:cs="Times New Roman"/>
          <w:sz w:val="24"/>
          <w:szCs w:val="24"/>
          <w:lang w:val="en-US"/>
        </w:rPr>
      </w:pPr>
      <w:r w:rsidRPr="002600E2">
        <w:rPr>
          <w:rFonts w:ascii="Times New Roman" w:hAnsi="Times New Roman" w:cs="Times New Roman"/>
          <w:sz w:val="24"/>
          <w:szCs w:val="24"/>
          <w:lang w:val="en-US"/>
        </w:rPr>
        <w:t xml:space="preserve">The cells inoculated with the sample collected 48 hours prior to onset of symptoms displayed </w:t>
      </w:r>
      <w:proofErr w:type="gramStart"/>
      <w:r w:rsidRPr="002600E2">
        <w:rPr>
          <w:rFonts w:ascii="Times New Roman" w:hAnsi="Times New Roman" w:cs="Times New Roman"/>
          <w:sz w:val="24"/>
          <w:szCs w:val="24"/>
          <w:lang w:val="en-US"/>
        </w:rPr>
        <w:t>a 24 hours</w:t>
      </w:r>
      <w:proofErr w:type="gramEnd"/>
      <w:r w:rsidRPr="002600E2">
        <w:rPr>
          <w:rFonts w:ascii="Times New Roman" w:hAnsi="Times New Roman" w:cs="Times New Roman"/>
          <w:sz w:val="24"/>
          <w:szCs w:val="24"/>
          <w:lang w:val="en-US"/>
        </w:rPr>
        <w:t xml:space="preserve"> delay with development of evident CPE at 72 hours PI and extended cell monolayer damage/death 96 hours post infection at which point the supernatant was harvested and the experiment concluded.</w:t>
      </w:r>
    </w:p>
    <w:p w:rsidR="002600E2" w:rsidRPr="002600E2" w:rsidRDefault="002600E2" w:rsidP="002600E2">
      <w:pPr>
        <w:spacing w:line="276" w:lineRule="auto"/>
        <w:rPr>
          <w:rFonts w:ascii="Times New Roman" w:hAnsi="Times New Roman" w:cs="Times New Roman"/>
          <w:sz w:val="24"/>
          <w:szCs w:val="24"/>
          <w:lang w:val="en-US"/>
        </w:rPr>
      </w:pPr>
      <w:r w:rsidRPr="002600E2">
        <w:rPr>
          <w:rFonts w:ascii="Times New Roman" w:hAnsi="Times New Roman" w:cs="Times New Roman"/>
          <w:sz w:val="24"/>
          <w:szCs w:val="24"/>
          <w:lang w:val="en-US"/>
        </w:rPr>
        <w:t xml:space="preserve">No CPE was observed in two uninfected control wells throughout the experiment duration (Figure 1C).  </w:t>
      </w:r>
    </w:p>
    <w:p w:rsidR="002600E2" w:rsidRPr="002600E2" w:rsidRDefault="002600E2" w:rsidP="002600E2">
      <w:pPr>
        <w:spacing w:line="276" w:lineRule="auto"/>
        <w:rPr>
          <w:rFonts w:ascii="Times New Roman" w:hAnsi="Times New Roman" w:cs="Times New Roman"/>
          <w:sz w:val="24"/>
          <w:szCs w:val="24"/>
          <w:lang w:val="en-US"/>
        </w:rPr>
      </w:pPr>
      <w:r w:rsidRPr="002600E2">
        <w:rPr>
          <w:rFonts w:ascii="Times New Roman" w:hAnsi="Times New Roman" w:cs="Times New Roman"/>
          <w:sz w:val="24"/>
          <w:szCs w:val="24"/>
          <w:lang w:val="en-US"/>
        </w:rPr>
        <w:t xml:space="preserve">Infection kinetic was followed by RT-qPCR performed on supernatant collected at 24, 48, </w:t>
      </w:r>
      <w:proofErr w:type="gramStart"/>
      <w:r w:rsidRPr="002600E2">
        <w:rPr>
          <w:rFonts w:ascii="Times New Roman" w:hAnsi="Times New Roman" w:cs="Times New Roman"/>
          <w:sz w:val="24"/>
          <w:szCs w:val="24"/>
          <w:lang w:val="en-US"/>
        </w:rPr>
        <w:t>72 and 96 hours</w:t>
      </w:r>
      <w:proofErr w:type="gramEnd"/>
      <w:r w:rsidRPr="002600E2">
        <w:rPr>
          <w:rFonts w:ascii="Times New Roman" w:hAnsi="Times New Roman" w:cs="Times New Roman"/>
          <w:sz w:val="24"/>
          <w:szCs w:val="24"/>
          <w:lang w:val="en-US"/>
        </w:rPr>
        <w:t xml:space="preserve"> PI time points.</w:t>
      </w:r>
    </w:p>
    <w:p w:rsidR="002600E2" w:rsidRPr="002600E2" w:rsidRDefault="002600E2" w:rsidP="002600E2">
      <w:pPr>
        <w:spacing w:line="276" w:lineRule="auto"/>
        <w:rPr>
          <w:rFonts w:ascii="Times New Roman" w:hAnsi="Times New Roman" w:cs="Times New Roman"/>
          <w:b/>
          <w:sz w:val="24"/>
          <w:szCs w:val="24"/>
          <w:lang w:val="en-US"/>
        </w:rPr>
      </w:pPr>
      <w:r w:rsidRPr="002600E2">
        <w:rPr>
          <w:rFonts w:ascii="Times New Roman" w:hAnsi="Times New Roman" w:cs="Times New Roman"/>
          <w:b/>
          <w:sz w:val="24"/>
          <w:szCs w:val="24"/>
          <w:lang w:val="en-US"/>
        </w:rPr>
        <w:t>Cell culture</w:t>
      </w:r>
      <w:r w:rsidRPr="002600E2">
        <w:rPr>
          <w:rFonts w:ascii="Times New Roman" w:hAnsi="Times New Roman" w:cs="Times New Roman"/>
          <w:b/>
          <w:sz w:val="24"/>
          <w:szCs w:val="24"/>
          <w:lang w:val="en-US"/>
        </w:rPr>
        <w:t xml:space="preserve"> examined by immunofluorescen</w:t>
      </w:r>
      <w:r w:rsidR="005F5089">
        <w:rPr>
          <w:rFonts w:ascii="Times New Roman" w:hAnsi="Times New Roman" w:cs="Times New Roman"/>
          <w:b/>
          <w:sz w:val="24"/>
          <w:szCs w:val="24"/>
          <w:lang w:val="en-US"/>
        </w:rPr>
        <w:t>ce</w:t>
      </w:r>
      <w:bookmarkStart w:id="0" w:name="_GoBack"/>
      <w:bookmarkEnd w:id="0"/>
    </w:p>
    <w:p w:rsidR="002600E2" w:rsidRPr="002600E2" w:rsidRDefault="002600E2" w:rsidP="002600E2">
      <w:pPr>
        <w:spacing w:line="276" w:lineRule="auto"/>
        <w:rPr>
          <w:rFonts w:ascii="Times New Roman" w:hAnsi="Times New Roman" w:cs="Times New Roman"/>
          <w:sz w:val="24"/>
          <w:szCs w:val="24"/>
          <w:lang w:val="en-US"/>
        </w:rPr>
      </w:pPr>
      <w:r w:rsidRPr="002600E2">
        <w:rPr>
          <w:rFonts w:ascii="Times New Roman" w:hAnsi="Times New Roman" w:cs="Times New Roman"/>
          <w:sz w:val="24"/>
          <w:szCs w:val="24"/>
          <w:lang w:val="en-US"/>
        </w:rPr>
        <w:t>Vero E6 cells, green monkey kidney cells (ATCC® CRL-1586™) were cultured at 37°C and 5% CO2, in Dulbecco´s Modified Eagle´s Medium (DMEM) (Gibco, Code: 13345364), supplemented with 10% fetal bovine serum (FBS) (Gibco, Code: 11550356) and gentamycin (100</w:t>
      </w:r>
      <w:r w:rsidRPr="002600E2">
        <w:rPr>
          <w:rFonts w:ascii="Times New Roman" w:hAnsi="Times New Roman" w:cs="Times New Roman"/>
          <w:sz w:val="24"/>
          <w:szCs w:val="24"/>
        </w:rPr>
        <w:t>μ</w:t>
      </w:r>
      <w:r w:rsidRPr="002600E2">
        <w:rPr>
          <w:rFonts w:ascii="Times New Roman" w:hAnsi="Times New Roman" w:cs="Times New Roman"/>
          <w:sz w:val="24"/>
          <w:szCs w:val="24"/>
          <w:lang w:val="en-US"/>
        </w:rPr>
        <w:t>g/mL).</w:t>
      </w:r>
    </w:p>
    <w:p w:rsidR="002600E2" w:rsidRDefault="002600E2" w:rsidP="002600E2">
      <w:pPr>
        <w:spacing w:line="276" w:lineRule="auto"/>
        <w:rPr>
          <w:rFonts w:ascii="Times New Roman" w:hAnsi="Times New Roman" w:cs="Times New Roman"/>
          <w:b/>
          <w:sz w:val="24"/>
          <w:szCs w:val="24"/>
          <w:lang w:val="en-US"/>
        </w:rPr>
      </w:pPr>
    </w:p>
    <w:p w:rsidR="002600E2" w:rsidRDefault="002600E2" w:rsidP="002600E2">
      <w:pPr>
        <w:spacing w:line="276" w:lineRule="auto"/>
        <w:rPr>
          <w:rFonts w:ascii="Times New Roman" w:hAnsi="Times New Roman" w:cs="Times New Roman"/>
          <w:b/>
          <w:sz w:val="24"/>
          <w:szCs w:val="24"/>
          <w:lang w:val="en-US"/>
        </w:rPr>
      </w:pPr>
    </w:p>
    <w:p w:rsidR="002600E2" w:rsidRDefault="002600E2" w:rsidP="002600E2">
      <w:pPr>
        <w:spacing w:line="276" w:lineRule="auto"/>
        <w:rPr>
          <w:rFonts w:ascii="Times New Roman" w:hAnsi="Times New Roman" w:cs="Times New Roman"/>
          <w:b/>
          <w:sz w:val="24"/>
          <w:szCs w:val="24"/>
          <w:lang w:val="en-US"/>
        </w:rPr>
      </w:pPr>
      <w:r w:rsidRPr="002600E2">
        <w:rPr>
          <w:rFonts w:ascii="Times New Roman" w:hAnsi="Times New Roman" w:cs="Times New Roman"/>
          <w:b/>
          <w:sz w:val="24"/>
          <w:szCs w:val="24"/>
          <w:lang w:val="en-US"/>
        </w:rPr>
        <w:lastRenderedPageBreak/>
        <w:t xml:space="preserve">Infection of </w:t>
      </w:r>
      <w:r w:rsidR="00C8530A">
        <w:rPr>
          <w:rFonts w:ascii="Times New Roman" w:hAnsi="Times New Roman" w:cs="Times New Roman"/>
          <w:b/>
          <w:sz w:val="24"/>
          <w:szCs w:val="24"/>
          <w:lang w:val="en-US"/>
        </w:rPr>
        <w:t>V</w:t>
      </w:r>
      <w:r w:rsidRPr="002600E2">
        <w:rPr>
          <w:rFonts w:ascii="Times New Roman" w:hAnsi="Times New Roman" w:cs="Times New Roman"/>
          <w:b/>
          <w:sz w:val="24"/>
          <w:szCs w:val="24"/>
          <w:lang w:val="en-US"/>
        </w:rPr>
        <w:t>ero</w:t>
      </w:r>
      <w:r w:rsidR="00C8530A">
        <w:rPr>
          <w:rFonts w:ascii="Times New Roman" w:hAnsi="Times New Roman" w:cs="Times New Roman"/>
          <w:b/>
          <w:sz w:val="24"/>
          <w:szCs w:val="24"/>
          <w:lang w:val="en-US"/>
        </w:rPr>
        <w:t xml:space="preserve"> </w:t>
      </w:r>
      <w:r w:rsidRPr="002600E2">
        <w:rPr>
          <w:rFonts w:ascii="Times New Roman" w:hAnsi="Times New Roman" w:cs="Times New Roman"/>
          <w:b/>
          <w:sz w:val="24"/>
          <w:szCs w:val="24"/>
          <w:lang w:val="en-US"/>
        </w:rPr>
        <w:t>E6 cells</w:t>
      </w:r>
    </w:p>
    <w:p w:rsidR="002600E2" w:rsidRPr="002600E2" w:rsidRDefault="002600E2" w:rsidP="002600E2">
      <w:pPr>
        <w:spacing w:line="276" w:lineRule="auto"/>
        <w:rPr>
          <w:rFonts w:ascii="Times New Roman" w:hAnsi="Times New Roman" w:cs="Times New Roman"/>
          <w:b/>
          <w:sz w:val="24"/>
          <w:szCs w:val="24"/>
          <w:lang w:val="en-US"/>
        </w:rPr>
      </w:pPr>
      <w:r w:rsidRPr="002600E2">
        <w:rPr>
          <w:rFonts w:ascii="Times New Roman" w:hAnsi="Times New Roman" w:cs="Times New Roman"/>
          <w:color w:val="000000" w:themeColor="text1"/>
          <w:sz w:val="24"/>
          <w:szCs w:val="24"/>
          <w:lang w:val="en-US"/>
        </w:rPr>
        <w:t>For determination of viral replication by PCR, Vero E6 cells grown in T25 culture flasks with confluency of 90-100% were used for infection. The cells were washed twice with serum-free DMEM and infected with 150</w:t>
      </w:r>
      <w:r w:rsidRPr="002600E2">
        <w:rPr>
          <w:rFonts w:ascii="Times New Roman" w:hAnsi="Times New Roman" w:cs="Times New Roman"/>
          <w:color w:val="000000" w:themeColor="text1"/>
          <w:sz w:val="24"/>
          <w:szCs w:val="24"/>
        </w:rPr>
        <w:t>μ</w:t>
      </w:r>
      <w:r w:rsidRPr="002600E2">
        <w:rPr>
          <w:rFonts w:ascii="Times New Roman" w:hAnsi="Times New Roman" w:cs="Times New Roman"/>
          <w:color w:val="000000" w:themeColor="text1"/>
          <w:sz w:val="24"/>
          <w:szCs w:val="24"/>
          <w:lang w:val="en-US"/>
        </w:rPr>
        <w:t>l of patient sample containing 4.71</w:t>
      </w:r>
      <w:r w:rsidRPr="002600E2">
        <w:rPr>
          <w:rFonts w:ascii="Times New Roman" w:eastAsia="MS Gothic" w:hAnsi="Times New Roman" w:cs="Times New Roman"/>
          <w:color w:val="000000" w:themeColor="text1"/>
          <w:sz w:val="24"/>
          <w:szCs w:val="24"/>
          <w:lang w:val="en-US"/>
        </w:rPr>
        <w:t>×</w:t>
      </w:r>
      <w:r w:rsidRPr="002600E2">
        <w:rPr>
          <w:rFonts w:ascii="Times New Roman" w:hAnsi="Times New Roman" w:cs="Times New Roman"/>
          <w:color w:val="000000" w:themeColor="text1"/>
          <w:sz w:val="24"/>
          <w:szCs w:val="24"/>
          <w:lang w:val="en-US"/>
        </w:rPr>
        <w:t>10</w:t>
      </w:r>
      <w:r w:rsidRPr="002600E2">
        <w:rPr>
          <w:rFonts w:ascii="Times New Roman" w:hAnsi="Times New Roman" w:cs="Times New Roman"/>
          <w:color w:val="000000" w:themeColor="text1"/>
          <w:sz w:val="24"/>
          <w:szCs w:val="24"/>
          <w:vertAlign w:val="superscript"/>
          <w:lang w:val="en-US"/>
        </w:rPr>
        <w:t>6</w:t>
      </w:r>
      <w:r w:rsidRPr="002600E2">
        <w:rPr>
          <w:rFonts w:ascii="Times New Roman" w:hAnsi="Times New Roman" w:cs="Times New Roman"/>
          <w:color w:val="000000" w:themeColor="text1"/>
          <w:sz w:val="24"/>
          <w:szCs w:val="24"/>
          <w:lang w:val="en-US"/>
        </w:rPr>
        <w:t xml:space="preserve"> and 9.18</w:t>
      </w:r>
      <w:r w:rsidRPr="002600E2">
        <w:rPr>
          <w:rFonts w:ascii="Times New Roman" w:eastAsia="MS Gothic" w:hAnsi="Times New Roman" w:cs="Times New Roman"/>
          <w:color w:val="000000" w:themeColor="text1"/>
          <w:sz w:val="24"/>
          <w:szCs w:val="24"/>
          <w:lang w:val="en-US"/>
        </w:rPr>
        <w:t>×</w:t>
      </w:r>
      <w:r w:rsidRPr="002600E2">
        <w:rPr>
          <w:rFonts w:ascii="Times New Roman" w:hAnsi="Times New Roman" w:cs="Times New Roman"/>
          <w:color w:val="000000" w:themeColor="text1"/>
          <w:sz w:val="24"/>
          <w:szCs w:val="24"/>
          <w:lang w:val="en-US"/>
        </w:rPr>
        <w:t>10</w:t>
      </w:r>
      <w:r w:rsidRPr="002600E2">
        <w:rPr>
          <w:rFonts w:ascii="Times New Roman" w:hAnsi="Times New Roman" w:cs="Times New Roman"/>
          <w:color w:val="000000" w:themeColor="text1"/>
          <w:sz w:val="24"/>
          <w:szCs w:val="24"/>
          <w:vertAlign w:val="superscript"/>
          <w:lang w:val="en-US"/>
        </w:rPr>
        <w:t>5</w:t>
      </w:r>
      <w:r w:rsidRPr="002600E2">
        <w:rPr>
          <w:rFonts w:ascii="Times New Roman" w:hAnsi="Times New Roman" w:cs="Times New Roman"/>
          <w:color w:val="000000" w:themeColor="text1"/>
          <w:sz w:val="24"/>
          <w:szCs w:val="24"/>
          <w:lang w:val="en-US"/>
        </w:rPr>
        <w:t xml:space="preserve"> genome copies/ml for clinical samples 140 and 440 respectively. Two hours post infection, the cells were washed three times with serum-free DMEM, fresh DMEM containing 2% FBS was added, and the flasks were incubated at 37</w:t>
      </w:r>
      <w:r w:rsidRPr="002600E2">
        <w:rPr>
          <w:rFonts w:ascii="Times New Roman" w:hAnsi="Times New Roman" w:cs="Times New Roman"/>
          <w:color w:val="000000" w:themeColor="text1"/>
          <w:sz w:val="24"/>
          <w:szCs w:val="24"/>
          <w:vertAlign w:val="superscript"/>
          <w:lang w:val="en-US"/>
        </w:rPr>
        <w:t>o</w:t>
      </w:r>
      <w:r w:rsidRPr="002600E2">
        <w:rPr>
          <w:rFonts w:ascii="Times New Roman" w:hAnsi="Times New Roman" w:cs="Times New Roman"/>
          <w:color w:val="000000" w:themeColor="text1"/>
          <w:sz w:val="24"/>
          <w:szCs w:val="24"/>
          <w:lang w:val="en-US"/>
        </w:rPr>
        <w:t>C with 5% CO</w:t>
      </w:r>
      <w:r w:rsidRPr="002600E2">
        <w:rPr>
          <w:rFonts w:ascii="Times New Roman" w:hAnsi="Times New Roman" w:cs="Times New Roman"/>
          <w:color w:val="000000" w:themeColor="text1"/>
          <w:sz w:val="24"/>
          <w:szCs w:val="24"/>
          <w:vertAlign w:val="subscript"/>
          <w:lang w:val="en-US"/>
        </w:rPr>
        <w:t>2</w:t>
      </w:r>
      <w:r w:rsidRPr="002600E2">
        <w:rPr>
          <w:rFonts w:ascii="Times New Roman" w:hAnsi="Times New Roman" w:cs="Times New Roman"/>
          <w:color w:val="000000" w:themeColor="text1"/>
          <w:sz w:val="24"/>
          <w:szCs w:val="24"/>
          <w:lang w:val="en-US"/>
        </w:rPr>
        <w:t xml:space="preserve"> until harvested 4 days post-infection for determining increase in genome copies using real time PCR. </w:t>
      </w:r>
    </w:p>
    <w:p w:rsidR="002600E2" w:rsidRPr="002600E2" w:rsidRDefault="002600E2" w:rsidP="002600E2">
      <w:pPr>
        <w:spacing w:line="276" w:lineRule="auto"/>
        <w:rPr>
          <w:rFonts w:ascii="Times New Roman" w:hAnsi="Times New Roman" w:cs="Times New Roman"/>
          <w:sz w:val="24"/>
          <w:szCs w:val="24"/>
          <w:lang w:val="en-US"/>
        </w:rPr>
      </w:pPr>
      <w:r w:rsidRPr="002600E2">
        <w:rPr>
          <w:rFonts w:ascii="Times New Roman" w:hAnsi="Times New Roman" w:cs="Times New Roman"/>
          <w:sz w:val="24"/>
          <w:szCs w:val="24"/>
          <w:lang w:val="en-US"/>
        </w:rPr>
        <w:t xml:space="preserve">For immunofluorescence, Vero E6 cells were </w:t>
      </w:r>
      <w:proofErr w:type="spellStart"/>
      <w:r w:rsidRPr="002600E2">
        <w:rPr>
          <w:rFonts w:ascii="Times New Roman" w:hAnsi="Times New Roman" w:cs="Times New Roman"/>
          <w:sz w:val="24"/>
          <w:szCs w:val="24"/>
          <w:lang w:val="en-US"/>
        </w:rPr>
        <w:t>trypsinized</w:t>
      </w:r>
      <w:proofErr w:type="spellEnd"/>
      <w:r w:rsidRPr="002600E2">
        <w:rPr>
          <w:rFonts w:ascii="Times New Roman" w:hAnsi="Times New Roman" w:cs="Times New Roman"/>
          <w:sz w:val="24"/>
          <w:szCs w:val="24"/>
          <w:lang w:val="en-US"/>
        </w:rPr>
        <w:t xml:space="preserve"> and pelleted by centrifugation at 290</w:t>
      </w:r>
      <w:r w:rsidRPr="002600E2">
        <w:rPr>
          <w:rFonts w:ascii="Times New Roman" w:eastAsia="MS Gothic" w:hAnsi="Times New Roman" w:cs="Times New Roman"/>
          <w:color w:val="000000"/>
          <w:sz w:val="24"/>
          <w:szCs w:val="24"/>
          <w:lang w:val="en-US"/>
        </w:rPr>
        <w:t>×</w:t>
      </w:r>
      <w:r w:rsidRPr="002600E2">
        <w:rPr>
          <w:rFonts w:ascii="Times New Roman" w:hAnsi="Times New Roman" w:cs="Times New Roman"/>
          <w:sz w:val="24"/>
          <w:szCs w:val="24"/>
          <w:lang w:val="en-US"/>
        </w:rPr>
        <w:t xml:space="preserve">g for 5 minutes. The pellet was resuspended in DMEM containing 2% </w:t>
      </w:r>
      <w:r w:rsidRPr="002600E2">
        <w:rPr>
          <w:rFonts w:ascii="Times New Roman" w:hAnsi="Times New Roman" w:cs="Times New Roman"/>
          <w:color w:val="000000" w:themeColor="text1"/>
          <w:sz w:val="24"/>
          <w:szCs w:val="24"/>
          <w:lang w:val="en-US"/>
        </w:rPr>
        <w:t xml:space="preserve">FBS and </w:t>
      </w:r>
      <w:r w:rsidRPr="002600E2">
        <w:rPr>
          <w:rFonts w:ascii="Times New Roman" w:hAnsi="Times New Roman" w:cs="Times New Roman"/>
          <w:sz w:val="24"/>
          <w:szCs w:val="24"/>
          <w:lang w:val="en-US"/>
        </w:rPr>
        <w:t>gentamycin (100</w:t>
      </w:r>
      <w:r w:rsidRPr="002600E2">
        <w:rPr>
          <w:rFonts w:ascii="Times New Roman" w:hAnsi="Times New Roman" w:cs="Times New Roman"/>
          <w:sz w:val="24"/>
          <w:szCs w:val="24"/>
        </w:rPr>
        <w:t>μ</w:t>
      </w:r>
      <w:r w:rsidRPr="002600E2">
        <w:rPr>
          <w:rFonts w:ascii="Times New Roman" w:hAnsi="Times New Roman" w:cs="Times New Roman"/>
          <w:sz w:val="24"/>
          <w:szCs w:val="24"/>
          <w:lang w:val="en-US"/>
        </w:rPr>
        <w:t>g/mL) at a concentration of 0.5</w:t>
      </w:r>
      <w:r w:rsidRPr="002600E2">
        <w:rPr>
          <w:rFonts w:ascii="Times New Roman" w:eastAsia="MS Gothic" w:hAnsi="Times New Roman" w:cs="Times New Roman"/>
          <w:color w:val="000000"/>
          <w:sz w:val="24"/>
          <w:szCs w:val="24"/>
          <w:lang w:val="en-US"/>
        </w:rPr>
        <w:t>×10</w:t>
      </w:r>
      <w:r w:rsidRPr="002600E2">
        <w:rPr>
          <w:rFonts w:ascii="Times New Roman" w:eastAsia="MS Gothic" w:hAnsi="Times New Roman" w:cs="Times New Roman"/>
          <w:color w:val="000000"/>
          <w:sz w:val="24"/>
          <w:szCs w:val="24"/>
          <w:vertAlign w:val="superscript"/>
          <w:lang w:val="en-US"/>
        </w:rPr>
        <w:t>6</w:t>
      </w:r>
      <w:r w:rsidRPr="002600E2">
        <w:rPr>
          <w:rFonts w:ascii="Times New Roman" w:eastAsia="MS Gothic" w:hAnsi="Times New Roman" w:cs="Times New Roman"/>
          <w:color w:val="000000"/>
          <w:sz w:val="24"/>
          <w:szCs w:val="24"/>
          <w:lang w:val="en-US"/>
        </w:rPr>
        <w:t xml:space="preserve"> </w:t>
      </w:r>
      <w:r w:rsidRPr="002600E2">
        <w:rPr>
          <w:rFonts w:ascii="Times New Roman" w:hAnsi="Times New Roman" w:cs="Times New Roman"/>
          <w:sz w:val="24"/>
          <w:szCs w:val="24"/>
          <w:lang w:val="en-US"/>
        </w:rPr>
        <w:t>cells /ml. 500</w:t>
      </w:r>
      <w:r w:rsidRPr="002600E2">
        <w:rPr>
          <w:rFonts w:ascii="Times New Roman" w:hAnsi="Times New Roman" w:cs="Times New Roman"/>
          <w:sz w:val="24"/>
          <w:szCs w:val="24"/>
        </w:rPr>
        <w:t>μ</w:t>
      </w:r>
      <w:r w:rsidRPr="002600E2">
        <w:rPr>
          <w:rFonts w:ascii="Times New Roman" w:hAnsi="Times New Roman" w:cs="Times New Roman"/>
          <w:sz w:val="24"/>
          <w:szCs w:val="24"/>
          <w:lang w:val="en-US"/>
        </w:rPr>
        <w:t xml:space="preserve">l of the cell suspension was added to each well of a 24-well plate, </w:t>
      </w:r>
      <w:r w:rsidRPr="002600E2">
        <w:rPr>
          <w:rFonts w:ascii="Times New Roman" w:hAnsi="Times New Roman" w:cs="Times New Roman"/>
          <w:color w:val="000000" w:themeColor="text1"/>
          <w:sz w:val="24"/>
          <w:szCs w:val="24"/>
          <w:lang w:val="en-US"/>
        </w:rPr>
        <w:t>followed by addition of nasopharyngeal samples that were serially diluted two-fold in DMEM. The starting d</w:t>
      </w:r>
      <w:r w:rsidRPr="002600E2">
        <w:rPr>
          <w:rFonts w:ascii="Times New Roman" w:hAnsi="Times New Roman" w:cs="Times New Roman"/>
          <w:sz w:val="24"/>
          <w:szCs w:val="24"/>
          <w:lang w:val="en-US"/>
        </w:rPr>
        <w:t>ilution had 2.35</w:t>
      </w:r>
      <w:r w:rsidRPr="002600E2">
        <w:rPr>
          <w:rFonts w:ascii="Times New Roman" w:eastAsia="MS Gothic" w:hAnsi="Times New Roman" w:cs="Times New Roman"/>
          <w:color w:val="000000"/>
          <w:sz w:val="24"/>
          <w:szCs w:val="24"/>
          <w:lang w:val="en-US"/>
        </w:rPr>
        <w:t>×</w:t>
      </w:r>
      <w:r w:rsidRPr="002600E2">
        <w:rPr>
          <w:rFonts w:ascii="Times New Roman" w:hAnsi="Times New Roman" w:cs="Times New Roman"/>
          <w:sz w:val="24"/>
          <w:szCs w:val="24"/>
          <w:lang w:val="en-US"/>
        </w:rPr>
        <w:t>10</w:t>
      </w:r>
      <w:r w:rsidRPr="002600E2">
        <w:rPr>
          <w:rFonts w:ascii="Times New Roman" w:hAnsi="Times New Roman" w:cs="Times New Roman"/>
          <w:sz w:val="24"/>
          <w:szCs w:val="24"/>
          <w:vertAlign w:val="superscript"/>
          <w:lang w:val="en-US"/>
        </w:rPr>
        <w:t xml:space="preserve">5 </w:t>
      </w:r>
      <w:r w:rsidRPr="002600E2">
        <w:rPr>
          <w:rFonts w:ascii="Times New Roman" w:hAnsi="Times New Roman" w:cs="Times New Roman"/>
          <w:sz w:val="24"/>
          <w:szCs w:val="24"/>
          <w:lang w:val="en-US"/>
        </w:rPr>
        <w:t>and 4.59</w:t>
      </w:r>
      <w:r w:rsidRPr="002600E2">
        <w:rPr>
          <w:rFonts w:ascii="Times New Roman" w:eastAsia="MS Gothic" w:hAnsi="Times New Roman" w:cs="Times New Roman"/>
          <w:color w:val="000000"/>
          <w:sz w:val="24"/>
          <w:szCs w:val="24"/>
          <w:lang w:val="en-US"/>
        </w:rPr>
        <w:t>×</w:t>
      </w:r>
      <w:r w:rsidRPr="002600E2">
        <w:rPr>
          <w:rFonts w:ascii="Times New Roman" w:hAnsi="Times New Roman" w:cs="Times New Roman"/>
          <w:sz w:val="24"/>
          <w:szCs w:val="24"/>
          <w:lang w:val="en-US"/>
        </w:rPr>
        <w:t>10</w:t>
      </w:r>
      <w:r w:rsidRPr="002600E2">
        <w:rPr>
          <w:rFonts w:ascii="Times New Roman" w:hAnsi="Times New Roman" w:cs="Times New Roman"/>
          <w:sz w:val="24"/>
          <w:szCs w:val="24"/>
          <w:vertAlign w:val="superscript"/>
          <w:lang w:val="en-US"/>
        </w:rPr>
        <w:t>4</w:t>
      </w:r>
      <w:r w:rsidRPr="002600E2">
        <w:rPr>
          <w:rFonts w:ascii="Times New Roman" w:hAnsi="Times New Roman" w:cs="Times New Roman"/>
          <w:sz w:val="24"/>
          <w:szCs w:val="24"/>
          <w:lang w:val="en-US"/>
        </w:rPr>
        <w:t xml:space="preserve"> genome copies for clinical samples 140 and 440 respectively. The plate was then incubated at 37</w:t>
      </w:r>
      <w:r w:rsidRPr="002600E2">
        <w:rPr>
          <w:rFonts w:ascii="Times New Roman" w:hAnsi="Times New Roman" w:cs="Times New Roman"/>
          <w:sz w:val="24"/>
          <w:szCs w:val="24"/>
          <w:vertAlign w:val="superscript"/>
          <w:lang w:val="en-US"/>
        </w:rPr>
        <w:t>o</w:t>
      </w:r>
      <w:r w:rsidRPr="002600E2">
        <w:rPr>
          <w:rFonts w:ascii="Times New Roman" w:hAnsi="Times New Roman" w:cs="Times New Roman"/>
          <w:sz w:val="24"/>
          <w:szCs w:val="24"/>
          <w:lang w:val="en-US"/>
        </w:rPr>
        <w:t>C with 5% CO</w:t>
      </w:r>
      <w:r w:rsidRPr="002600E2">
        <w:rPr>
          <w:rFonts w:ascii="Times New Roman" w:hAnsi="Times New Roman" w:cs="Times New Roman"/>
          <w:sz w:val="24"/>
          <w:szCs w:val="24"/>
          <w:vertAlign w:val="subscript"/>
          <w:lang w:val="en-US"/>
        </w:rPr>
        <w:t>2</w:t>
      </w:r>
      <w:r w:rsidRPr="002600E2">
        <w:rPr>
          <w:rFonts w:ascii="Times New Roman" w:hAnsi="Times New Roman" w:cs="Times New Roman"/>
          <w:sz w:val="24"/>
          <w:szCs w:val="24"/>
          <w:lang w:val="en-US"/>
        </w:rPr>
        <w:t xml:space="preserve"> for 48 hours </w:t>
      </w:r>
      <w:r w:rsidRPr="002600E2">
        <w:rPr>
          <w:rFonts w:ascii="Times New Roman" w:hAnsi="Times New Roman" w:cs="Times New Roman"/>
          <w:color w:val="000000" w:themeColor="text1"/>
          <w:sz w:val="24"/>
          <w:szCs w:val="24"/>
          <w:lang w:val="en-US"/>
        </w:rPr>
        <w:t>before fixation</w:t>
      </w:r>
    </w:p>
    <w:p w:rsidR="002600E2" w:rsidRPr="002600E2" w:rsidRDefault="002600E2" w:rsidP="002600E2">
      <w:pPr>
        <w:spacing w:line="276" w:lineRule="auto"/>
        <w:rPr>
          <w:rFonts w:ascii="Times New Roman" w:hAnsi="Times New Roman" w:cs="Times New Roman"/>
          <w:b/>
          <w:bCs/>
          <w:sz w:val="24"/>
          <w:szCs w:val="24"/>
          <w:lang w:val="en-US"/>
        </w:rPr>
      </w:pPr>
      <w:r w:rsidRPr="002600E2">
        <w:rPr>
          <w:rFonts w:ascii="Times New Roman" w:hAnsi="Times New Roman" w:cs="Times New Roman"/>
          <w:b/>
          <w:bCs/>
          <w:sz w:val="24"/>
          <w:szCs w:val="24"/>
          <w:lang w:val="en-US"/>
        </w:rPr>
        <w:t>Immunofluorescence</w:t>
      </w:r>
    </w:p>
    <w:p w:rsidR="002600E2" w:rsidRPr="002600E2" w:rsidRDefault="002600E2" w:rsidP="002600E2">
      <w:pPr>
        <w:spacing w:line="276" w:lineRule="auto"/>
        <w:rPr>
          <w:rFonts w:ascii="Times New Roman" w:hAnsi="Times New Roman" w:cs="Times New Roman"/>
          <w:sz w:val="24"/>
          <w:szCs w:val="24"/>
          <w:lang w:val="en-US"/>
        </w:rPr>
      </w:pPr>
      <w:r w:rsidRPr="002600E2">
        <w:rPr>
          <w:rFonts w:ascii="Times New Roman" w:hAnsi="Times New Roman" w:cs="Times New Roman"/>
          <w:sz w:val="24"/>
          <w:szCs w:val="24"/>
          <w:lang w:val="en-US"/>
        </w:rPr>
        <w:t xml:space="preserve">To detect SARS-CoV-2 replication an antibody against dsRNA (Scions, Code: J2) was used. Infected Vero E6 cells were fixed with 4% </w:t>
      </w:r>
      <w:r w:rsidRPr="002600E2">
        <w:rPr>
          <w:rFonts w:ascii="Times New Roman" w:hAnsi="Times New Roman" w:cs="Times New Roman"/>
          <w:color w:val="000000" w:themeColor="text1"/>
          <w:sz w:val="24"/>
          <w:szCs w:val="24"/>
          <w:lang w:val="en-US"/>
        </w:rPr>
        <w:t>formaldehyde in phosphate buffer saline (PBS) for 1 hour at room temperature then washed twice and permeabilized with 0.5% Triton-X in PBS for 10 minutes. After 2x washes, mouse-anti-dsRNA antibody 1:200 in PBS was added and incubated for 90 minutes, followed by 3x washes and incubation with goat-anti-mouse Alexa</w:t>
      </w:r>
      <w:r w:rsidRPr="002600E2">
        <w:rPr>
          <w:rFonts w:ascii="Times New Roman" w:hAnsi="Times New Roman" w:cs="Times New Roman"/>
          <w:color w:val="000000" w:themeColor="text1"/>
          <w:sz w:val="24"/>
          <w:szCs w:val="24"/>
          <w:vertAlign w:val="superscript"/>
          <w:lang w:val="en-US"/>
        </w:rPr>
        <w:t>488</w:t>
      </w:r>
      <w:r w:rsidRPr="002600E2">
        <w:rPr>
          <w:rFonts w:ascii="Times New Roman" w:hAnsi="Times New Roman" w:cs="Times New Roman"/>
          <w:color w:val="000000" w:themeColor="text1"/>
          <w:sz w:val="24"/>
          <w:szCs w:val="24"/>
          <w:lang w:val="en-US"/>
        </w:rPr>
        <w:t xml:space="preserve"> (Jackson </w:t>
      </w:r>
      <w:proofErr w:type="spellStart"/>
      <w:r w:rsidRPr="002600E2">
        <w:rPr>
          <w:rFonts w:ascii="Times New Roman" w:hAnsi="Times New Roman" w:cs="Times New Roman"/>
          <w:color w:val="000000" w:themeColor="text1"/>
          <w:sz w:val="24"/>
          <w:szCs w:val="24"/>
          <w:lang w:val="en-US"/>
        </w:rPr>
        <w:t>ImmunoResearch</w:t>
      </w:r>
      <w:proofErr w:type="spellEnd"/>
      <w:r w:rsidRPr="002600E2">
        <w:rPr>
          <w:rFonts w:ascii="Times New Roman" w:hAnsi="Times New Roman" w:cs="Times New Roman"/>
          <w:color w:val="000000" w:themeColor="text1"/>
          <w:sz w:val="24"/>
          <w:szCs w:val="24"/>
          <w:lang w:val="en-US"/>
        </w:rPr>
        <w:t xml:space="preserve">, USA, Code: 115-545-003) for </w:t>
      </w:r>
      <w:r w:rsidRPr="002600E2">
        <w:rPr>
          <w:rFonts w:ascii="Times New Roman" w:hAnsi="Times New Roman" w:cs="Times New Roman"/>
          <w:sz w:val="24"/>
          <w:szCs w:val="24"/>
          <w:lang w:val="en-US"/>
        </w:rPr>
        <w:t>1 hour. Cells were washed x3, incubated with DAPI (</w:t>
      </w:r>
      <w:r w:rsidRPr="002600E2">
        <w:rPr>
          <w:rFonts w:ascii="Times New Roman" w:hAnsi="Times New Roman" w:cs="Times New Roman"/>
          <w:color w:val="000000" w:themeColor="text1"/>
          <w:sz w:val="24"/>
          <w:szCs w:val="24"/>
          <w:lang w:val="en-US"/>
        </w:rPr>
        <w:t>5</w:t>
      </w:r>
      <w:r w:rsidRPr="002600E2">
        <w:rPr>
          <w:rFonts w:ascii="Times New Roman" w:hAnsi="Times New Roman" w:cs="Times New Roman"/>
          <w:color w:val="000000" w:themeColor="text1"/>
          <w:sz w:val="24"/>
          <w:szCs w:val="24"/>
        </w:rPr>
        <w:sym w:font="Symbol" w:char="F06D"/>
      </w:r>
      <w:r w:rsidRPr="002600E2">
        <w:rPr>
          <w:rFonts w:ascii="Times New Roman" w:hAnsi="Times New Roman" w:cs="Times New Roman"/>
          <w:color w:val="000000" w:themeColor="text1"/>
          <w:sz w:val="24"/>
          <w:szCs w:val="24"/>
          <w:lang w:val="en-US"/>
        </w:rPr>
        <w:t xml:space="preserve">g/mL, Invitrogen, Code: D1301) </w:t>
      </w:r>
      <w:r w:rsidRPr="002600E2">
        <w:rPr>
          <w:rFonts w:ascii="Times New Roman" w:hAnsi="Times New Roman" w:cs="Times New Roman"/>
          <w:sz w:val="24"/>
          <w:szCs w:val="24"/>
          <w:lang w:val="en-US"/>
        </w:rPr>
        <w:t xml:space="preserve">for 2 minutes, washed again </w:t>
      </w:r>
      <w:r w:rsidRPr="002600E2">
        <w:rPr>
          <w:rFonts w:ascii="Times New Roman" w:eastAsia="MS Gothic" w:hAnsi="Times New Roman" w:cs="Times New Roman"/>
          <w:color w:val="000000"/>
          <w:sz w:val="24"/>
          <w:szCs w:val="24"/>
          <w:lang w:val="en-US"/>
        </w:rPr>
        <w:t>×</w:t>
      </w:r>
      <w:r w:rsidRPr="002600E2">
        <w:rPr>
          <w:rFonts w:ascii="Times New Roman" w:hAnsi="Times New Roman" w:cs="Times New Roman"/>
          <w:sz w:val="24"/>
          <w:szCs w:val="24"/>
          <w:lang w:val="en-US"/>
        </w:rPr>
        <w:t>3 and infected cells visualized with a Leica DMi8 microscope. All incubations were performed in room temperature and all washes were done with PBS.</w:t>
      </w:r>
    </w:p>
    <w:p w:rsidR="002600E2" w:rsidRPr="002600E2" w:rsidRDefault="002600E2" w:rsidP="002600E2">
      <w:pPr>
        <w:spacing w:line="276" w:lineRule="auto"/>
        <w:rPr>
          <w:rFonts w:ascii="Times New Roman" w:hAnsi="Times New Roman" w:cs="Times New Roman"/>
          <w:b/>
          <w:sz w:val="24"/>
          <w:szCs w:val="24"/>
          <w:lang w:val="en-US"/>
        </w:rPr>
      </w:pPr>
      <w:r w:rsidRPr="002600E2">
        <w:rPr>
          <w:rFonts w:ascii="Times New Roman" w:hAnsi="Times New Roman" w:cs="Times New Roman"/>
          <w:b/>
          <w:sz w:val="24"/>
          <w:szCs w:val="24"/>
          <w:lang w:val="en-US"/>
        </w:rPr>
        <w:t>RNA extraction and real time PCR</w:t>
      </w:r>
    </w:p>
    <w:p w:rsidR="002600E2" w:rsidRPr="002600E2" w:rsidRDefault="002600E2" w:rsidP="002600E2">
      <w:pPr>
        <w:spacing w:line="276" w:lineRule="auto"/>
        <w:rPr>
          <w:rFonts w:ascii="Times New Roman" w:hAnsi="Times New Roman" w:cs="Times New Roman"/>
          <w:sz w:val="24"/>
          <w:szCs w:val="24"/>
          <w:lang w:val="en-US"/>
        </w:rPr>
      </w:pPr>
      <w:r w:rsidRPr="002600E2">
        <w:rPr>
          <w:rFonts w:ascii="Times New Roman" w:hAnsi="Times New Roman" w:cs="Times New Roman"/>
          <w:sz w:val="24"/>
          <w:szCs w:val="24"/>
          <w:lang w:val="en-US"/>
        </w:rPr>
        <w:t xml:space="preserve">RNA extraction was done using </w:t>
      </w:r>
      <w:proofErr w:type="spellStart"/>
      <w:r w:rsidRPr="002600E2">
        <w:rPr>
          <w:rFonts w:ascii="Times New Roman" w:hAnsi="Times New Roman" w:cs="Times New Roman"/>
          <w:sz w:val="24"/>
          <w:szCs w:val="24"/>
          <w:lang w:val="en-US"/>
        </w:rPr>
        <w:t>QIAamp</w:t>
      </w:r>
      <w:proofErr w:type="spellEnd"/>
      <w:r w:rsidRPr="002600E2">
        <w:rPr>
          <w:rFonts w:ascii="Times New Roman" w:hAnsi="Times New Roman" w:cs="Times New Roman"/>
          <w:sz w:val="24"/>
          <w:szCs w:val="24"/>
          <w:lang w:val="en-US"/>
        </w:rPr>
        <w:t xml:space="preserve"> Viral RNA Mini Kit (Qiagen, Hilden, Germany) as per the manufacturer’s instructions, and reverse transcription was carried out using </w:t>
      </w:r>
      <w:proofErr w:type="spellStart"/>
      <w:r w:rsidRPr="002600E2">
        <w:rPr>
          <w:rFonts w:ascii="Times New Roman" w:hAnsi="Times New Roman" w:cs="Times New Roman"/>
          <w:sz w:val="24"/>
          <w:szCs w:val="24"/>
          <w:lang w:val="en-US"/>
        </w:rPr>
        <w:t>iScript</w:t>
      </w:r>
      <w:proofErr w:type="spellEnd"/>
      <w:r w:rsidRPr="002600E2">
        <w:rPr>
          <w:rFonts w:ascii="Times New Roman" w:hAnsi="Times New Roman" w:cs="Times New Roman"/>
          <w:sz w:val="24"/>
          <w:szCs w:val="24"/>
          <w:lang w:val="en-US"/>
        </w:rPr>
        <w:t>™ cDNA Synthesis Kit (</w:t>
      </w:r>
      <w:proofErr w:type="spellStart"/>
      <w:r w:rsidRPr="002600E2">
        <w:rPr>
          <w:rFonts w:ascii="Times New Roman" w:hAnsi="Times New Roman" w:cs="Times New Roman"/>
          <w:sz w:val="24"/>
          <w:szCs w:val="24"/>
          <w:lang w:val="en-US"/>
        </w:rPr>
        <w:t>Biorad</w:t>
      </w:r>
      <w:proofErr w:type="spellEnd"/>
      <w:r w:rsidRPr="002600E2">
        <w:rPr>
          <w:rFonts w:ascii="Times New Roman" w:hAnsi="Times New Roman" w:cs="Times New Roman"/>
          <w:sz w:val="24"/>
          <w:szCs w:val="24"/>
          <w:lang w:val="en-US"/>
        </w:rPr>
        <w:t xml:space="preserve">, </w:t>
      </w:r>
      <w:proofErr w:type="spellStart"/>
      <w:r w:rsidRPr="002600E2">
        <w:rPr>
          <w:rFonts w:ascii="Times New Roman" w:hAnsi="Times New Roman" w:cs="Times New Roman"/>
          <w:sz w:val="24"/>
          <w:szCs w:val="24"/>
          <w:lang w:val="en-US"/>
        </w:rPr>
        <w:t>Solna</w:t>
      </w:r>
      <w:proofErr w:type="spellEnd"/>
      <w:r w:rsidRPr="002600E2">
        <w:rPr>
          <w:rFonts w:ascii="Times New Roman" w:hAnsi="Times New Roman" w:cs="Times New Roman"/>
          <w:sz w:val="24"/>
          <w:szCs w:val="24"/>
          <w:lang w:val="en-US"/>
        </w:rPr>
        <w:t>, Sweden). The real time PCR was performed on CFX96 (</w:t>
      </w:r>
      <w:proofErr w:type="spellStart"/>
      <w:r w:rsidRPr="002600E2">
        <w:rPr>
          <w:rFonts w:ascii="Times New Roman" w:hAnsi="Times New Roman" w:cs="Times New Roman"/>
          <w:sz w:val="24"/>
          <w:szCs w:val="24"/>
          <w:lang w:val="en-US"/>
        </w:rPr>
        <w:t>Biorad</w:t>
      </w:r>
      <w:proofErr w:type="spellEnd"/>
      <w:r w:rsidRPr="002600E2">
        <w:rPr>
          <w:rFonts w:ascii="Times New Roman" w:hAnsi="Times New Roman" w:cs="Times New Roman"/>
          <w:sz w:val="24"/>
          <w:szCs w:val="24"/>
          <w:lang w:val="en-US"/>
        </w:rPr>
        <w:t xml:space="preserve">, </w:t>
      </w:r>
      <w:proofErr w:type="spellStart"/>
      <w:r w:rsidRPr="002600E2">
        <w:rPr>
          <w:rFonts w:ascii="Times New Roman" w:hAnsi="Times New Roman" w:cs="Times New Roman"/>
          <w:sz w:val="24"/>
          <w:szCs w:val="24"/>
          <w:lang w:val="en-US"/>
        </w:rPr>
        <w:t>Solna</w:t>
      </w:r>
      <w:proofErr w:type="spellEnd"/>
      <w:r w:rsidRPr="002600E2">
        <w:rPr>
          <w:rFonts w:ascii="Times New Roman" w:hAnsi="Times New Roman" w:cs="Times New Roman"/>
          <w:sz w:val="24"/>
          <w:szCs w:val="24"/>
          <w:lang w:val="en-US"/>
        </w:rPr>
        <w:t xml:space="preserve">, Sweden) using </w:t>
      </w:r>
      <w:proofErr w:type="spellStart"/>
      <w:r w:rsidRPr="002600E2">
        <w:rPr>
          <w:rFonts w:ascii="Times New Roman" w:hAnsi="Times New Roman" w:cs="Times New Roman"/>
          <w:sz w:val="24"/>
          <w:szCs w:val="24"/>
          <w:lang w:val="en-US"/>
        </w:rPr>
        <w:t>iTaq</w:t>
      </w:r>
      <w:proofErr w:type="spellEnd"/>
      <w:r w:rsidRPr="002600E2">
        <w:rPr>
          <w:rFonts w:ascii="Times New Roman" w:hAnsi="Times New Roman" w:cs="Times New Roman"/>
          <w:sz w:val="24"/>
          <w:szCs w:val="24"/>
          <w:lang w:val="en-US"/>
        </w:rPr>
        <w:t xml:space="preserve"> Universal Probes </w:t>
      </w:r>
      <w:proofErr w:type="spellStart"/>
      <w:r w:rsidRPr="002600E2">
        <w:rPr>
          <w:rFonts w:ascii="Times New Roman" w:hAnsi="Times New Roman" w:cs="Times New Roman"/>
          <w:sz w:val="24"/>
          <w:szCs w:val="24"/>
          <w:lang w:val="en-US"/>
        </w:rPr>
        <w:t>Supermix</w:t>
      </w:r>
      <w:proofErr w:type="spellEnd"/>
      <w:r w:rsidRPr="002600E2">
        <w:rPr>
          <w:rFonts w:ascii="Times New Roman" w:hAnsi="Times New Roman" w:cs="Times New Roman"/>
          <w:sz w:val="24"/>
          <w:szCs w:val="24"/>
          <w:lang w:val="en-US"/>
        </w:rPr>
        <w:t xml:space="preserve"> (</w:t>
      </w:r>
      <w:proofErr w:type="spellStart"/>
      <w:r w:rsidRPr="002600E2">
        <w:rPr>
          <w:rFonts w:ascii="Times New Roman" w:hAnsi="Times New Roman" w:cs="Times New Roman"/>
          <w:sz w:val="24"/>
          <w:szCs w:val="24"/>
          <w:lang w:val="en-US"/>
        </w:rPr>
        <w:t>Biorad</w:t>
      </w:r>
      <w:proofErr w:type="spellEnd"/>
      <w:r w:rsidRPr="002600E2">
        <w:rPr>
          <w:rFonts w:ascii="Times New Roman" w:hAnsi="Times New Roman" w:cs="Times New Roman"/>
          <w:sz w:val="24"/>
          <w:szCs w:val="24"/>
          <w:lang w:val="en-US"/>
        </w:rPr>
        <w:t xml:space="preserve">, </w:t>
      </w:r>
      <w:proofErr w:type="spellStart"/>
      <w:r w:rsidRPr="002600E2">
        <w:rPr>
          <w:rFonts w:ascii="Times New Roman" w:hAnsi="Times New Roman" w:cs="Times New Roman"/>
          <w:sz w:val="24"/>
          <w:szCs w:val="24"/>
          <w:lang w:val="en-US"/>
        </w:rPr>
        <w:t>Solna</w:t>
      </w:r>
      <w:proofErr w:type="spellEnd"/>
      <w:r w:rsidRPr="002600E2">
        <w:rPr>
          <w:rFonts w:ascii="Times New Roman" w:hAnsi="Times New Roman" w:cs="Times New Roman"/>
          <w:sz w:val="24"/>
          <w:szCs w:val="24"/>
          <w:lang w:val="en-US"/>
        </w:rPr>
        <w:t>, Sweden) with following cycling conditions: initial denaturation at 95</w:t>
      </w:r>
      <w:r w:rsidRPr="002600E2">
        <w:rPr>
          <w:rFonts w:ascii="Times New Roman" w:hAnsi="Times New Roman" w:cs="Times New Roman"/>
          <w:sz w:val="24"/>
          <w:szCs w:val="24"/>
          <w:vertAlign w:val="superscript"/>
          <w:lang w:val="en-US"/>
        </w:rPr>
        <w:t>o</w:t>
      </w:r>
      <w:r w:rsidRPr="002600E2">
        <w:rPr>
          <w:rFonts w:ascii="Times New Roman" w:hAnsi="Times New Roman" w:cs="Times New Roman"/>
          <w:sz w:val="24"/>
          <w:szCs w:val="24"/>
          <w:lang w:val="en-US"/>
        </w:rPr>
        <w:t>C for 3 min, followed by 45 cycles of 95°C for 5 seconds and 60°C for 30 seconds. The primers (</w:t>
      </w:r>
      <w:proofErr w:type="spellStart"/>
      <w:r w:rsidRPr="002600E2">
        <w:rPr>
          <w:rFonts w:ascii="Times New Roman" w:hAnsi="Times New Roman" w:cs="Times New Roman"/>
          <w:sz w:val="24"/>
          <w:szCs w:val="24"/>
          <w:lang w:val="en-US"/>
        </w:rPr>
        <w:t>RdRp_SARSr</w:t>
      </w:r>
      <w:proofErr w:type="spellEnd"/>
      <w:r w:rsidRPr="002600E2">
        <w:rPr>
          <w:rFonts w:ascii="Times New Roman" w:hAnsi="Times New Roman" w:cs="Times New Roman"/>
          <w:sz w:val="24"/>
          <w:szCs w:val="24"/>
          <w:lang w:val="en-US"/>
        </w:rPr>
        <w:t xml:space="preserve">-F and </w:t>
      </w:r>
      <w:proofErr w:type="spellStart"/>
      <w:r w:rsidRPr="002600E2">
        <w:rPr>
          <w:rFonts w:ascii="Times New Roman" w:hAnsi="Times New Roman" w:cs="Times New Roman"/>
          <w:sz w:val="24"/>
          <w:szCs w:val="24"/>
          <w:lang w:val="en-US"/>
        </w:rPr>
        <w:t>RdRp_SARSr</w:t>
      </w:r>
      <w:proofErr w:type="spellEnd"/>
      <w:r w:rsidRPr="002600E2">
        <w:rPr>
          <w:rFonts w:ascii="Times New Roman" w:hAnsi="Times New Roman" w:cs="Times New Roman"/>
          <w:sz w:val="24"/>
          <w:szCs w:val="24"/>
          <w:lang w:val="en-US"/>
        </w:rPr>
        <w:t xml:space="preserve">-R) and probe (RdRp_SARSr-P2) targeting the </w:t>
      </w:r>
      <w:proofErr w:type="spellStart"/>
      <w:r w:rsidRPr="002600E2">
        <w:rPr>
          <w:rFonts w:ascii="Times New Roman" w:hAnsi="Times New Roman" w:cs="Times New Roman"/>
          <w:sz w:val="24"/>
          <w:szCs w:val="24"/>
          <w:lang w:val="en-US"/>
        </w:rPr>
        <w:t>RdRp</w:t>
      </w:r>
      <w:proofErr w:type="spellEnd"/>
      <w:r w:rsidRPr="002600E2">
        <w:rPr>
          <w:rFonts w:ascii="Times New Roman" w:hAnsi="Times New Roman" w:cs="Times New Roman"/>
          <w:sz w:val="24"/>
          <w:szCs w:val="24"/>
          <w:lang w:val="en-US"/>
        </w:rPr>
        <w:t xml:space="preserve"> gene of SARS coronavirus-2 that has been described previously (1). A 10-</w:t>
      </w:r>
      <w:r w:rsidRPr="002600E2">
        <w:rPr>
          <w:rFonts w:ascii="Times New Roman" w:hAnsi="Times New Roman" w:cs="Times New Roman"/>
          <w:color w:val="000000" w:themeColor="text1"/>
          <w:sz w:val="24"/>
          <w:szCs w:val="24"/>
          <w:lang w:val="en-US"/>
        </w:rPr>
        <w:t>fold serial dilution of plasmid (pEX-A128-nCoV_RdRP, Eurofins Genomics, Germany), ranging from 2</w:t>
      </w:r>
      <w:r w:rsidRPr="002600E2">
        <w:rPr>
          <w:rFonts w:ascii="Times New Roman" w:eastAsia="MS Gothic" w:hAnsi="Times New Roman" w:cs="Times New Roman"/>
          <w:color w:val="000000" w:themeColor="text1"/>
          <w:sz w:val="24"/>
          <w:szCs w:val="24"/>
          <w:lang w:val="en-US"/>
        </w:rPr>
        <w:t>×</w:t>
      </w:r>
      <w:r w:rsidRPr="002600E2">
        <w:rPr>
          <w:rFonts w:ascii="Times New Roman" w:hAnsi="Times New Roman" w:cs="Times New Roman"/>
          <w:sz w:val="24"/>
          <w:szCs w:val="24"/>
          <w:lang w:val="en-US"/>
        </w:rPr>
        <w:t>10</w:t>
      </w:r>
      <w:r w:rsidRPr="002600E2">
        <w:rPr>
          <w:rFonts w:ascii="Times New Roman" w:hAnsi="Times New Roman" w:cs="Times New Roman"/>
          <w:sz w:val="24"/>
          <w:szCs w:val="24"/>
          <w:vertAlign w:val="superscript"/>
          <w:lang w:val="en-US"/>
        </w:rPr>
        <w:t>8</w:t>
      </w:r>
      <w:r w:rsidRPr="002600E2">
        <w:rPr>
          <w:rFonts w:ascii="Times New Roman" w:hAnsi="Times New Roman" w:cs="Times New Roman"/>
          <w:sz w:val="24"/>
          <w:szCs w:val="24"/>
          <w:lang w:val="en-US"/>
        </w:rPr>
        <w:t xml:space="preserve"> to 2</w:t>
      </w:r>
      <w:r w:rsidRPr="002600E2">
        <w:rPr>
          <w:rFonts w:ascii="Times New Roman" w:eastAsia="MS Gothic" w:hAnsi="Times New Roman" w:cs="Times New Roman"/>
          <w:color w:val="000000"/>
          <w:sz w:val="24"/>
          <w:szCs w:val="24"/>
          <w:lang w:val="en-US"/>
        </w:rPr>
        <w:t>×</w:t>
      </w:r>
      <w:r w:rsidRPr="002600E2">
        <w:rPr>
          <w:rFonts w:ascii="Times New Roman" w:hAnsi="Times New Roman" w:cs="Times New Roman"/>
          <w:sz w:val="24"/>
          <w:szCs w:val="24"/>
          <w:lang w:val="en-US"/>
        </w:rPr>
        <w:t>10</w:t>
      </w:r>
      <w:r w:rsidRPr="002600E2">
        <w:rPr>
          <w:rFonts w:ascii="Times New Roman" w:hAnsi="Times New Roman" w:cs="Times New Roman"/>
          <w:sz w:val="24"/>
          <w:szCs w:val="24"/>
          <w:vertAlign w:val="superscript"/>
          <w:lang w:val="en-US"/>
        </w:rPr>
        <w:t>0</w:t>
      </w:r>
      <w:r w:rsidRPr="002600E2">
        <w:rPr>
          <w:rFonts w:ascii="Times New Roman" w:hAnsi="Times New Roman" w:cs="Times New Roman"/>
          <w:sz w:val="24"/>
          <w:szCs w:val="24"/>
          <w:lang w:val="en-US"/>
        </w:rPr>
        <w:t xml:space="preserve"> copies was used for quantification</w:t>
      </w:r>
      <w:r>
        <w:rPr>
          <w:rFonts w:ascii="Times New Roman" w:hAnsi="Times New Roman" w:cs="Times New Roman"/>
          <w:sz w:val="24"/>
          <w:szCs w:val="24"/>
          <w:lang w:val="en-US"/>
        </w:rPr>
        <w:t>.</w:t>
      </w:r>
    </w:p>
    <w:sectPr w:rsidR="002600E2" w:rsidRPr="002600E2">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altName w:val="Sylfaen"/>
    <w:panose1 w:val="020B0502040204020203"/>
    <w:charset w:val="00"/>
    <w:family w:val="swiss"/>
    <w:pitch w:val="variable"/>
    <w:sig w:usb0="E4002EFF" w:usb1="C000E47F"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1304"/>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600E2"/>
    <w:rsid w:val="001603BE"/>
    <w:rsid w:val="002600E2"/>
    <w:rsid w:val="002B5071"/>
    <w:rsid w:val="004B4608"/>
    <w:rsid w:val="005F5089"/>
    <w:rsid w:val="00651886"/>
    <w:rsid w:val="009830E7"/>
    <w:rsid w:val="00C8530A"/>
  </w:rsids>
  <m:mathPr>
    <m:mathFont m:val="Cambria Math"/>
    <m:brkBin m:val="before"/>
    <m:brkBinSub m:val="--"/>
    <m:smallFrac m:val="0"/>
    <m:dispDef/>
    <m:lMargin m:val="0"/>
    <m:rMargin m:val="0"/>
    <m:defJc m:val="centerGroup"/>
    <m:wrapIndent m:val="1440"/>
    <m:intLim m:val="subSup"/>
    <m:naryLim m:val="undOvr"/>
  </m:mathPr>
  <w:themeFontLang w:val="sv-S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D7FBAA8"/>
  <w15:chartTrackingRefBased/>
  <w15:docId w15:val="{3EE96525-96E1-416A-BBE8-F68FCFDA2A8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sv-SE" w:eastAsia="en-US" w:bidi="ar-SA"/>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3"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style>
  <w:style w:type="character" w:default="1" w:styleId="Standardstycketeckensnitt">
    <w:name w:val="Default Paragraph Font"/>
    <w:uiPriority w:val="1"/>
    <w:semiHidden/>
    <w:unhideWhenUsed/>
  </w:style>
  <w:style w:type="table" w:default="1" w:styleId="Normaltabell">
    <w:name w:val="Normal Table"/>
    <w:uiPriority w:val="99"/>
    <w:semiHidden/>
    <w:unhideWhenUsed/>
    <w:tblPr>
      <w:tblInd w:w="0" w:type="dxa"/>
      <w:tblCellMar>
        <w:top w:w="0" w:type="dxa"/>
        <w:left w:w="108" w:type="dxa"/>
        <w:bottom w:w="0" w:type="dxa"/>
        <w:right w:w="108" w:type="dxa"/>
      </w:tblCellMar>
    </w:tblPr>
  </w:style>
  <w:style w:type="numbering" w:default="1" w:styleId="Ingenlista">
    <w:name w:val="No List"/>
    <w:uiPriority w:val="99"/>
    <w:semiHidden/>
    <w:unhideWhenUsed/>
  </w:style>
  <w:style w:type="paragraph" w:styleId="Ballongtext">
    <w:name w:val="Balloon Text"/>
    <w:basedOn w:val="Normal"/>
    <w:link w:val="BallongtextChar"/>
    <w:uiPriority w:val="99"/>
    <w:semiHidden/>
    <w:unhideWhenUsed/>
    <w:rsid w:val="002600E2"/>
    <w:pPr>
      <w:spacing w:after="0" w:line="240" w:lineRule="auto"/>
    </w:pPr>
    <w:rPr>
      <w:rFonts w:ascii="Segoe UI" w:hAnsi="Segoe UI" w:cs="Segoe UI"/>
      <w:sz w:val="18"/>
      <w:szCs w:val="18"/>
    </w:rPr>
  </w:style>
  <w:style w:type="character" w:customStyle="1" w:styleId="BallongtextChar">
    <w:name w:val="Ballongtext Char"/>
    <w:basedOn w:val="Standardstycketeckensnitt"/>
    <w:link w:val="Ballongtext"/>
    <w:uiPriority w:val="99"/>
    <w:semiHidden/>
    <w:rsid w:val="002600E2"/>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t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877</Words>
  <Characters>4650</Characters>
  <Application>Microsoft Office Word</Application>
  <DocSecurity>0</DocSecurity>
  <Lines>38</Lines>
  <Paragraphs>11</Paragraphs>
  <ScaleCrop>false</ScaleCrop>
  <HeadingPairs>
    <vt:vector size="2" baseType="variant">
      <vt:variant>
        <vt:lpstr>Rubrik</vt:lpstr>
      </vt:variant>
      <vt:variant>
        <vt:i4>1</vt:i4>
      </vt:variant>
    </vt:vector>
  </HeadingPairs>
  <TitlesOfParts>
    <vt:vector size="1" baseType="lpstr">
      <vt:lpstr/>
    </vt:vector>
  </TitlesOfParts>
  <Company/>
  <LinksUpToDate>false</LinksUpToDate>
  <CharactersWithSpaces>5516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Erik Salaneck</dc:creator>
  <cp:keywords/>
  <dc:description/>
  <cp:lastModifiedBy>Erik Salaneck</cp:lastModifiedBy>
  <cp:revision>2</cp:revision>
  <dcterms:created xsi:type="dcterms:W3CDTF">2020-05-09T22:34:00Z</dcterms:created>
  <dcterms:modified xsi:type="dcterms:W3CDTF">2020-05-09T22:34:00Z</dcterms:modified>
</cp:coreProperties>
</file>