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widowControl w:val="0"/>
        <w:spacing w:line="276" w:lineRule="auto"/>
        <w:jc w:val="both"/>
        <w:rPr>
          <w:sz w:val="24"/>
          <w:szCs w:val="24"/>
          <w:u w:val="single"/>
        </w:rPr>
      </w:pPr>
      <w:r>
        <w:rPr>
          <w:sz w:val="24"/>
          <w:szCs w:val="24"/>
          <w:u w:val="single"/>
          <w:rtl w:val="0"/>
          <w:lang w:val="en-US"/>
        </w:rPr>
        <w:t xml:space="preserve">Supplementary </w:t>
      </w:r>
      <w:r>
        <w:rPr>
          <w:sz w:val="24"/>
          <w:szCs w:val="24"/>
          <w:u w:val="single"/>
          <w:rtl w:val="0"/>
          <w:lang w:val="fr-FR"/>
        </w:rPr>
        <w:t>Information</w:t>
      </w:r>
    </w:p>
    <w:p>
      <w:pPr>
        <w:pStyle w:val="Body"/>
        <w:widowControl w:val="0"/>
        <w:spacing w:line="276" w:lineRule="auto"/>
        <w:jc w:val="both"/>
        <w:rPr>
          <w:sz w:val="24"/>
          <w:szCs w:val="24"/>
          <w:u w:val="single"/>
        </w:rPr>
      </w:pPr>
    </w:p>
    <w:p>
      <w:pPr>
        <w:pStyle w:val="Body"/>
        <w:jc w:val="both"/>
        <w:rPr>
          <w:i w:val="1"/>
          <w:iCs w:val="1"/>
          <w:sz w:val="24"/>
          <w:szCs w:val="24"/>
        </w:rPr>
      </w:pPr>
      <w:r>
        <w:rPr>
          <w:i w:val="1"/>
          <w:iCs w:val="1"/>
          <w:sz w:val="24"/>
          <w:szCs w:val="24"/>
          <w:rtl w:val="0"/>
          <w:lang w:val="en-US"/>
        </w:rPr>
        <w:t>MRI analysis</w:t>
      </w:r>
    </w:p>
    <w:p>
      <w:pPr>
        <w:pStyle w:val="Body"/>
        <w:jc w:val="both"/>
        <w:rPr>
          <w:sz w:val="24"/>
          <w:szCs w:val="24"/>
        </w:rPr>
      </w:pPr>
      <w:r>
        <w:rPr>
          <w:sz w:val="24"/>
          <w:szCs w:val="24"/>
          <w:rtl w:val="0"/>
          <w:lang w:val="en-US"/>
        </w:rPr>
        <w:t>Numerous methods were explored and tested to obtain suitable barcodes from the MRI scans. We focused on doing this analysis only with the T1 modality, because we have complete scans of the brain, while T2 and FLAIR were used to scan only sections of the brain. The pixel intensity values were extracted from the preoperative T1 scan at the position of the probe determined with registration to the postoperative T1 scan. By identifying the pixel intensity level of obvious GM regions (such as gyruses) and WM regions (such as the corpus callosum), we could estimate a WM-GM threshold by selecting the pixel intensity level in the middle. The trajectories and the corresponding barcodes (also presented in Fig. 4) are presented in Fig. S1. This shows that the pixel intensity level is not an indicator of the tissue type.</w:t>
      </w:r>
    </w:p>
    <w:p>
      <w:pPr>
        <w:pStyle w:val="Body"/>
        <w:widowControl w:val="0"/>
        <w:spacing w:line="276" w:lineRule="auto"/>
        <w:jc w:val="both"/>
        <w:rPr>
          <w:sz w:val="24"/>
          <w:szCs w:val="24"/>
          <w:u w:val="single"/>
        </w:rPr>
      </w:pPr>
    </w:p>
    <w:p>
      <w:pPr>
        <w:pStyle w:val="Body"/>
        <w:jc w:val="both"/>
        <w:rPr>
          <w:i w:val="1"/>
          <w:iCs w:val="1"/>
          <w:sz w:val="24"/>
          <w:szCs w:val="24"/>
        </w:rPr>
      </w:pPr>
      <w:r>
        <w:rPr>
          <w:i w:val="1"/>
          <w:iCs w:val="1"/>
          <w:sz w:val="24"/>
          <w:szCs w:val="24"/>
          <w:rtl w:val="0"/>
          <w:lang w:val="en-US"/>
        </w:rPr>
        <w:t xml:space="preserve">Swept Coherent Anti-Stokes Raman Scattering </w:t>
      </w:r>
    </w:p>
    <w:p>
      <w:pPr>
        <w:pStyle w:val="Body"/>
        <w:jc w:val="both"/>
        <w:rPr>
          <w:sz w:val="24"/>
          <w:szCs w:val="24"/>
        </w:rPr>
      </w:pPr>
      <w:r>
        <w:rPr>
          <w:sz w:val="24"/>
          <w:szCs w:val="24"/>
          <w:rtl w:val="0"/>
          <w:lang w:val="en-US"/>
        </w:rPr>
        <w:t>The CARS measurements were acquired only in the right hemisphere with a 1-mm insertion step size, for a total of 3 trajectories. A schematic of the system is provided in Fig. 2. The laser system was a custom master oscillator power amplifier (MOPA) pump laser at 792 nm synchronized with a rapidly tunable programmable laser (PL) sweeping from 1020 to 1044 nm (Halifax Biomedical Inc). The wavelength ranges were chosen to interrogate specifically the high wavenumber region of the Raman spectrum (2800-3050 cm</w:t>
      </w:r>
      <w:r>
        <w:rPr>
          <w:sz w:val="24"/>
          <w:szCs w:val="24"/>
          <w:vertAlign w:val="superscript"/>
          <w:rtl w:val="0"/>
          <w:lang w:val="ru-RU"/>
        </w:rPr>
        <w:t>-1</w:t>
      </w:r>
      <w:r>
        <w:rPr>
          <w:sz w:val="24"/>
          <w:szCs w:val="24"/>
          <w:rtl w:val="0"/>
          <w:lang w:val="en-US"/>
        </w:rPr>
        <w:t>). Both lasers had a pulse width of 25 picoseconds and a 40 MHz repetition rate that was carefully aligned in space and time to optimize CARS signal generation from the tissue. The 2 lasers were sent through a single-mode, FC/AC terminated fiber (780HP, Thorlabs) in which the collimated light was sent through an array of signals. A custom-built probe composed of a single-mode fiber for CARS laser delivery, a multimode fiber (FG105UCA, Thorlabs) for DRS light delivery, and a multimode fiber (FG105UCA, Thorlabs) for DRS and CARS signals collection was built and inserted inside the modified stylet. This stylet is located inside the DBS electrode used during the surgery. After signal collection, to ensure the exclusive detection of the CARS signal, a 700-nm dichroic mirror (THECSPEC 700-nm Dichroic Highpass, Edmund Optics) was used to separate the CARS signal from the laser light. Finally, additional bandpass filters centered at 650 nm were used to further limit the detection of the laser light. The CARS signal was recorded using a photon counter detector (H8259-02, Hamamatsu) combined with custom-built software programmed in MATLAB, which decoded the temporally-encoded CARS signal from the photon counter using the timing outputs from the laser system to plot the calculated spectra after the acquisition.</w:t>
      </w:r>
    </w:p>
    <w:p>
      <w:pPr>
        <w:pStyle w:val="Body"/>
        <w:jc w:val="both"/>
        <w:rPr>
          <w:sz w:val="24"/>
          <w:szCs w:val="24"/>
        </w:rPr>
      </w:pPr>
    </w:p>
    <w:p>
      <w:pPr>
        <w:pStyle w:val="Body"/>
        <w:jc w:val="both"/>
        <w:rPr>
          <w:i w:val="1"/>
          <w:iCs w:val="1"/>
          <w:sz w:val="24"/>
          <w:szCs w:val="24"/>
        </w:rPr>
      </w:pPr>
      <w:r>
        <w:rPr>
          <w:i w:val="1"/>
          <w:iCs w:val="1"/>
          <w:sz w:val="24"/>
          <w:szCs w:val="24"/>
          <w:rtl w:val="0"/>
          <w:lang w:val="fr-FR"/>
        </w:rPr>
        <w:t>Diffuse reflectance spectroscopy</w:t>
      </w:r>
    </w:p>
    <w:p>
      <w:pPr>
        <w:pStyle w:val="Body"/>
        <w:jc w:val="both"/>
        <w:rPr>
          <w:sz w:val="24"/>
          <w:szCs w:val="24"/>
        </w:rPr>
      </w:pPr>
      <w:r>
        <w:rPr>
          <w:sz w:val="24"/>
          <w:szCs w:val="24"/>
          <w:rtl w:val="0"/>
          <w:lang w:val="en-US"/>
        </w:rPr>
        <w:t xml:space="preserve">DRS measurements were collected on the left hemisphere. This means that only DRSwas used in the left hemisphere, while it was used simultaneously with CARS in the right hemisphere. A fiber-based, white light source was used as the illumination component of the DRS through the delivery fiber of the custom-built probe. For left-hemisphere measurements, the collection fiber of the probe was directly plugged into a commercially available UV-VIS spectrometer (USB-4000, Ocean Optics) and the data were acquired using the software provided by the manufacturer. </w:t>
      </w:r>
    </w:p>
    <w:p>
      <w:pPr>
        <w:pStyle w:val="Body"/>
        <w:jc w:val="both"/>
        <w:rPr>
          <w:sz w:val="24"/>
          <w:szCs w:val="24"/>
        </w:rPr>
      </w:pPr>
    </w:p>
    <w:p>
      <w:pPr>
        <w:pStyle w:val="Body"/>
        <w:widowControl w:val="0"/>
        <w:spacing w:line="276" w:lineRule="auto"/>
        <w:jc w:val="both"/>
        <w:rPr>
          <w:i w:val="1"/>
          <w:iCs w:val="1"/>
          <w:sz w:val="24"/>
          <w:szCs w:val="24"/>
        </w:rPr>
      </w:pPr>
      <w:r>
        <w:rPr>
          <w:i w:val="1"/>
          <w:iCs w:val="1"/>
          <w:sz w:val="24"/>
          <w:szCs w:val="24"/>
          <w:rtl w:val="0"/>
          <w:lang w:val="en-US"/>
        </w:rPr>
        <w:t>Spectral analysis</w:t>
      </w:r>
    </w:p>
    <w:p>
      <w:pPr>
        <w:pStyle w:val="Body"/>
        <w:jc w:val="both"/>
        <w:rPr>
          <w:sz w:val="24"/>
          <w:szCs w:val="24"/>
        </w:rPr>
      </w:pPr>
      <w:r>
        <w:rPr>
          <w:sz w:val="24"/>
          <w:szCs w:val="24"/>
          <w:rtl w:val="0"/>
          <w:lang w:val="en-US"/>
        </w:rPr>
        <w:t xml:space="preserve">The spectral analysis process is shown in Fig. S2. Because the CARS signal was very noisy, CARS data were first pre-processed using a Savitzky-Golay filter (Fig. S2, step 2). Then, a PCA was performed on all data for each trajectory to reduce the dimensionality of the datasets using the </w:t>
      </w:r>
      <w:r>
        <w:rPr>
          <w:i w:val="1"/>
          <w:iCs w:val="1"/>
          <w:sz w:val="24"/>
          <w:szCs w:val="24"/>
          <w:rtl w:val="0"/>
          <w:lang w:val="en-US"/>
        </w:rPr>
        <w:t xml:space="preserve">sklearn </w:t>
      </w:r>
      <w:r>
        <w:rPr>
          <w:sz w:val="24"/>
          <w:szCs w:val="24"/>
          <w:rtl w:val="0"/>
          <w:lang w:val="en-US"/>
        </w:rPr>
        <w:t xml:space="preserve">Python package (Fig. S2, step 3). To identify the most relevant PCs to retain for subsequent analysis, the explained variance ratio of each PC was determined (Fig. S2, step 4). The PCs with the highest percentage of explained variance were conserved and used for clustering. More specifically, the </w:t>
      </w:r>
      <w:r>
        <w:rPr>
          <w:i w:val="1"/>
          <w:iCs w:val="1"/>
          <w:sz w:val="24"/>
          <w:szCs w:val="24"/>
          <w:rtl w:val="0"/>
          <w:lang w:val="en-US"/>
        </w:rPr>
        <w:t>k-means</w:t>
      </w:r>
      <w:r>
        <w:rPr>
          <w:sz w:val="24"/>
          <w:szCs w:val="24"/>
          <w:rtl w:val="0"/>
          <w:lang w:val="en-US"/>
        </w:rPr>
        <w:t xml:space="preserve"> clustering algorithm was applied to separate all the data into 2 groups that we interpreted as being either WM or GM (Fig. S2, step 5). Finally, the results from this classification were compared to the ground truth from brain slice visualizations (Fig. S2, step 6). </w:t>
      </w:r>
    </w:p>
    <w:p>
      <w:pPr>
        <w:pStyle w:val="Body"/>
        <w:jc w:val="both"/>
      </w:pPr>
      <w:r>
        <w:rPr>
          <w:sz w:val="24"/>
          <w:szCs w:val="24"/>
        </w:rPr>
      </w:r>
    </w:p>
    <w:sectPr>
      <w:headerReference w:type="default" r:id="rId4"/>
      <w:footerReference w:type="default" r:id="rId5"/>
      <w:pgSz w:w="12240" w:h="15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36"/>
      <w:szCs w:val="36"/>
      <w:u w:val="none" w:color="000000"/>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