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6676" w:rsidRPr="00702D5B" w:rsidRDefault="002D3CE8">
      <w:pPr>
        <w:jc w:val="center"/>
        <w:rPr>
          <w:b/>
          <w:sz w:val="46"/>
          <w:szCs w:val="46"/>
          <w:lang w:val="en-US"/>
        </w:rPr>
      </w:pPr>
      <w:r w:rsidRPr="00702D5B">
        <w:rPr>
          <w:b/>
          <w:sz w:val="42"/>
          <w:szCs w:val="42"/>
          <w:lang w:val="en-US"/>
        </w:rPr>
        <w:t>Supplementary material</w:t>
      </w:r>
    </w:p>
    <w:p w:rsidR="00596676" w:rsidRPr="00702D5B" w:rsidRDefault="00596676">
      <w:pPr>
        <w:jc w:val="center"/>
        <w:rPr>
          <w:b/>
          <w:sz w:val="32"/>
          <w:szCs w:val="32"/>
          <w:lang w:val="en-US"/>
        </w:rPr>
      </w:pPr>
    </w:p>
    <w:p w:rsidR="00596676" w:rsidRPr="00702D5B" w:rsidRDefault="00596676">
      <w:pPr>
        <w:jc w:val="center"/>
        <w:rPr>
          <w:b/>
          <w:sz w:val="32"/>
          <w:szCs w:val="32"/>
          <w:lang w:val="en-US"/>
        </w:rPr>
      </w:pPr>
    </w:p>
    <w:p w:rsidR="00596676" w:rsidRPr="00702D5B" w:rsidRDefault="002D3CE8">
      <w:pPr>
        <w:spacing w:line="360" w:lineRule="auto"/>
        <w:jc w:val="center"/>
        <w:rPr>
          <w:rFonts w:ascii="Calibri" w:eastAsia="Calibri" w:hAnsi="Calibri" w:cs="Calibri"/>
          <w:b/>
          <w:sz w:val="30"/>
          <w:szCs w:val="30"/>
          <w:lang w:val="en-US"/>
        </w:rPr>
      </w:pPr>
      <w:r w:rsidRPr="00702D5B">
        <w:rPr>
          <w:rFonts w:ascii="Calibri" w:eastAsia="Calibri" w:hAnsi="Calibri" w:cs="Calibri"/>
          <w:b/>
          <w:sz w:val="29"/>
          <w:szCs w:val="29"/>
          <w:lang w:val="en-US"/>
        </w:rPr>
        <w:t>Engineered yeast cells simulating CD19+ cancers to control CAR T cell activation</w:t>
      </w:r>
    </w:p>
    <w:p w:rsidR="00596676" w:rsidRPr="00702D5B" w:rsidRDefault="00596676">
      <w:pPr>
        <w:spacing w:line="360" w:lineRule="auto"/>
        <w:jc w:val="center"/>
        <w:rPr>
          <w:rFonts w:ascii="Calibri" w:eastAsia="Calibri" w:hAnsi="Calibri" w:cs="Calibri"/>
          <w:lang w:val="en-US"/>
        </w:rPr>
      </w:pPr>
    </w:p>
    <w:p w:rsidR="00596676" w:rsidRPr="00702D5B" w:rsidRDefault="002D3CE8">
      <w:pPr>
        <w:spacing w:line="360" w:lineRule="auto"/>
        <w:jc w:val="center"/>
        <w:rPr>
          <w:rFonts w:ascii="Calibri" w:eastAsia="Calibri" w:hAnsi="Calibri" w:cs="Calibri"/>
          <w:b/>
          <w:u w:val="single"/>
          <w:lang w:val="en-US"/>
        </w:rPr>
      </w:pPr>
      <w:r w:rsidRPr="00702D5B">
        <w:rPr>
          <w:rFonts w:ascii="Calibri" w:eastAsia="Calibri" w:hAnsi="Calibri" w:cs="Calibri"/>
          <w:lang w:val="en-US"/>
        </w:rPr>
        <w:t>Marcus Deichmann</w:t>
      </w:r>
      <w:r w:rsidRPr="00702D5B">
        <w:rPr>
          <w:rFonts w:ascii="Calibri" w:eastAsia="Calibri" w:hAnsi="Calibri" w:cs="Calibri"/>
          <w:vertAlign w:val="superscript"/>
          <w:lang w:val="en-US"/>
        </w:rPr>
        <w:t>1</w:t>
      </w:r>
      <w:r w:rsidRPr="00702D5B">
        <w:rPr>
          <w:rFonts w:ascii="Calibri" w:eastAsia="Calibri" w:hAnsi="Calibri" w:cs="Calibri"/>
          <w:lang w:val="en-US"/>
        </w:rPr>
        <w:t>, Giovanni Schiesaro</w:t>
      </w:r>
      <w:r w:rsidRPr="00702D5B">
        <w:rPr>
          <w:rFonts w:ascii="Calibri" w:eastAsia="Calibri" w:hAnsi="Calibri" w:cs="Calibri"/>
          <w:vertAlign w:val="superscript"/>
          <w:lang w:val="en-US"/>
        </w:rPr>
        <w:t>1</w:t>
      </w:r>
      <w:r w:rsidRPr="00702D5B">
        <w:rPr>
          <w:rFonts w:ascii="Calibri" w:eastAsia="Calibri" w:hAnsi="Calibri" w:cs="Calibri"/>
          <w:lang w:val="en-US"/>
        </w:rPr>
        <w:t xml:space="preserve">, </w:t>
      </w:r>
      <w:proofErr w:type="spellStart"/>
      <w:r w:rsidRPr="00702D5B">
        <w:rPr>
          <w:rFonts w:ascii="Calibri" w:eastAsia="Calibri" w:hAnsi="Calibri" w:cs="Calibri"/>
          <w:lang w:val="en-US"/>
        </w:rPr>
        <w:t>Keerthana</w:t>
      </w:r>
      <w:proofErr w:type="spellEnd"/>
      <w:r w:rsidRPr="00702D5B">
        <w:rPr>
          <w:rFonts w:ascii="Calibri" w:eastAsia="Calibri" w:hAnsi="Calibri" w:cs="Calibri"/>
          <w:lang w:val="en-US"/>
        </w:rPr>
        <w:t xml:space="preserve"> Ramanathan</w:t>
      </w:r>
      <w:r w:rsidRPr="00702D5B">
        <w:rPr>
          <w:rFonts w:ascii="Calibri" w:eastAsia="Calibri" w:hAnsi="Calibri" w:cs="Calibri"/>
          <w:vertAlign w:val="superscript"/>
          <w:lang w:val="en-US"/>
        </w:rPr>
        <w:t>2</w:t>
      </w:r>
      <w:r w:rsidRPr="00702D5B">
        <w:rPr>
          <w:rFonts w:ascii="Calibri" w:eastAsia="Calibri" w:hAnsi="Calibri" w:cs="Calibri"/>
          <w:lang w:val="en-US"/>
        </w:rPr>
        <w:t>, Katrine Zeeberg</w:t>
      </w:r>
      <w:r w:rsidRPr="00702D5B">
        <w:rPr>
          <w:rFonts w:ascii="Calibri" w:eastAsia="Calibri" w:hAnsi="Calibri" w:cs="Calibri"/>
          <w:vertAlign w:val="superscript"/>
          <w:lang w:val="en-US"/>
        </w:rPr>
        <w:t>1</w:t>
      </w:r>
      <w:r w:rsidRPr="00702D5B">
        <w:rPr>
          <w:rFonts w:ascii="Calibri" w:eastAsia="Calibri" w:hAnsi="Calibri" w:cs="Calibri"/>
          <w:lang w:val="en-US"/>
        </w:rPr>
        <w:t>, Nanna M. T. Koefoed</w:t>
      </w:r>
      <w:r w:rsidRPr="00702D5B">
        <w:rPr>
          <w:rFonts w:ascii="Calibri" w:eastAsia="Calibri" w:hAnsi="Calibri" w:cs="Calibri"/>
          <w:vertAlign w:val="superscript"/>
          <w:lang w:val="en-US"/>
        </w:rPr>
        <w:t>1</w:t>
      </w:r>
      <w:r w:rsidRPr="00702D5B">
        <w:rPr>
          <w:rFonts w:ascii="Calibri" w:eastAsia="Calibri" w:hAnsi="Calibri" w:cs="Calibri"/>
          <w:lang w:val="en-US"/>
        </w:rPr>
        <w:t>, Maria Ormhøj</w:t>
      </w:r>
      <w:r w:rsidRPr="00702D5B">
        <w:rPr>
          <w:rFonts w:ascii="Calibri" w:eastAsia="Calibri" w:hAnsi="Calibri" w:cs="Calibri"/>
          <w:vertAlign w:val="superscript"/>
          <w:lang w:val="en-US"/>
        </w:rPr>
        <w:t>2</w:t>
      </w:r>
      <w:r w:rsidRPr="00702D5B">
        <w:rPr>
          <w:rFonts w:ascii="Calibri" w:eastAsia="Calibri" w:hAnsi="Calibri" w:cs="Calibri"/>
          <w:lang w:val="en-US"/>
        </w:rPr>
        <w:t xml:space="preserve">, </w:t>
      </w:r>
      <w:proofErr w:type="spellStart"/>
      <w:r w:rsidRPr="00702D5B">
        <w:rPr>
          <w:rFonts w:ascii="Calibri" w:eastAsia="Calibri" w:hAnsi="Calibri" w:cs="Calibri"/>
          <w:lang w:val="en-US"/>
        </w:rPr>
        <w:t>Rasmus</w:t>
      </w:r>
      <w:proofErr w:type="spellEnd"/>
      <w:r w:rsidRPr="00702D5B">
        <w:rPr>
          <w:rFonts w:ascii="Calibri" w:eastAsia="Calibri" w:hAnsi="Calibri" w:cs="Calibri"/>
          <w:lang w:val="en-US"/>
        </w:rPr>
        <w:t xml:space="preserve"> U. W. Friis</w:t>
      </w:r>
      <w:r w:rsidRPr="00702D5B">
        <w:rPr>
          <w:rFonts w:ascii="Calibri" w:eastAsia="Calibri" w:hAnsi="Calibri" w:cs="Calibri"/>
          <w:vertAlign w:val="superscript"/>
          <w:lang w:val="en-US"/>
        </w:rPr>
        <w:t>2</w:t>
      </w:r>
      <w:r w:rsidRPr="00702D5B">
        <w:rPr>
          <w:rFonts w:ascii="Calibri" w:eastAsia="Calibri" w:hAnsi="Calibri" w:cs="Calibri"/>
          <w:lang w:val="en-US"/>
        </w:rPr>
        <w:t>, Ryan T. Gill</w:t>
      </w:r>
      <w:r w:rsidRPr="00702D5B">
        <w:rPr>
          <w:rFonts w:ascii="Calibri" w:eastAsia="Calibri" w:hAnsi="Calibri" w:cs="Calibri"/>
          <w:vertAlign w:val="superscript"/>
          <w:lang w:val="en-US"/>
        </w:rPr>
        <w:t>1,3</w:t>
      </w:r>
      <w:r w:rsidRPr="00702D5B">
        <w:rPr>
          <w:rFonts w:ascii="Calibri" w:eastAsia="Calibri" w:hAnsi="Calibri" w:cs="Calibri"/>
          <w:lang w:val="en-US"/>
        </w:rPr>
        <w:t>, Sine R. Hadrup</w:t>
      </w:r>
      <w:r w:rsidRPr="00702D5B">
        <w:rPr>
          <w:rFonts w:ascii="Calibri" w:eastAsia="Calibri" w:hAnsi="Calibri" w:cs="Calibri"/>
          <w:vertAlign w:val="superscript"/>
          <w:lang w:val="en-US"/>
        </w:rPr>
        <w:t>2</w:t>
      </w:r>
      <w:r w:rsidRPr="00702D5B">
        <w:rPr>
          <w:rFonts w:ascii="Calibri" w:eastAsia="Calibri" w:hAnsi="Calibri" w:cs="Calibri"/>
          <w:lang w:val="en-US"/>
        </w:rPr>
        <w:t>, Emil D. Jensen</w:t>
      </w:r>
      <w:r w:rsidRPr="00702D5B">
        <w:rPr>
          <w:rFonts w:ascii="Calibri" w:eastAsia="Calibri" w:hAnsi="Calibri" w:cs="Calibri"/>
          <w:vertAlign w:val="superscript"/>
          <w:lang w:val="en-US"/>
        </w:rPr>
        <w:t>1</w:t>
      </w:r>
      <w:r w:rsidRPr="00702D5B">
        <w:rPr>
          <w:rFonts w:ascii="Calibri" w:eastAsia="Calibri" w:hAnsi="Calibri" w:cs="Calibri"/>
          <w:lang w:val="en-US"/>
        </w:rPr>
        <w:t>*, Michael K. Jensen</w:t>
      </w:r>
      <w:r w:rsidRPr="00702D5B">
        <w:rPr>
          <w:rFonts w:ascii="Calibri" w:eastAsia="Calibri" w:hAnsi="Calibri" w:cs="Calibri"/>
          <w:vertAlign w:val="superscript"/>
          <w:lang w:val="en-US"/>
        </w:rPr>
        <w:t>1</w:t>
      </w:r>
      <w:r w:rsidRPr="00702D5B">
        <w:rPr>
          <w:rFonts w:ascii="Calibri" w:eastAsia="Calibri" w:hAnsi="Calibri" w:cs="Calibri"/>
          <w:lang w:val="en-US"/>
        </w:rPr>
        <w:t>*</w:t>
      </w:r>
    </w:p>
    <w:p w:rsidR="00596676" w:rsidRPr="00702D5B" w:rsidRDefault="00596676">
      <w:pPr>
        <w:spacing w:line="360" w:lineRule="auto"/>
        <w:rPr>
          <w:rFonts w:ascii="Calibri" w:eastAsia="Calibri" w:hAnsi="Calibri" w:cs="Calibri"/>
          <w:vertAlign w:val="superscript"/>
          <w:lang w:val="en-US"/>
        </w:rPr>
      </w:pPr>
    </w:p>
    <w:p w:rsidR="00596676" w:rsidRDefault="002D3CE8">
      <w:pPr>
        <w:spacing w:line="360" w:lineRule="auto"/>
        <w:rPr>
          <w:rFonts w:ascii="Calibri" w:eastAsia="Calibri" w:hAnsi="Calibri" w:cs="Calibri"/>
        </w:rPr>
      </w:pPr>
      <w:proofErr w:type="gramStart"/>
      <w:r w:rsidRPr="00702D5B">
        <w:rPr>
          <w:rFonts w:ascii="Calibri" w:eastAsia="Calibri" w:hAnsi="Calibri" w:cs="Calibri"/>
          <w:vertAlign w:val="superscript"/>
          <w:lang w:val="en-US"/>
        </w:rPr>
        <w:t>1</w:t>
      </w:r>
      <w:proofErr w:type="gramEnd"/>
      <w:r w:rsidRPr="00702D5B">
        <w:rPr>
          <w:rFonts w:ascii="Calibri" w:eastAsia="Calibri" w:hAnsi="Calibri" w:cs="Calibri"/>
          <w:vertAlign w:val="superscript"/>
          <w:lang w:val="en-US"/>
        </w:rPr>
        <w:t xml:space="preserve"> </w:t>
      </w:r>
      <w:r w:rsidRPr="00702D5B">
        <w:rPr>
          <w:rFonts w:ascii="Calibri" w:eastAsia="Calibri" w:hAnsi="Calibri" w:cs="Calibri"/>
          <w:lang w:val="en-US"/>
        </w:rPr>
        <w:t xml:space="preserve">Novo Nordisk Foundation Center for </w:t>
      </w:r>
      <w:proofErr w:type="spellStart"/>
      <w:r w:rsidRPr="00702D5B">
        <w:rPr>
          <w:rFonts w:ascii="Calibri" w:eastAsia="Calibri" w:hAnsi="Calibri" w:cs="Calibri"/>
          <w:lang w:val="en-US"/>
        </w:rPr>
        <w:t>Biosustainability</w:t>
      </w:r>
      <w:proofErr w:type="spellEnd"/>
      <w:r w:rsidRPr="00702D5B">
        <w:rPr>
          <w:rFonts w:ascii="Calibri" w:eastAsia="Calibri" w:hAnsi="Calibri" w:cs="Calibri"/>
          <w:lang w:val="en-US"/>
        </w:rPr>
        <w:t xml:space="preserve">, Technical University of Denmark, Kgs. </w:t>
      </w:r>
      <w:r>
        <w:rPr>
          <w:rFonts w:ascii="Calibri" w:eastAsia="Calibri" w:hAnsi="Calibri" w:cs="Calibri"/>
        </w:rPr>
        <w:t>Lyngby, Denmark</w:t>
      </w:r>
    </w:p>
    <w:p w:rsidR="00596676" w:rsidRDefault="002D3CE8">
      <w:pPr>
        <w:spacing w:line="360" w:lineRule="auto"/>
        <w:rPr>
          <w:rFonts w:ascii="Calibri" w:eastAsia="Calibri" w:hAnsi="Calibri" w:cs="Calibri"/>
        </w:rPr>
      </w:pPr>
      <w:proofErr w:type="gramStart"/>
      <w:r w:rsidRPr="00702D5B">
        <w:rPr>
          <w:rFonts w:ascii="Calibri" w:eastAsia="Calibri" w:hAnsi="Calibri" w:cs="Calibri"/>
          <w:vertAlign w:val="superscript"/>
          <w:lang w:val="en-US"/>
        </w:rPr>
        <w:t>2</w:t>
      </w:r>
      <w:proofErr w:type="gramEnd"/>
      <w:r w:rsidRPr="00702D5B">
        <w:rPr>
          <w:rFonts w:ascii="Calibri" w:eastAsia="Calibri" w:hAnsi="Calibri" w:cs="Calibri"/>
          <w:lang w:val="en-US"/>
        </w:rPr>
        <w:t xml:space="preserve"> Department of Health Technology, Technical University of Denmark, Kgs. </w:t>
      </w:r>
      <w:r>
        <w:rPr>
          <w:rFonts w:ascii="Calibri" w:eastAsia="Calibri" w:hAnsi="Calibri" w:cs="Calibri"/>
        </w:rPr>
        <w:t>Lyngby, Denmark.</w:t>
      </w:r>
    </w:p>
    <w:p w:rsidR="00596676" w:rsidRPr="00702D5B" w:rsidRDefault="002D3CE8">
      <w:pPr>
        <w:spacing w:line="360" w:lineRule="auto"/>
        <w:rPr>
          <w:rFonts w:ascii="Calibri" w:eastAsia="Calibri" w:hAnsi="Calibri" w:cs="Calibri"/>
          <w:lang w:val="en-US"/>
        </w:rPr>
      </w:pPr>
      <w:proofErr w:type="gramStart"/>
      <w:r w:rsidRPr="00702D5B">
        <w:rPr>
          <w:rFonts w:ascii="Calibri" w:eastAsia="Calibri" w:hAnsi="Calibri" w:cs="Calibri"/>
          <w:vertAlign w:val="superscript"/>
          <w:lang w:val="en-US"/>
        </w:rPr>
        <w:t>3</w:t>
      </w:r>
      <w:proofErr w:type="gramEnd"/>
      <w:r w:rsidRPr="00702D5B">
        <w:rPr>
          <w:rFonts w:ascii="Calibri" w:eastAsia="Calibri" w:hAnsi="Calibri" w:cs="Calibri"/>
          <w:lang w:val="en-US"/>
        </w:rPr>
        <w:t xml:space="preserve"> Artisan Bio, 363 Centennial Parkway, Suite 310, Louisville, Colorado 80027, United States.</w:t>
      </w:r>
    </w:p>
    <w:p w:rsidR="00596676" w:rsidRPr="00702D5B" w:rsidRDefault="00596676">
      <w:pPr>
        <w:spacing w:line="360" w:lineRule="auto"/>
        <w:rPr>
          <w:b/>
          <w:sz w:val="32"/>
          <w:szCs w:val="32"/>
          <w:lang w:val="en-US"/>
        </w:rPr>
      </w:pPr>
    </w:p>
    <w:p w:rsidR="00596676" w:rsidRPr="00702D5B" w:rsidRDefault="00596676">
      <w:pPr>
        <w:rPr>
          <w:sz w:val="20"/>
          <w:szCs w:val="20"/>
          <w:lang w:val="en-US"/>
        </w:rPr>
      </w:pPr>
    </w:p>
    <w:p w:rsidR="00596676" w:rsidRPr="00702D5B" w:rsidRDefault="00596676">
      <w:pPr>
        <w:rPr>
          <w:b/>
          <w:sz w:val="28"/>
          <w:szCs w:val="28"/>
          <w:lang w:val="en-US"/>
        </w:rPr>
      </w:pPr>
    </w:p>
    <w:p w:rsidR="00596676" w:rsidRPr="00702D5B" w:rsidRDefault="00596676">
      <w:pPr>
        <w:spacing w:line="360" w:lineRule="auto"/>
        <w:jc w:val="both"/>
        <w:rPr>
          <w:rFonts w:ascii="Calibri" w:eastAsia="Calibri" w:hAnsi="Calibri" w:cs="Calibri"/>
          <w:b/>
          <w:u w:val="single"/>
          <w:lang w:val="en-US"/>
        </w:rPr>
      </w:pPr>
    </w:p>
    <w:p w:rsidR="00596676" w:rsidRPr="00702D5B" w:rsidRDefault="00596676">
      <w:pPr>
        <w:spacing w:line="360" w:lineRule="auto"/>
        <w:jc w:val="both"/>
        <w:rPr>
          <w:rFonts w:ascii="Calibri" w:eastAsia="Calibri" w:hAnsi="Calibri" w:cs="Calibri"/>
          <w:b/>
          <w:u w:val="single"/>
          <w:lang w:val="en-US"/>
        </w:rPr>
      </w:pPr>
    </w:p>
    <w:p w:rsidR="00596676" w:rsidRPr="00702D5B" w:rsidRDefault="00596676">
      <w:pPr>
        <w:spacing w:line="360" w:lineRule="auto"/>
        <w:jc w:val="both"/>
        <w:rPr>
          <w:rFonts w:ascii="Calibri" w:eastAsia="Calibri" w:hAnsi="Calibri" w:cs="Calibri"/>
          <w:b/>
          <w:u w:val="single"/>
          <w:lang w:val="en-US"/>
        </w:rPr>
      </w:pPr>
    </w:p>
    <w:p w:rsidR="00596676" w:rsidRPr="00702D5B" w:rsidRDefault="00596676">
      <w:pPr>
        <w:spacing w:line="360" w:lineRule="auto"/>
        <w:jc w:val="both"/>
        <w:rPr>
          <w:rFonts w:ascii="Calibri" w:eastAsia="Calibri" w:hAnsi="Calibri" w:cs="Calibri"/>
          <w:b/>
          <w:u w:val="single"/>
          <w:lang w:val="en-US"/>
        </w:rPr>
      </w:pPr>
    </w:p>
    <w:p w:rsidR="00596676" w:rsidRPr="00702D5B" w:rsidRDefault="00596676">
      <w:pPr>
        <w:spacing w:line="360" w:lineRule="auto"/>
        <w:jc w:val="both"/>
        <w:rPr>
          <w:rFonts w:ascii="Calibri" w:eastAsia="Calibri" w:hAnsi="Calibri" w:cs="Calibri"/>
          <w:b/>
          <w:u w:val="single"/>
          <w:lang w:val="en-US"/>
        </w:rPr>
      </w:pPr>
    </w:p>
    <w:p w:rsidR="00596676" w:rsidRPr="00702D5B" w:rsidRDefault="00596676">
      <w:pPr>
        <w:spacing w:line="360" w:lineRule="auto"/>
        <w:jc w:val="both"/>
        <w:rPr>
          <w:rFonts w:ascii="Calibri" w:eastAsia="Calibri" w:hAnsi="Calibri" w:cs="Calibri"/>
          <w:b/>
          <w:u w:val="single"/>
          <w:lang w:val="en-US"/>
        </w:rPr>
      </w:pPr>
    </w:p>
    <w:p w:rsidR="00596676" w:rsidRPr="00702D5B" w:rsidRDefault="00596676">
      <w:pPr>
        <w:spacing w:line="360" w:lineRule="auto"/>
        <w:jc w:val="both"/>
        <w:rPr>
          <w:rFonts w:ascii="Calibri" w:eastAsia="Calibri" w:hAnsi="Calibri" w:cs="Calibri"/>
          <w:b/>
          <w:u w:val="single"/>
          <w:lang w:val="en-US"/>
        </w:rPr>
      </w:pPr>
    </w:p>
    <w:p w:rsidR="00596676" w:rsidRPr="00702D5B" w:rsidRDefault="00596676">
      <w:pPr>
        <w:spacing w:line="360" w:lineRule="auto"/>
        <w:jc w:val="both"/>
        <w:rPr>
          <w:rFonts w:ascii="Calibri" w:eastAsia="Calibri" w:hAnsi="Calibri" w:cs="Calibri"/>
          <w:b/>
          <w:u w:val="single"/>
          <w:lang w:val="en-US"/>
        </w:rPr>
      </w:pPr>
    </w:p>
    <w:p w:rsidR="00596676" w:rsidRPr="00702D5B" w:rsidRDefault="00596676">
      <w:pPr>
        <w:spacing w:line="360" w:lineRule="auto"/>
        <w:jc w:val="both"/>
        <w:rPr>
          <w:rFonts w:ascii="Calibri" w:eastAsia="Calibri" w:hAnsi="Calibri" w:cs="Calibri"/>
          <w:b/>
          <w:u w:val="single"/>
          <w:lang w:val="en-US"/>
        </w:rPr>
      </w:pPr>
    </w:p>
    <w:p w:rsidR="00596676" w:rsidRPr="00702D5B" w:rsidRDefault="00596676">
      <w:pPr>
        <w:spacing w:line="360" w:lineRule="auto"/>
        <w:jc w:val="both"/>
        <w:rPr>
          <w:rFonts w:ascii="Calibri" w:eastAsia="Calibri" w:hAnsi="Calibri" w:cs="Calibri"/>
          <w:b/>
          <w:u w:val="single"/>
          <w:lang w:val="en-US"/>
        </w:rPr>
      </w:pPr>
    </w:p>
    <w:p w:rsidR="00596676" w:rsidRPr="00702D5B" w:rsidRDefault="00596676">
      <w:pPr>
        <w:spacing w:line="360" w:lineRule="auto"/>
        <w:jc w:val="both"/>
        <w:rPr>
          <w:rFonts w:ascii="Calibri" w:eastAsia="Calibri" w:hAnsi="Calibri" w:cs="Calibri"/>
          <w:b/>
          <w:u w:val="single"/>
          <w:lang w:val="en-US"/>
        </w:rPr>
      </w:pPr>
    </w:p>
    <w:p w:rsidR="00596676" w:rsidRPr="00702D5B" w:rsidRDefault="00596676">
      <w:pPr>
        <w:spacing w:line="360" w:lineRule="auto"/>
        <w:jc w:val="both"/>
        <w:rPr>
          <w:rFonts w:ascii="Calibri" w:eastAsia="Calibri" w:hAnsi="Calibri" w:cs="Calibri"/>
          <w:b/>
          <w:u w:val="single"/>
          <w:lang w:val="en-US"/>
        </w:rPr>
      </w:pPr>
    </w:p>
    <w:p w:rsidR="00596676" w:rsidRPr="00702D5B" w:rsidRDefault="00596676">
      <w:pPr>
        <w:spacing w:line="360" w:lineRule="auto"/>
        <w:jc w:val="both"/>
        <w:rPr>
          <w:rFonts w:ascii="Calibri" w:eastAsia="Calibri" w:hAnsi="Calibri" w:cs="Calibri"/>
          <w:b/>
          <w:u w:val="single"/>
          <w:lang w:val="en-US"/>
        </w:rPr>
      </w:pPr>
    </w:p>
    <w:p w:rsidR="00596676" w:rsidRPr="00702D5B" w:rsidRDefault="00596676">
      <w:pPr>
        <w:spacing w:line="360" w:lineRule="auto"/>
        <w:jc w:val="both"/>
        <w:rPr>
          <w:rFonts w:ascii="Calibri" w:eastAsia="Calibri" w:hAnsi="Calibri" w:cs="Calibri"/>
          <w:b/>
          <w:u w:val="single"/>
          <w:lang w:val="en-US"/>
        </w:rPr>
      </w:pPr>
    </w:p>
    <w:p w:rsidR="00596676" w:rsidRPr="00702D5B" w:rsidRDefault="00596676">
      <w:pPr>
        <w:spacing w:line="360" w:lineRule="auto"/>
        <w:jc w:val="both"/>
        <w:rPr>
          <w:rFonts w:ascii="Calibri" w:eastAsia="Calibri" w:hAnsi="Calibri" w:cs="Calibri"/>
          <w:b/>
          <w:u w:val="single"/>
          <w:lang w:val="en-US"/>
        </w:rPr>
      </w:pPr>
    </w:p>
    <w:p w:rsidR="00596676" w:rsidRPr="00702D5B" w:rsidRDefault="00596676">
      <w:pPr>
        <w:spacing w:line="360" w:lineRule="auto"/>
        <w:jc w:val="both"/>
        <w:rPr>
          <w:rFonts w:ascii="Calibri" w:eastAsia="Calibri" w:hAnsi="Calibri" w:cs="Calibri"/>
          <w:b/>
          <w:u w:val="single"/>
          <w:lang w:val="en-US"/>
        </w:rPr>
      </w:pPr>
    </w:p>
    <w:p w:rsidR="00596676" w:rsidRPr="00C1024A" w:rsidRDefault="002D3CE8">
      <w:pPr>
        <w:spacing w:line="360" w:lineRule="auto"/>
        <w:jc w:val="both"/>
        <w:rPr>
          <w:rFonts w:ascii="Calibri" w:eastAsia="Calibri" w:hAnsi="Calibri" w:cs="Calibri"/>
          <w:b/>
          <w:u w:val="single"/>
          <w:lang w:val="en-US"/>
        </w:rPr>
      </w:pPr>
      <w:r w:rsidRPr="00C1024A">
        <w:rPr>
          <w:rFonts w:ascii="Calibri" w:eastAsia="Calibri" w:hAnsi="Calibri" w:cs="Calibri"/>
          <w:b/>
          <w:u w:val="single"/>
          <w:lang w:val="en-US"/>
        </w:rPr>
        <w:lastRenderedPageBreak/>
        <w:t>Suppl. Fig. 1</w:t>
      </w:r>
      <w:r w:rsidRPr="00C1024A">
        <w:rPr>
          <w:rFonts w:ascii="Calibri" w:eastAsia="Calibri" w:hAnsi="Calibri" w:cs="Calibri"/>
          <w:b/>
          <w:u w:val="single"/>
          <w:lang w:val="en-US"/>
        </w:rPr>
        <w:tab/>
      </w:r>
      <w:r w:rsidRPr="00C1024A">
        <w:rPr>
          <w:rFonts w:ascii="Calibri" w:eastAsia="Calibri" w:hAnsi="Calibri" w:cs="Calibri"/>
          <w:b/>
          <w:u w:val="single"/>
          <w:lang w:val="en-US"/>
        </w:rPr>
        <w:tab/>
      </w:r>
      <w:r w:rsidRPr="00C1024A">
        <w:rPr>
          <w:rFonts w:ascii="Calibri" w:eastAsia="Calibri" w:hAnsi="Calibri" w:cs="Calibri"/>
          <w:b/>
          <w:u w:val="single"/>
          <w:lang w:val="en-US"/>
        </w:rPr>
        <w:tab/>
      </w:r>
      <w:r w:rsidRPr="00C1024A">
        <w:rPr>
          <w:rFonts w:ascii="Calibri" w:eastAsia="Calibri" w:hAnsi="Calibri" w:cs="Calibri"/>
          <w:b/>
          <w:u w:val="single"/>
          <w:lang w:val="en-US"/>
        </w:rPr>
        <w:tab/>
      </w:r>
      <w:r w:rsidRPr="00C1024A">
        <w:rPr>
          <w:rFonts w:ascii="Calibri" w:eastAsia="Calibri" w:hAnsi="Calibri" w:cs="Calibri"/>
          <w:b/>
          <w:u w:val="single"/>
          <w:lang w:val="en-US"/>
        </w:rPr>
        <w:tab/>
      </w:r>
      <w:r w:rsidRPr="00C1024A">
        <w:rPr>
          <w:rFonts w:ascii="Calibri" w:eastAsia="Calibri" w:hAnsi="Calibri" w:cs="Calibri"/>
          <w:b/>
          <w:u w:val="single"/>
          <w:lang w:val="en-US"/>
        </w:rPr>
        <w:tab/>
      </w:r>
      <w:r w:rsidRPr="00C1024A">
        <w:rPr>
          <w:rFonts w:ascii="Calibri" w:eastAsia="Calibri" w:hAnsi="Calibri" w:cs="Calibri"/>
          <w:b/>
          <w:u w:val="single"/>
          <w:lang w:val="en-US"/>
        </w:rPr>
        <w:tab/>
      </w:r>
      <w:r w:rsidRPr="00C1024A">
        <w:rPr>
          <w:rFonts w:ascii="Calibri" w:eastAsia="Calibri" w:hAnsi="Calibri" w:cs="Calibri"/>
          <w:b/>
          <w:u w:val="single"/>
          <w:lang w:val="en-US"/>
        </w:rPr>
        <w:tab/>
      </w:r>
      <w:r w:rsidRPr="00C1024A">
        <w:rPr>
          <w:rFonts w:ascii="Calibri" w:eastAsia="Calibri" w:hAnsi="Calibri" w:cs="Calibri"/>
          <w:b/>
          <w:u w:val="single"/>
          <w:lang w:val="en-US"/>
        </w:rPr>
        <w:tab/>
      </w:r>
      <w:r w:rsidRPr="00C1024A">
        <w:rPr>
          <w:rFonts w:ascii="Calibri" w:eastAsia="Calibri" w:hAnsi="Calibri" w:cs="Calibri"/>
          <w:b/>
          <w:u w:val="single"/>
          <w:lang w:val="en-US"/>
        </w:rPr>
        <w:tab/>
      </w:r>
      <w:r w:rsidRPr="00C1024A">
        <w:rPr>
          <w:rFonts w:ascii="Calibri" w:eastAsia="Calibri" w:hAnsi="Calibri" w:cs="Calibri"/>
          <w:b/>
          <w:u w:val="single"/>
          <w:lang w:val="en-US"/>
        </w:rPr>
        <w:tab/>
      </w:r>
    </w:p>
    <w:p w:rsidR="00596676" w:rsidRPr="00C1024A" w:rsidRDefault="00234939">
      <w:pPr>
        <w:spacing w:line="360" w:lineRule="auto"/>
        <w:jc w:val="center"/>
        <w:rPr>
          <w:rFonts w:ascii="Calibri" w:eastAsia="Calibri" w:hAnsi="Calibri" w:cs="Calibri"/>
          <w:b/>
          <w:lang w:val="en-US"/>
        </w:rPr>
      </w:pPr>
      <w:r>
        <w:rPr>
          <w:rFonts w:ascii="Calibri" w:eastAsia="Calibri" w:hAnsi="Calibri" w:cs="Calibri"/>
          <w:b/>
          <w:noProof/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0.75pt;height:304.65pt">
            <v:imagedata r:id="rId6" o:title="Suppl Fig 1 (A-C) - RPKM"/>
          </v:shape>
        </w:pict>
      </w:r>
    </w:p>
    <w:p w:rsidR="00CB3135" w:rsidRDefault="002D3CE8">
      <w:pPr>
        <w:spacing w:line="360" w:lineRule="auto"/>
        <w:jc w:val="both"/>
        <w:rPr>
          <w:rFonts w:ascii="Calibri" w:eastAsia="Calibri" w:hAnsi="Calibri" w:cs="Calibri"/>
          <w:sz w:val="18"/>
          <w:szCs w:val="18"/>
          <w:lang w:val="en-US"/>
        </w:rPr>
      </w:pP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>Suppl. Fig. 1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: </w:t>
      </w: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>Transcriptome analysis of candidate genes for supplying promoter parts for the SCASA processing module design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. Gene expression patterns </w:t>
      </w:r>
      <w:proofErr w:type="gramStart"/>
      <w:r w:rsidRPr="00702D5B">
        <w:rPr>
          <w:rFonts w:ascii="Calibri" w:eastAsia="Calibri" w:hAnsi="Calibri" w:cs="Calibri"/>
          <w:sz w:val="18"/>
          <w:szCs w:val="18"/>
          <w:lang w:val="en-US"/>
        </w:rPr>
        <w:t>were analyzed</w:t>
      </w:r>
      <w:proofErr w:type="gram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in five different yeast strains throughout stimulation of their GPCRs using 0-100 µM of their cognate ligands</w:t>
      </w:r>
      <w:r w:rsidRPr="00702D5B">
        <w:rPr>
          <w:sz w:val="18"/>
          <w:szCs w:val="18"/>
          <w:lang w:val="en-US"/>
        </w:rPr>
        <w:t xml:space="preserve">: 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Ste2 in a wild-type strain, Ste2 in an </w:t>
      </w:r>
      <w:r w:rsidRPr="00702D5B">
        <w:rPr>
          <w:rFonts w:ascii="Calibri" w:eastAsia="Calibri" w:hAnsi="Calibri" w:cs="Calibri"/>
          <w:i/>
          <w:sz w:val="18"/>
          <w:szCs w:val="18"/>
          <w:lang w:val="en-US"/>
        </w:rPr>
        <w:t>sst2</w:t>
      </w:r>
      <w:r>
        <w:rPr>
          <w:rFonts w:ascii="Calibri" w:eastAsia="Calibri" w:hAnsi="Calibri" w:cs="Calibri"/>
          <w:i/>
          <w:sz w:val="18"/>
          <w:szCs w:val="18"/>
        </w:rPr>
        <w:t>Δ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strain, as well as MTNR1A, 5HT4b, and ADORA2B in optimized biosensor strains. Based on the gene expression patterns during GPCR stimulation, the 11 shown genes </w:t>
      </w:r>
      <w:proofErr w:type="gramStart"/>
      <w:r w:rsidRPr="00702D5B">
        <w:rPr>
          <w:rFonts w:ascii="Calibri" w:eastAsia="Calibri" w:hAnsi="Calibri" w:cs="Calibri"/>
          <w:sz w:val="18"/>
          <w:szCs w:val="18"/>
          <w:lang w:val="en-US"/>
        </w:rPr>
        <w:t>were chosen</w:t>
      </w:r>
      <w:proofErr w:type="gram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as sources for promoter parts. The results are a re-analysis of data from our previous study </w:t>
      </w:r>
      <w:hyperlink r:id="rId7">
        <w:r w:rsidRPr="00702D5B">
          <w:rPr>
            <w:rFonts w:ascii="Calibri" w:eastAsia="Calibri" w:hAnsi="Calibri" w:cs="Calibri"/>
            <w:color w:val="000000"/>
            <w:sz w:val="18"/>
            <w:szCs w:val="18"/>
            <w:vertAlign w:val="superscript"/>
            <w:lang w:val="en-US"/>
          </w:rPr>
          <w:t>1</w:t>
        </w:r>
      </w:hyperlink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. </w:t>
      </w: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>A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. Relative gene expression quantified as log</w:t>
      </w:r>
      <w:r w:rsidRPr="00702D5B">
        <w:rPr>
          <w:rFonts w:ascii="Calibri" w:eastAsia="Calibri" w:hAnsi="Calibri" w:cs="Calibri"/>
          <w:sz w:val="18"/>
          <w:szCs w:val="18"/>
          <w:vertAlign w:val="subscript"/>
          <w:lang w:val="en-US"/>
        </w:rPr>
        <w:t>10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-transformed trimmed mean of M values (TMM) normalized reads per 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kilobase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of transcript per million mapped reads (RPKM). Genes </w:t>
      </w:r>
      <w:proofErr w:type="gramStart"/>
      <w:r w:rsidRPr="00702D5B">
        <w:rPr>
          <w:rFonts w:ascii="Calibri" w:eastAsia="Calibri" w:hAnsi="Calibri" w:cs="Calibri"/>
          <w:sz w:val="18"/>
          <w:szCs w:val="18"/>
          <w:lang w:val="en-US"/>
        </w:rPr>
        <w:t>are sorted</w:t>
      </w:r>
      <w:proofErr w:type="gram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based on maximal gene expression level from low to high across strains and stimulation levels. </w:t>
      </w: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>B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. Fold change gene expression upon GPCR stimulation relative to the unstimulated condition for each gene and strain individually (log</w:t>
      </w:r>
      <w:r w:rsidRPr="00702D5B">
        <w:rPr>
          <w:rFonts w:ascii="Calibri" w:eastAsia="Calibri" w:hAnsi="Calibri" w:cs="Calibri"/>
          <w:sz w:val="18"/>
          <w:szCs w:val="18"/>
          <w:vertAlign w:val="subscript"/>
          <w:lang w:val="en-US"/>
        </w:rPr>
        <w:t>10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-transformed values). </w:t>
      </w:r>
      <w:proofErr w:type="gramStart"/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>C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. Overall</w:t>
      </w:r>
      <w:proofErr w:type="gram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fold change gene expression across all strain designs and different GPCRs (log</w:t>
      </w:r>
      <w:r w:rsidRPr="00702D5B">
        <w:rPr>
          <w:rFonts w:ascii="Calibri" w:eastAsia="Calibri" w:hAnsi="Calibri" w:cs="Calibri"/>
          <w:sz w:val="18"/>
          <w:szCs w:val="18"/>
          <w:vertAlign w:val="subscript"/>
          <w:lang w:val="en-US"/>
        </w:rPr>
        <w:t>10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-transformed values). See </w:t>
      </w: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>Suppl. Table 1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for raw values and fold change values. </w:t>
      </w:r>
    </w:p>
    <w:p w:rsidR="00596676" w:rsidRPr="00702D5B" w:rsidRDefault="002D3CE8">
      <w:pPr>
        <w:spacing w:line="360" w:lineRule="auto"/>
        <w:jc w:val="both"/>
        <w:rPr>
          <w:rFonts w:ascii="Calibri" w:eastAsia="Calibri" w:hAnsi="Calibri" w:cs="Calibri"/>
          <w:lang w:val="en-US"/>
        </w:rPr>
      </w:pPr>
      <w:r w:rsidRPr="00702D5B">
        <w:rPr>
          <w:rFonts w:ascii="Calibri" w:eastAsia="Calibri" w:hAnsi="Calibri" w:cs="Calibri"/>
          <w:lang w:val="en-US"/>
        </w:rPr>
        <w:br/>
      </w:r>
    </w:p>
    <w:p w:rsidR="00596676" w:rsidRPr="00702D5B" w:rsidRDefault="00596676">
      <w:pPr>
        <w:spacing w:line="360" w:lineRule="auto"/>
        <w:jc w:val="both"/>
        <w:rPr>
          <w:rFonts w:ascii="Calibri" w:eastAsia="Calibri" w:hAnsi="Calibri" w:cs="Calibri"/>
          <w:b/>
          <w:u w:val="single"/>
          <w:lang w:val="en-US"/>
        </w:rPr>
      </w:pPr>
    </w:p>
    <w:p w:rsidR="00596676" w:rsidRPr="00702D5B" w:rsidRDefault="00596676">
      <w:pPr>
        <w:spacing w:line="360" w:lineRule="auto"/>
        <w:jc w:val="both"/>
        <w:rPr>
          <w:rFonts w:ascii="Calibri" w:eastAsia="Calibri" w:hAnsi="Calibri" w:cs="Calibri"/>
          <w:b/>
          <w:u w:val="single"/>
          <w:lang w:val="en-US"/>
        </w:rPr>
      </w:pPr>
    </w:p>
    <w:p w:rsidR="00596676" w:rsidRPr="00702D5B" w:rsidRDefault="002D3CE8">
      <w:pPr>
        <w:spacing w:line="360" w:lineRule="auto"/>
        <w:jc w:val="both"/>
        <w:rPr>
          <w:rFonts w:ascii="Calibri" w:eastAsia="Calibri" w:hAnsi="Calibri" w:cs="Calibri"/>
          <w:b/>
          <w:u w:val="single"/>
          <w:lang w:val="en-US"/>
        </w:rPr>
      </w:pPr>
      <w:r w:rsidRPr="00702D5B">
        <w:rPr>
          <w:lang w:val="en-US"/>
        </w:rPr>
        <w:br w:type="page"/>
      </w:r>
    </w:p>
    <w:p w:rsidR="00596676" w:rsidRPr="00702D5B" w:rsidRDefault="002D3CE8">
      <w:pPr>
        <w:spacing w:line="360" w:lineRule="auto"/>
        <w:jc w:val="both"/>
        <w:rPr>
          <w:rFonts w:ascii="Calibri" w:eastAsia="Calibri" w:hAnsi="Calibri" w:cs="Calibri"/>
          <w:vertAlign w:val="subscript"/>
          <w:lang w:val="en-US"/>
        </w:rPr>
      </w:pPr>
      <w:r w:rsidRPr="00702D5B">
        <w:rPr>
          <w:rFonts w:ascii="Calibri" w:eastAsia="Calibri" w:hAnsi="Calibri" w:cs="Calibri"/>
          <w:b/>
          <w:u w:val="single"/>
          <w:lang w:val="en-US"/>
        </w:rPr>
        <w:lastRenderedPageBreak/>
        <w:t>Suppl. Fig. 2</w:t>
      </w:r>
      <w:r w:rsidRPr="00702D5B">
        <w:rPr>
          <w:rFonts w:ascii="Calibri" w:eastAsia="Calibri" w:hAnsi="Calibri" w:cs="Calibri"/>
          <w:b/>
          <w:u w:val="single"/>
          <w:lang w:val="en-US"/>
        </w:rPr>
        <w:tab/>
      </w:r>
      <w:r w:rsidRPr="00702D5B">
        <w:rPr>
          <w:rFonts w:ascii="Calibri" w:eastAsia="Calibri" w:hAnsi="Calibri" w:cs="Calibri"/>
          <w:b/>
          <w:u w:val="single"/>
          <w:lang w:val="en-US"/>
        </w:rPr>
        <w:tab/>
      </w:r>
      <w:r w:rsidRPr="00702D5B">
        <w:rPr>
          <w:rFonts w:ascii="Calibri" w:eastAsia="Calibri" w:hAnsi="Calibri" w:cs="Calibri"/>
          <w:b/>
          <w:u w:val="single"/>
          <w:lang w:val="en-US"/>
        </w:rPr>
        <w:tab/>
      </w:r>
      <w:r w:rsidRPr="00702D5B">
        <w:rPr>
          <w:rFonts w:ascii="Calibri" w:eastAsia="Calibri" w:hAnsi="Calibri" w:cs="Calibri"/>
          <w:b/>
          <w:u w:val="single"/>
          <w:lang w:val="en-US"/>
        </w:rPr>
        <w:tab/>
      </w:r>
      <w:r w:rsidRPr="00702D5B">
        <w:rPr>
          <w:rFonts w:ascii="Calibri" w:eastAsia="Calibri" w:hAnsi="Calibri" w:cs="Calibri"/>
          <w:b/>
          <w:u w:val="single"/>
          <w:lang w:val="en-US"/>
        </w:rPr>
        <w:tab/>
      </w:r>
      <w:r w:rsidRPr="00702D5B">
        <w:rPr>
          <w:rFonts w:ascii="Calibri" w:eastAsia="Calibri" w:hAnsi="Calibri" w:cs="Calibri"/>
          <w:b/>
          <w:u w:val="single"/>
          <w:lang w:val="en-US"/>
        </w:rPr>
        <w:tab/>
      </w:r>
      <w:r w:rsidRPr="00702D5B">
        <w:rPr>
          <w:rFonts w:ascii="Calibri" w:eastAsia="Calibri" w:hAnsi="Calibri" w:cs="Calibri"/>
          <w:b/>
          <w:u w:val="single"/>
          <w:lang w:val="en-US"/>
        </w:rPr>
        <w:tab/>
      </w:r>
      <w:r w:rsidRPr="00702D5B">
        <w:rPr>
          <w:rFonts w:ascii="Calibri" w:eastAsia="Calibri" w:hAnsi="Calibri" w:cs="Calibri"/>
          <w:b/>
          <w:u w:val="single"/>
          <w:lang w:val="en-US"/>
        </w:rPr>
        <w:tab/>
      </w:r>
      <w:r w:rsidRPr="00702D5B">
        <w:rPr>
          <w:rFonts w:ascii="Calibri" w:eastAsia="Calibri" w:hAnsi="Calibri" w:cs="Calibri"/>
          <w:b/>
          <w:u w:val="single"/>
          <w:lang w:val="en-US"/>
        </w:rPr>
        <w:tab/>
      </w:r>
      <w:r w:rsidRPr="00702D5B">
        <w:rPr>
          <w:rFonts w:ascii="Calibri" w:eastAsia="Calibri" w:hAnsi="Calibri" w:cs="Calibri"/>
          <w:b/>
          <w:u w:val="single"/>
          <w:lang w:val="en-US"/>
        </w:rPr>
        <w:tab/>
      </w:r>
      <w:r w:rsidRPr="00702D5B">
        <w:rPr>
          <w:rFonts w:ascii="Calibri" w:eastAsia="Calibri" w:hAnsi="Calibri" w:cs="Calibri"/>
          <w:b/>
          <w:u w:val="single"/>
          <w:lang w:val="en-US"/>
        </w:rPr>
        <w:tab/>
      </w:r>
    </w:p>
    <w:p w:rsidR="00596676" w:rsidRPr="00C1024A" w:rsidRDefault="00234939">
      <w:pPr>
        <w:spacing w:line="360" w:lineRule="auto"/>
        <w:jc w:val="both"/>
        <w:rPr>
          <w:rFonts w:ascii="Calibri" w:eastAsia="Calibri" w:hAnsi="Calibri" w:cs="Calibri"/>
          <w:sz w:val="18"/>
          <w:szCs w:val="18"/>
          <w:lang w:val="en-US"/>
        </w:rPr>
      </w:pPr>
      <w:r>
        <w:rPr>
          <w:rFonts w:ascii="Calibri" w:eastAsia="Calibri" w:hAnsi="Calibri" w:cs="Calibri"/>
          <w:noProof/>
          <w:lang w:val="en-US"/>
        </w:rPr>
        <w:pict>
          <v:shape id="_x0000_i1026" type="#_x0000_t75" style="width:451.55pt;height:231.8pt">
            <v:imagedata r:id="rId8" o:title="Suppl Fig 2 - GFP - BG 0 µM (Max Diff from 0 µM)"/>
          </v:shape>
        </w:pict>
      </w:r>
      <w:r w:rsidR="002D3CE8" w:rsidRPr="00702D5B">
        <w:rPr>
          <w:rFonts w:ascii="Calibri" w:eastAsia="Calibri" w:hAnsi="Calibri" w:cs="Calibri"/>
          <w:lang w:val="en-US"/>
        </w:rPr>
        <w:br/>
      </w:r>
      <w:r w:rsidR="002D3CE8" w:rsidRPr="00702D5B">
        <w:rPr>
          <w:rFonts w:ascii="Calibri" w:eastAsia="Calibri" w:hAnsi="Calibri" w:cs="Calibri"/>
          <w:b/>
          <w:sz w:val="18"/>
          <w:szCs w:val="18"/>
          <w:lang w:val="en-US"/>
        </w:rPr>
        <w:t xml:space="preserve">Suppl. Fig. 2: Differences in absolute </w:t>
      </w:r>
      <w:proofErr w:type="spellStart"/>
      <w:r w:rsidR="002D3CE8" w:rsidRPr="00702D5B">
        <w:rPr>
          <w:rFonts w:ascii="Calibri" w:eastAsia="Calibri" w:hAnsi="Calibri" w:cs="Calibri"/>
          <w:b/>
          <w:sz w:val="18"/>
          <w:szCs w:val="18"/>
          <w:lang w:val="en-US"/>
        </w:rPr>
        <w:t>yEGFP</w:t>
      </w:r>
      <w:proofErr w:type="spellEnd"/>
      <w:r w:rsidR="002D3CE8" w:rsidRPr="00702D5B">
        <w:rPr>
          <w:rFonts w:ascii="Calibri" w:eastAsia="Calibri" w:hAnsi="Calibri" w:cs="Calibri"/>
          <w:b/>
          <w:sz w:val="18"/>
          <w:szCs w:val="18"/>
          <w:lang w:val="en-US"/>
        </w:rPr>
        <w:t xml:space="preserve"> levels upon GPCR stimulation for the processing module promoter library. </w:t>
      </w:r>
      <w:r w:rsidR="002D3CE8" w:rsidRPr="00702D5B">
        <w:rPr>
          <w:rFonts w:ascii="Calibri" w:eastAsia="Calibri" w:hAnsi="Calibri" w:cs="Calibri"/>
          <w:sz w:val="18"/>
          <w:szCs w:val="18"/>
          <w:lang w:val="en-US"/>
        </w:rPr>
        <w:t xml:space="preserve">Absolute changes in </w:t>
      </w:r>
      <w:proofErr w:type="spellStart"/>
      <w:r w:rsidR="002D3CE8" w:rsidRPr="00702D5B">
        <w:rPr>
          <w:rFonts w:ascii="Calibri" w:eastAsia="Calibri" w:hAnsi="Calibri" w:cs="Calibri"/>
          <w:sz w:val="18"/>
          <w:szCs w:val="18"/>
          <w:lang w:val="en-US"/>
        </w:rPr>
        <w:t>yEGFP</w:t>
      </w:r>
      <w:proofErr w:type="spellEnd"/>
      <w:r w:rsidR="002D3CE8" w:rsidRPr="00702D5B">
        <w:rPr>
          <w:rFonts w:ascii="Calibri" w:eastAsia="Calibri" w:hAnsi="Calibri" w:cs="Calibri"/>
          <w:sz w:val="18"/>
          <w:szCs w:val="18"/>
          <w:lang w:val="en-US"/>
        </w:rPr>
        <w:t xml:space="preserve"> levels are calculated relative to the background level at </w:t>
      </w:r>
      <w:proofErr w:type="gramStart"/>
      <w:r w:rsidR="002D3CE8" w:rsidRPr="00702D5B">
        <w:rPr>
          <w:rFonts w:ascii="Calibri" w:eastAsia="Calibri" w:hAnsi="Calibri" w:cs="Calibri"/>
          <w:sz w:val="18"/>
          <w:szCs w:val="18"/>
          <w:lang w:val="en-US"/>
        </w:rPr>
        <w:t>0</w:t>
      </w:r>
      <w:proofErr w:type="gramEnd"/>
      <w:r w:rsidR="002D3CE8" w:rsidRPr="00702D5B">
        <w:rPr>
          <w:rFonts w:ascii="Calibri" w:eastAsia="Calibri" w:hAnsi="Calibri" w:cs="Calibri"/>
          <w:sz w:val="18"/>
          <w:szCs w:val="18"/>
          <w:lang w:val="en-US"/>
        </w:rPr>
        <w:t xml:space="preserve"> µM (</w:t>
      </w:r>
      <w:r w:rsidR="002D3CE8">
        <w:rPr>
          <w:rFonts w:ascii="Calibri" w:eastAsia="Calibri" w:hAnsi="Calibri" w:cs="Calibri"/>
          <w:sz w:val="18"/>
          <w:szCs w:val="18"/>
        </w:rPr>
        <w:t>Δ</w:t>
      </w:r>
      <w:r w:rsidR="002D3CE8" w:rsidRPr="00702D5B">
        <w:rPr>
          <w:rFonts w:ascii="Calibri" w:eastAsia="Calibri" w:hAnsi="Calibri" w:cs="Calibri"/>
          <w:sz w:val="18"/>
          <w:szCs w:val="18"/>
          <w:lang w:val="en-US"/>
        </w:rPr>
        <w:t>yEGFP</w:t>
      </w:r>
      <w:r w:rsidR="002D3CE8" w:rsidRPr="00702D5B">
        <w:rPr>
          <w:rFonts w:ascii="Calibri" w:eastAsia="Calibri" w:hAnsi="Calibri" w:cs="Calibri"/>
          <w:sz w:val="18"/>
          <w:szCs w:val="18"/>
          <w:vertAlign w:val="subscript"/>
          <w:lang w:val="en-US"/>
        </w:rPr>
        <w:t>0µM</w:t>
      </w:r>
      <w:r w:rsidR="002D3CE8" w:rsidRPr="00702D5B">
        <w:rPr>
          <w:rFonts w:ascii="Calibri" w:eastAsia="Calibri" w:hAnsi="Calibri" w:cs="Calibri"/>
          <w:sz w:val="18"/>
          <w:szCs w:val="18"/>
          <w:lang w:val="en-US"/>
        </w:rPr>
        <w:t xml:space="preserve"> = </w:t>
      </w:r>
      <w:proofErr w:type="spellStart"/>
      <w:r w:rsidR="002D3CE8" w:rsidRPr="00702D5B">
        <w:rPr>
          <w:rFonts w:ascii="Calibri" w:eastAsia="Calibri" w:hAnsi="Calibri" w:cs="Calibri"/>
          <w:sz w:val="18"/>
          <w:szCs w:val="18"/>
          <w:lang w:val="en-US"/>
        </w:rPr>
        <w:t>yEGFP</w:t>
      </w:r>
      <w:r w:rsidR="002D3CE8" w:rsidRPr="00702D5B">
        <w:rPr>
          <w:rFonts w:ascii="Calibri" w:eastAsia="Calibri" w:hAnsi="Calibri" w:cs="Calibri"/>
          <w:sz w:val="18"/>
          <w:szCs w:val="18"/>
          <w:vertAlign w:val="subscript"/>
          <w:lang w:val="en-US"/>
        </w:rPr>
        <w:t>X</w:t>
      </w:r>
      <w:proofErr w:type="spellEnd"/>
      <w:r w:rsidR="002D3CE8" w:rsidRPr="00702D5B">
        <w:rPr>
          <w:rFonts w:ascii="Calibri" w:eastAsia="Calibri" w:hAnsi="Calibri" w:cs="Calibri"/>
          <w:sz w:val="18"/>
          <w:szCs w:val="18"/>
          <w:lang w:val="en-US"/>
        </w:rPr>
        <w:t xml:space="preserve"> - yEGFP</w:t>
      </w:r>
      <w:r w:rsidR="002D3CE8" w:rsidRPr="00702D5B">
        <w:rPr>
          <w:rFonts w:ascii="Calibri" w:eastAsia="Calibri" w:hAnsi="Calibri" w:cs="Calibri"/>
          <w:sz w:val="18"/>
          <w:szCs w:val="18"/>
          <w:vertAlign w:val="subscript"/>
          <w:lang w:val="en-US"/>
        </w:rPr>
        <w:t>0µM</w:t>
      </w:r>
      <w:r w:rsidR="002D3CE8" w:rsidRPr="00702D5B">
        <w:rPr>
          <w:rFonts w:ascii="Calibri" w:eastAsia="Calibri" w:hAnsi="Calibri" w:cs="Calibri"/>
          <w:sz w:val="18"/>
          <w:szCs w:val="18"/>
          <w:lang w:val="en-US"/>
        </w:rPr>
        <w:t>) for each strain design across different concentrations of ɑ-factor (0-100 µM). Data represents means of median fluorescence intensity (</w:t>
      </w:r>
      <w:proofErr w:type="spellStart"/>
      <w:r w:rsidR="002D3CE8" w:rsidRPr="00702D5B">
        <w:rPr>
          <w:rFonts w:ascii="Calibri" w:eastAsia="Calibri" w:hAnsi="Calibri" w:cs="Calibri"/>
          <w:sz w:val="18"/>
          <w:szCs w:val="18"/>
          <w:lang w:val="en-US"/>
        </w:rPr>
        <w:t>mMFI</w:t>
      </w:r>
      <w:proofErr w:type="spellEnd"/>
      <w:r w:rsidR="002D3CE8" w:rsidRPr="00702D5B">
        <w:rPr>
          <w:rFonts w:ascii="Calibri" w:eastAsia="Calibri" w:hAnsi="Calibri" w:cs="Calibri"/>
          <w:sz w:val="18"/>
          <w:szCs w:val="18"/>
          <w:lang w:val="en-US"/>
        </w:rPr>
        <w:t xml:space="preserve">) for three biological replicates (n=3) and standard deviations hereof. </w:t>
      </w:r>
      <w:r w:rsidR="002D3CE8" w:rsidRPr="00C1024A">
        <w:rPr>
          <w:rFonts w:ascii="Calibri" w:eastAsia="Calibri" w:hAnsi="Calibri" w:cs="Calibri"/>
          <w:sz w:val="18"/>
          <w:szCs w:val="18"/>
          <w:lang w:val="en-US"/>
        </w:rPr>
        <w:t xml:space="preserve">Statistics in: </w:t>
      </w:r>
      <w:r w:rsidR="002D3CE8" w:rsidRPr="00C1024A">
        <w:rPr>
          <w:rFonts w:ascii="Calibri" w:eastAsia="Calibri" w:hAnsi="Calibri" w:cs="Calibri"/>
          <w:b/>
          <w:sz w:val="18"/>
          <w:szCs w:val="18"/>
          <w:lang w:val="en-US"/>
        </w:rPr>
        <w:t>Suppl. Table 2</w:t>
      </w:r>
      <w:r w:rsidR="002D3CE8" w:rsidRPr="00C1024A">
        <w:rPr>
          <w:rFonts w:ascii="Calibri" w:eastAsia="Calibri" w:hAnsi="Calibri" w:cs="Calibri"/>
          <w:sz w:val="18"/>
          <w:szCs w:val="18"/>
          <w:lang w:val="en-US"/>
        </w:rPr>
        <w:t xml:space="preserve"> (not shown).</w:t>
      </w:r>
    </w:p>
    <w:p w:rsidR="00596676" w:rsidRPr="00C1024A" w:rsidRDefault="00596676">
      <w:pPr>
        <w:spacing w:line="360" w:lineRule="auto"/>
        <w:jc w:val="both"/>
        <w:rPr>
          <w:rFonts w:ascii="Calibri" w:eastAsia="Calibri" w:hAnsi="Calibri" w:cs="Calibri"/>
          <w:lang w:val="en-US"/>
        </w:rPr>
      </w:pPr>
    </w:p>
    <w:p w:rsidR="00596676" w:rsidRPr="00C1024A" w:rsidRDefault="00596676">
      <w:pPr>
        <w:spacing w:line="360" w:lineRule="auto"/>
        <w:jc w:val="both"/>
        <w:rPr>
          <w:rFonts w:ascii="Calibri" w:eastAsia="Calibri" w:hAnsi="Calibri" w:cs="Calibri"/>
          <w:lang w:val="en-US"/>
        </w:rPr>
      </w:pPr>
    </w:p>
    <w:p w:rsidR="00596676" w:rsidRPr="00C1024A" w:rsidRDefault="002D3CE8">
      <w:pPr>
        <w:spacing w:line="360" w:lineRule="auto"/>
        <w:jc w:val="both"/>
        <w:rPr>
          <w:rFonts w:ascii="Calibri" w:eastAsia="Calibri" w:hAnsi="Calibri" w:cs="Calibri"/>
          <w:b/>
          <w:u w:val="single"/>
          <w:lang w:val="en-US"/>
        </w:rPr>
      </w:pPr>
      <w:r w:rsidRPr="00C1024A">
        <w:rPr>
          <w:lang w:val="en-US"/>
        </w:rPr>
        <w:br w:type="page"/>
      </w:r>
    </w:p>
    <w:p w:rsidR="00596676" w:rsidRPr="00C1024A" w:rsidRDefault="002D3CE8">
      <w:pPr>
        <w:spacing w:line="360" w:lineRule="auto"/>
        <w:jc w:val="both"/>
        <w:rPr>
          <w:rFonts w:ascii="Calibri" w:eastAsia="Calibri" w:hAnsi="Calibri" w:cs="Calibri"/>
          <w:b/>
          <w:u w:val="single"/>
          <w:lang w:val="en-US"/>
        </w:rPr>
      </w:pPr>
      <w:r w:rsidRPr="00C1024A">
        <w:rPr>
          <w:rFonts w:ascii="Calibri" w:eastAsia="Calibri" w:hAnsi="Calibri" w:cs="Calibri"/>
          <w:b/>
          <w:u w:val="single"/>
          <w:lang w:val="en-US"/>
        </w:rPr>
        <w:lastRenderedPageBreak/>
        <w:t>Suppl. Fig. 3</w:t>
      </w:r>
      <w:r w:rsidRPr="00C1024A">
        <w:rPr>
          <w:rFonts w:ascii="Calibri" w:eastAsia="Calibri" w:hAnsi="Calibri" w:cs="Calibri"/>
          <w:b/>
          <w:u w:val="single"/>
          <w:lang w:val="en-US"/>
        </w:rPr>
        <w:tab/>
      </w:r>
      <w:r w:rsidRPr="00C1024A">
        <w:rPr>
          <w:rFonts w:ascii="Calibri" w:eastAsia="Calibri" w:hAnsi="Calibri" w:cs="Calibri"/>
          <w:b/>
          <w:u w:val="single"/>
          <w:lang w:val="en-US"/>
        </w:rPr>
        <w:tab/>
      </w:r>
      <w:r w:rsidRPr="00C1024A">
        <w:rPr>
          <w:rFonts w:ascii="Calibri" w:eastAsia="Calibri" w:hAnsi="Calibri" w:cs="Calibri"/>
          <w:b/>
          <w:u w:val="single"/>
          <w:lang w:val="en-US"/>
        </w:rPr>
        <w:tab/>
      </w:r>
      <w:r w:rsidRPr="00C1024A">
        <w:rPr>
          <w:rFonts w:ascii="Calibri" w:eastAsia="Calibri" w:hAnsi="Calibri" w:cs="Calibri"/>
          <w:b/>
          <w:u w:val="single"/>
          <w:lang w:val="en-US"/>
        </w:rPr>
        <w:tab/>
      </w:r>
      <w:r w:rsidRPr="00C1024A">
        <w:rPr>
          <w:rFonts w:ascii="Calibri" w:eastAsia="Calibri" w:hAnsi="Calibri" w:cs="Calibri"/>
          <w:b/>
          <w:u w:val="single"/>
          <w:lang w:val="en-US"/>
        </w:rPr>
        <w:tab/>
      </w:r>
      <w:r w:rsidRPr="00C1024A">
        <w:rPr>
          <w:rFonts w:ascii="Calibri" w:eastAsia="Calibri" w:hAnsi="Calibri" w:cs="Calibri"/>
          <w:b/>
          <w:u w:val="single"/>
          <w:lang w:val="en-US"/>
        </w:rPr>
        <w:tab/>
      </w:r>
      <w:r w:rsidRPr="00C1024A">
        <w:rPr>
          <w:rFonts w:ascii="Calibri" w:eastAsia="Calibri" w:hAnsi="Calibri" w:cs="Calibri"/>
          <w:b/>
          <w:u w:val="single"/>
          <w:lang w:val="en-US"/>
        </w:rPr>
        <w:tab/>
      </w:r>
      <w:r w:rsidRPr="00C1024A">
        <w:rPr>
          <w:rFonts w:ascii="Calibri" w:eastAsia="Calibri" w:hAnsi="Calibri" w:cs="Calibri"/>
          <w:b/>
          <w:u w:val="single"/>
          <w:lang w:val="en-US"/>
        </w:rPr>
        <w:tab/>
      </w:r>
      <w:r w:rsidRPr="00C1024A">
        <w:rPr>
          <w:rFonts w:ascii="Calibri" w:eastAsia="Calibri" w:hAnsi="Calibri" w:cs="Calibri"/>
          <w:b/>
          <w:u w:val="single"/>
          <w:lang w:val="en-US"/>
        </w:rPr>
        <w:tab/>
      </w:r>
      <w:r w:rsidRPr="00C1024A">
        <w:rPr>
          <w:rFonts w:ascii="Calibri" w:eastAsia="Calibri" w:hAnsi="Calibri" w:cs="Calibri"/>
          <w:b/>
          <w:u w:val="single"/>
          <w:lang w:val="en-US"/>
        </w:rPr>
        <w:tab/>
      </w:r>
      <w:r w:rsidRPr="00C1024A">
        <w:rPr>
          <w:rFonts w:ascii="Calibri" w:eastAsia="Calibri" w:hAnsi="Calibri" w:cs="Calibri"/>
          <w:b/>
          <w:u w:val="single"/>
          <w:lang w:val="en-US"/>
        </w:rPr>
        <w:tab/>
      </w:r>
    </w:p>
    <w:p w:rsidR="00596676" w:rsidRPr="00702D5B" w:rsidRDefault="002D3CE8">
      <w:pPr>
        <w:spacing w:line="360" w:lineRule="auto"/>
        <w:jc w:val="both"/>
        <w:rPr>
          <w:rFonts w:ascii="Calibri" w:eastAsia="Calibri" w:hAnsi="Calibri" w:cs="Calibri"/>
          <w:b/>
          <w:sz w:val="24"/>
          <w:szCs w:val="24"/>
          <w:lang w:val="en-US"/>
        </w:rPr>
      </w:pPr>
      <w:r w:rsidRPr="00702D5B">
        <w:rPr>
          <w:rFonts w:ascii="Calibri" w:eastAsia="Calibri" w:hAnsi="Calibri" w:cs="Calibri"/>
          <w:b/>
          <w:sz w:val="24"/>
          <w:szCs w:val="24"/>
          <w:lang w:val="en-US"/>
        </w:rPr>
        <w:t>Additional logical analysis of the PRP boost effect</w:t>
      </w:r>
    </w:p>
    <w:p w:rsidR="00596676" w:rsidRPr="00702D5B" w:rsidRDefault="002D3CE8">
      <w:pPr>
        <w:spacing w:line="360" w:lineRule="auto"/>
        <w:jc w:val="both"/>
        <w:rPr>
          <w:rFonts w:ascii="Calibri" w:eastAsia="Calibri" w:hAnsi="Calibri" w:cs="Calibri"/>
          <w:lang w:val="en-US"/>
        </w:rPr>
      </w:pPr>
      <w:r w:rsidRPr="00702D5B">
        <w:rPr>
          <w:rFonts w:ascii="Calibri" w:eastAsia="Calibri" w:hAnsi="Calibri" w:cs="Calibri"/>
          <w:lang w:val="en-US"/>
        </w:rPr>
        <w:t xml:space="preserve">Absolute changes in </w:t>
      </w:r>
      <w:proofErr w:type="spellStart"/>
      <w:r w:rsidRPr="00702D5B">
        <w:rPr>
          <w:rFonts w:ascii="Calibri" w:eastAsia="Calibri" w:hAnsi="Calibri" w:cs="Calibri"/>
          <w:lang w:val="en-US"/>
        </w:rPr>
        <w:t>yEGFP</w:t>
      </w:r>
      <w:proofErr w:type="spellEnd"/>
      <w:r w:rsidRPr="00702D5B">
        <w:rPr>
          <w:rFonts w:ascii="Calibri" w:eastAsia="Calibri" w:hAnsi="Calibri" w:cs="Calibri"/>
          <w:lang w:val="en-US"/>
        </w:rPr>
        <w:t xml:space="preserve"> (</w:t>
      </w:r>
      <w:r>
        <w:rPr>
          <w:rFonts w:ascii="Calibri" w:eastAsia="Calibri" w:hAnsi="Calibri" w:cs="Calibri"/>
        </w:rPr>
        <w:t>Δ</w:t>
      </w:r>
      <w:r w:rsidRPr="00702D5B">
        <w:rPr>
          <w:rFonts w:ascii="Calibri" w:eastAsia="Calibri" w:hAnsi="Calibri" w:cs="Calibri"/>
          <w:lang w:val="en-US"/>
        </w:rPr>
        <w:t>yEGFP) between P</w:t>
      </w:r>
      <w:r w:rsidRPr="00702D5B">
        <w:rPr>
          <w:rFonts w:ascii="Calibri" w:eastAsia="Calibri" w:hAnsi="Calibri" w:cs="Calibri"/>
          <w:vertAlign w:val="subscript"/>
          <w:lang w:val="en-US"/>
        </w:rPr>
        <w:t>PGK1</w:t>
      </w:r>
      <w:r w:rsidRPr="00702D5B">
        <w:rPr>
          <w:rFonts w:ascii="Calibri" w:eastAsia="Calibri" w:hAnsi="Calibri" w:cs="Calibri"/>
          <w:lang w:val="en-US"/>
        </w:rPr>
        <w:t xml:space="preserve"> and P</w:t>
      </w:r>
      <w:r w:rsidRPr="00702D5B">
        <w:rPr>
          <w:rFonts w:ascii="Calibri" w:eastAsia="Calibri" w:hAnsi="Calibri" w:cs="Calibri"/>
          <w:vertAlign w:val="subscript"/>
          <w:lang w:val="en-US"/>
        </w:rPr>
        <w:t>TDH3</w:t>
      </w:r>
      <w:r w:rsidRPr="00702D5B">
        <w:rPr>
          <w:rFonts w:ascii="Calibri" w:eastAsia="Calibri" w:hAnsi="Calibri" w:cs="Calibri"/>
          <w:lang w:val="en-US"/>
        </w:rPr>
        <w:t xml:space="preserve"> were significantly different, indicating that the PRP boost is not an additive effect of constant value - i.e. not a general effect that applies equally across promoters, but instead is dependent on the individual promoter (</w:t>
      </w:r>
      <w:r w:rsidRPr="00702D5B">
        <w:rPr>
          <w:rFonts w:ascii="Calibri" w:eastAsia="Calibri" w:hAnsi="Calibri" w:cs="Calibri"/>
          <w:b/>
          <w:lang w:val="en-US"/>
        </w:rPr>
        <w:t xml:space="preserve">Suppl. </w:t>
      </w:r>
      <w:r>
        <w:rPr>
          <w:rFonts w:ascii="Calibri" w:eastAsia="Calibri" w:hAnsi="Calibri" w:cs="Calibri"/>
          <w:b/>
        </w:rPr>
        <w:t>Fig. 3A</w:t>
      </w:r>
      <w:r>
        <w:rPr>
          <w:rFonts w:ascii="Calibri" w:eastAsia="Calibri" w:hAnsi="Calibri" w:cs="Calibri"/>
        </w:rPr>
        <w:t xml:space="preserve">). </w:t>
      </w:r>
      <w:r w:rsidRPr="00702D5B">
        <w:rPr>
          <w:rFonts w:ascii="Calibri" w:eastAsia="Calibri" w:hAnsi="Calibri" w:cs="Calibri"/>
          <w:lang w:val="en-US"/>
        </w:rPr>
        <w:t xml:space="preserve">Interestingly, fold changes in </w:t>
      </w:r>
      <w:proofErr w:type="spellStart"/>
      <w:r w:rsidRPr="00702D5B">
        <w:rPr>
          <w:rFonts w:ascii="Calibri" w:eastAsia="Calibri" w:hAnsi="Calibri" w:cs="Calibri"/>
          <w:lang w:val="en-US"/>
        </w:rPr>
        <w:t>yEGFP</w:t>
      </w:r>
      <w:proofErr w:type="spellEnd"/>
      <w:r w:rsidRPr="00702D5B">
        <w:rPr>
          <w:rFonts w:ascii="Calibri" w:eastAsia="Calibri" w:hAnsi="Calibri" w:cs="Calibri"/>
          <w:lang w:val="en-US"/>
        </w:rPr>
        <w:t xml:space="preserve"> were identical between P</w:t>
      </w:r>
      <w:r w:rsidRPr="00702D5B">
        <w:rPr>
          <w:rFonts w:ascii="Calibri" w:eastAsia="Calibri" w:hAnsi="Calibri" w:cs="Calibri"/>
          <w:vertAlign w:val="subscript"/>
          <w:lang w:val="en-US"/>
        </w:rPr>
        <w:t>PGK1</w:t>
      </w:r>
      <w:r w:rsidRPr="00702D5B">
        <w:rPr>
          <w:rFonts w:ascii="Calibri" w:eastAsia="Calibri" w:hAnsi="Calibri" w:cs="Calibri"/>
          <w:lang w:val="en-US"/>
        </w:rPr>
        <w:t xml:space="preserve"> and P</w:t>
      </w:r>
      <w:r w:rsidRPr="00702D5B">
        <w:rPr>
          <w:rFonts w:ascii="Calibri" w:eastAsia="Calibri" w:hAnsi="Calibri" w:cs="Calibri"/>
          <w:vertAlign w:val="subscript"/>
          <w:lang w:val="en-US"/>
        </w:rPr>
        <w:t>TDH3</w:t>
      </w:r>
      <w:r w:rsidRPr="00702D5B">
        <w:rPr>
          <w:rFonts w:ascii="Calibri" w:eastAsia="Calibri" w:hAnsi="Calibri" w:cs="Calibri"/>
          <w:lang w:val="en-US"/>
        </w:rPr>
        <w:t>, indicating that the PRP boost effect is a multiplicative effect, which applies as a constant to all promoters with an intensity correlated to the basal expression level of the individual promoter (</w:t>
      </w:r>
      <w:r w:rsidRPr="00702D5B">
        <w:rPr>
          <w:rFonts w:ascii="Calibri" w:eastAsia="Calibri" w:hAnsi="Calibri" w:cs="Calibri"/>
          <w:b/>
          <w:lang w:val="en-US"/>
        </w:rPr>
        <w:t xml:space="preserve">Suppl. </w:t>
      </w:r>
      <w:r>
        <w:rPr>
          <w:rFonts w:ascii="Calibri" w:eastAsia="Calibri" w:hAnsi="Calibri" w:cs="Calibri"/>
          <w:b/>
        </w:rPr>
        <w:t>Fig. 3B</w:t>
      </w:r>
      <w:r>
        <w:rPr>
          <w:rFonts w:ascii="Calibri" w:eastAsia="Calibri" w:hAnsi="Calibri" w:cs="Calibri"/>
        </w:rPr>
        <w:t xml:space="preserve">). </w:t>
      </w:r>
      <w:r w:rsidRPr="00702D5B">
        <w:rPr>
          <w:rFonts w:ascii="Calibri" w:eastAsia="Calibri" w:hAnsi="Calibri" w:cs="Calibri"/>
          <w:lang w:val="en-US"/>
        </w:rPr>
        <w:t xml:space="preserve">Additionally, the </w:t>
      </w:r>
      <w:proofErr w:type="spellStart"/>
      <w:r w:rsidRPr="00702D5B">
        <w:rPr>
          <w:rFonts w:ascii="Calibri" w:eastAsia="Calibri" w:hAnsi="Calibri" w:cs="Calibri"/>
          <w:lang w:val="en-US"/>
        </w:rPr>
        <w:t>yEGFP</w:t>
      </w:r>
      <w:proofErr w:type="spellEnd"/>
      <w:r w:rsidRPr="00702D5B">
        <w:rPr>
          <w:rFonts w:ascii="Calibri" w:eastAsia="Calibri" w:hAnsi="Calibri" w:cs="Calibri"/>
          <w:lang w:val="en-US"/>
        </w:rPr>
        <w:t xml:space="preserve"> fold change patterns for P</w:t>
      </w:r>
      <w:r w:rsidRPr="00702D5B">
        <w:rPr>
          <w:rFonts w:ascii="Calibri" w:eastAsia="Calibri" w:hAnsi="Calibri" w:cs="Calibri"/>
          <w:vertAlign w:val="subscript"/>
          <w:lang w:val="en-US"/>
        </w:rPr>
        <w:t>PGK1</w:t>
      </w:r>
      <w:r w:rsidRPr="00702D5B">
        <w:rPr>
          <w:rFonts w:ascii="Calibri" w:eastAsia="Calibri" w:hAnsi="Calibri" w:cs="Calibri"/>
          <w:lang w:val="en-US"/>
        </w:rPr>
        <w:t xml:space="preserve"> and P</w:t>
      </w:r>
      <w:r w:rsidRPr="00702D5B">
        <w:rPr>
          <w:rFonts w:ascii="Calibri" w:eastAsia="Calibri" w:hAnsi="Calibri" w:cs="Calibri"/>
          <w:vertAlign w:val="subscript"/>
          <w:lang w:val="en-US"/>
        </w:rPr>
        <w:t>TDH3</w:t>
      </w:r>
      <w:r w:rsidRPr="00702D5B">
        <w:rPr>
          <w:rFonts w:ascii="Calibri" w:eastAsia="Calibri" w:hAnsi="Calibri" w:cs="Calibri"/>
          <w:lang w:val="en-US"/>
        </w:rPr>
        <w:t xml:space="preserve"> resembled those of PRP-induced morphological changes (</w:t>
      </w:r>
      <w:proofErr w:type="spellStart"/>
      <w:r w:rsidRPr="00702D5B">
        <w:rPr>
          <w:rFonts w:ascii="Calibri" w:eastAsia="Calibri" w:hAnsi="Calibri" w:cs="Calibri"/>
          <w:lang w:val="en-US"/>
        </w:rPr>
        <w:t>shmooing</w:t>
      </w:r>
      <w:proofErr w:type="spellEnd"/>
      <w:r w:rsidRPr="00702D5B">
        <w:rPr>
          <w:rFonts w:ascii="Calibri" w:eastAsia="Calibri" w:hAnsi="Calibri" w:cs="Calibri"/>
          <w:lang w:val="en-US"/>
        </w:rPr>
        <w:t xml:space="preserve">), measured as SSC, and these </w:t>
      </w:r>
      <w:proofErr w:type="gramStart"/>
      <w:r w:rsidRPr="00702D5B">
        <w:rPr>
          <w:rFonts w:ascii="Calibri" w:eastAsia="Calibri" w:hAnsi="Calibri" w:cs="Calibri"/>
          <w:lang w:val="en-US"/>
        </w:rPr>
        <w:t>were also</w:t>
      </w:r>
      <w:proofErr w:type="gramEnd"/>
      <w:r w:rsidRPr="00702D5B">
        <w:rPr>
          <w:rFonts w:ascii="Calibri" w:eastAsia="Calibri" w:hAnsi="Calibri" w:cs="Calibri"/>
          <w:lang w:val="en-US"/>
        </w:rPr>
        <w:t xml:space="preserve"> identical between the two strains (</w:t>
      </w:r>
      <w:r w:rsidRPr="00702D5B">
        <w:rPr>
          <w:rFonts w:ascii="Calibri" w:eastAsia="Calibri" w:hAnsi="Calibri" w:cs="Calibri"/>
          <w:b/>
          <w:lang w:val="en-US"/>
        </w:rPr>
        <w:t xml:space="preserve">Suppl. </w:t>
      </w:r>
      <w:r>
        <w:rPr>
          <w:rFonts w:ascii="Calibri" w:eastAsia="Calibri" w:hAnsi="Calibri" w:cs="Calibri"/>
          <w:b/>
        </w:rPr>
        <w:t>Fig. 3B</w:t>
      </w:r>
      <w:r>
        <w:rPr>
          <w:rFonts w:ascii="Calibri" w:eastAsia="Calibri" w:hAnsi="Calibri" w:cs="Calibri"/>
        </w:rPr>
        <w:t xml:space="preserve">). </w:t>
      </w:r>
      <w:r w:rsidRPr="00702D5B">
        <w:rPr>
          <w:rFonts w:ascii="Calibri" w:eastAsia="Calibri" w:hAnsi="Calibri" w:cs="Calibri"/>
          <w:lang w:val="en-US"/>
        </w:rPr>
        <w:t xml:space="preserve">Positive linear correlation between </w:t>
      </w:r>
      <w:proofErr w:type="spellStart"/>
      <w:r w:rsidRPr="00702D5B">
        <w:rPr>
          <w:rFonts w:ascii="Calibri" w:eastAsia="Calibri" w:hAnsi="Calibri" w:cs="Calibri"/>
          <w:lang w:val="en-US"/>
        </w:rPr>
        <w:t>yEGFP</w:t>
      </w:r>
      <w:proofErr w:type="spellEnd"/>
      <w:r w:rsidRPr="00702D5B">
        <w:rPr>
          <w:rFonts w:ascii="Calibri" w:eastAsia="Calibri" w:hAnsi="Calibri" w:cs="Calibri"/>
          <w:lang w:val="en-US"/>
        </w:rPr>
        <w:t xml:space="preserve"> intensity and PRP activation for constitutive promoter constructs P</w:t>
      </w:r>
      <w:r w:rsidRPr="00702D5B">
        <w:rPr>
          <w:rFonts w:ascii="Calibri" w:eastAsia="Calibri" w:hAnsi="Calibri" w:cs="Calibri"/>
          <w:vertAlign w:val="subscript"/>
          <w:lang w:val="en-US"/>
        </w:rPr>
        <w:t>TDH3</w:t>
      </w:r>
      <w:r w:rsidRPr="00702D5B">
        <w:rPr>
          <w:rFonts w:ascii="Calibri" w:eastAsia="Calibri" w:hAnsi="Calibri" w:cs="Calibri"/>
          <w:lang w:val="en-US"/>
        </w:rPr>
        <w:t>- and P</w:t>
      </w:r>
      <w:r w:rsidRPr="00702D5B">
        <w:rPr>
          <w:rFonts w:ascii="Calibri" w:eastAsia="Calibri" w:hAnsi="Calibri" w:cs="Calibri"/>
          <w:vertAlign w:val="subscript"/>
          <w:lang w:val="en-US"/>
        </w:rPr>
        <w:t>PGK1</w:t>
      </w:r>
      <w:r w:rsidRPr="00702D5B">
        <w:rPr>
          <w:rFonts w:ascii="Calibri" w:eastAsia="Calibri" w:hAnsi="Calibri" w:cs="Calibri"/>
          <w:lang w:val="en-US"/>
        </w:rPr>
        <w:t xml:space="preserve">-yEGFP indicated that it was in fact the PRP activation that caused increased expression of </w:t>
      </w:r>
      <w:proofErr w:type="spellStart"/>
      <w:r w:rsidRPr="00702D5B">
        <w:rPr>
          <w:rFonts w:ascii="Calibri" w:eastAsia="Calibri" w:hAnsi="Calibri" w:cs="Calibri"/>
          <w:lang w:val="en-US"/>
        </w:rPr>
        <w:t>yEGFP</w:t>
      </w:r>
      <w:proofErr w:type="spellEnd"/>
      <w:r w:rsidRPr="00702D5B">
        <w:rPr>
          <w:rFonts w:ascii="Calibri" w:eastAsia="Calibri" w:hAnsi="Calibri" w:cs="Calibri"/>
          <w:lang w:val="en-US"/>
        </w:rPr>
        <w:t xml:space="preserve"> (</w:t>
      </w:r>
      <w:r w:rsidRPr="00702D5B">
        <w:rPr>
          <w:rFonts w:ascii="Calibri" w:eastAsia="Calibri" w:hAnsi="Calibri" w:cs="Calibri"/>
          <w:b/>
          <w:lang w:val="en-US"/>
        </w:rPr>
        <w:t>Suppl. Fig. 3C</w:t>
      </w:r>
      <w:r w:rsidRPr="00702D5B">
        <w:rPr>
          <w:rFonts w:ascii="Calibri" w:eastAsia="Calibri" w:hAnsi="Calibri" w:cs="Calibri"/>
          <w:lang w:val="en-US"/>
        </w:rPr>
        <w:t>), despite constant mRNA levels of the cognate genes of the promoters (</w:t>
      </w:r>
      <w:r w:rsidRPr="00702D5B">
        <w:rPr>
          <w:rFonts w:ascii="Calibri" w:eastAsia="Calibri" w:hAnsi="Calibri" w:cs="Calibri"/>
          <w:b/>
          <w:lang w:val="en-US"/>
        </w:rPr>
        <w:t xml:space="preserve">Suppl. </w:t>
      </w:r>
      <w:r>
        <w:rPr>
          <w:rFonts w:ascii="Calibri" w:eastAsia="Calibri" w:hAnsi="Calibri" w:cs="Calibri"/>
          <w:b/>
        </w:rPr>
        <w:t>Fig. 1</w:t>
      </w:r>
      <w:r>
        <w:rPr>
          <w:rFonts w:ascii="Calibri" w:eastAsia="Calibri" w:hAnsi="Calibri" w:cs="Calibri"/>
        </w:rPr>
        <w:t xml:space="preserve">). </w:t>
      </w:r>
      <w:r w:rsidRPr="00702D5B">
        <w:rPr>
          <w:rFonts w:ascii="Calibri" w:eastAsia="Calibri" w:hAnsi="Calibri" w:cs="Calibri"/>
          <w:lang w:val="en-US"/>
        </w:rPr>
        <w:t xml:space="preserve">This also indicate that the effect is post-transcriptional. Additionally, the intensity of the PRP boost is dependent on the GPCR stimulation level, as seen for </w:t>
      </w:r>
      <w:proofErr w:type="spellStart"/>
      <w:r w:rsidRPr="00702D5B">
        <w:rPr>
          <w:rFonts w:ascii="Calibri" w:eastAsia="Calibri" w:hAnsi="Calibri" w:cs="Calibri"/>
          <w:lang w:val="en-US"/>
        </w:rPr>
        <w:t>yEGFP</w:t>
      </w:r>
      <w:proofErr w:type="spellEnd"/>
      <w:r w:rsidRPr="00702D5B">
        <w:rPr>
          <w:rFonts w:ascii="Calibri" w:eastAsia="Calibri" w:hAnsi="Calibri" w:cs="Calibri"/>
          <w:lang w:val="en-US"/>
        </w:rPr>
        <w:t xml:space="preserve"> output, CD19 YSD output, and CAR T cell responses (</w:t>
      </w:r>
      <w:r w:rsidRPr="00702D5B">
        <w:rPr>
          <w:rFonts w:ascii="Calibri" w:eastAsia="Calibri" w:hAnsi="Calibri" w:cs="Calibri"/>
          <w:b/>
          <w:lang w:val="en-US"/>
        </w:rPr>
        <w:t>Fig. 2-4</w:t>
      </w:r>
      <w:r w:rsidRPr="00702D5B">
        <w:rPr>
          <w:rFonts w:ascii="Calibri" w:eastAsia="Calibri" w:hAnsi="Calibri" w:cs="Calibri"/>
          <w:lang w:val="en-US"/>
        </w:rPr>
        <w:t>), and is dependent on the Ste12 transcription factor (</w:t>
      </w:r>
      <w:r w:rsidRPr="00702D5B">
        <w:rPr>
          <w:rFonts w:ascii="Calibri" w:eastAsia="Calibri" w:hAnsi="Calibri" w:cs="Calibri"/>
          <w:b/>
          <w:lang w:val="en-US"/>
        </w:rPr>
        <w:t xml:space="preserve">Suppl. </w:t>
      </w:r>
      <w:r>
        <w:rPr>
          <w:rFonts w:ascii="Calibri" w:eastAsia="Calibri" w:hAnsi="Calibri" w:cs="Calibri"/>
          <w:b/>
        </w:rPr>
        <w:t>Fig. 4</w:t>
      </w:r>
      <w:r>
        <w:rPr>
          <w:rFonts w:ascii="Calibri" w:eastAsia="Calibri" w:hAnsi="Calibri" w:cs="Calibri"/>
        </w:rPr>
        <w:t xml:space="preserve">). </w:t>
      </w:r>
      <w:r w:rsidRPr="00702D5B">
        <w:rPr>
          <w:rFonts w:ascii="Calibri" w:eastAsia="Calibri" w:hAnsi="Calibri" w:cs="Calibri"/>
          <w:lang w:val="en-US"/>
        </w:rPr>
        <w:t xml:space="preserve">As of the corresponding fold changes and linear relationship between </w:t>
      </w:r>
      <w:proofErr w:type="spellStart"/>
      <w:r w:rsidRPr="00702D5B">
        <w:rPr>
          <w:rFonts w:ascii="Calibri" w:eastAsia="Calibri" w:hAnsi="Calibri" w:cs="Calibri"/>
          <w:lang w:val="en-US"/>
        </w:rPr>
        <w:t>yEGFP</w:t>
      </w:r>
      <w:proofErr w:type="spellEnd"/>
      <w:r w:rsidRPr="00702D5B">
        <w:rPr>
          <w:rFonts w:ascii="Calibri" w:eastAsia="Calibri" w:hAnsi="Calibri" w:cs="Calibri"/>
          <w:lang w:val="en-US"/>
        </w:rPr>
        <w:t xml:space="preserve"> levels and PRP-activation/</w:t>
      </w:r>
      <w:proofErr w:type="spellStart"/>
      <w:r w:rsidRPr="00702D5B">
        <w:rPr>
          <w:rFonts w:ascii="Calibri" w:eastAsia="Calibri" w:hAnsi="Calibri" w:cs="Calibri"/>
          <w:lang w:val="en-US"/>
        </w:rPr>
        <w:t>shmooing</w:t>
      </w:r>
      <w:proofErr w:type="spellEnd"/>
      <w:r w:rsidRPr="00702D5B">
        <w:rPr>
          <w:rFonts w:ascii="Calibri" w:eastAsia="Calibri" w:hAnsi="Calibri" w:cs="Calibri"/>
          <w:lang w:val="en-US"/>
        </w:rPr>
        <w:t xml:space="preserve"> (SSC) in strains with constitutive promoters, we deduced that approximated quantification of the PRP-boost </w:t>
      </w:r>
      <w:proofErr w:type="gramStart"/>
      <w:r w:rsidRPr="00702D5B">
        <w:rPr>
          <w:rFonts w:ascii="Calibri" w:eastAsia="Calibri" w:hAnsi="Calibri" w:cs="Calibri"/>
          <w:lang w:val="en-US"/>
        </w:rPr>
        <w:t>can</w:t>
      </w:r>
      <w:proofErr w:type="gramEnd"/>
      <w:r w:rsidRPr="00702D5B">
        <w:rPr>
          <w:rFonts w:ascii="Calibri" w:eastAsia="Calibri" w:hAnsi="Calibri" w:cs="Calibri"/>
          <w:lang w:val="en-US"/>
        </w:rPr>
        <w:t xml:space="preserve"> be done in an unbiased manner via SSC (i.e. independent of e.g. </w:t>
      </w:r>
      <w:proofErr w:type="spellStart"/>
      <w:r w:rsidRPr="00702D5B">
        <w:rPr>
          <w:rFonts w:ascii="Calibri" w:eastAsia="Calibri" w:hAnsi="Calibri" w:cs="Calibri"/>
          <w:lang w:val="en-US"/>
        </w:rPr>
        <w:t>yEGFP</w:t>
      </w:r>
      <w:proofErr w:type="spellEnd"/>
      <w:r w:rsidRPr="00702D5B">
        <w:rPr>
          <w:rFonts w:ascii="Calibri" w:eastAsia="Calibri" w:hAnsi="Calibri" w:cs="Calibri"/>
          <w:lang w:val="en-US"/>
        </w:rPr>
        <w:t xml:space="preserve"> or CD19 levels).</w:t>
      </w:r>
    </w:p>
    <w:p w:rsidR="00596676" w:rsidRDefault="002D3CE8">
      <w:pPr>
        <w:spacing w:line="360" w:lineRule="auto"/>
        <w:jc w:val="both"/>
        <w:rPr>
          <w:rFonts w:ascii="Calibri" w:eastAsia="Calibri" w:hAnsi="Calibri" w:cs="Calibri"/>
          <w:color w:val="FF0000"/>
        </w:rPr>
      </w:pPr>
      <w:r w:rsidRPr="00702D5B">
        <w:rPr>
          <w:rFonts w:ascii="Calibri" w:eastAsia="Calibri" w:hAnsi="Calibri" w:cs="Calibri"/>
          <w:lang w:val="en-US"/>
        </w:rPr>
        <w:t>With these hypotheses of the effect, we next investigated strains with non-constitutive PRP-regulated promoters (P</w:t>
      </w:r>
      <w:r w:rsidRPr="00702D5B">
        <w:rPr>
          <w:rFonts w:ascii="Calibri" w:eastAsia="Calibri" w:hAnsi="Calibri" w:cs="Calibri"/>
          <w:vertAlign w:val="subscript"/>
          <w:lang w:val="en-US"/>
        </w:rPr>
        <w:t>FUS1</w:t>
      </w:r>
      <w:r w:rsidRPr="00702D5B">
        <w:rPr>
          <w:rFonts w:ascii="Calibri" w:eastAsia="Calibri" w:hAnsi="Calibri" w:cs="Calibri"/>
          <w:lang w:val="en-US"/>
        </w:rPr>
        <w:t xml:space="preserve"> and P</w:t>
      </w:r>
      <w:r w:rsidRPr="00702D5B">
        <w:rPr>
          <w:rFonts w:ascii="Calibri" w:eastAsia="Calibri" w:hAnsi="Calibri" w:cs="Calibri"/>
          <w:vertAlign w:val="subscript"/>
          <w:lang w:val="en-US"/>
        </w:rPr>
        <w:t>FIG1</w:t>
      </w:r>
      <w:r w:rsidRPr="00702D5B">
        <w:rPr>
          <w:rFonts w:ascii="Calibri" w:eastAsia="Calibri" w:hAnsi="Calibri" w:cs="Calibri"/>
          <w:lang w:val="en-US"/>
        </w:rPr>
        <w:t xml:space="preserve">) and applied the assumption that total expression level is the product of two separate sequential effects; I) an individual transcriptional level determined by the specific promoter, which may be PRP-regulated, and II) a general PRP-induced post-transcriptional expression boost. In the case of PRP-regulated promoters, the changes in expression level are a product of both effects, meaning that there is less linear correlation between </w:t>
      </w:r>
      <w:proofErr w:type="spellStart"/>
      <w:r w:rsidRPr="00702D5B">
        <w:rPr>
          <w:rFonts w:ascii="Calibri" w:eastAsia="Calibri" w:hAnsi="Calibri" w:cs="Calibri"/>
          <w:lang w:val="en-US"/>
        </w:rPr>
        <w:t>yEGFP</w:t>
      </w:r>
      <w:proofErr w:type="spellEnd"/>
      <w:r w:rsidRPr="00702D5B">
        <w:rPr>
          <w:rFonts w:ascii="Calibri" w:eastAsia="Calibri" w:hAnsi="Calibri" w:cs="Calibri"/>
          <w:lang w:val="en-US"/>
        </w:rPr>
        <w:t xml:space="preserve"> and SSC (</w:t>
      </w:r>
      <w:r w:rsidRPr="00702D5B">
        <w:rPr>
          <w:rFonts w:ascii="Calibri" w:eastAsia="Calibri" w:hAnsi="Calibri" w:cs="Calibri"/>
          <w:b/>
          <w:lang w:val="en-US"/>
        </w:rPr>
        <w:t>Suppl. Fig. 3D</w:t>
      </w:r>
      <w:r w:rsidRPr="00702D5B">
        <w:rPr>
          <w:rFonts w:ascii="Calibri" w:eastAsia="Calibri" w:hAnsi="Calibri" w:cs="Calibri"/>
          <w:lang w:val="en-US"/>
        </w:rPr>
        <w:t>), compared to the constitutive promoters (</w:t>
      </w:r>
      <w:r w:rsidRPr="00702D5B">
        <w:rPr>
          <w:rFonts w:ascii="Calibri" w:eastAsia="Calibri" w:hAnsi="Calibri" w:cs="Calibri"/>
          <w:b/>
          <w:lang w:val="en-US"/>
        </w:rPr>
        <w:t>Suppl. Fig. 3C</w:t>
      </w:r>
      <w:r w:rsidRPr="00702D5B">
        <w:rPr>
          <w:rFonts w:ascii="Calibri" w:eastAsia="Calibri" w:hAnsi="Calibri" w:cs="Calibri"/>
          <w:lang w:val="en-US"/>
        </w:rPr>
        <w:t xml:space="preserve">). Similarly, this means that the dose-response curve for the </w:t>
      </w:r>
      <w:proofErr w:type="spellStart"/>
      <w:r w:rsidRPr="00702D5B">
        <w:rPr>
          <w:rFonts w:ascii="Calibri" w:eastAsia="Calibri" w:hAnsi="Calibri" w:cs="Calibri"/>
          <w:lang w:val="en-US"/>
        </w:rPr>
        <w:t>yEGFP</w:t>
      </w:r>
      <w:proofErr w:type="spellEnd"/>
      <w:r w:rsidRPr="00702D5B">
        <w:rPr>
          <w:rFonts w:ascii="Calibri" w:eastAsia="Calibri" w:hAnsi="Calibri" w:cs="Calibri"/>
          <w:lang w:val="en-US"/>
        </w:rPr>
        <w:t xml:space="preserve"> output, as a function of the concentration of GPCR ligand, must be a product of both effects (</w:t>
      </w:r>
      <w:r w:rsidRPr="00702D5B">
        <w:rPr>
          <w:rFonts w:ascii="Calibri" w:eastAsia="Calibri" w:hAnsi="Calibri" w:cs="Calibri"/>
          <w:b/>
          <w:lang w:val="en-US"/>
        </w:rPr>
        <w:t xml:space="preserve">Suppl. </w:t>
      </w:r>
      <w:r w:rsidRPr="00C1024A">
        <w:rPr>
          <w:rFonts w:ascii="Calibri" w:eastAsia="Calibri" w:hAnsi="Calibri" w:cs="Calibri"/>
          <w:b/>
          <w:lang w:val="en-US"/>
        </w:rPr>
        <w:t>Fig. 3E</w:t>
      </w:r>
      <w:r w:rsidRPr="00C1024A">
        <w:rPr>
          <w:rFonts w:ascii="Calibri" w:eastAsia="Calibri" w:hAnsi="Calibri" w:cs="Calibri"/>
          <w:lang w:val="en-US"/>
        </w:rPr>
        <w:t xml:space="preserve">). </w:t>
      </w:r>
      <w:r w:rsidRPr="00702D5B">
        <w:rPr>
          <w:rFonts w:ascii="Calibri" w:eastAsia="Calibri" w:hAnsi="Calibri" w:cs="Calibri"/>
          <w:lang w:val="en-US"/>
        </w:rPr>
        <w:t xml:space="preserve">Hence, applying the logic that SSC is an approximated quantifier of the PRP boost and that the PRP boost is a multiplicative effect, the normalization of output using SSC-values should isolate the expression pattern attributed to the promoters. Indeed, SSC-normalization of </w:t>
      </w:r>
      <w:proofErr w:type="spellStart"/>
      <w:r w:rsidRPr="00702D5B">
        <w:rPr>
          <w:rFonts w:ascii="Calibri" w:eastAsia="Calibri" w:hAnsi="Calibri" w:cs="Calibri"/>
          <w:lang w:val="en-US"/>
        </w:rPr>
        <w:t>yEGFP</w:t>
      </w:r>
      <w:proofErr w:type="spellEnd"/>
      <w:r w:rsidRPr="00702D5B">
        <w:rPr>
          <w:rFonts w:ascii="Calibri" w:eastAsia="Calibri" w:hAnsi="Calibri" w:cs="Calibri"/>
          <w:lang w:val="en-US"/>
        </w:rPr>
        <w:t xml:space="preserve"> levels decreases the linear correlation between </w:t>
      </w:r>
      <w:proofErr w:type="spellStart"/>
      <w:r w:rsidRPr="00702D5B">
        <w:rPr>
          <w:rFonts w:ascii="Calibri" w:eastAsia="Calibri" w:hAnsi="Calibri" w:cs="Calibri"/>
          <w:lang w:val="en-US"/>
        </w:rPr>
        <w:t>yEGFP</w:t>
      </w:r>
      <w:proofErr w:type="spellEnd"/>
      <w:r w:rsidRPr="00702D5B">
        <w:rPr>
          <w:rFonts w:ascii="Calibri" w:eastAsia="Calibri" w:hAnsi="Calibri" w:cs="Calibri"/>
          <w:lang w:val="en-US"/>
        </w:rPr>
        <w:t xml:space="preserve"> and SSC for P</w:t>
      </w:r>
      <w:r w:rsidRPr="00702D5B">
        <w:rPr>
          <w:rFonts w:ascii="Calibri" w:eastAsia="Calibri" w:hAnsi="Calibri" w:cs="Calibri"/>
          <w:vertAlign w:val="subscript"/>
          <w:lang w:val="en-US"/>
        </w:rPr>
        <w:t>FUS1</w:t>
      </w:r>
      <w:r w:rsidRPr="00702D5B">
        <w:rPr>
          <w:rFonts w:ascii="Calibri" w:eastAsia="Calibri" w:hAnsi="Calibri" w:cs="Calibri"/>
          <w:lang w:val="en-US"/>
        </w:rPr>
        <w:t xml:space="preserve"> and P</w:t>
      </w:r>
      <w:r w:rsidRPr="00702D5B">
        <w:rPr>
          <w:rFonts w:ascii="Calibri" w:eastAsia="Calibri" w:hAnsi="Calibri" w:cs="Calibri"/>
          <w:vertAlign w:val="subscript"/>
          <w:lang w:val="en-US"/>
        </w:rPr>
        <w:t>FIG1</w:t>
      </w:r>
      <w:r w:rsidRPr="00702D5B">
        <w:rPr>
          <w:rFonts w:ascii="Calibri" w:eastAsia="Calibri" w:hAnsi="Calibri" w:cs="Calibri"/>
          <w:lang w:val="en-US"/>
        </w:rPr>
        <w:t xml:space="preserve"> (</w:t>
      </w:r>
      <w:r w:rsidRPr="00702D5B">
        <w:rPr>
          <w:rFonts w:ascii="Calibri" w:eastAsia="Calibri" w:hAnsi="Calibri" w:cs="Calibri"/>
          <w:b/>
          <w:lang w:val="en-US"/>
        </w:rPr>
        <w:t>Suppl. Fig. 3F</w:t>
      </w:r>
      <w:r w:rsidRPr="00702D5B">
        <w:rPr>
          <w:rFonts w:ascii="Calibri" w:eastAsia="Calibri" w:hAnsi="Calibri" w:cs="Calibri"/>
          <w:lang w:val="en-US"/>
        </w:rPr>
        <w:t>) and enhances the dose-response model fit of the commonly applied variable slope (four-parameter) nonlinear regression (</w:t>
      </w:r>
      <w:r w:rsidRPr="00702D5B">
        <w:rPr>
          <w:rFonts w:ascii="Calibri" w:eastAsia="Calibri" w:hAnsi="Calibri" w:cs="Calibri"/>
          <w:b/>
          <w:lang w:val="en-US"/>
        </w:rPr>
        <w:t xml:space="preserve">Suppl. </w:t>
      </w:r>
      <w:r>
        <w:rPr>
          <w:rFonts w:ascii="Calibri" w:eastAsia="Calibri" w:hAnsi="Calibri" w:cs="Calibri"/>
          <w:b/>
        </w:rPr>
        <w:t>Fig. 3G</w:t>
      </w:r>
      <w:r>
        <w:rPr>
          <w:rFonts w:ascii="Calibri" w:eastAsia="Calibri" w:hAnsi="Calibri" w:cs="Calibri"/>
        </w:rPr>
        <w:t>).</w:t>
      </w:r>
    </w:p>
    <w:p w:rsidR="00596676" w:rsidRDefault="00234939">
      <w:pPr>
        <w:spacing w:line="360" w:lineRule="auto"/>
        <w:jc w:val="center"/>
        <w:rPr>
          <w:rFonts w:ascii="Calibri" w:eastAsia="Calibri" w:hAnsi="Calibri" w:cs="Calibri"/>
          <w:b/>
          <w:sz w:val="18"/>
          <w:szCs w:val="18"/>
        </w:rPr>
      </w:pPr>
      <w:r>
        <w:rPr>
          <w:rFonts w:ascii="Calibri" w:eastAsia="Calibri" w:hAnsi="Calibri" w:cs="Calibri"/>
          <w:b/>
          <w:noProof/>
          <w:sz w:val="18"/>
          <w:szCs w:val="18"/>
          <w:lang w:val="en-US"/>
        </w:rPr>
        <w:lastRenderedPageBreak/>
        <w:pict>
          <v:shape id="_x0000_i1027" type="#_x0000_t75" style="width:295.1pt;height:479.85pt">
            <v:imagedata r:id="rId9" o:title="Suppl Fig 3 (A-J) - PRP-boost study (corrected)"/>
          </v:shape>
        </w:pict>
      </w:r>
    </w:p>
    <w:p w:rsidR="00596676" w:rsidRDefault="002D3CE8">
      <w:pPr>
        <w:spacing w:line="360" w:lineRule="auto"/>
        <w:jc w:val="both"/>
        <w:rPr>
          <w:rFonts w:ascii="Calibri" w:eastAsia="Calibri" w:hAnsi="Calibri" w:cs="Calibri"/>
          <w:sz w:val="18"/>
          <w:szCs w:val="18"/>
        </w:rPr>
      </w:pP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 xml:space="preserve">Suppl. Fig. 3: Analysis of the PRP-induced expression boost. 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The PRP boost analysis was based on flow cytometry measurements of 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yEGFP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mean fluorescence intensity (MFI) and morphological changes (SSC) from two strains employing constitutive promoters, P</w:t>
      </w:r>
      <w:r w:rsidRPr="00702D5B">
        <w:rPr>
          <w:rFonts w:ascii="Calibri" w:eastAsia="Calibri" w:hAnsi="Calibri" w:cs="Calibri"/>
          <w:sz w:val="18"/>
          <w:szCs w:val="18"/>
          <w:vertAlign w:val="subscript"/>
          <w:lang w:val="en-US"/>
        </w:rPr>
        <w:t>PGK1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and P</w:t>
      </w:r>
      <w:r w:rsidRPr="00702D5B">
        <w:rPr>
          <w:rFonts w:ascii="Calibri" w:eastAsia="Calibri" w:hAnsi="Calibri" w:cs="Calibri"/>
          <w:sz w:val="18"/>
          <w:szCs w:val="18"/>
          <w:vertAlign w:val="subscript"/>
          <w:lang w:val="en-US"/>
        </w:rPr>
        <w:t>TDH3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, and two strains containing PRP-regulated promoters, P</w:t>
      </w:r>
      <w:r w:rsidRPr="00702D5B">
        <w:rPr>
          <w:rFonts w:ascii="Calibri" w:eastAsia="Calibri" w:hAnsi="Calibri" w:cs="Calibri"/>
          <w:sz w:val="18"/>
          <w:szCs w:val="18"/>
          <w:vertAlign w:val="subscript"/>
          <w:lang w:val="en-US"/>
        </w:rPr>
        <w:t>FUS1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and P</w:t>
      </w:r>
      <w:r w:rsidRPr="00702D5B">
        <w:rPr>
          <w:rFonts w:ascii="Calibri" w:eastAsia="Calibri" w:hAnsi="Calibri" w:cs="Calibri"/>
          <w:sz w:val="18"/>
          <w:szCs w:val="18"/>
          <w:vertAlign w:val="subscript"/>
          <w:lang w:val="en-US"/>
        </w:rPr>
        <w:t>FIG1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, with GPCR (Ste2) stimulation (0-100 µM ɑ-factor). </w:t>
      </w: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 xml:space="preserve">A. 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Absolute changes in 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yEGFP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(</w:t>
      </w:r>
      <w:r>
        <w:rPr>
          <w:rFonts w:ascii="Calibri" w:eastAsia="Calibri" w:hAnsi="Calibri" w:cs="Calibri"/>
          <w:sz w:val="18"/>
          <w:szCs w:val="18"/>
        </w:rPr>
        <w:t>Δ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yEGFP) between P</w:t>
      </w:r>
      <w:r w:rsidRPr="00702D5B">
        <w:rPr>
          <w:rFonts w:ascii="Calibri" w:eastAsia="Calibri" w:hAnsi="Calibri" w:cs="Calibri"/>
          <w:sz w:val="18"/>
          <w:szCs w:val="18"/>
          <w:vertAlign w:val="subscript"/>
          <w:lang w:val="en-US"/>
        </w:rPr>
        <w:t>PGK1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and P</w:t>
      </w:r>
      <w:r w:rsidRPr="00702D5B">
        <w:rPr>
          <w:rFonts w:ascii="Calibri" w:eastAsia="Calibri" w:hAnsi="Calibri" w:cs="Calibri"/>
          <w:sz w:val="18"/>
          <w:szCs w:val="18"/>
          <w:vertAlign w:val="subscript"/>
          <w:lang w:val="en-US"/>
        </w:rPr>
        <w:t>TDH3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(constitutive promoters) relative to the background level at </w:t>
      </w:r>
      <w:proofErr w:type="gramStart"/>
      <w:r w:rsidRPr="00702D5B">
        <w:rPr>
          <w:rFonts w:ascii="Calibri" w:eastAsia="Calibri" w:hAnsi="Calibri" w:cs="Calibri"/>
          <w:sz w:val="18"/>
          <w:szCs w:val="18"/>
          <w:lang w:val="en-US"/>
        </w:rPr>
        <w:t>0</w:t>
      </w:r>
      <w:proofErr w:type="gram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µM (</w:t>
      </w:r>
      <w:r>
        <w:rPr>
          <w:rFonts w:ascii="Calibri" w:eastAsia="Calibri" w:hAnsi="Calibri" w:cs="Calibri"/>
          <w:sz w:val="18"/>
          <w:szCs w:val="18"/>
        </w:rPr>
        <w:t>Δ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yEGFP</w:t>
      </w:r>
      <w:r w:rsidRPr="00702D5B">
        <w:rPr>
          <w:rFonts w:ascii="Calibri" w:eastAsia="Calibri" w:hAnsi="Calibri" w:cs="Calibri"/>
          <w:sz w:val="18"/>
          <w:szCs w:val="18"/>
          <w:vertAlign w:val="subscript"/>
          <w:lang w:val="en-US"/>
        </w:rPr>
        <w:t>0µM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= 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yEGFP</w:t>
      </w:r>
      <w:r w:rsidRPr="00702D5B">
        <w:rPr>
          <w:rFonts w:ascii="Calibri" w:eastAsia="Calibri" w:hAnsi="Calibri" w:cs="Calibri"/>
          <w:sz w:val="18"/>
          <w:szCs w:val="18"/>
          <w:vertAlign w:val="subscript"/>
          <w:lang w:val="en-US"/>
        </w:rPr>
        <w:t>X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- yEGFP</w:t>
      </w:r>
      <w:r w:rsidRPr="00702D5B">
        <w:rPr>
          <w:rFonts w:ascii="Calibri" w:eastAsia="Calibri" w:hAnsi="Calibri" w:cs="Calibri"/>
          <w:sz w:val="18"/>
          <w:szCs w:val="18"/>
          <w:vertAlign w:val="subscript"/>
          <w:lang w:val="en-US"/>
        </w:rPr>
        <w:t>0µM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). </w:t>
      </w: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 xml:space="preserve">B. 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Fold changes in 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yEGFP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and SSC levels for strains with constitutive promoters. </w:t>
      </w: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>C.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Linear relationship between 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yEGFP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MFI and SSC for strains with constitutive promoters. </w:t>
      </w: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>D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. Relationship between 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yEGFP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MFI and SSC for strains with PRP-regulated promoters. </w:t>
      </w: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>E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. 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yEGFP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output dose-response relationship across GPCR stimulation levels with curve fitting using variable slope (four-parameter) nonlinear regression. </w:t>
      </w: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>F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. Relationship between SSC-normalized 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yEGFP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MFI and SSC for strains with PRP-regulated promoters. </w:t>
      </w: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>G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. SSC-normalized 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yEGFP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output dose-response relationship across GPCR stimulation levels with curve fitting using variable slope (four-parameter) nonlinear regression. Data represents means of median fluorescence intensity (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mMFI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) for three biological replicates (n=3) and standard deviations hereof. Significance levels: </w:t>
      </w:r>
      <w:r w:rsidRPr="00702D5B">
        <w:rPr>
          <w:rFonts w:ascii="Calibri" w:eastAsia="Calibri" w:hAnsi="Calibri" w:cs="Calibri"/>
          <w:sz w:val="12"/>
          <w:szCs w:val="12"/>
          <w:lang w:val="en-US"/>
        </w:rPr>
        <w:t>✱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: P≤0.01, </w:t>
      </w:r>
      <w:r w:rsidRPr="00702D5B">
        <w:rPr>
          <w:rFonts w:ascii="Calibri" w:eastAsia="Calibri" w:hAnsi="Calibri" w:cs="Calibri"/>
          <w:sz w:val="12"/>
          <w:szCs w:val="12"/>
          <w:lang w:val="en-US"/>
        </w:rPr>
        <w:t>✱✱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: P≤0.0001. Not all pairwise comparisons </w:t>
      </w:r>
      <w:proofErr w:type="gramStart"/>
      <w:r w:rsidRPr="00702D5B">
        <w:rPr>
          <w:rFonts w:ascii="Calibri" w:eastAsia="Calibri" w:hAnsi="Calibri" w:cs="Calibri"/>
          <w:sz w:val="18"/>
          <w:szCs w:val="18"/>
          <w:lang w:val="en-US"/>
        </w:rPr>
        <w:t>are shown</w:t>
      </w:r>
      <w:proofErr w:type="gram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. </w:t>
      </w:r>
      <w:proofErr w:type="spellStart"/>
      <w:r>
        <w:rPr>
          <w:rFonts w:ascii="Calibri" w:eastAsia="Calibri" w:hAnsi="Calibri" w:cs="Calibri"/>
          <w:sz w:val="18"/>
          <w:szCs w:val="18"/>
        </w:rPr>
        <w:t>Statistics</w:t>
      </w:r>
      <w:proofErr w:type="spellEnd"/>
      <w:r>
        <w:rPr>
          <w:rFonts w:ascii="Calibri" w:eastAsia="Calibri" w:hAnsi="Calibri" w:cs="Calibri"/>
          <w:sz w:val="18"/>
          <w:szCs w:val="18"/>
        </w:rPr>
        <w:t xml:space="preserve"> in: </w:t>
      </w:r>
      <w:proofErr w:type="spellStart"/>
      <w:r>
        <w:rPr>
          <w:rFonts w:ascii="Calibri" w:eastAsia="Calibri" w:hAnsi="Calibri" w:cs="Calibri"/>
          <w:b/>
          <w:sz w:val="18"/>
          <w:szCs w:val="18"/>
        </w:rPr>
        <w:t>Suppl</w:t>
      </w:r>
      <w:proofErr w:type="spellEnd"/>
      <w:r>
        <w:rPr>
          <w:rFonts w:ascii="Calibri" w:eastAsia="Calibri" w:hAnsi="Calibri" w:cs="Calibri"/>
          <w:b/>
          <w:sz w:val="18"/>
          <w:szCs w:val="18"/>
        </w:rPr>
        <w:t xml:space="preserve">. </w:t>
      </w:r>
      <w:proofErr w:type="spellStart"/>
      <w:r>
        <w:rPr>
          <w:rFonts w:ascii="Calibri" w:eastAsia="Calibri" w:hAnsi="Calibri" w:cs="Calibri"/>
          <w:b/>
          <w:sz w:val="18"/>
          <w:szCs w:val="18"/>
        </w:rPr>
        <w:t>Table</w:t>
      </w:r>
      <w:proofErr w:type="spellEnd"/>
      <w:r>
        <w:rPr>
          <w:rFonts w:ascii="Calibri" w:eastAsia="Calibri" w:hAnsi="Calibri" w:cs="Calibri"/>
          <w:b/>
          <w:sz w:val="18"/>
          <w:szCs w:val="18"/>
        </w:rPr>
        <w:t xml:space="preserve"> 3</w:t>
      </w:r>
      <w:r>
        <w:rPr>
          <w:rFonts w:ascii="Calibri" w:eastAsia="Calibri" w:hAnsi="Calibri" w:cs="Calibri"/>
          <w:sz w:val="18"/>
          <w:szCs w:val="18"/>
        </w:rPr>
        <w:t>.</w:t>
      </w:r>
    </w:p>
    <w:p w:rsidR="00596676" w:rsidRDefault="002D3CE8">
      <w:pPr>
        <w:spacing w:line="360" w:lineRule="auto"/>
        <w:jc w:val="both"/>
        <w:rPr>
          <w:rFonts w:ascii="Calibri" w:eastAsia="Calibri" w:hAnsi="Calibri" w:cs="Calibri"/>
          <w:highlight w:val="yellow"/>
        </w:rPr>
      </w:pPr>
      <w:r>
        <w:rPr>
          <w:rFonts w:ascii="Calibri" w:eastAsia="Calibri" w:hAnsi="Calibri" w:cs="Calibri"/>
          <w:b/>
          <w:u w:val="single"/>
        </w:rPr>
        <w:lastRenderedPageBreak/>
        <w:t>Suppl. Fig. 4</w:t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</w:p>
    <w:p w:rsidR="00596676" w:rsidRDefault="00234939">
      <w:pPr>
        <w:spacing w:line="360" w:lineRule="auto"/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pict>
          <v:shape id="_x0000_i1028" type="#_x0000_t75" style="width:451.15pt;height:140.25pt">
            <v:imagedata r:id="rId10" o:title="Suppl Fig 4 (A-D) - Shaw comparison"/>
          </v:shape>
        </w:pict>
      </w:r>
    </w:p>
    <w:p w:rsidR="00596676" w:rsidRDefault="002D3CE8">
      <w:pPr>
        <w:spacing w:line="360" w:lineRule="auto"/>
        <w:jc w:val="both"/>
        <w:rPr>
          <w:rFonts w:ascii="Calibri" w:eastAsia="Calibri" w:hAnsi="Calibri" w:cs="Calibri"/>
          <w:sz w:val="18"/>
          <w:szCs w:val="18"/>
        </w:rPr>
      </w:pP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 xml:space="preserve">Suppl. Fig. 4: Comparison of GPCR signaling using Ste12 to an orthogonal synthetic transcription factor. 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The dynamics of two biosensor strains employing the GPCR Ste2 to sense ɑ-factor </w:t>
      </w:r>
      <w:proofErr w:type="gramStart"/>
      <w:r w:rsidRPr="00702D5B">
        <w:rPr>
          <w:rFonts w:ascii="Calibri" w:eastAsia="Calibri" w:hAnsi="Calibri" w:cs="Calibri"/>
          <w:sz w:val="18"/>
          <w:szCs w:val="18"/>
          <w:lang w:val="en-US"/>
        </w:rPr>
        <w:t>were compared</w:t>
      </w:r>
      <w:proofErr w:type="gram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by flow cytometry measurements of 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yEGFP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mean fluorescence intensity (MFI) and morphological changes (SSC). Specifically, we compared the P</w:t>
      </w:r>
      <w:r w:rsidRPr="00702D5B">
        <w:rPr>
          <w:rFonts w:ascii="Calibri" w:eastAsia="Calibri" w:hAnsi="Calibri" w:cs="Calibri"/>
          <w:sz w:val="18"/>
          <w:szCs w:val="18"/>
          <w:vertAlign w:val="subscript"/>
          <w:lang w:val="en-US"/>
        </w:rPr>
        <w:t>FUS1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processing unit design (</w:t>
      </w:r>
      <w:r w:rsidRPr="00702D5B">
        <w:rPr>
          <w:rFonts w:ascii="Calibri" w:eastAsia="Calibri" w:hAnsi="Calibri" w:cs="Calibri"/>
          <w:i/>
          <w:sz w:val="18"/>
          <w:szCs w:val="18"/>
          <w:lang w:val="en-US"/>
        </w:rPr>
        <w:t>blue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) to orthogonal GPCR signaling that employs an orthogonal signal pathway relying on a 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LexA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>-based synthetic transcription factor (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sTF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) and a 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LexO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>-containing promoter (P</w:t>
      </w:r>
      <w:r w:rsidRPr="00702D5B">
        <w:rPr>
          <w:rFonts w:ascii="Calibri" w:eastAsia="Calibri" w:hAnsi="Calibri" w:cs="Calibri"/>
          <w:sz w:val="18"/>
          <w:szCs w:val="18"/>
          <w:vertAlign w:val="subscript"/>
          <w:lang w:val="en-US"/>
        </w:rPr>
        <w:t>6xLexOLEU2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), and importantly has the PRP transcription factor Ste12 deleted (</w:t>
      </w:r>
      <w:r w:rsidRPr="00702D5B">
        <w:rPr>
          <w:rFonts w:ascii="Calibri" w:eastAsia="Calibri" w:hAnsi="Calibri" w:cs="Calibri"/>
          <w:i/>
          <w:sz w:val="18"/>
          <w:szCs w:val="18"/>
          <w:lang w:val="en-US"/>
        </w:rPr>
        <w:t>orange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) </w:t>
      </w:r>
      <w:hyperlink r:id="rId11">
        <w:proofErr w:type="gramStart"/>
        <w:r w:rsidRPr="00702D5B">
          <w:rPr>
            <w:rFonts w:ascii="Calibri" w:eastAsia="Calibri" w:hAnsi="Calibri" w:cs="Calibri"/>
            <w:color w:val="000000"/>
            <w:sz w:val="18"/>
            <w:szCs w:val="18"/>
            <w:vertAlign w:val="superscript"/>
            <w:lang w:val="en-US"/>
          </w:rPr>
          <w:t>2</w:t>
        </w:r>
        <w:proofErr w:type="gramEnd"/>
      </w:hyperlink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. </w:t>
      </w: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>A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. Absolute 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yEGFP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MFI. </w:t>
      </w: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>B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. SSC-normalized 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yEGFP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levels. </w:t>
      </w: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>C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. Quantification of the PRP expression boost. </w:t>
      </w: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>D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. Fold change 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yEGFP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, with and without SSC-normalization. SSC-normalized fold changes </w:t>
      </w:r>
      <w:proofErr w:type="gramStart"/>
      <w:r w:rsidRPr="00702D5B">
        <w:rPr>
          <w:rFonts w:ascii="Calibri" w:eastAsia="Calibri" w:hAnsi="Calibri" w:cs="Calibri"/>
          <w:sz w:val="18"/>
          <w:szCs w:val="18"/>
          <w:lang w:val="en-US"/>
        </w:rPr>
        <w:t>are illustrated</w:t>
      </w:r>
      <w:proofErr w:type="gram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with dashed lines. Data represents means of median fluorescence intensity (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mMFI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) for three biological replicates (n=3) and standard deviations hereof. </w:t>
      </w:r>
      <w:proofErr w:type="spellStart"/>
      <w:r>
        <w:rPr>
          <w:rFonts w:ascii="Calibri" w:eastAsia="Calibri" w:hAnsi="Calibri" w:cs="Calibri"/>
          <w:sz w:val="18"/>
          <w:szCs w:val="18"/>
        </w:rPr>
        <w:t>Statistics</w:t>
      </w:r>
      <w:proofErr w:type="spellEnd"/>
      <w:r>
        <w:rPr>
          <w:rFonts w:ascii="Calibri" w:eastAsia="Calibri" w:hAnsi="Calibri" w:cs="Calibri"/>
          <w:sz w:val="18"/>
          <w:szCs w:val="18"/>
        </w:rPr>
        <w:t xml:space="preserve"> in: </w:t>
      </w:r>
      <w:proofErr w:type="spellStart"/>
      <w:r>
        <w:rPr>
          <w:rFonts w:ascii="Calibri" w:eastAsia="Calibri" w:hAnsi="Calibri" w:cs="Calibri"/>
          <w:b/>
          <w:sz w:val="18"/>
          <w:szCs w:val="18"/>
        </w:rPr>
        <w:t>Suppl</w:t>
      </w:r>
      <w:proofErr w:type="spellEnd"/>
      <w:r>
        <w:rPr>
          <w:rFonts w:ascii="Calibri" w:eastAsia="Calibri" w:hAnsi="Calibri" w:cs="Calibri"/>
          <w:b/>
          <w:sz w:val="18"/>
          <w:szCs w:val="18"/>
        </w:rPr>
        <w:t xml:space="preserve">. </w:t>
      </w:r>
      <w:proofErr w:type="spellStart"/>
      <w:r>
        <w:rPr>
          <w:rFonts w:ascii="Calibri" w:eastAsia="Calibri" w:hAnsi="Calibri" w:cs="Calibri"/>
          <w:b/>
          <w:sz w:val="18"/>
          <w:szCs w:val="18"/>
        </w:rPr>
        <w:t>Table</w:t>
      </w:r>
      <w:proofErr w:type="spellEnd"/>
      <w:r>
        <w:rPr>
          <w:rFonts w:ascii="Calibri" w:eastAsia="Calibri" w:hAnsi="Calibri" w:cs="Calibri"/>
          <w:b/>
          <w:sz w:val="18"/>
          <w:szCs w:val="18"/>
        </w:rPr>
        <w:t xml:space="preserve"> 2</w:t>
      </w:r>
      <w:r>
        <w:rPr>
          <w:rFonts w:ascii="Calibri" w:eastAsia="Calibri" w:hAnsi="Calibri" w:cs="Calibri"/>
          <w:sz w:val="18"/>
          <w:szCs w:val="18"/>
        </w:rPr>
        <w:t xml:space="preserve"> (not </w:t>
      </w:r>
      <w:proofErr w:type="spellStart"/>
      <w:r>
        <w:rPr>
          <w:rFonts w:ascii="Calibri" w:eastAsia="Calibri" w:hAnsi="Calibri" w:cs="Calibri"/>
          <w:sz w:val="18"/>
          <w:szCs w:val="18"/>
        </w:rPr>
        <w:t>shown</w:t>
      </w:r>
      <w:proofErr w:type="spellEnd"/>
      <w:r>
        <w:rPr>
          <w:rFonts w:ascii="Calibri" w:eastAsia="Calibri" w:hAnsi="Calibri" w:cs="Calibri"/>
          <w:sz w:val="18"/>
          <w:szCs w:val="18"/>
        </w:rPr>
        <w:t>).</w:t>
      </w:r>
    </w:p>
    <w:p w:rsidR="00596676" w:rsidRDefault="00596676">
      <w:pPr>
        <w:spacing w:line="360" w:lineRule="auto"/>
        <w:jc w:val="both"/>
        <w:rPr>
          <w:rFonts w:ascii="Calibri" w:eastAsia="Calibri" w:hAnsi="Calibri" w:cs="Calibri"/>
          <w:highlight w:val="yellow"/>
        </w:rPr>
      </w:pPr>
    </w:p>
    <w:p w:rsidR="00596676" w:rsidRDefault="002D3CE8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br/>
      </w:r>
    </w:p>
    <w:p w:rsidR="00596676" w:rsidRDefault="002D3CE8">
      <w:pPr>
        <w:spacing w:line="360" w:lineRule="auto"/>
        <w:jc w:val="both"/>
        <w:rPr>
          <w:rFonts w:ascii="Calibri" w:eastAsia="Calibri" w:hAnsi="Calibri" w:cs="Calibri"/>
          <w:b/>
          <w:u w:val="single"/>
        </w:rPr>
      </w:pPr>
      <w:r>
        <w:br w:type="page"/>
      </w:r>
    </w:p>
    <w:p w:rsidR="00596676" w:rsidRDefault="002D3CE8">
      <w:pPr>
        <w:spacing w:line="360" w:lineRule="auto"/>
        <w:jc w:val="both"/>
        <w:rPr>
          <w:rFonts w:ascii="Calibri" w:eastAsia="Calibri" w:hAnsi="Calibri" w:cs="Calibri"/>
          <w:b/>
        </w:rPr>
      </w:pPr>
      <w:proofErr w:type="spellStart"/>
      <w:r>
        <w:rPr>
          <w:rFonts w:ascii="Calibri" w:eastAsia="Calibri" w:hAnsi="Calibri" w:cs="Calibri"/>
          <w:b/>
          <w:u w:val="single"/>
        </w:rPr>
        <w:lastRenderedPageBreak/>
        <w:t>Suppl</w:t>
      </w:r>
      <w:proofErr w:type="spellEnd"/>
      <w:r>
        <w:rPr>
          <w:rFonts w:ascii="Calibri" w:eastAsia="Calibri" w:hAnsi="Calibri" w:cs="Calibri"/>
          <w:b/>
          <w:u w:val="single"/>
        </w:rPr>
        <w:t>. Fig. 5</w:t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</w:p>
    <w:p w:rsidR="00596676" w:rsidRPr="00702D5B" w:rsidRDefault="00234939">
      <w:pPr>
        <w:spacing w:line="360" w:lineRule="auto"/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  <w:noProof/>
          <w:lang w:val="en-US"/>
        </w:rPr>
        <w:pict>
          <v:shape id="_x0000_i1029" type="#_x0000_t75" style="width:347.5pt;height:539.4pt">
            <v:imagedata r:id="rId12" o:title="Suppl Fig 5 - Dose-response curves (non-SSC-A normalized)"/>
          </v:shape>
        </w:pict>
      </w:r>
    </w:p>
    <w:p w:rsidR="00596676" w:rsidRDefault="002D3CE8">
      <w:pPr>
        <w:spacing w:line="360" w:lineRule="auto"/>
        <w:jc w:val="both"/>
        <w:rPr>
          <w:rFonts w:ascii="Calibri" w:eastAsia="Calibri" w:hAnsi="Calibri" w:cs="Calibri"/>
          <w:sz w:val="18"/>
          <w:szCs w:val="18"/>
        </w:rPr>
      </w:pP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 xml:space="preserve">Suppl. Fig. 5 - Comparison of fold change absolute </w:t>
      </w:r>
      <w:proofErr w:type="spellStart"/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>yEGFP</w:t>
      </w:r>
      <w:proofErr w:type="spellEnd"/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 xml:space="preserve"> dose-response curves with and without PRP boost.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Fold change 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yEGFP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from the individual processing module promoters, including PRP boost (</w:t>
      </w:r>
      <w:r w:rsidRPr="00702D5B">
        <w:rPr>
          <w:rFonts w:ascii="Calibri" w:eastAsia="Calibri" w:hAnsi="Calibri" w:cs="Calibri"/>
          <w:i/>
          <w:sz w:val="18"/>
          <w:szCs w:val="18"/>
          <w:lang w:val="en-US"/>
        </w:rPr>
        <w:t>black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) and excluding PRP boost via SSC-normalization (</w:t>
      </w:r>
      <w:r w:rsidRPr="00702D5B">
        <w:rPr>
          <w:rFonts w:ascii="Calibri" w:eastAsia="Calibri" w:hAnsi="Calibri" w:cs="Calibri"/>
          <w:i/>
          <w:sz w:val="18"/>
          <w:szCs w:val="18"/>
          <w:lang w:val="en-US"/>
        </w:rPr>
        <w:t>blue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), with curve fitting using variable slope (four-parameter) nonlinear regression. Strains employ the GPCR Ste2 to sense ɑ-factor (0-100 µM). Data represents means of median fluorescence intensity (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mMFI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) for three biological replicates (n=3) and standard deviations hereof. </w:t>
      </w:r>
      <w:proofErr w:type="spellStart"/>
      <w:r>
        <w:rPr>
          <w:rFonts w:ascii="Calibri" w:eastAsia="Calibri" w:hAnsi="Calibri" w:cs="Calibri"/>
          <w:sz w:val="18"/>
          <w:szCs w:val="18"/>
        </w:rPr>
        <w:t>Statistics</w:t>
      </w:r>
      <w:proofErr w:type="spellEnd"/>
      <w:r>
        <w:rPr>
          <w:rFonts w:ascii="Calibri" w:eastAsia="Calibri" w:hAnsi="Calibri" w:cs="Calibri"/>
          <w:sz w:val="18"/>
          <w:szCs w:val="18"/>
        </w:rPr>
        <w:t xml:space="preserve"> and </w:t>
      </w:r>
      <w:proofErr w:type="spellStart"/>
      <w:r>
        <w:rPr>
          <w:rFonts w:ascii="Calibri" w:eastAsia="Calibri" w:hAnsi="Calibri" w:cs="Calibri"/>
          <w:sz w:val="18"/>
          <w:szCs w:val="18"/>
        </w:rPr>
        <w:t>curve</w:t>
      </w:r>
      <w:proofErr w:type="spellEnd"/>
      <w:r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>
        <w:rPr>
          <w:rFonts w:ascii="Calibri" w:eastAsia="Calibri" w:hAnsi="Calibri" w:cs="Calibri"/>
          <w:sz w:val="18"/>
          <w:szCs w:val="18"/>
        </w:rPr>
        <w:t>fits</w:t>
      </w:r>
      <w:proofErr w:type="spellEnd"/>
      <w:r>
        <w:rPr>
          <w:rFonts w:ascii="Calibri" w:eastAsia="Calibri" w:hAnsi="Calibri" w:cs="Calibri"/>
          <w:sz w:val="18"/>
          <w:szCs w:val="18"/>
        </w:rPr>
        <w:t xml:space="preserve">: </w:t>
      </w:r>
      <w:proofErr w:type="spellStart"/>
      <w:r>
        <w:rPr>
          <w:rFonts w:ascii="Calibri" w:eastAsia="Calibri" w:hAnsi="Calibri" w:cs="Calibri"/>
          <w:b/>
          <w:sz w:val="18"/>
          <w:szCs w:val="18"/>
        </w:rPr>
        <w:t>Suppl</w:t>
      </w:r>
      <w:proofErr w:type="spellEnd"/>
      <w:r>
        <w:rPr>
          <w:rFonts w:ascii="Calibri" w:eastAsia="Calibri" w:hAnsi="Calibri" w:cs="Calibri"/>
          <w:b/>
          <w:sz w:val="18"/>
          <w:szCs w:val="18"/>
        </w:rPr>
        <w:t xml:space="preserve">. </w:t>
      </w:r>
      <w:proofErr w:type="spellStart"/>
      <w:r>
        <w:rPr>
          <w:rFonts w:ascii="Calibri" w:eastAsia="Calibri" w:hAnsi="Calibri" w:cs="Calibri"/>
          <w:b/>
          <w:sz w:val="18"/>
          <w:szCs w:val="18"/>
        </w:rPr>
        <w:t>Table</w:t>
      </w:r>
      <w:proofErr w:type="spellEnd"/>
      <w:r>
        <w:rPr>
          <w:rFonts w:ascii="Calibri" w:eastAsia="Calibri" w:hAnsi="Calibri" w:cs="Calibri"/>
          <w:b/>
          <w:sz w:val="18"/>
          <w:szCs w:val="18"/>
        </w:rPr>
        <w:t xml:space="preserve"> 4. </w:t>
      </w:r>
    </w:p>
    <w:p w:rsidR="00C1024A" w:rsidRDefault="00C1024A">
      <w:pPr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br w:type="page"/>
      </w:r>
    </w:p>
    <w:p w:rsidR="00596676" w:rsidRDefault="002D3CE8">
      <w:pPr>
        <w:spacing w:line="360" w:lineRule="auto"/>
        <w:jc w:val="both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b/>
          <w:u w:val="single"/>
        </w:rPr>
        <w:lastRenderedPageBreak/>
        <w:t>Suppl. Fig. 6</w:t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</w:p>
    <w:p w:rsidR="00596676" w:rsidRDefault="00234939">
      <w:pPr>
        <w:spacing w:line="360" w:lineRule="auto"/>
        <w:jc w:val="center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noProof/>
          <w:sz w:val="18"/>
          <w:szCs w:val="18"/>
          <w:lang w:val="en-US"/>
        </w:rPr>
        <w:pict>
          <v:shape id="_x0000_i1030" type="#_x0000_t75" style="width:387.9pt;height:471.1pt">
            <v:imagedata r:id="rId13" o:title="Suppl Fig 6 (A-C) - Galactose induction investigation"/>
          </v:shape>
        </w:pict>
      </w:r>
    </w:p>
    <w:p w:rsidR="00596676" w:rsidRDefault="002D3CE8">
      <w:pPr>
        <w:spacing w:line="360" w:lineRule="auto"/>
        <w:jc w:val="both"/>
        <w:rPr>
          <w:rFonts w:ascii="Calibri" w:eastAsia="Calibri" w:hAnsi="Calibri" w:cs="Calibri"/>
          <w:sz w:val="18"/>
          <w:szCs w:val="18"/>
        </w:rPr>
      </w:pP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 xml:space="preserve">Suppl. Fig. 6 - CD19 YSD using galactose induction from plasmid and genome-integrated cassettes. 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Investigation of P</w:t>
      </w:r>
      <w:r w:rsidRPr="00702D5B">
        <w:rPr>
          <w:rFonts w:ascii="Calibri" w:eastAsia="Calibri" w:hAnsi="Calibri" w:cs="Calibri"/>
          <w:sz w:val="18"/>
          <w:szCs w:val="18"/>
          <w:vertAlign w:val="subscript"/>
          <w:lang w:val="en-US"/>
        </w:rPr>
        <w:t>GAL1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-based control of YSD from a 2µ 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multicopy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expression plasmid (pMAD58) and a genome-integrated site. Cells were stained and analyzed by flow cytometry after 24 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hrs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of galactose induction (0.0002%-</w:t>
      </w:r>
      <w:proofErr w:type="gramStart"/>
      <w:r w:rsidRPr="00702D5B">
        <w:rPr>
          <w:rFonts w:ascii="Calibri" w:eastAsia="Calibri" w:hAnsi="Calibri" w:cs="Calibri"/>
          <w:sz w:val="18"/>
          <w:szCs w:val="18"/>
          <w:lang w:val="en-US"/>
        </w:rPr>
        <w:t>2%Gal</w:t>
      </w:r>
      <w:proofErr w:type="gram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), using 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raffinose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as the compensating carbon source. The non-displaying background strain was employed as negative control (‘No YSD’) and P</w:t>
      </w:r>
      <w:r w:rsidRPr="00702D5B">
        <w:rPr>
          <w:rFonts w:ascii="Calibri" w:eastAsia="Calibri" w:hAnsi="Calibri" w:cs="Calibri"/>
          <w:sz w:val="18"/>
          <w:szCs w:val="18"/>
          <w:vertAlign w:val="subscript"/>
          <w:lang w:val="en-US"/>
        </w:rPr>
        <w:t>TDH3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-CD19 as positive control. A negative control condition was included at which cells </w:t>
      </w:r>
      <w:proofErr w:type="gramStart"/>
      <w:r w:rsidRPr="00702D5B">
        <w:rPr>
          <w:rFonts w:ascii="Calibri" w:eastAsia="Calibri" w:hAnsi="Calibri" w:cs="Calibri"/>
          <w:sz w:val="18"/>
          <w:szCs w:val="18"/>
          <w:lang w:val="en-US"/>
        </w:rPr>
        <w:t>were cultured</w:t>
      </w:r>
      <w:proofErr w:type="gram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in glucose (2%Gluc). </w:t>
      </w: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>A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. Comparison of 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populational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behavior in relation to CD19 YSD levels upon stimulation with different concentrations of galactose (</w:t>
      </w:r>
      <w:r w:rsidRPr="00702D5B">
        <w:rPr>
          <w:rFonts w:ascii="Calibri" w:eastAsia="Calibri" w:hAnsi="Calibri" w:cs="Calibri"/>
          <w:i/>
          <w:sz w:val="18"/>
          <w:szCs w:val="18"/>
          <w:lang w:val="en-US"/>
        </w:rPr>
        <w:t>purple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) or glucose (</w:t>
      </w:r>
      <w:r w:rsidRPr="00702D5B">
        <w:rPr>
          <w:rFonts w:ascii="Calibri" w:eastAsia="Calibri" w:hAnsi="Calibri" w:cs="Calibri"/>
          <w:i/>
          <w:sz w:val="18"/>
          <w:szCs w:val="18"/>
          <w:lang w:val="en-US"/>
        </w:rPr>
        <w:t>black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). Percentages on histograms designate the percentage of yeast that express CD19 (</w:t>
      </w:r>
      <w:proofErr w:type="gramStart"/>
      <w:r w:rsidRPr="00702D5B">
        <w:rPr>
          <w:rFonts w:ascii="Calibri" w:eastAsia="Calibri" w:hAnsi="Calibri" w:cs="Calibri"/>
          <w:sz w:val="18"/>
          <w:szCs w:val="18"/>
          <w:lang w:val="en-US"/>
        </w:rPr>
        <w:t>%CD19</w:t>
      </w:r>
      <w:proofErr w:type="gram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+) based on the shown CD19+ gate. </w:t>
      </w: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>B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. Comparison of the </w:t>
      </w:r>
      <w:proofErr w:type="gramStart"/>
      <w:r w:rsidRPr="00702D5B">
        <w:rPr>
          <w:rFonts w:ascii="Calibri" w:eastAsia="Calibri" w:hAnsi="Calibri" w:cs="Calibri"/>
          <w:sz w:val="18"/>
          <w:szCs w:val="18"/>
          <w:lang w:val="en-US"/>
        </w:rPr>
        <w:t>%CD19</w:t>
      </w:r>
      <w:proofErr w:type="gram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+ population sizes of different designs across stimulation levels. </w:t>
      </w: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 xml:space="preserve"> C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. Comparison of CD19 intensities of gated CD19+ cells of different designs across stimulation levels. Data represents means of cell counts or median fluorescence intensities (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mMFI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) for three biological replicates (n=3) and standard deviations hereof. Histograms </w:t>
      </w:r>
      <w:proofErr w:type="gramStart"/>
      <w:r w:rsidRPr="00702D5B">
        <w:rPr>
          <w:rFonts w:ascii="Calibri" w:eastAsia="Calibri" w:hAnsi="Calibri" w:cs="Calibri"/>
          <w:sz w:val="18"/>
          <w:szCs w:val="18"/>
          <w:lang w:val="en-US"/>
        </w:rPr>
        <w:t>are normalized</w:t>
      </w:r>
      <w:proofErr w:type="gram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to the mode and are representative replicates. Significance levels: </w:t>
      </w:r>
      <w:r w:rsidRPr="00702D5B">
        <w:rPr>
          <w:rFonts w:ascii="Calibri" w:eastAsia="Calibri" w:hAnsi="Calibri" w:cs="Calibri"/>
          <w:sz w:val="12"/>
          <w:szCs w:val="12"/>
          <w:lang w:val="en-US"/>
        </w:rPr>
        <w:t>✱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: P≤0.01, </w:t>
      </w:r>
      <w:r w:rsidRPr="00702D5B">
        <w:rPr>
          <w:rFonts w:ascii="Calibri" w:eastAsia="Calibri" w:hAnsi="Calibri" w:cs="Calibri"/>
          <w:sz w:val="12"/>
          <w:szCs w:val="12"/>
          <w:lang w:val="en-US"/>
        </w:rPr>
        <w:t>✱✱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: P≤0.0001. Not all pairwise comparisons </w:t>
      </w:r>
      <w:proofErr w:type="gramStart"/>
      <w:r w:rsidRPr="00702D5B">
        <w:rPr>
          <w:rFonts w:ascii="Calibri" w:eastAsia="Calibri" w:hAnsi="Calibri" w:cs="Calibri"/>
          <w:sz w:val="18"/>
          <w:szCs w:val="18"/>
          <w:lang w:val="en-US"/>
        </w:rPr>
        <w:t>are shown</w:t>
      </w:r>
      <w:proofErr w:type="gram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. </w:t>
      </w:r>
      <w:proofErr w:type="spellStart"/>
      <w:r>
        <w:rPr>
          <w:rFonts w:ascii="Calibri" w:eastAsia="Calibri" w:hAnsi="Calibri" w:cs="Calibri"/>
          <w:sz w:val="18"/>
          <w:szCs w:val="18"/>
        </w:rPr>
        <w:t>Statistics</w:t>
      </w:r>
      <w:proofErr w:type="spellEnd"/>
      <w:r>
        <w:rPr>
          <w:rFonts w:ascii="Calibri" w:eastAsia="Calibri" w:hAnsi="Calibri" w:cs="Calibri"/>
          <w:sz w:val="18"/>
          <w:szCs w:val="18"/>
        </w:rPr>
        <w:t xml:space="preserve"> in: </w:t>
      </w:r>
      <w:proofErr w:type="spellStart"/>
      <w:r>
        <w:rPr>
          <w:rFonts w:ascii="Calibri" w:eastAsia="Calibri" w:hAnsi="Calibri" w:cs="Calibri"/>
          <w:b/>
          <w:sz w:val="18"/>
          <w:szCs w:val="18"/>
        </w:rPr>
        <w:t>Suppl</w:t>
      </w:r>
      <w:proofErr w:type="spellEnd"/>
      <w:r>
        <w:rPr>
          <w:rFonts w:ascii="Calibri" w:eastAsia="Calibri" w:hAnsi="Calibri" w:cs="Calibri"/>
          <w:b/>
          <w:sz w:val="18"/>
          <w:szCs w:val="18"/>
        </w:rPr>
        <w:t xml:space="preserve">. </w:t>
      </w:r>
      <w:proofErr w:type="spellStart"/>
      <w:r>
        <w:rPr>
          <w:rFonts w:ascii="Calibri" w:eastAsia="Calibri" w:hAnsi="Calibri" w:cs="Calibri"/>
          <w:b/>
          <w:sz w:val="18"/>
          <w:szCs w:val="18"/>
        </w:rPr>
        <w:t>Table</w:t>
      </w:r>
      <w:proofErr w:type="spellEnd"/>
      <w:r>
        <w:rPr>
          <w:rFonts w:ascii="Calibri" w:eastAsia="Calibri" w:hAnsi="Calibri" w:cs="Calibri"/>
          <w:b/>
          <w:sz w:val="18"/>
          <w:szCs w:val="18"/>
        </w:rPr>
        <w:t xml:space="preserve"> 5</w:t>
      </w:r>
      <w:r>
        <w:rPr>
          <w:rFonts w:ascii="Calibri" w:eastAsia="Calibri" w:hAnsi="Calibri" w:cs="Calibri"/>
          <w:sz w:val="18"/>
          <w:szCs w:val="18"/>
        </w:rPr>
        <w:t>.</w:t>
      </w:r>
    </w:p>
    <w:p w:rsidR="00596676" w:rsidRDefault="002D3CE8">
      <w:pPr>
        <w:spacing w:line="360" w:lineRule="auto"/>
        <w:jc w:val="both"/>
        <w:rPr>
          <w:rFonts w:ascii="Calibri" w:eastAsia="Calibri" w:hAnsi="Calibri" w:cs="Calibri"/>
        </w:rPr>
      </w:pPr>
      <w:proofErr w:type="spellStart"/>
      <w:r>
        <w:rPr>
          <w:rFonts w:ascii="Calibri" w:eastAsia="Calibri" w:hAnsi="Calibri" w:cs="Calibri"/>
          <w:b/>
          <w:u w:val="single"/>
        </w:rPr>
        <w:lastRenderedPageBreak/>
        <w:t>Suppl</w:t>
      </w:r>
      <w:proofErr w:type="spellEnd"/>
      <w:r>
        <w:rPr>
          <w:rFonts w:ascii="Calibri" w:eastAsia="Calibri" w:hAnsi="Calibri" w:cs="Calibri"/>
          <w:b/>
          <w:u w:val="single"/>
        </w:rPr>
        <w:t>. Fig. 7</w:t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</w:p>
    <w:p w:rsidR="00596676" w:rsidRDefault="00234939">
      <w:pPr>
        <w:spacing w:line="36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  <w:noProof/>
          <w:lang w:val="en-US"/>
        </w:rPr>
        <w:pict>
          <v:shape id="_x0000_i1031" type="#_x0000_t75" style="width:445.75pt;height:358.35pt">
            <v:imagedata r:id="rId14" o:title="Suppl Fig 7 (A-D) - Absolute and Delta CD19"/>
          </v:shape>
        </w:pict>
      </w:r>
    </w:p>
    <w:p w:rsidR="00596676" w:rsidRDefault="002D3CE8">
      <w:pPr>
        <w:spacing w:line="360" w:lineRule="auto"/>
        <w:jc w:val="both"/>
        <w:rPr>
          <w:rFonts w:ascii="Calibri" w:eastAsia="Calibri" w:hAnsi="Calibri" w:cs="Calibri"/>
          <w:b/>
          <w:u w:val="single"/>
        </w:rPr>
      </w:pP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>Suppl. Fig. 7: Absolute CD19 YSD intensities upon GPCR stimulation and absolute differences herein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. </w:t>
      </w: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>A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. absolute CD19 YSD levels for each design of the yeast strain library across different concentrations of ɑ-factor (0-100 µM) as quantified by flow cytometry. </w:t>
      </w: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>B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. Comparison of maximal levels of CD19 YSD between all strains for any GPCR stimulation level. </w:t>
      </w: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>C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. Absolute changes in CD19 YSD levels calculated relative to the background level at 0 µM (</w:t>
      </w:r>
      <w:r>
        <w:rPr>
          <w:rFonts w:ascii="Calibri" w:eastAsia="Calibri" w:hAnsi="Calibri" w:cs="Calibri"/>
          <w:sz w:val="18"/>
          <w:szCs w:val="18"/>
        </w:rPr>
        <w:t>Δ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CD19</w:t>
      </w:r>
      <w:r w:rsidRPr="00702D5B">
        <w:rPr>
          <w:rFonts w:ascii="Calibri" w:eastAsia="Calibri" w:hAnsi="Calibri" w:cs="Calibri"/>
          <w:sz w:val="18"/>
          <w:szCs w:val="18"/>
          <w:vertAlign w:val="subscript"/>
          <w:lang w:val="en-US"/>
        </w:rPr>
        <w:t>0µM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= CD19</w:t>
      </w:r>
      <w:r w:rsidRPr="00702D5B">
        <w:rPr>
          <w:rFonts w:ascii="Calibri" w:eastAsia="Calibri" w:hAnsi="Calibri" w:cs="Calibri"/>
          <w:sz w:val="18"/>
          <w:szCs w:val="18"/>
          <w:vertAlign w:val="subscript"/>
          <w:lang w:val="en-US"/>
        </w:rPr>
        <w:t>X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- CD19</w:t>
      </w:r>
      <w:r w:rsidRPr="00702D5B">
        <w:rPr>
          <w:rFonts w:ascii="Calibri" w:eastAsia="Calibri" w:hAnsi="Calibri" w:cs="Calibri"/>
          <w:sz w:val="18"/>
          <w:szCs w:val="18"/>
          <w:vertAlign w:val="subscript"/>
          <w:lang w:val="en-US"/>
        </w:rPr>
        <w:t>0µM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) for each design of the yeast strain library across different concentrations of ɑ-factor (0-100 µM). </w:t>
      </w: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>D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. Comparison of maximal changes in CD19 YSD levels (</w:t>
      </w:r>
      <w:r>
        <w:rPr>
          <w:rFonts w:ascii="Calibri" w:eastAsia="Calibri" w:hAnsi="Calibri" w:cs="Calibri"/>
          <w:sz w:val="18"/>
          <w:szCs w:val="18"/>
        </w:rPr>
        <w:t>Δ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CD19</w:t>
      </w:r>
      <w:r w:rsidRPr="00702D5B">
        <w:rPr>
          <w:rFonts w:ascii="Calibri" w:eastAsia="Calibri" w:hAnsi="Calibri" w:cs="Calibri"/>
          <w:sz w:val="18"/>
          <w:szCs w:val="18"/>
          <w:vertAlign w:val="subscript"/>
          <w:lang w:val="en-US"/>
        </w:rPr>
        <w:t>0µM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) between all strains for any GPCR stimulation level. Data represents means of median fluorescence intensity (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mMFI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) for three biological replicates (n=3) and standard deviations hereof. Significance levels: </w:t>
      </w:r>
      <w:r w:rsidRPr="00702D5B">
        <w:rPr>
          <w:rFonts w:ascii="Calibri" w:eastAsia="Calibri" w:hAnsi="Calibri" w:cs="Calibri"/>
          <w:sz w:val="12"/>
          <w:szCs w:val="12"/>
          <w:lang w:val="en-US"/>
        </w:rPr>
        <w:t>✱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: P≤0.01, </w:t>
      </w:r>
      <w:r w:rsidRPr="00702D5B">
        <w:rPr>
          <w:rFonts w:ascii="Calibri" w:eastAsia="Calibri" w:hAnsi="Calibri" w:cs="Calibri"/>
          <w:sz w:val="12"/>
          <w:szCs w:val="12"/>
          <w:lang w:val="en-US"/>
        </w:rPr>
        <w:t>✱✱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: P≤0.0001. Not all pairwise comparisons </w:t>
      </w:r>
      <w:proofErr w:type="gramStart"/>
      <w:r w:rsidRPr="00702D5B">
        <w:rPr>
          <w:rFonts w:ascii="Calibri" w:eastAsia="Calibri" w:hAnsi="Calibri" w:cs="Calibri"/>
          <w:sz w:val="18"/>
          <w:szCs w:val="18"/>
          <w:lang w:val="en-US"/>
        </w:rPr>
        <w:t>are shown</w:t>
      </w:r>
      <w:proofErr w:type="gram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. </w:t>
      </w:r>
      <w:proofErr w:type="spellStart"/>
      <w:r>
        <w:rPr>
          <w:rFonts w:ascii="Calibri" w:eastAsia="Calibri" w:hAnsi="Calibri" w:cs="Calibri"/>
          <w:sz w:val="18"/>
          <w:szCs w:val="18"/>
        </w:rPr>
        <w:t>Statistics</w:t>
      </w:r>
      <w:proofErr w:type="spellEnd"/>
      <w:r>
        <w:rPr>
          <w:rFonts w:ascii="Calibri" w:eastAsia="Calibri" w:hAnsi="Calibri" w:cs="Calibri"/>
          <w:sz w:val="18"/>
          <w:szCs w:val="18"/>
        </w:rPr>
        <w:t xml:space="preserve"> in: </w:t>
      </w:r>
      <w:proofErr w:type="spellStart"/>
      <w:r>
        <w:rPr>
          <w:rFonts w:ascii="Calibri" w:eastAsia="Calibri" w:hAnsi="Calibri" w:cs="Calibri"/>
          <w:b/>
          <w:sz w:val="18"/>
          <w:szCs w:val="18"/>
        </w:rPr>
        <w:t>Suppl</w:t>
      </w:r>
      <w:proofErr w:type="spellEnd"/>
      <w:r>
        <w:rPr>
          <w:rFonts w:ascii="Calibri" w:eastAsia="Calibri" w:hAnsi="Calibri" w:cs="Calibri"/>
          <w:b/>
          <w:sz w:val="18"/>
          <w:szCs w:val="18"/>
        </w:rPr>
        <w:t xml:space="preserve">. </w:t>
      </w:r>
      <w:proofErr w:type="spellStart"/>
      <w:r>
        <w:rPr>
          <w:rFonts w:ascii="Calibri" w:eastAsia="Calibri" w:hAnsi="Calibri" w:cs="Calibri"/>
          <w:b/>
          <w:sz w:val="18"/>
          <w:szCs w:val="18"/>
        </w:rPr>
        <w:t>Table</w:t>
      </w:r>
      <w:proofErr w:type="spellEnd"/>
      <w:r>
        <w:rPr>
          <w:rFonts w:ascii="Calibri" w:eastAsia="Calibri" w:hAnsi="Calibri" w:cs="Calibri"/>
          <w:b/>
          <w:sz w:val="18"/>
          <w:szCs w:val="18"/>
        </w:rPr>
        <w:t xml:space="preserve"> 5</w:t>
      </w:r>
      <w:r>
        <w:rPr>
          <w:rFonts w:ascii="Calibri" w:eastAsia="Calibri" w:hAnsi="Calibri" w:cs="Calibri"/>
          <w:sz w:val="18"/>
          <w:szCs w:val="18"/>
        </w:rPr>
        <w:t>.</w:t>
      </w:r>
    </w:p>
    <w:p w:rsidR="00596676" w:rsidRDefault="002D3CE8">
      <w:pPr>
        <w:spacing w:line="360" w:lineRule="auto"/>
        <w:jc w:val="both"/>
        <w:rPr>
          <w:rFonts w:ascii="Calibri" w:eastAsia="Calibri" w:hAnsi="Calibri" w:cs="Calibri"/>
          <w:b/>
          <w:u w:val="single"/>
        </w:rPr>
      </w:pPr>
      <w:r>
        <w:br w:type="page"/>
      </w:r>
    </w:p>
    <w:p w:rsidR="00596676" w:rsidRDefault="002D3CE8">
      <w:pPr>
        <w:spacing w:line="360" w:lineRule="auto"/>
        <w:jc w:val="both"/>
        <w:rPr>
          <w:rFonts w:ascii="Calibri" w:eastAsia="Calibri" w:hAnsi="Calibri" w:cs="Calibri"/>
          <w:highlight w:val="yellow"/>
        </w:rPr>
      </w:pPr>
      <w:proofErr w:type="spellStart"/>
      <w:r>
        <w:rPr>
          <w:rFonts w:ascii="Calibri" w:eastAsia="Calibri" w:hAnsi="Calibri" w:cs="Calibri"/>
          <w:b/>
          <w:u w:val="single"/>
        </w:rPr>
        <w:lastRenderedPageBreak/>
        <w:t>Suppl</w:t>
      </w:r>
      <w:proofErr w:type="spellEnd"/>
      <w:r>
        <w:rPr>
          <w:rFonts w:ascii="Calibri" w:eastAsia="Calibri" w:hAnsi="Calibri" w:cs="Calibri"/>
          <w:b/>
          <w:u w:val="single"/>
        </w:rPr>
        <w:t>. Fig. 8</w:t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</w:p>
    <w:p w:rsidR="00596676" w:rsidRDefault="00234939">
      <w:pPr>
        <w:spacing w:line="360" w:lineRule="auto"/>
        <w:jc w:val="both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noProof/>
          <w:sz w:val="18"/>
          <w:szCs w:val="18"/>
          <w:lang w:val="en-US"/>
        </w:rPr>
        <w:pict>
          <v:shape id="_x0000_i1032" type="#_x0000_t75" style="width:451.15pt;height:193.95pt">
            <v:imagedata r:id="rId15" o:title="Suppl Fig 8  - PRP activation GPCR library (fold)"/>
          </v:shape>
        </w:pict>
      </w:r>
    </w:p>
    <w:p w:rsidR="00596676" w:rsidRPr="00702D5B" w:rsidRDefault="002D3CE8">
      <w:pPr>
        <w:spacing w:line="360" w:lineRule="auto"/>
        <w:jc w:val="both"/>
        <w:rPr>
          <w:rFonts w:ascii="Calibri" w:eastAsia="Calibri" w:hAnsi="Calibri" w:cs="Calibri"/>
          <w:b/>
          <w:u w:val="single"/>
          <w:lang w:val="en-US"/>
        </w:rPr>
      </w:pP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>Suppl. Fig. 8 - PRP activation and approximated PRP boost for GPCR library strains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. Characterization of PRP activation for strains employing 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heterologously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expressed human and fungal GPCRs used for controlling CD19 densities. All strains employ the P</w:t>
      </w:r>
      <w:r w:rsidRPr="00702D5B">
        <w:rPr>
          <w:rFonts w:ascii="Calibri" w:eastAsia="Calibri" w:hAnsi="Calibri" w:cs="Calibri"/>
          <w:sz w:val="18"/>
          <w:szCs w:val="18"/>
          <w:vertAlign w:val="subscript"/>
          <w:lang w:val="en-US"/>
        </w:rPr>
        <w:t>FUS1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processing module and only vary in the type of GPCR and 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G</w:t>
      </w:r>
      <w:r w:rsidRPr="00702D5B">
        <w:rPr>
          <w:rFonts w:ascii="Calibri" w:eastAsia="Calibri" w:hAnsi="Calibri" w:cs="Calibri"/>
          <w:sz w:val="18"/>
          <w:szCs w:val="18"/>
          <w:vertAlign w:val="subscript"/>
          <w:lang w:val="en-US"/>
        </w:rPr>
        <w:t>ɑ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-subunit. The fold change in quantified PRP boost in response to GPCR stimulation </w:t>
      </w:r>
      <w:proofErr w:type="gramStart"/>
      <w:r w:rsidRPr="00702D5B">
        <w:rPr>
          <w:rFonts w:ascii="Calibri" w:eastAsia="Calibri" w:hAnsi="Calibri" w:cs="Calibri"/>
          <w:sz w:val="18"/>
          <w:szCs w:val="18"/>
          <w:lang w:val="en-US"/>
        </w:rPr>
        <w:t>is provided</w:t>
      </w:r>
      <w:proofErr w:type="gram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for each strain in relation to the unstimulated condition. Strains were stimulated with different concentrations of cognate ligands, from none (</w:t>
      </w: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>-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) to medium (</w:t>
      </w: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>+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) and high levels (</w:t>
      </w: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>++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). Data represents means of median fluorescence intensity (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mMFI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) for three biological replicates (n=3) and standard deviations hereof. Significance levels: </w:t>
      </w:r>
      <w:r w:rsidRPr="00702D5B">
        <w:rPr>
          <w:rFonts w:ascii="Calibri" w:eastAsia="Calibri" w:hAnsi="Calibri" w:cs="Calibri"/>
          <w:sz w:val="12"/>
          <w:szCs w:val="12"/>
          <w:lang w:val="en-US"/>
        </w:rPr>
        <w:t>✱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: P≤0.01, </w:t>
      </w:r>
      <w:r w:rsidRPr="00702D5B">
        <w:rPr>
          <w:rFonts w:ascii="Calibri" w:eastAsia="Calibri" w:hAnsi="Calibri" w:cs="Calibri"/>
          <w:sz w:val="12"/>
          <w:szCs w:val="12"/>
          <w:lang w:val="en-US"/>
        </w:rPr>
        <w:t>✱✱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: P≤0.0001. Statistics in: </w:t>
      </w: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>Suppl. Table 6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. </w:t>
      </w:r>
      <w:r w:rsidRPr="00702D5B">
        <w:rPr>
          <w:lang w:val="en-US"/>
        </w:rPr>
        <w:br w:type="page"/>
      </w:r>
    </w:p>
    <w:p w:rsidR="00596676" w:rsidRPr="00702D5B" w:rsidRDefault="002D3CE8">
      <w:pPr>
        <w:spacing w:line="360" w:lineRule="auto"/>
        <w:jc w:val="both"/>
        <w:rPr>
          <w:rFonts w:ascii="Calibri" w:eastAsia="Calibri" w:hAnsi="Calibri" w:cs="Calibri"/>
          <w:lang w:val="en-US"/>
        </w:rPr>
      </w:pPr>
      <w:r w:rsidRPr="00702D5B">
        <w:rPr>
          <w:rFonts w:ascii="Calibri" w:eastAsia="Calibri" w:hAnsi="Calibri" w:cs="Calibri"/>
          <w:b/>
          <w:u w:val="single"/>
          <w:lang w:val="en-US"/>
        </w:rPr>
        <w:lastRenderedPageBreak/>
        <w:t>Suppl. Fig. 9</w:t>
      </w:r>
      <w:r w:rsidRPr="00702D5B">
        <w:rPr>
          <w:rFonts w:ascii="Calibri" w:eastAsia="Calibri" w:hAnsi="Calibri" w:cs="Calibri"/>
          <w:b/>
          <w:u w:val="single"/>
          <w:lang w:val="en-US"/>
        </w:rPr>
        <w:tab/>
      </w:r>
      <w:r w:rsidRPr="00702D5B">
        <w:rPr>
          <w:rFonts w:ascii="Calibri" w:eastAsia="Calibri" w:hAnsi="Calibri" w:cs="Calibri"/>
          <w:b/>
          <w:u w:val="single"/>
          <w:lang w:val="en-US"/>
        </w:rPr>
        <w:tab/>
      </w:r>
      <w:r w:rsidRPr="00702D5B">
        <w:rPr>
          <w:rFonts w:ascii="Calibri" w:eastAsia="Calibri" w:hAnsi="Calibri" w:cs="Calibri"/>
          <w:b/>
          <w:u w:val="single"/>
          <w:lang w:val="en-US"/>
        </w:rPr>
        <w:tab/>
      </w:r>
      <w:r w:rsidRPr="00702D5B">
        <w:rPr>
          <w:rFonts w:ascii="Calibri" w:eastAsia="Calibri" w:hAnsi="Calibri" w:cs="Calibri"/>
          <w:b/>
          <w:u w:val="single"/>
          <w:lang w:val="en-US"/>
        </w:rPr>
        <w:tab/>
      </w:r>
      <w:r w:rsidRPr="00702D5B">
        <w:rPr>
          <w:rFonts w:ascii="Calibri" w:eastAsia="Calibri" w:hAnsi="Calibri" w:cs="Calibri"/>
          <w:b/>
          <w:u w:val="single"/>
          <w:lang w:val="en-US"/>
        </w:rPr>
        <w:tab/>
      </w:r>
      <w:r w:rsidRPr="00702D5B">
        <w:rPr>
          <w:rFonts w:ascii="Calibri" w:eastAsia="Calibri" w:hAnsi="Calibri" w:cs="Calibri"/>
          <w:b/>
          <w:u w:val="single"/>
          <w:lang w:val="en-US"/>
        </w:rPr>
        <w:tab/>
      </w:r>
      <w:r w:rsidRPr="00702D5B">
        <w:rPr>
          <w:rFonts w:ascii="Calibri" w:eastAsia="Calibri" w:hAnsi="Calibri" w:cs="Calibri"/>
          <w:b/>
          <w:u w:val="single"/>
          <w:lang w:val="en-US"/>
        </w:rPr>
        <w:tab/>
      </w:r>
      <w:r w:rsidRPr="00702D5B">
        <w:rPr>
          <w:rFonts w:ascii="Calibri" w:eastAsia="Calibri" w:hAnsi="Calibri" w:cs="Calibri"/>
          <w:b/>
          <w:u w:val="single"/>
          <w:lang w:val="en-US"/>
        </w:rPr>
        <w:tab/>
      </w:r>
      <w:r w:rsidRPr="00702D5B">
        <w:rPr>
          <w:rFonts w:ascii="Calibri" w:eastAsia="Calibri" w:hAnsi="Calibri" w:cs="Calibri"/>
          <w:b/>
          <w:u w:val="single"/>
          <w:lang w:val="en-US"/>
        </w:rPr>
        <w:tab/>
      </w:r>
      <w:r w:rsidRPr="00702D5B">
        <w:rPr>
          <w:rFonts w:ascii="Calibri" w:eastAsia="Calibri" w:hAnsi="Calibri" w:cs="Calibri"/>
          <w:b/>
          <w:u w:val="single"/>
          <w:lang w:val="en-US"/>
        </w:rPr>
        <w:tab/>
      </w:r>
      <w:r w:rsidRPr="00702D5B">
        <w:rPr>
          <w:rFonts w:ascii="Calibri" w:eastAsia="Calibri" w:hAnsi="Calibri" w:cs="Calibri"/>
          <w:b/>
          <w:u w:val="single"/>
          <w:lang w:val="en-US"/>
        </w:rPr>
        <w:tab/>
      </w:r>
    </w:p>
    <w:p w:rsidR="00596676" w:rsidRPr="00702D5B" w:rsidRDefault="00234939">
      <w:pPr>
        <w:spacing w:line="360" w:lineRule="auto"/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  <w:noProof/>
          <w:lang w:val="en-US"/>
        </w:rPr>
        <w:pict>
          <v:shape id="_x0000_i1033" type="#_x0000_t75" style="width:399.1pt;height:404.95pt">
            <v:imagedata r:id="rId16" o:title="Suppl Fig 9 (A-D) - Co-cultivation conditions"/>
          </v:shape>
        </w:pict>
      </w:r>
    </w:p>
    <w:p w:rsidR="00596676" w:rsidRPr="00702D5B" w:rsidRDefault="002D3CE8">
      <w:pPr>
        <w:spacing w:line="360" w:lineRule="auto"/>
        <w:jc w:val="both"/>
        <w:rPr>
          <w:rFonts w:ascii="Calibri" w:eastAsia="Calibri" w:hAnsi="Calibri" w:cs="Calibri"/>
          <w:sz w:val="18"/>
          <w:szCs w:val="18"/>
          <w:lang w:val="en-US"/>
        </w:rPr>
      </w:pP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 xml:space="preserve">Suppl. Fig. 9 - Examined co-cultivation conditions for human T cells and yeast. 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Investigation on co-cultivation conditions for T cells isolated from a healthy donor and non-displaying SCASA yeast cells for 96 hrs. (37°C, 5%CO</w:t>
      </w:r>
      <w:r w:rsidRPr="00702D5B">
        <w:rPr>
          <w:rFonts w:ascii="Calibri" w:eastAsia="Calibri" w:hAnsi="Calibri" w:cs="Calibri"/>
          <w:sz w:val="18"/>
          <w:szCs w:val="18"/>
          <w:vertAlign w:val="subscript"/>
          <w:lang w:val="en-US"/>
        </w:rPr>
        <w:t>2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) in RPMI1640 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glutamax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+ 10%FBS + 1% pen-strep without any addition of interleukins (RPMI+10%FBS). 500.000 alive CD3+ T cells were co-cultivated with yeast at </w:t>
      </w:r>
      <w:proofErr w:type="gramStart"/>
      <w:r w:rsidRPr="00702D5B">
        <w:rPr>
          <w:rFonts w:ascii="Calibri" w:eastAsia="Calibri" w:hAnsi="Calibri" w:cs="Calibri"/>
          <w:sz w:val="18"/>
          <w:szCs w:val="18"/>
          <w:lang w:val="en-US"/>
        </w:rPr>
        <w:t>three</w:t>
      </w:r>
      <w:proofErr w:type="gram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different cellular ratios; 0.5x, 1.0x, and 10.0x amounts of yeast per T cell. </w:t>
      </w: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>A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. No significant effects were found on the viability of CD3+ T cells after co-cultivation with any number of SCASA yeast after 96 </w:t>
      </w:r>
      <w:proofErr w:type="gramStart"/>
      <w:r w:rsidRPr="00702D5B">
        <w:rPr>
          <w:rFonts w:ascii="Calibri" w:eastAsia="Calibri" w:hAnsi="Calibri" w:cs="Calibri"/>
          <w:sz w:val="18"/>
          <w:szCs w:val="18"/>
          <w:lang w:val="en-US"/>
        </w:rPr>
        <w:t>hrs.,</w:t>
      </w:r>
      <w:proofErr w:type="gram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as determined by Near-IR Live/Dead staining and flow cytometry. </w:t>
      </w: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>B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. Proliferation of CD3+ T cells was indifferent between mono-cultures and co-cultivations with any number of SCASA yeast cells after 96 </w:t>
      </w:r>
      <w:proofErr w:type="gramStart"/>
      <w:r w:rsidRPr="00702D5B">
        <w:rPr>
          <w:rFonts w:ascii="Calibri" w:eastAsia="Calibri" w:hAnsi="Calibri" w:cs="Calibri"/>
          <w:sz w:val="18"/>
          <w:szCs w:val="18"/>
          <w:lang w:val="en-US"/>
        </w:rPr>
        <w:t>hrs.,</w:t>
      </w:r>
      <w:proofErr w:type="gram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as determined by staining with CFSE cell proliferation dye and flow cytometry. </w:t>
      </w: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>C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. Fold change 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yEGFP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output from yeast biosensors co-cultivated with T cells indicating that the yeast is alive and functional after 96 hrs. </w:t>
      </w:r>
      <w:proofErr w:type="gramStart"/>
      <w:r w:rsidRPr="00702D5B">
        <w:rPr>
          <w:rFonts w:ascii="Calibri" w:eastAsia="Calibri" w:hAnsi="Calibri" w:cs="Calibri"/>
          <w:sz w:val="18"/>
          <w:szCs w:val="18"/>
          <w:lang w:val="en-US"/>
        </w:rPr>
        <w:t>in</w:t>
      </w:r>
      <w:proofErr w:type="gram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cultivation conditions that satisfy human T cells. The biosensors are Ste2-based and sense ɑ-factor and 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yEGFP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</w:t>
      </w:r>
      <w:proofErr w:type="gramStart"/>
      <w:r w:rsidRPr="00702D5B">
        <w:rPr>
          <w:rFonts w:ascii="Calibri" w:eastAsia="Calibri" w:hAnsi="Calibri" w:cs="Calibri"/>
          <w:sz w:val="18"/>
          <w:szCs w:val="18"/>
          <w:lang w:val="en-US"/>
        </w:rPr>
        <w:t>was measured</w:t>
      </w:r>
      <w:proofErr w:type="gram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by flow cytometry. </w:t>
      </w: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>D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. Three different strains of SCASA yeast were examined for growth in human cell media; the common background strain (DIX41), the negative control P</w:t>
      </w:r>
      <w:r w:rsidRPr="00702D5B">
        <w:rPr>
          <w:rFonts w:ascii="Calibri" w:eastAsia="Calibri" w:hAnsi="Calibri" w:cs="Calibri"/>
          <w:sz w:val="18"/>
          <w:szCs w:val="18"/>
          <w:vertAlign w:val="subscript"/>
          <w:lang w:val="en-US"/>
        </w:rPr>
        <w:t>PGK1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-Empty, and the CD19-displaying P</w:t>
      </w:r>
      <w:r w:rsidRPr="00702D5B">
        <w:rPr>
          <w:rFonts w:ascii="Calibri" w:eastAsia="Calibri" w:hAnsi="Calibri" w:cs="Calibri"/>
          <w:sz w:val="18"/>
          <w:szCs w:val="18"/>
          <w:vertAlign w:val="subscript"/>
          <w:lang w:val="en-US"/>
        </w:rPr>
        <w:t>PGK1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-CD19.  The strains did not display the ability to grow in human cell media</w:t>
      </w:r>
      <w:proofErr w:type="gramStart"/>
      <w:r w:rsidRPr="00702D5B">
        <w:rPr>
          <w:rFonts w:ascii="Calibri" w:eastAsia="Calibri" w:hAnsi="Calibri" w:cs="Calibri"/>
          <w:sz w:val="18"/>
          <w:szCs w:val="18"/>
          <w:lang w:val="en-US"/>
        </w:rPr>
        <w:t>,  RPMI</w:t>
      </w:r>
      <w:proofErr w:type="gram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+10%FBS or 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ImmunoCult</w:t>
      </w:r>
      <w:proofErr w:type="spellEnd"/>
      <w:r w:rsidRPr="00702D5B">
        <w:rPr>
          <w:color w:val="202124"/>
          <w:sz w:val="18"/>
          <w:szCs w:val="18"/>
          <w:highlight w:val="white"/>
          <w:lang w:val="en-US"/>
        </w:rPr>
        <w:t>™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-XF T Cell Expansion Medium, within at least 22 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hrs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of cultivation at 37°C. They all displayed exponential growth within </w:t>
      </w:r>
      <w:proofErr w:type="gramStart"/>
      <w:r w:rsidRPr="00702D5B">
        <w:rPr>
          <w:rFonts w:ascii="Calibri" w:eastAsia="Calibri" w:hAnsi="Calibri" w:cs="Calibri"/>
          <w:sz w:val="18"/>
          <w:szCs w:val="18"/>
          <w:lang w:val="en-US"/>
        </w:rPr>
        <w:t>5</w:t>
      </w:r>
      <w:proofErr w:type="gram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hrs. </w:t>
      </w:r>
      <w:proofErr w:type="gramStart"/>
      <w:r w:rsidRPr="00702D5B">
        <w:rPr>
          <w:rFonts w:ascii="Calibri" w:eastAsia="Calibri" w:hAnsi="Calibri" w:cs="Calibri"/>
          <w:sz w:val="18"/>
          <w:szCs w:val="18"/>
          <w:lang w:val="en-US"/>
        </w:rPr>
        <w:t>in</w:t>
      </w:r>
      <w:proofErr w:type="gram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yeast media; standard synthetic complete (SC) and pH-buffered SC using ammonium sulfate and urea (SC-AS/Urea). Data is based on means of median fluorescence intensities (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mMFI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>) (A, B, C) or OD</w:t>
      </w:r>
      <w:r w:rsidRPr="00702D5B">
        <w:rPr>
          <w:rFonts w:ascii="Calibri" w:eastAsia="Calibri" w:hAnsi="Calibri" w:cs="Calibri"/>
          <w:sz w:val="18"/>
          <w:szCs w:val="18"/>
          <w:vertAlign w:val="subscript"/>
          <w:lang w:val="en-US"/>
        </w:rPr>
        <w:t>630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measurements (D) for three biological replicates (n=3) and standard deviations hereof. Significance levels: </w:t>
      </w:r>
      <w:r w:rsidRPr="00702D5B">
        <w:rPr>
          <w:rFonts w:ascii="Calibri" w:eastAsia="Calibri" w:hAnsi="Calibri" w:cs="Calibri"/>
          <w:sz w:val="12"/>
          <w:szCs w:val="12"/>
          <w:lang w:val="en-US"/>
        </w:rPr>
        <w:t>✱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: P≤0.01, </w:t>
      </w:r>
      <w:r w:rsidRPr="00702D5B">
        <w:rPr>
          <w:rFonts w:ascii="Calibri" w:eastAsia="Calibri" w:hAnsi="Calibri" w:cs="Calibri"/>
          <w:sz w:val="12"/>
          <w:szCs w:val="12"/>
          <w:lang w:val="en-US"/>
        </w:rPr>
        <w:t>✱✱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: P≤0.0001. Statistics in: </w:t>
      </w: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>Suppl. Table 7</w:t>
      </w:r>
      <w:r w:rsidRPr="00702D5B">
        <w:rPr>
          <w:lang w:val="en-US"/>
        </w:rPr>
        <w:br w:type="page"/>
      </w:r>
    </w:p>
    <w:p w:rsidR="00596676" w:rsidRPr="00702D5B" w:rsidRDefault="002D3CE8">
      <w:pPr>
        <w:spacing w:line="360" w:lineRule="auto"/>
        <w:jc w:val="both"/>
        <w:rPr>
          <w:rFonts w:ascii="Calibri" w:eastAsia="Calibri" w:hAnsi="Calibri" w:cs="Calibri"/>
          <w:lang w:val="en-US"/>
        </w:rPr>
      </w:pPr>
      <w:r w:rsidRPr="00702D5B">
        <w:rPr>
          <w:rFonts w:ascii="Calibri" w:eastAsia="Calibri" w:hAnsi="Calibri" w:cs="Calibri"/>
          <w:b/>
          <w:u w:val="single"/>
          <w:lang w:val="en-US"/>
        </w:rPr>
        <w:lastRenderedPageBreak/>
        <w:t>Suppl. Fig. 10</w:t>
      </w:r>
      <w:r w:rsidRPr="00702D5B">
        <w:rPr>
          <w:rFonts w:ascii="Calibri" w:eastAsia="Calibri" w:hAnsi="Calibri" w:cs="Calibri"/>
          <w:b/>
          <w:u w:val="single"/>
          <w:lang w:val="en-US"/>
        </w:rPr>
        <w:tab/>
      </w:r>
      <w:r w:rsidRPr="00702D5B">
        <w:rPr>
          <w:rFonts w:ascii="Calibri" w:eastAsia="Calibri" w:hAnsi="Calibri" w:cs="Calibri"/>
          <w:b/>
          <w:u w:val="single"/>
          <w:lang w:val="en-US"/>
        </w:rPr>
        <w:tab/>
      </w:r>
      <w:r w:rsidRPr="00702D5B">
        <w:rPr>
          <w:rFonts w:ascii="Calibri" w:eastAsia="Calibri" w:hAnsi="Calibri" w:cs="Calibri"/>
          <w:b/>
          <w:u w:val="single"/>
          <w:lang w:val="en-US"/>
        </w:rPr>
        <w:tab/>
      </w:r>
      <w:r w:rsidRPr="00702D5B">
        <w:rPr>
          <w:rFonts w:ascii="Calibri" w:eastAsia="Calibri" w:hAnsi="Calibri" w:cs="Calibri"/>
          <w:b/>
          <w:u w:val="single"/>
          <w:lang w:val="en-US"/>
        </w:rPr>
        <w:tab/>
      </w:r>
      <w:r w:rsidRPr="00702D5B">
        <w:rPr>
          <w:rFonts w:ascii="Calibri" w:eastAsia="Calibri" w:hAnsi="Calibri" w:cs="Calibri"/>
          <w:b/>
          <w:u w:val="single"/>
          <w:lang w:val="en-US"/>
        </w:rPr>
        <w:tab/>
      </w:r>
      <w:r w:rsidRPr="00702D5B">
        <w:rPr>
          <w:rFonts w:ascii="Calibri" w:eastAsia="Calibri" w:hAnsi="Calibri" w:cs="Calibri"/>
          <w:b/>
          <w:u w:val="single"/>
          <w:lang w:val="en-US"/>
        </w:rPr>
        <w:tab/>
      </w:r>
      <w:r w:rsidRPr="00702D5B">
        <w:rPr>
          <w:rFonts w:ascii="Calibri" w:eastAsia="Calibri" w:hAnsi="Calibri" w:cs="Calibri"/>
          <w:b/>
          <w:u w:val="single"/>
          <w:lang w:val="en-US"/>
        </w:rPr>
        <w:tab/>
      </w:r>
      <w:r w:rsidRPr="00702D5B">
        <w:rPr>
          <w:rFonts w:ascii="Calibri" w:eastAsia="Calibri" w:hAnsi="Calibri" w:cs="Calibri"/>
          <w:b/>
          <w:u w:val="single"/>
          <w:lang w:val="en-US"/>
        </w:rPr>
        <w:tab/>
      </w:r>
      <w:r w:rsidRPr="00702D5B">
        <w:rPr>
          <w:rFonts w:ascii="Calibri" w:eastAsia="Calibri" w:hAnsi="Calibri" w:cs="Calibri"/>
          <w:b/>
          <w:u w:val="single"/>
          <w:lang w:val="en-US"/>
        </w:rPr>
        <w:tab/>
      </w:r>
      <w:r w:rsidRPr="00702D5B">
        <w:rPr>
          <w:rFonts w:ascii="Calibri" w:eastAsia="Calibri" w:hAnsi="Calibri" w:cs="Calibri"/>
          <w:b/>
          <w:u w:val="single"/>
          <w:lang w:val="en-US"/>
        </w:rPr>
        <w:tab/>
      </w:r>
      <w:r w:rsidRPr="00702D5B">
        <w:rPr>
          <w:rFonts w:ascii="Calibri" w:eastAsia="Calibri" w:hAnsi="Calibri" w:cs="Calibri"/>
          <w:b/>
          <w:u w:val="single"/>
          <w:lang w:val="en-US"/>
        </w:rPr>
        <w:tab/>
      </w:r>
    </w:p>
    <w:p w:rsidR="00596676" w:rsidRDefault="00234939">
      <w:pPr>
        <w:spacing w:line="360" w:lineRule="auto"/>
        <w:jc w:val="center"/>
        <w:rPr>
          <w:rFonts w:ascii="Calibri" w:eastAsia="Calibri" w:hAnsi="Calibri" w:cs="Calibri"/>
          <w:b/>
          <w:sz w:val="18"/>
          <w:szCs w:val="18"/>
        </w:rPr>
      </w:pPr>
      <w:r>
        <w:rPr>
          <w:rFonts w:ascii="Calibri" w:eastAsia="Calibri" w:hAnsi="Calibri" w:cs="Calibri"/>
          <w:b/>
          <w:noProof/>
          <w:sz w:val="18"/>
          <w:szCs w:val="18"/>
          <w:lang w:val="en-US"/>
        </w:rPr>
        <w:pict>
          <v:shape id="_x0000_i1034" type="#_x0000_t75" style="width:336.7pt;height:280.5pt">
            <v:imagedata r:id="rId17" o:title="Suppl Fig 10 - Fold change Jurkat GPCR stim"/>
          </v:shape>
        </w:pict>
      </w:r>
    </w:p>
    <w:p w:rsidR="00596676" w:rsidRDefault="002D3CE8">
      <w:pPr>
        <w:spacing w:line="360" w:lineRule="auto"/>
        <w:jc w:val="both"/>
        <w:rPr>
          <w:rFonts w:ascii="Calibri" w:eastAsia="Calibri" w:hAnsi="Calibri" w:cs="Calibri"/>
          <w:sz w:val="18"/>
          <w:szCs w:val="18"/>
          <w:u w:val="single"/>
        </w:rPr>
      </w:pP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 xml:space="preserve">Suppl. Fig. 10 - Fold activation of CAR </w:t>
      </w:r>
      <w:proofErr w:type="spellStart"/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>Jurkat</w:t>
      </w:r>
      <w:proofErr w:type="spellEnd"/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 xml:space="preserve"> NFAT-Luc cells using GPCR-stimulated CD19+ SCASA yeast cells. 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The fold change CAR 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Jurkat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NFAT activation relative to the unstimulated condition (0 µM) for each SCASA yeast strain in co-cultures of 100% CAR+ 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Jurkat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NFAT-Luc cells with three different SCASA yeast designs (P</w:t>
      </w:r>
      <w:r w:rsidRPr="00702D5B">
        <w:rPr>
          <w:rFonts w:ascii="Calibri" w:eastAsia="Calibri" w:hAnsi="Calibri" w:cs="Calibri"/>
          <w:sz w:val="18"/>
          <w:szCs w:val="18"/>
          <w:vertAlign w:val="subscript"/>
          <w:lang w:val="en-US"/>
        </w:rPr>
        <w:t>FUS1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-CD19, P</w:t>
      </w:r>
      <w:r w:rsidRPr="00702D5B">
        <w:rPr>
          <w:rFonts w:ascii="Calibri" w:eastAsia="Calibri" w:hAnsi="Calibri" w:cs="Calibri"/>
          <w:sz w:val="18"/>
          <w:szCs w:val="18"/>
          <w:vertAlign w:val="subscript"/>
          <w:lang w:val="en-US"/>
        </w:rPr>
        <w:t>MFA2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-CD19, and P</w:t>
      </w:r>
      <w:r w:rsidRPr="00702D5B">
        <w:rPr>
          <w:rFonts w:ascii="Calibri" w:eastAsia="Calibri" w:hAnsi="Calibri" w:cs="Calibri"/>
          <w:sz w:val="18"/>
          <w:szCs w:val="18"/>
          <w:vertAlign w:val="subscript"/>
          <w:lang w:val="en-US"/>
        </w:rPr>
        <w:t>TDH3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-CD19, </w:t>
      </w:r>
      <w:r w:rsidRPr="00702D5B">
        <w:rPr>
          <w:rFonts w:ascii="Calibri" w:eastAsia="Calibri" w:hAnsi="Calibri" w:cs="Calibri"/>
          <w:i/>
          <w:sz w:val="18"/>
          <w:szCs w:val="18"/>
          <w:lang w:val="en-US"/>
        </w:rPr>
        <w:t>green lines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), across a concentration range of ɑ-factor stimulation (0-1 µM) of the SCASA yeast cell GPCR, Ste2. As negative control, we used yeast lacking the CD19 CDS in the display construct (P</w:t>
      </w:r>
      <w:r w:rsidRPr="00702D5B">
        <w:rPr>
          <w:rFonts w:ascii="Calibri" w:eastAsia="Calibri" w:hAnsi="Calibri" w:cs="Calibri"/>
          <w:sz w:val="18"/>
          <w:szCs w:val="18"/>
          <w:vertAlign w:val="subscript"/>
          <w:lang w:val="en-US"/>
        </w:rPr>
        <w:t>PGK1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-Empty, </w:t>
      </w:r>
      <w:r w:rsidRPr="00702D5B">
        <w:rPr>
          <w:rFonts w:ascii="Calibri" w:eastAsia="Calibri" w:hAnsi="Calibri" w:cs="Calibri"/>
          <w:i/>
          <w:sz w:val="18"/>
          <w:szCs w:val="18"/>
          <w:lang w:val="en-US"/>
        </w:rPr>
        <w:t>red line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). Before co-cultivation, the individual SCASA yeast cells were stimulated with ɑ-factor for 20 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hrs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to induce a controlled increase in the CD19 surface display. Data is based on means of three biological replicates (n=3) and standard deviations hereof. Significance levels: ✱: P≤0.01, ✱✱: P≤0.0001. Not all pairwise comparisons </w:t>
      </w:r>
      <w:proofErr w:type="gramStart"/>
      <w:r w:rsidRPr="00702D5B">
        <w:rPr>
          <w:rFonts w:ascii="Calibri" w:eastAsia="Calibri" w:hAnsi="Calibri" w:cs="Calibri"/>
          <w:sz w:val="18"/>
          <w:szCs w:val="18"/>
          <w:lang w:val="en-US"/>
        </w:rPr>
        <w:t>are shown</w:t>
      </w:r>
      <w:proofErr w:type="gram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. </w:t>
      </w:r>
      <w:proofErr w:type="spellStart"/>
      <w:r>
        <w:rPr>
          <w:rFonts w:ascii="Calibri" w:eastAsia="Calibri" w:hAnsi="Calibri" w:cs="Calibri"/>
          <w:sz w:val="18"/>
          <w:szCs w:val="18"/>
        </w:rPr>
        <w:t>Statistics</w:t>
      </w:r>
      <w:proofErr w:type="spellEnd"/>
      <w:r>
        <w:rPr>
          <w:rFonts w:ascii="Calibri" w:eastAsia="Calibri" w:hAnsi="Calibri" w:cs="Calibri"/>
          <w:sz w:val="18"/>
          <w:szCs w:val="18"/>
        </w:rPr>
        <w:t xml:space="preserve">: </w:t>
      </w:r>
      <w:proofErr w:type="spellStart"/>
      <w:r>
        <w:rPr>
          <w:rFonts w:ascii="Calibri" w:eastAsia="Calibri" w:hAnsi="Calibri" w:cs="Calibri"/>
          <w:b/>
          <w:sz w:val="18"/>
          <w:szCs w:val="18"/>
        </w:rPr>
        <w:t>Suppl</w:t>
      </w:r>
      <w:proofErr w:type="spellEnd"/>
      <w:r>
        <w:rPr>
          <w:rFonts w:ascii="Calibri" w:eastAsia="Calibri" w:hAnsi="Calibri" w:cs="Calibri"/>
          <w:b/>
          <w:sz w:val="18"/>
          <w:szCs w:val="18"/>
        </w:rPr>
        <w:t xml:space="preserve">. </w:t>
      </w:r>
      <w:proofErr w:type="spellStart"/>
      <w:r>
        <w:rPr>
          <w:rFonts w:ascii="Calibri" w:eastAsia="Calibri" w:hAnsi="Calibri" w:cs="Calibri"/>
          <w:b/>
          <w:sz w:val="18"/>
          <w:szCs w:val="18"/>
        </w:rPr>
        <w:t>Table</w:t>
      </w:r>
      <w:proofErr w:type="spellEnd"/>
      <w:r>
        <w:rPr>
          <w:rFonts w:ascii="Calibri" w:eastAsia="Calibri" w:hAnsi="Calibri" w:cs="Calibri"/>
          <w:b/>
          <w:sz w:val="18"/>
          <w:szCs w:val="18"/>
        </w:rPr>
        <w:t xml:space="preserve"> 8. </w:t>
      </w:r>
      <w:r>
        <w:br w:type="page"/>
      </w:r>
    </w:p>
    <w:p w:rsidR="00702D5B" w:rsidRDefault="00702D5B" w:rsidP="00702D5B">
      <w:pPr>
        <w:spacing w:line="360" w:lineRule="auto"/>
        <w:jc w:val="both"/>
        <w:rPr>
          <w:rFonts w:ascii="Calibri" w:eastAsia="Calibri" w:hAnsi="Calibri" w:cs="Calibri"/>
          <w:b/>
          <w:u w:val="single"/>
        </w:rPr>
      </w:pPr>
      <w:proofErr w:type="spellStart"/>
      <w:r>
        <w:rPr>
          <w:rFonts w:ascii="Calibri" w:eastAsia="Calibri" w:hAnsi="Calibri" w:cs="Calibri"/>
          <w:b/>
          <w:u w:val="single"/>
        </w:rPr>
        <w:lastRenderedPageBreak/>
        <w:t>Suppl</w:t>
      </w:r>
      <w:proofErr w:type="spellEnd"/>
      <w:r>
        <w:rPr>
          <w:rFonts w:ascii="Calibri" w:eastAsia="Calibri" w:hAnsi="Calibri" w:cs="Calibri"/>
          <w:b/>
          <w:u w:val="single"/>
        </w:rPr>
        <w:t>. Fig. 11</w:t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</w:p>
    <w:p w:rsidR="00596676" w:rsidRDefault="004B7083" w:rsidP="00702D5B">
      <w:pPr>
        <w:spacing w:line="360" w:lineRule="auto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  <w:lang w:val="en-US"/>
        </w:rPr>
        <w:pict>
          <v:shape id="_x0000_i1035" type="#_x0000_t75" style="width:406.6pt;height:529.8pt">
            <v:imagedata r:id="rId18" o:title="Suppl Fig 11 - Extra data donor T cells - CD25 and cryopreservation"/>
          </v:shape>
        </w:pict>
      </w:r>
    </w:p>
    <w:p w:rsidR="00702D5B" w:rsidRDefault="002D3CE8">
      <w:pPr>
        <w:spacing w:line="360" w:lineRule="auto"/>
        <w:jc w:val="both"/>
        <w:rPr>
          <w:rFonts w:ascii="Calibri" w:eastAsia="Calibri" w:hAnsi="Calibri" w:cs="Calibri"/>
          <w:sz w:val="18"/>
          <w:szCs w:val="18"/>
          <w:lang w:val="en-US"/>
        </w:rPr>
      </w:pP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 xml:space="preserve">Suppl. Fig. 11 - Activation of CAR T cells from a healthy donor after 5 months of cryopreservation using engineered SCASA yeast cells. 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The Hu19-CD8ɑ-CD28-CD3</w:t>
      </w:r>
      <w:r>
        <w:rPr>
          <w:rFonts w:ascii="Calibri" w:eastAsia="Calibri" w:hAnsi="Calibri" w:cs="Calibri"/>
          <w:sz w:val="18"/>
          <w:szCs w:val="18"/>
        </w:rPr>
        <w:t>ζ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CAR T cell product was manufactured from healthy donor blood using CRISPR-MAD7, 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whereafter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the functionality was verified using SCASA yeast cells and NALM6 (</w:t>
      </w: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>Fig. 5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). A proportion of the CAR T cell product </w:t>
      </w:r>
      <w:proofErr w:type="gramStart"/>
      <w:r w:rsidRPr="00702D5B">
        <w:rPr>
          <w:rFonts w:ascii="Calibri" w:eastAsia="Calibri" w:hAnsi="Calibri" w:cs="Calibri"/>
          <w:sz w:val="18"/>
          <w:szCs w:val="18"/>
          <w:lang w:val="en-US"/>
        </w:rPr>
        <w:t>was cryopreserved</w:t>
      </w:r>
      <w:proofErr w:type="gram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for 5 months in liquid nitrogen, and the 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activational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profile was then re-assessed using SCASA yeast cells. Yeast cells </w:t>
      </w:r>
      <w:proofErr w:type="gramStart"/>
      <w:r w:rsidRPr="00702D5B">
        <w:rPr>
          <w:rFonts w:ascii="Calibri" w:eastAsia="Calibri" w:hAnsi="Calibri" w:cs="Calibri"/>
          <w:sz w:val="18"/>
          <w:szCs w:val="18"/>
          <w:lang w:val="en-US"/>
        </w:rPr>
        <w:t>were examined</w:t>
      </w:r>
      <w:proofErr w:type="gram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with and without GPCR pre-stimulation for 20 hrs. </w:t>
      </w:r>
      <w:proofErr w:type="gramStart"/>
      <w:r w:rsidRPr="00702D5B">
        <w:rPr>
          <w:rFonts w:ascii="Calibri" w:eastAsia="Calibri" w:hAnsi="Calibri" w:cs="Calibri"/>
          <w:sz w:val="18"/>
          <w:szCs w:val="18"/>
          <w:lang w:val="en-US"/>
        </w:rPr>
        <w:t>using</w:t>
      </w:r>
      <w:proofErr w:type="gram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0.1 </w:t>
      </w:r>
      <w:r>
        <w:rPr>
          <w:rFonts w:ascii="Calibri" w:eastAsia="Calibri" w:hAnsi="Calibri" w:cs="Calibri"/>
          <w:sz w:val="18"/>
          <w:szCs w:val="18"/>
        </w:rPr>
        <w:t>μ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M ɑ-factor for increasing CD19 levels. Alive CAR T cells were cultivated in excess compared to yeast cells (0.3x yeast cell per CAR T cell) in co-cultures for 20 </w:t>
      </w:r>
      <w:proofErr w:type="gramStart"/>
      <w:r w:rsidRPr="00702D5B">
        <w:rPr>
          <w:rFonts w:ascii="Calibri" w:eastAsia="Calibri" w:hAnsi="Calibri" w:cs="Calibri"/>
          <w:sz w:val="18"/>
          <w:szCs w:val="18"/>
          <w:lang w:val="en-US"/>
        </w:rPr>
        <w:t>hrs.,</w:t>
      </w:r>
      <w:proofErr w:type="gram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and subsequently, the 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activational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profile was assessed by flow 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cytometric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detection of CD69 and CD25 expression on T cells using anti-CD69-PE-Cy7 (Y780/60) and anti-CD25-BB700 (B695/40), respectively. Note: the CAR T cell culture </w:t>
      </w:r>
      <w:proofErr w:type="gramStart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is not 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lastRenderedPageBreak/>
        <w:t>gated</w:t>
      </w:r>
      <w:proofErr w:type="gram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on CAR+/-. </w:t>
      </w: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>A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. Expression of activation marker CD69 (</w:t>
      </w:r>
      <w:r w:rsidRPr="00702D5B">
        <w:rPr>
          <w:rFonts w:ascii="Calibri" w:eastAsia="Calibri" w:hAnsi="Calibri" w:cs="Calibri"/>
          <w:i/>
          <w:sz w:val="18"/>
          <w:szCs w:val="18"/>
          <w:lang w:val="en-US"/>
        </w:rPr>
        <w:t>left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) and CD25 (</w:t>
      </w:r>
      <w:r w:rsidRPr="00702D5B">
        <w:rPr>
          <w:rFonts w:ascii="Calibri" w:eastAsia="Calibri" w:hAnsi="Calibri" w:cs="Calibri"/>
          <w:i/>
          <w:sz w:val="18"/>
          <w:szCs w:val="18"/>
          <w:lang w:val="en-US"/>
        </w:rPr>
        <w:t>right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) in the CAR T cell culture (Alive, CD3+) after mono-cultivation without yeast (</w:t>
      </w:r>
      <w:r w:rsidRPr="00702D5B">
        <w:rPr>
          <w:rFonts w:ascii="Calibri" w:eastAsia="Calibri" w:hAnsi="Calibri" w:cs="Calibri"/>
          <w:i/>
          <w:sz w:val="18"/>
          <w:szCs w:val="18"/>
          <w:lang w:val="en-US"/>
        </w:rPr>
        <w:t>grey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), or co-cultivation with negative control SCASA yeast P</w:t>
      </w:r>
      <w:r w:rsidRPr="00702D5B">
        <w:rPr>
          <w:rFonts w:ascii="Calibri" w:eastAsia="Calibri" w:hAnsi="Calibri" w:cs="Calibri"/>
          <w:sz w:val="18"/>
          <w:szCs w:val="18"/>
          <w:vertAlign w:val="subscript"/>
          <w:lang w:val="en-US"/>
        </w:rPr>
        <w:t>PGK1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-Empty lacking CD19 (</w:t>
      </w:r>
      <w:r w:rsidRPr="00702D5B">
        <w:rPr>
          <w:rFonts w:ascii="Calibri" w:eastAsia="Calibri" w:hAnsi="Calibri" w:cs="Calibri"/>
          <w:i/>
          <w:sz w:val="18"/>
          <w:szCs w:val="18"/>
          <w:lang w:val="en-US"/>
        </w:rPr>
        <w:t>red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), SCASA yeast P</w:t>
      </w:r>
      <w:r w:rsidRPr="00702D5B">
        <w:rPr>
          <w:rFonts w:ascii="Calibri" w:eastAsia="Calibri" w:hAnsi="Calibri" w:cs="Calibri"/>
          <w:sz w:val="18"/>
          <w:szCs w:val="18"/>
          <w:vertAlign w:val="subscript"/>
          <w:lang w:val="en-US"/>
        </w:rPr>
        <w:t>MFA2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-CD19 (</w:t>
      </w:r>
      <w:r w:rsidRPr="00702D5B">
        <w:rPr>
          <w:rFonts w:ascii="Calibri" w:eastAsia="Calibri" w:hAnsi="Calibri" w:cs="Calibri"/>
          <w:i/>
          <w:sz w:val="18"/>
          <w:szCs w:val="18"/>
          <w:lang w:val="en-US"/>
        </w:rPr>
        <w:t>green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), or SCASA yeast P</w:t>
      </w:r>
      <w:r w:rsidRPr="00702D5B">
        <w:rPr>
          <w:rFonts w:ascii="Calibri" w:eastAsia="Calibri" w:hAnsi="Calibri" w:cs="Calibri"/>
          <w:sz w:val="18"/>
          <w:szCs w:val="18"/>
          <w:vertAlign w:val="subscript"/>
          <w:lang w:val="en-US"/>
        </w:rPr>
        <w:t>TDH3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-CD19 (</w:t>
      </w:r>
      <w:r w:rsidRPr="00702D5B">
        <w:rPr>
          <w:rFonts w:ascii="Calibri" w:eastAsia="Calibri" w:hAnsi="Calibri" w:cs="Calibri"/>
          <w:i/>
          <w:sz w:val="18"/>
          <w:szCs w:val="18"/>
          <w:lang w:val="en-US"/>
        </w:rPr>
        <w:t>green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), with GPCR pre-stimulation (</w:t>
      </w:r>
      <w:r w:rsidRPr="00702D5B">
        <w:rPr>
          <w:rFonts w:ascii="Calibri" w:eastAsia="Calibri" w:hAnsi="Calibri" w:cs="Calibri"/>
          <w:i/>
          <w:sz w:val="18"/>
          <w:szCs w:val="18"/>
          <w:lang w:val="en-US"/>
        </w:rPr>
        <w:t>unfilled histograms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) or without stimulation (</w:t>
      </w:r>
      <w:r w:rsidRPr="00702D5B">
        <w:rPr>
          <w:rFonts w:ascii="Calibri" w:eastAsia="Calibri" w:hAnsi="Calibri" w:cs="Calibri"/>
          <w:i/>
          <w:sz w:val="18"/>
          <w:szCs w:val="18"/>
          <w:lang w:val="en-US"/>
        </w:rPr>
        <w:t>filled histograms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). Additionally, a monoculture of CAR T cells </w:t>
      </w:r>
      <w:proofErr w:type="gramStart"/>
      <w:r w:rsidRPr="00702D5B">
        <w:rPr>
          <w:rFonts w:ascii="Calibri" w:eastAsia="Calibri" w:hAnsi="Calibri" w:cs="Calibri"/>
          <w:sz w:val="18"/>
          <w:szCs w:val="18"/>
          <w:lang w:val="en-US"/>
        </w:rPr>
        <w:t>was activated</w:t>
      </w:r>
      <w:proofErr w:type="gram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with lymphocyte activation cocktail (LAC) (</w:t>
      </w:r>
      <w:r w:rsidRPr="00702D5B">
        <w:rPr>
          <w:rFonts w:ascii="Calibri" w:eastAsia="Calibri" w:hAnsi="Calibri" w:cs="Calibri"/>
          <w:i/>
          <w:sz w:val="18"/>
          <w:szCs w:val="18"/>
          <w:lang w:val="en-US"/>
        </w:rPr>
        <w:t>blue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). </w:t>
      </w: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>B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. CD69 expression intensities of alive CD3+ CAR T cells after co-cultivation with the various SCASA yeast cells with (</w:t>
      </w:r>
      <w:r w:rsidRPr="00702D5B">
        <w:rPr>
          <w:rFonts w:ascii="Calibri" w:eastAsia="Calibri" w:hAnsi="Calibri" w:cs="Calibri"/>
          <w:i/>
          <w:sz w:val="18"/>
          <w:szCs w:val="18"/>
          <w:lang w:val="en-US"/>
        </w:rPr>
        <w:t>+ɑ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) and without GPCR stimulation. Intensities </w:t>
      </w:r>
      <w:proofErr w:type="gramStart"/>
      <w:r w:rsidRPr="00702D5B">
        <w:rPr>
          <w:rFonts w:ascii="Calibri" w:eastAsia="Calibri" w:hAnsi="Calibri" w:cs="Calibri"/>
          <w:sz w:val="18"/>
          <w:szCs w:val="18"/>
          <w:lang w:val="en-US"/>
        </w:rPr>
        <w:t>have been normalized</w:t>
      </w:r>
      <w:proofErr w:type="gram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to CAR T cell monocultures (‘T cells alone’). </w:t>
      </w: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>C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. Percentage of alive CD3+ CAR T cell population expressing CD69 (</w:t>
      </w:r>
      <w:proofErr w:type="gramStart"/>
      <w:r w:rsidRPr="00702D5B">
        <w:rPr>
          <w:rFonts w:ascii="Calibri" w:eastAsia="Calibri" w:hAnsi="Calibri" w:cs="Calibri"/>
          <w:sz w:val="18"/>
          <w:szCs w:val="18"/>
          <w:lang w:val="en-US"/>
        </w:rPr>
        <w:t>%CD69</w:t>
      </w:r>
      <w:proofErr w:type="gram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+) at any intensity for the co-cultivations. </w:t>
      </w: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>D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. CD25 expression intensities of alive CD3+ CAR T cells after co-cultivation with the various SCASA yeast cells with and without GPCR stimulation, normalized to CAR T cell monocultures. </w:t>
      </w: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>E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. Percentage of alive CD3+ CAR T cell population expressing CD25 (</w:t>
      </w:r>
      <w:proofErr w:type="gramStart"/>
      <w:r w:rsidRPr="00702D5B">
        <w:rPr>
          <w:rFonts w:ascii="Calibri" w:eastAsia="Calibri" w:hAnsi="Calibri" w:cs="Calibri"/>
          <w:sz w:val="18"/>
          <w:szCs w:val="18"/>
          <w:lang w:val="en-US"/>
        </w:rPr>
        <w:t>%CD25</w:t>
      </w:r>
      <w:proofErr w:type="gramEnd"/>
      <w:r w:rsidRPr="00702D5B">
        <w:rPr>
          <w:rFonts w:ascii="Calibri" w:eastAsia="Calibri" w:hAnsi="Calibri" w:cs="Calibri"/>
          <w:sz w:val="18"/>
          <w:szCs w:val="18"/>
          <w:lang w:val="en-US"/>
        </w:rPr>
        <w:t>+) at any intensity for the co-cultivations. Data represents means of cell counts or median fluorescence intensities (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mMFI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) for two biological replicates (n=2) and standard deviations hereof. Histograms </w:t>
      </w:r>
      <w:proofErr w:type="gramStart"/>
      <w:r w:rsidRPr="00702D5B">
        <w:rPr>
          <w:rFonts w:ascii="Calibri" w:eastAsia="Calibri" w:hAnsi="Calibri" w:cs="Calibri"/>
          <w:sz w:val="18"/>
          <w:szCs w:val="18"/>
          <w:lang w:val="en-US"/>
        </w:rPr>
        <w:t>are normalized</w:t>
      </w:r>
      <w:proofErr w:type="gram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to the mode and all replicates are shown.</w:t>
      </w:r>
    </w:p>
    <w:p w:rsidR="00596676" w:rsidRPr="00702D5B" w:rsidRDefault="002D3CE8">
      <w:pPr>
        <w:spacing w:line="360" w:lineRule="auto"/>
        <w:jc w:val="both"/>
        <w:rPr>
          <w:rFonts w:ascii="Calibri" w:eastAsia="Calibri" w:hAnsi="Calibri" w:cs="Calibri"/>
          <w:color w:val="202122"/>
          <w:highlight w:val="white"/>
          <w:lang w:val="en-US"/>
        </w:rPr>
      </w:pPr>
      <w:r w:rsidRPr="00702D5B">
        <w:rPr>
          <w:rFonts w:ascii="Calibri" w:eastAsia="Calibri" w:hAnsi="Calibri" w:cs="Calibri"/>
          <w:color w:val="202122"/>
          <w:highlight w:val="white"/>
          <w:lang w:val="en-US"/>
        </w:rPr>
        <w:br/>
      </w:r>
    </w:p>
    <w:p w:rsidR="00596676" w:rsidRPr="00702D5B" w:rsidRDefault="00596676">
      <w:pPr>
        <w:spacing w:line="360" w:lineRule="auto"/>
        <w:jc w:val="both"/>
        <w:rPr>
          <w:rFonts w:ascii="Calibri" w:eastAsia="Calibri" w:hAnsi="Calibri" w:cs="Calibri"/>
          <w:lang w:val="en-US"/>
        </w:rPr>
      </w:pPr>
    </w:p>
    <w:p w:rsidR="00596676" w:rsidRPr="00702D5B" w:rsidRDefault="00596676">
      <w:pPr>
        <w:spacing w:line="360" w:lineRule="auto"/>
        <w:jc w:val="both"/>
        <w:rPr>
          <w:rFonts w:ascii="Calibri" w:eastAsia="Calibri" w:hAnsi="Calibri" w:cs="Calibri"/>
          <w:u w:val="single"/>
          <w:lang w:val="en-US"/>
        </w:rPr>
      </w:pPr>
    </w:p>
    <w:p w:rsidR="00596676" w:rsidRPr="00702D5B" w:rsidRDefault="002D3CE8">
      <w:pPr>
        <w:spacing w:line="360" w:lineRule="auto"/>
        <w:jc w:val="both"/>
        <w:rPr>
          <w:rFonts w:ascii="Calibri" w:eastAsia="Calibri" w:hAnsi="Calibri" w:cs="Calibri"/>
          <w:b/>
          <w:u w:val="single"/>
          <w:lang w:val="en-US"/>
        </w:rPr>
      </w:pPr>
      <w:r w:rsidRPr="00702D5B">
        <w:rPr>
          <w:lang w:val="en-US"/>
        </w:rPr>
        <w:br w:type="page"/>
      </w:r>
    </w:p>
    <w:p w:rsidR="00596676" w:rsidRDefault="002D3CE8">
      <w:pPr>
        <w:spacing w:line="36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  <w:u w:val="single"/>
        </w:rPr>
        <w:lastRenderedPageBreak/>
        <w:t>Suppl. Fig. 12</w:t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</w:p>
    <w:p w:rsidR="00596676" w:rsidRDefault="004B7083">
      <w:pPr>
        <w:spacing w:line="360" w:lineRule="auto"/>
        <w:jc w:val="center"/>
        <w:rPr>
          <w:rFonts w:ascii="Calibri" w:eastAsia="Calibri" w:hAnsi="Calibri" w:cs="Calibri"/>
          <w:b/>
          <w:sz w:val="18"/>
          <w:szCs w:val="18"/>
        </w:rPr>
      </w:pPr>
      <w:r>
        <w:rPr>
          <w:rFonts w:ascii="Calibri" w:eastAsia="Calibri" w:hAnsi="Calibri" w:cs="Calibri"/>
          <w:b/>
          <w:noProof/>
          <w:sz w:val="18"/>
          <w:szCs w:val="18"/>
          <w:lang w:val="en-US"/>
        </w:rPr>
        <w:pict>
          <v:shape id="_x0000_i1036" type="#_x0000_t75" style="width:193.55pt;height:326.3pt">
            <v:imagedata r:id="rId19" o:title="Suppl Fig 12 - CD19 intensity relative to NALM6 (CTRL cultures)"/>
          </v:shape>
        </w:pict>
      </w:r>
    </w:p>
    <w:p w:rsidR="00596676" w:rsidRDefault="002D3CE8">
      <w:pPr>
        <w:spacing w:line="360" w:lineRule="auto"/>
        <w:jc w:val="both"/>
        <w:rPr>
          <w:rFonts w:ascii="Calibri" w:eastAsia="Calibri" w:hAnsi="Calibri" w:cs="Calibri"/>
          <w:sz w:val="18"/>
          <w:szCs w:val="18"/>
        </w:rPr>
      </w:pP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>Suppl. Fig. 12 - SCASA yeast cell P</w:t>
      </w:r>
      <w:r w:rsidRPr="00702D5B">
        <w:rPr>
          <w:rFonts w:ascii="Calibri" w:eastAsia="Calibri" w:hAnsi="Calibri" w:cs="Calibri"/>
          <w:b/>
          <w:sz w:val="18"/>
          <w:szCs w:val="18"/>
          <w:vertAlign w:val="subscript"/>
          <w:lang w:val="en-US"/>
        </w:rPr>
        <w:t>PGK1</w:t>
      </w: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>-CD19 relative intensity of CD19 compared to NALM6 in CTRL T cell co-cultures.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The CD19 expression intensity </w:t>
      </w:r>
      <w:proofErr w:type="gramStart"/>
      <w:r w:rsidRPr="00702D5B">
        <w:rPr>
          <w:rFonts w:ascii="Calibri" w:eastAsia="Calibri" w:hAnsi="Calibri" w:cs="Calibri"/>
          <w:sz w:val="18"/>
          <w:szCs w:val="18"/>
          <w:lang w:val="en-US"/>
        </w:rPr>
        <w:t>was measured</w:t>
      </w:r>
      <w:proofErr w:type="gram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for all target cells during co-cultivation with the Hu19-CD8ɑ-CD28-CD3</w:t>
      </w:r>
      <w:r>
        <w:rPr>
          <w:rFonts w:ascii="Calibri" w:eastAsia="Calibri" w:hAnsi="Calibri" w:cs="Calibri"/>
          <w:color w:val="202124"/>
          <w:sz w:val="18"/>
          <w:szCs w:val="18"/>
          <w:highlight w:val="white"/>
        </w:rPr>
        <w:t>ζ</w:t>
      </w:r>
      <w:r w:rsidRPr="00702D5B">
        <w:rPr>
          <w:rFonts w:ascii="Calibri" w:eastAsia="Calibri" w:hAnsi="Calibri" w:cs="Calibri"/>
          <w:color w:val="202124"/>
          <w:sz w:val="18"/>
          <w:szCs w:val="18"/>
          <w:highlight w:val="white"/>
          <w:lang w:val="en-US"/>
        </w:rPr>
        <w:t xml:space="preserve"> 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CAR T cell product and accompanying controls. The relative CD19 levels were determined in </w:t>
      </w:r>
      <w:r w:rsidRPr="00702D5B">
        <w:rPr>
          <w:rFonts w:ascii="Calibri" w:eastAsia="Calibri" w:hAnsi="Calibri" w:cs="Calibri"/>
          <w:color w:val="202122"/>
          <w:sz w:val="18"/>
          <w:szCs w:val="18"/>
          <w:highlight w:val="white"/>
          <w:lang w:val="en-US"/>
        </w:rPr>
        <w:t>control (CTRL)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T cell cultures via staining with anti-CD19-BV785 (V780/60) and flow cytometry. CD19 intensities per cell </w:t>
      </w:r>
      <w:proofErr w:type="gramStart"/>
      <w:r w:rsidRPr="00702D5B">
        <w:rPr>
          <w:rFonts w:ascii="Calibri" w:eastAsia="Calibri" w:hAnsi="Calibri" w:cs="Calibri"/>
          <w:sz w:val="18"/>
          <w:szCs w:val="18"/>
          <w:lang w:val="en-US"/>
        </w:rPr>
        <w:t>were normalized</w:t>
      </w:r>
      <w:proofErr w:type="gram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to NALM6. Data is based on means of </w:t>
      </w:r>
      <w:proofErr w:type="gramStart"/>
      <w:r w:rsidRPr="00702D5B">
        <w:rPr>
          <w:rFonts w:ascii="Calibri" w:eastAsia="Calibri" w:hAnsi="Calibri" w:cs="Calibri"/>
          <w:sz w:val="18"/>
          <w:szCs w:val="18"/>
          <w:lang w:val="en-US"/>
        </w:rPr>
        <w:t>9</w:t>
      </w:r>
      <w:proofErr w:type="gram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biological replicates (n=9) and standard deviations hereof. Significance levels: ✱: P≤0.01, ✱✱: P≤0.0001. Statistics:</w:t>
      </w: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 xml:space="preserve"> Suppl. </w:t>
      </w:r>
      <w:r>
        <w:rPr>
          <w:rFonts w:ascii="Calibri" w:eastAsia="Calibri" w:hAnsi="Calibri" w:cs="Calibri"/>
          <w:b/>
          <w:sz w:val="18"/>
          <w:szCs w:val="18"/>
        </w:rPr>
        <w:t>Table 9</w:t>
      </w:r>
      <w:r>
        <w:rPr>
          <w:rFonts w:ascii="Calibri" w:eastAsia="Calibri" w:hAnsi="Calibri" w:cs="Calibri"/>
          <w:sz w:val="18"/>
          <w:szCs w:val="18"/>
        </w:rPr>
        <w:t>.</w:t>
      </w:r>
    </w:p>
    <w:p w:rsidR="00596676" w:rsidRDefault="00596676">
      <w:pPr>
        <w:spacing w:line="360" w:lineRule="auto"/>
        <w:jc w:val="both"/>
        <w:rPr>
          <w:rFonts w:ascii="Calibri" w:eastAsia="Calibri" w:hAnsi="Calibri" w:cs="Calibri"/>
          <w:b/>
          <w:sz w:val="18"/>
          <w:szCs w:val="18"/>
        </w:rPr>
      </w:pPr>
    </w:p>
    <w:p w:rsidR="00596676" w:rsidRDefault="00596676">
      <w:pPr>
        <w:spacing w:line="360" w:lineRule="auto"/>
        <w:jc w:val="both"/>
        <w:rPr>
          <w:rFonts w:ascii="Calibri" w:eastAsia="Calibri" w:hAnsi="Calibri" w:cs="Calibri"/>
          <w:b/>
        </w:rPr>
      </w:pPr>
    </w:p>
    <w:p w:rsidR="00596676" w:rsidRDefault="002D3CE8">
      <w:pPr>
        <w:spacing w:line="360" w:lineRule="auto"/>
        <w:jc w:val="both"/>
        <w:rPr>
          <w:rFonts w:ascii="Calibri" w:eastAsia="Calibri" w:hAnsi="Calibri" w:cs="Calibri"/>
          <w:b/>
          <w:u w:val="single"/>
        </w:rPr>
      </w:pPr>
      <w:r>
        <w:br w:type="page"/>
      </w:r>
    </w:p>
    <w:p w:rsidR="00596676" w:rsidRDefault="002D3CE8">
      <w:pPr>
        <w:spacing w:line="36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  <w:u w:val="single"/>
        </w:rPr>
        <w:lastRenderedPageBreak/>
        <w:t>Suppl. Fig. 13</w:t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</w:p>
    <w:p w:rsidR="00596676" w:rsidRDefault="004B7083">
      <w:pPr>
        <w:spacing w:line="360" w:lineRule="auto"/>
        <w:jc w:val="both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noProof/>
          <w:sz w:val="18"/>
          <w:szCs w:val="18"/>
          <w:lang w:val="en-US"/>
        </w:rPr>
        <w:pict>
          <v:shape id="_x0000_i1037" type="#_x0000_t75" style="width:451.55pt;height:217.65pt">
            <v:imagedata r:id="rId20" o:title="Suppl Fig 13 - Target cell population ratios"/>
          </v:shape>
        </w:pict>
      </w:r>
    </w:p>
    <w:p w:rsidR="00596676" w:rsidRDefault="002D3CE8">
      <w:pPr>
        <w:spacing w:line="360" w:lineRule="auto"/>
        <w:jc w:val="both"/>
        <w:rPr>
          <w:rFonts w:ascii="Calibri" w:eastAsia="Calibri" w:hAnsi="Calibri" w:cs="Calibri"/>
        </w:rPr>
      </w:pP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>Suppl. Fig. 13 - Cell counts after NALM6 and SCASA yeast cell co-cultivations with the Hu19-CD8ɑ-CD28-CD3</w:t>
      </w:r>
      <w:r>
        <w:rPr>
          <w:rFonts w:ascii="Calibri" w:eastAsia="Calibri" w:hAnsi="Calibri" w:cs="Calibri"/>
          <w:b/>
          <w:color w:val="202124"/>
          <w:sz w:val="18"/>
          <w:szCs w:val="18"/>
          <w:highlight w:val="white"/>
        </w:rPr>
        <w:t>ζ</w:t>
      </w:r>
      <w:r w:rsidRPr="00702D5B">
        <w:rPr>
          <w:rFonts w:ascii="Calibri" w:eastAsia="Calibri" w:hAnsi="Calibri" w:cs="Calibri"/>
          <w:b/>
          <w:color w:val="202124"/>
          <w:sz w:val="18"/>
          <w:szCs w:val="18"/>
          <w:highlight w:val="white"/>
          <w:lang w:val="en-US"/>
        </w:rPr>
        <w:t xml:space="preserve"> </w:t>
      </w: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>CAR T cell product.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Cells </w:t>
      </w:r>
      <w:proofErr w:type="gramStart"/>
      <w:r w:rsidRPr="00702D5B">
        <w:rPr>
          <w:rFonts w:ascii="Calibri" w:eastAsia="Calibri" w:hAnsi="Calibri" w:cs="Calibri"/>
          <w:sz w:val="18"/>
          <w:szCs w:val="18"/>
          <w:lang w:val="en-US"/>
        </w:rPr>
        <w:t>were counted</w:t>
      </w:r>
      <w:proofErr w:type="gram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using flow cytometry and the number of classified cells per detected single cell (singlet) of the entire cell co-culture was calculated. </w:t>
      </w: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>A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. Percentage of live target cells detected per singlet; NALM6 (</w:t>
      </w:r>
      <w:r w:rsidRPr="00702D5B">
        <w:rPr>
          <w:rFonts w:ascii="Calibri" w:eastAsia="Calibri" w:hAnsi="Calibri" w:cs="Calibri"/>
          <w:i/>
          <w:sz w:val="18"/>
          <w:szCs w:val="18"/>
          <w:lang w:val="en-US"/>
        </w:rPr>
        <w:t>blue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), SCASA yeast P</w:t>
      </w:r>
      <w:r w:rsidRPr="00702D5B">
        <w:rPr>
          <w:rFonts w:ascii="Calibri" w:eastAsia="Calibri" w:hAnsi="Calibri" w:cs="Calibri"/>
          <w:sz w:val="18"/>
          <w:szCs w:val="18"/>
          <w:vertAlign w:val="subscript"/>
          <w:lang w:val="en-US"/>
        </w:rPr>
        <w:t>PGK1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-CD19 (</w:t>
      </w:r>
      <w:r w:rsidRPr="00702D5B">
        <w:rPr>
          <w:rFonts w:ascii="Calibri" w:eastAsia="Calibri" w:hAnsi="Calibri" w:cs="Calibri"/>
          <w:i/>
          <w:sz w:val="18"/>
          <w:szCs w:val="18"/>
          <w:lang w:val="en-US"/>
        </w:rPr>
        <w:t>green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), and SCASA yeast P</w:t>
      </w:r>
      <w:r w:rsidRPr="00702D5B">
        <w:rPr>
          <w:rFonts w:ascii="Calibri" w:eastAsia="Calibri" w:hAnsi="Calibri" w:cs="Calibri"/>
          <w:sz w:val="18"/>
          <w:szCs w:val="18"/>
          <w:vertAlign w:val="subscript"/>
          <w:lang w:val="en-US"/>
        </w:rPr>
        <w:t>PGK1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-Empty (</w:t>
      </w:r>
      <w:r w:rsidRPr="00702D5B">
        <w:rPr>
          <w:rFonts w:ascii="Calibri" w:eastAsia="Calibri" w:hAnsi="Calibri" w:cs="Calibri"/>
          <w:i/>
          <w:sz w:val="18"/>
          <w:szCs w:val="18"/>
          <w:lang w:val="en-US"/>
        </w:rPr>
        <w:t>red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) in </w:t>
      </w:r>
      <w:r w:rsidRPr="00702D5B">
        <w:rPr>
          <w:rFonts w:ascii="Calibri" w:eastAsia="Calibri" w:hAnsi="Calibri" w:cs="Calibri"/>
          <w:color w:val="202122"/>
          <w:sz w:val="18"/>
          <w:szCs w:val="18"/>
          <w:highlight w:val="white"/>
          <w:lang w:val="en-US"/>
        </w:rPr>
        <w:t>control (CTRL)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(</w:t>
      </w:r>
      <w:r w:rsidRPr="00702D5B">
        <w:rPr>
          <w:rFonts w:ascii="Calibri" w:eastAsia="Calibri" w:hAnsi="Calibri" w:cs="Calibri"/>
          <w:i/>
          <w:sz w:val="18"/>
          <w:szCs w:val="18"/>
          <w:lang w:val="en-US"/>
        </w:rPr>
        <w:t>triangle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) and CAR (</w:t>
      </w:r>
      <w:r w:rsidRPr="00702D5B">
        <w:rPr>
          <w:rFonts w:ascii="Calibri" w:eastAsia="Calibri" w:hAnsi="Calibri" w:cs="Calibri"/>
          <w:i/>
          <w:sz w:val="18"/>
          <w:szCs w:val="18"/>
          <w:lang w:val="en-US"/>
        </w:rPr>
        <w:t>circle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) T cell co-cultures for each target-to-effector cell ratio (T/E-ratio). </w:t>
      </w: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>B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. Percentage of live CD3+ T cells detected per singlet in CTRL and CAR T cell co-cultures. Data is based on means of three biological replicates (n=3) and standard deviations hereof. Significance levels: ✱: P≤0.01, ✱✱: P≤0.0001. Not all pairwise comparisons </w:t>
      </w:r>
      <w:proofErr w:type="gramStart"/>
      <w:r w:rsidRPr="00702D5B">
        <w:rPr>
          <w:rFonts w:ascii="Calibri" w:eastAsia="Calibri" w:hAnsi="Calibri" w:cs="Calibri"/>
          <w:sz w:val="18"/>
          <w:szCs w:val="18"/>
          <w:lang w:val="en-US"/>
        </w:rPr>
        <w:t>are shown</w:t>
      </w:r>
      <w:proofErr w:type="gram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. </w:t>
      </w:r>
      <w:proofErr w:type="spellStart"/>
      <w:r>
        <w:rPr>
          <w:rFonts w:ascii="Calibri" w:eastAsia="Calibri" w:hAnsi="Calibri" w:cs="Calibri"/>
          <w:sz w:val="18"/>
          <w:szCs w:val="18"/>
        </w:rPr>
        <w:t>Statistics</w:t>
      </w:r>
      <w:proofErr w:type="spellEnd"/>
      <w:r>
        <w:rPr>
          <w:rFonts w:ascii="Calibri" w:eastAsia="Calibri" w:hAnsi="Calibri" w:cs="Calibri"/>
          <w:sz w:val="18"/>
          <w:szCs w:val="18"/>
        </w:rPr>
        <w:t>:</w:t>
      </w:r>
      <w:r>
        <w:rPr>
          <w:rFonts w:ascii="Calibri" w:eastAsia="Calibri" w:hAnsi="Calibri" w:cs="Calibri"/>
          <w:b/>
          <w:sz w:val="18"/>
          <w:szCs w:val="18"/>
        </w:rPr>
        <w:t xml:space="preserve"> </w:t>
      </w:r>
      <w:proofErr w:type="spellStart"/>
      <w:r>
        <w:rPr>
          <w:rFonts w:ascii="Calibri" w:eastAsia="Calibri" w:hAnsi="Calibri" w:cs="Calibri"/>
          <w:b/>
          <w:sz w:val="18"/>
          <w:szCs w:val="18"/>
        </w:rPr>
        <w:t>Suppl</w:t>
      </w:r>
      <w:proofErr w:type="spellEnd"/>
      <w:r>
        <w:rPr>
          <w:rFonts w:ascii="Calibri" w:eastAsia="Calibri" w:hAnsi="Calibri" w:cs="Calibri"/>
          <w:b/>
          <w:sz w:val="18"/>
          <w:szCs w:val="18"/>
        </w:rPr>
        <w:t xml:space="preserve">. </w:t>
      </w:r>
      <w:proofErr w:type="spellStart"/>
      <w:r>
        <w:rPr>
          <w:rFonts w:ascii="Calibri" w:eastAsia="Calibri" w:hAnsi="Calibri" w:cs="Calibri"/>
          <w:b/>
          <w:sz w:val="18"/>
          <w:szCs w:val="18"/>
        </w:rPr>
        <w:t>Table</w:t>
      </w:r>
      <w:proofErr w:type="spellEnd"/>
      <w:r>
        <w:rPr>
          <w:rFonts w:ascii="Calibri" w:eastAsia="Calibri" w:hAnsi="Calibri" w:cs="Calibri"/>
          <w:b/>
          <w:sz w:val="18"/>
          <w:szCs w:val="18"/>
        </w:rPr>
        <w:t xml:space="preserve"> 9</w:t>
      </w:r>
      <w:r>
        <w:rPr>
          <w:rFonts w:ascii="Calibri" w:eastAsia="Calibri" w:hAnsi="Calibri" w:cs="Calibri"/>
          <w:sz w:val="18"/>
          <w:szCs w:val="18"/>
        </w:rPr>
        <w:t xml:space="preserve">. </w:t>
      </w:r>
    </w:p>
    <w:p w:rsidR="00596676" w:rsidRDefault="002D3CE8">
      <w:pPr>
        <w:spacing w:line="360" w:lineRule="auto"/>
        <w:jc w:val="both"/>
        <w:rPr>
          <w:rFonts w:ascii="Calibri" w:eastAsia="Calibri" w:hAnsi="Calibri" w:cs="Calibri"/>
          <w:b/>
          <w:u w:val="single"/>
        </w:rPr>
      </w:pPr>
      <w:r>
        <w:br w:type="page"/>
      </w:r>
    </w:p>
    <w:p w:rsidR="00596676" w:rsidRDefault="002D3CE8">
      <w:pPr>
        <w:spacing w:line="360" w:lineRule="auto"/>
        <w:jc w:val="both"/>
        <w:rPr>
          <w:rFonts w:ascii="Calibri" w:eastAsia="Calibri" w:hAnsi="Calibri" w:cs="Calibri"/>
          <w:color w:val="202122"/>
          <w:highlight w:val="white"/>
        </w:rPr>
      </w:pPr>
      <w:proofErr w:type="spellStart"/>
      <w:r>
        <w:rPr>
          <w:rFonts w:ascii="Calibri" w:eastAsia="Calibri" w:hAnsi="Calibri" w:cs="Calibri"/>
          <w:b/>
          <w:u w:val="single"/>
        </w:rPr>
        <w:lastRenderedPageBreak/>
        <w:t>Suppl</w:t>
      </w:r>
      <w:proofErr w:type="spellEnd"/>
      <w:r>
        <w:rPr>
          <w:rFonts w:ascii="Calibri" w:eastAsia="Calibri" w:hAnsi="Calibri" w:cs="Calibri"/>
          <w:b/>
          <w:u w:val="single"/>
        </w:rPr>
        <w:t>. Fig. 14</w:t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</w:p>
    <w:p w:rsidR="00596676" w:rsidRDefault="004B7083">
      <w:pPr>
        <w:spacing w:line="360" w:lineRule="auto"/>
        <w:jc w:val="both"/>
        <w:rPr>
          <w:rFonts w:ascii="Calibri" w:eastAsia="Calibri" w:hAnsi="Calibri" w:cs="Calibri"/>
          <w:color w:val="202122"/>
          <w:highlight w:val="white"/>
        </w:rPr>
      </w:pPr>
      <w:r>
        <w:rPr>
          <w:rFonts w:ascii="Calibri" w:eastAsia="Calibri" w:hAnsi="Calibri" w:cs="Calibri"/>
          <w:noProof/>
          <w:color w:val="202122"/>
          <w:highlight w:val="white"/>
          <w:lang w:val="en-US"/>
        </w:rPr>
        <w:pict>
          <v:shape id="_x0000_i1038" type="#_x0000_t75" style="width:451.15pt;height:213.5pt">
            <v:imagedata r:id="rId21" o:title="Suppl Fig 14 - Target cell robustness"/>
          </v:shape>
        </w:pict>
      </w:r>
    </w:p>
    <w:p w:rsidR="00596676" w:rsidRDefault="002D3CE8">
      <w:pPr>
        <w:spacing w:line="360" w:lineRule="auto"/>
        <w:jc w:val="both"/>
        <w:rPr>
          <w:rFonts w:ascii="Calibri" w:eastAsia="Calibri" w:hAnsi="Calibri" w:cs="Calibri"/>
          <w:highlight w:val="white"/>
        </w:rPr>
      </w:pPr>
      <w:r w:rsidRPr="00702D5B">
        <w:rPr>
          <w:rFonts w:ascii="Calibri" w:eastAsia="Calibri" w:hAnsi="Calibri" w:cs="Calibri"/>
          <w:b/>
          <w:color w:val="202122"/>
          <w:sz w:val="18"/>
          <w:szCs w:val="18"/>
          <w:highlight w:val="white"/>
          <w:lang w:val="en-US"/>
        </w:rPr>
        <w:t xml:space="preserve">Suppl. Fig. 14 - Characterization of </w:t>
      </w:r>
      <w:proofErr w:type="gramStart"/>
      <w:r w:rsidRPr="00702D5B">
        <w:rPr>
          <w:rFonts w:ascii="Calibri" w:eastAsia="Calibri" w:hAnsi="Calibri" w:cs="Calibri"/>
          <w:b/>
          <w:color w:val="202122"/>
          <w:sz w:val="18"/>
          <w:szCs w:val="18"/>
          <w:highlight w:val="white"/>
          <w:lang w:val="en-US"/>
        </w:rPr>
        <w:t>target cell number stability</w:t>
      </w:r>
      <w:proofErr w:type="gramEnd"/>
      <w:r w:rsidRPr="00702D5B">
        <w:rPr>
          <w:rFonts w:ascii="Calibri" w:eastAsia="Calibri" w:hAnsi="Calibri" w:cs="Calibri"/>
          <w:b/>
          <w:color w:val="202122"/>
          <w:sz w:val="18"/>
          <w:szCs w:val="18"/>
          <w:highlight w:val="white"/>
          <w:lang w:val="en-US"/>
        </w:rPr>
        <w:t xml:space="preserve"> for NALM6 and SCASA yeast cells.</w:t>
      </w:r>
      <w:r w:rsidRPr="00702D5B">
        <w:rPr>
          <w:rFonts w:ascii="Calibri" w:eastAsia="Calibri" w:hAnsi="Calibri" w:cs="Calibri"/>
          <w:color w:val="202122"/>
          <w:sz w:val="18"/>
          <w:szCs w:val="18"/>
          <w:highlight w:val="white"/>
          <w:lang w:val="en-US"/>
        </w:rPr>
        <w:t xml:space="preserve"> The variability in target cell numbers, i.e. for 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NALM6 (</w:t>
      </w:r>
      <w:r w:rsidRPr="00702D5B">
        <w:rPr>
          <w:rFonts w:ascii="Calibri" w:eastAsia="Calibri" w:hAnsi="Calibri" w:cs="Calibri"/>
          <w:i/>
          <w:sz w:val="18"/>
          <w:szCs w:val="18"/>
          <w:lang w:val="en-US"/>
        </w:rPr>
        <w:t>blue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), SCASA yeast P</w:t>
      </w:r>
      <w:r w:rsidRPr="00702D5B">
        <w:rPr>
          <w:rFonts w:ascii="Calibri" w:eastAsia="Calibri" w:hAnsi="Calibri" w:cs="Calibri"/>
          <w:sz w:val="18"/>
          <w:szCs w:val="18"/>
          <w:vertAlign w:val="subscript"/>
          <w:lang w:val="en-US"/>
        </w:rPr>
        <w:t>PGK1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-CD19 (</w:t>
      </w:r>
      <w:r w:rsidRPr="00702D5B">
        <w:rPr>
          <w:rFonts w:ascii="Calibri" w:eastAsia="Calibri" w:hAnsi="Calibri" w:cs="Calibri"/>
          <w:i/>
          <w:sz w:val="18"/>
          <w:szCs w:val="18"/>
          <w:lang w:val="en-US"/>
        </w:rPr>
        <w:t>green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), and SCASA yeast P</w:t>
      </w:r>
      <w:r w:rsidRPr="00702D5B">
        <w:rPr>
          <w:rFonts w:ascii="Calibri" w:eastAsia="Calibri" w:hAnsi="Calibri" w:cs="Calibri"/>
          <w:sz w:val="18"/>
          <w:szCs w:val="18"/>
          <w:vertAlign w:val="subscript"/>
          <w:lang w:val="en-US"/>
        </w:rPr>
        <w:t>PGK1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-Empty (</w:t>
      </w:r>
      <w:r w:rsidRPr="00702D5B">
        <w:rPr>
          <w:rFonts w:ascii="Calibri" w:eastAsia="Calibri" w:hAnsi="Calibri" w:cs="Calibri"/>
          <w:i/>
          <w:sz w:val="18"/>
          <w:szCs w:val="18"/>
          <w:lang w:val="en-US"/>
        </w:rPr>
        <w:t>red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)</w:t>
      </w:r>
      <w:r w:rsidRPr="00702D5B">
        <w:rPr>
          <w:rFonts w:ascii="Calibri" w:eastAsia="Calibri" w:hAnsi="Calibri" w:cs="Calibri"/>
          <w:color w:val="202122"/>
          <w:sz w:val="18"/>
          <w:szCs w:val="18"/>
          <w:highlight w:val="white"/>
          <w:lang w:val="en-US"/>
        </w:rPr>
        <w:t xml:space="preserve">, </w:t>
      </w:r>
      <w:proofErr w:type="gramStart"/>
      <w:r w:rsidRPr="00702D5B">
        <w:rPr>
          <w:rFonts w:ascii="Calibri" w:eastAsia="Calibri" w:hAnsi="Calibri" w:cs="Calibri"/>
          <w:color w:val="202122"/>
          <w:sz w:val="18"/>
          <w:szCs w:val="18"/>
          <w:highlight w:val="white"/>
          <w:lang w:val="en-US"/>
        </w:rPr>
        <w:t>was quantified</w:t>
      </w:r>
      <w:proofErr w:type="gramEnd"/>
      <w:r w:rsidRPr="00702D5B">
        <w:rPr>
          <w:rFonts w:ascii="Calibri" w:eastAsia="Calibri" w:hAnsi="Calibri" w:cs="Calibri"/>
          <w:color w:val="202122"/>
          <w:sz w:val="18"/>
          <w:szCs w:val="18"/>
          <w:highlight w:val="white"/>
          <w:lang w:val="en-US"/>
        </w:rPr>
        <w:t xml:space="preserve"> by assessing fold change in the number of detected target cells per alive CD3+ T cell between the control (CTRL) and CAR T cell cultures, 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for each initially seeded target-to-effector cell ratio (T/E-ratio)</w:t>
      </w:r>
      <w:r w:rsidRPr="00702D5B">
        <w:rPr>
          <w:rFonts w:ascii="Calibri" w:eastAsia="Calibri" w:hAnsi="Calibri" w:cs="Calibri"/>
          <w:color w:val="202122"/>
          <w:sz w:val="18"/>
          <w:szCs w:val="18"/>
          <w:highlight w:val="white"/>
          <w:lang w:val="en-US"/>
        </w:rPr>
        <w:t xml:space="preserve">. That is, the change in 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target-to-effector cell ratio</w:t>
      </w:r>
      <w:r w:rsidRPr="00702D5B">
        <w:rPr>
          <w:rFonts w:ascii="Calibri" w:eastAsia="Calibri" w:hAnsi="Calibri" w:cs="Calibri"/>
          <w:color w:val="202122"/>
          <w:sz w:val="18"/>
          <w:szCs w:val="18"/>
          <w:highlight w:val="white"/>
          <w:lang w:val="en-US"/>
        </w:rPr>
        <w:t xml:space="preserve"> caused by CAR expression in the CAR+ CD3+ T cell subpopulation for each co-cultivation setup. </w:t>
      </w:r>
      <w:r w:rsidRPr="00702D5B">
        <w:rPr>
          <w:rFonts w:ascii="Calibri" w:eastAsia="Calibri" w:hAnsi="Calibri" w:cs="Calibri"/>
          <w:b/>
          <w:color w:val="202122"/>
          <w:sz w:val="18"/>
          <w:szCs w:val="18"/>
          <w:highlight w:val="white"/>
          <w:lang w:val="en-US"/>
        </w:rPr>
        <w:t>A</w:t>
      </w:r>
      <w:r w:rsidRPr="00702D5B">
        <w:rPr>
          <w:rFonts w:ascii="Calibri" w:eastAsia="Calibri" w:hAnsi="Calibri" w:cs="Calibri"/>
          <w:color w:val="202122"/>
          <w:sz w:val="18"/>
          <w:szCs w:val="18"/>
          <w:highlight w:val="white"/>
          <w:lang w:val="en-US"/>
        </w:rPr>
        <w:t xml:space="preserve">. Fold change variation in 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target-to-effector cell ratio between CTRL and CAR T cell cultures (log</w:t>
      </w:r>
      <w:r w:rsidRPr="00702D5B">
        <w:rPr>
          <w:rFonts w:ascii="Calibri" w:eastAsia="Calibri" w:hAnsi="Calibri" w:cs="Calibri"/>
          <w:sz w:val="18"/>
          <w:szCs w:val="18"/>
          <w:vertAlign w:val="subscript"/>
          <w:lang w:val="en-US"/>
        </w:rPr>
        <w:t>10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-scale). </w:t>
      </w:r>
      <w:r w:rsidRPr="00702D5B">
        <w:rPr>
          <w:rFonts w:ascii="Calibri" w:eastAsia="Calibri" w:hAnsi="Calibri" w:cs="Calibri"/>
          <w:b/>
          <w:color w:val="202122"/>
          <w:sz w:val="18"/>
          <w:szCs w:val="18"/>
          <w:highlight w:val="white"/>
          <w:lang w:val="en-US"/>
        </w:rPr>
        <w:t>B</w:t>
      </w:r>
      <w:r w:rsidRPr="00702D5B">
        <w:rPr>
          <w:rFonts w:ascii="Calibri" w:eastAsia="Calibri" w:hAnsi="Calibri" w:cs="Calibri"/>
          <w:color w:val="202122"/>
          <w:sz w:val="18"/>
          <w:szCs w:val="18"/>
          <w:highlight w:val="white"/>
          <w:lang w:val="en-US"/>
        </w:rPr>
        <w:t xml:space="preserve">. Absolute fold change variation in 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target-to-effector cell ratio between CTRL and CAR T cell cultures, disregarding whether the variation causes increased or diminished levels of target-to-effector cells. The absolute fold change was calculated by acquiring the reciprocal value of fold changes &lt;</w:t>
      </w:r>
      <w:proofErr w:type="gramStart"/>
      <w:r w:rsidRPr="00702D5B">
        <w:rPr>
          <w:rFonts w:ascii="Calibri" w:eastAsia="Calibri" w:hAnsi="Calibri" w:cs="Calibri"/>
          <w:sz w:val="18"/>
          <w:szCs w:val="18"/>
          <w:lang w:val="en-US"/>
        </w:rPr>
        <w:t>1</w:t>
      </w:r>
      <w:proofErr w:type="gram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. Data is based on means of three biological replicates (n=3) and standard deviations hereof. Significance levels: ✱: P≤0.01, ✱✱: P≤0.0001. Not all pairwise comparisons </w:t>
      </w:r>
      <w:proofErr w:type="gramStart"/>
      <w:r w:rsidRPr="00702D5B">
        <w:rPr>
          <w:rFonts w:ascii="Calibri" w:eastAsia="Calibri" w:hAnsi="Calibri" w:cs="Calibri"/>
          <w:sz w:val="18"/>
          <w:szCs w:val="18"/>
          <w:lang w:val="en-US"/>
        </w:rPr>
        <w:t>are shown</w:t>
      </w:r>
      <w:proofErr w:type="gram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. </w:t>
      </w:r>
      <w:proofErr w:type="spellStart"/>
      <w:r>
        <w:rPr>
          <w:rFonts w:ascii="Calibri" w:eastAsia="Calibri" w:hAnsi="Calibri" w:cs="Calibri"/>
          <w:sz w:val="18"/>
          <w:szCs w:val="18"/>
        </w:rPr>
        <w:t>Statistics</w:t>
      </w:r>
      <w:proofErr w:type="spellEnd"/>
      <w:r>
        <w:rPr>
          <w:rFonts w:ascii="Calibri" w:eastAsia="Calibri" w:hAnsi="Calibri" w:cs="Calibri"/>
          <w:sz w:val="18"/>
          <w:szCs w:val="18"/>
        </w:rPr>
        <w:t xml:space="preserve">: </w:t>
      </w:r>
      <w:r>
        <w:rPr>
          <w:rFonts w:ascii="Calibri" w:eastAsia="Calibri" w:hAnsi="Calibri" w:cs="Calibri"/>
          <w:b/>
          <w:sz w:val="18"/>
          <w:szCs w:val="18"/>
        </w:rPr>
        <w:t xml:space="preserve"> </w:t>
      </w:r>
      <w:proofErr w:type="spellStart"/>
      <w:r>
        <w:rPr>
          <w:rFonts w:ascii="Calibri" w:eastAsia="Calibri" w:hAnsi="Calibri" w:cs="Calibri"/>
          <w:b/>
          <w:sz w:val="18"/>
          <w:szCs w:val="18"/>
        </w:rPr>
        <w:t>Suppl</w:t>
      </w:r>
      <w:proofErr w:type="spellEnd"/>
      <w:r>
        <w:rPr>
          <w:rFonts w:ascii="Calibri" w:eastAsia="Calibri" w:hAnsi="Calibri" w:cs="Calibri"/>
          <w:b/>
          <w:sz w:val="18"/>
          <w:szCs w:val="18"/>
        </w:rPr>
        <w:t xml:space="preserve">. </w:t>
      </w:r>
      <w:proofErr w:type="spellStart"/>
      <w:r>
        <w:rPr>
          <w:rFonts w:ascii="Calibri" w:eastAsia="Calibri" w:hAnsi="Calibri" w:cs="Calibri"/>
          <w:b/>
          <w:sz w:val="18"/>
          <w:szCs w:val="18"/>
        </w:rPr>
        <w:t>Table</w:t>
      </w:r>
      <w:proofErr w:type="spellEnd"/>
      <w:r>
        <w:rPr>
          <w:rFonts w:ascii="Calibri" w:eastAsia="Calibri" w:hAnsi="Calibri" w:cs="Calibri"/>
          <w:b/>
          <w:sz w:val="18"/>
          <w:szCs w:val="18"/>
        </w:rPr>
        <w:t xml:space="preserve"> 9</w:t>
      </w:r>
      <w:r>
        <w:rPr>
          <w:rFonts w:ascii="Calibri" w:eastAsia="Calibri" w:hAnsi="Calibri" w:cs="Calibri"/>
          <w:sz w:val="18"/>
          <w:szCs w:val="18"/>
        </w:rPr>
        <w:t xml:space="preserve">. </w:t>
      </w:r>
    </w:p>
    <w:p w:rsidR="00596676" w:rsidRDefault="00596676">
      <w:pPr>
        <w:spacing w:line="360" w:lineRule="auto"/>
        <w:jc w:val="both"/>
        <w:rPr>
          <w:rFonts w:ascii="Calibri" w:eastAsia="Calibri" w:hAnsi="Calibri" w:cs="Calibri"/>
          <w:highlight w:val="yellow"/>
        </w:rPr>
      </w:pPr>
    </w:p>
    <w:p w:rsidR="00596676" w:rsidRDefault="00596676">
      <w:pPr>
        <w:spacing w:line="360" w:lineRule="auto"/>
        <w:jc w:val="both"/>
        <w:rPr>
          <w:rFonts w:ascii="Calibri" w:eastAsia="Calibri" w:hAnsi="Calibri" w:cs="Calibri"/>
        </w:rPr>
      </w:pPr>
    </w:p>
    <w:p w:rsidR="00596676" w:rsidRDefault="00596676">
      <w:pPr>
        <w:spacing w:line="360" w:lineRule="auto"/>
        <w:jc w:val="both"/>
        <w:rPr>
          <w:rFonts w:ascii="Calibri" w:eastAsia="Calibri" w:hAnsi="Calibri" w:cs="Calibri"/>
          <w:b/>
        </w:rPr>
      </w:pPr>
    </w:p>
    <w:p w:rsidR="00596676" w:rsidRDefault="002D3CE8">
      <w:pPr>
        <w:spacing w:line="360" w:lineRule="auto"/>
        <w:jc w:val="both"/>
        <w:rPr>
          <w:rFonts w:ascii="Calibri" w:eastAsia="Calibri" w:hAnsi="Calibri" w:cs="Calibri"/>
          <w:b/>
        </w:rPr>
      </w:pPr>
      <w:r>
        <w:br w:type="page"/>
      </w:r>
    </w:p>
    <w:p w:rsidR="00596676" w:rsidRDefault="002D3CE8">
      <w:pPr>
        <w:spacing w:line="360" w:lineRule="auto"/>
        <w:jc w:val="both"/>
        <w:rPr>
          <w:rFonts w:ascii="Calibri" w:eastAsia="Calibri" w:hAnsi="Calibri" w:cs="Calibri"/>
          <w:b/>
          <w:u w:val="single"/>
        </w:rPr>
      </w:pPr>
      <w:proofErr w:type="spellStart"/>
      <w:r>
        <w:rPr>
          <w:rFonts w:ascii="Calibri" w:eastAsia="Calibri" w:hAnsi="Calibri" w:cs="Calibri"/>
          <w:b/>
          <w:u w:val="single"/>
        </w:rPr>
        <w:lastRenderedPageBreak/>
        <w:t>Suppl</w:t>
      </w:r>
      <w:proofErr w:type="spellEnd"/>
      <w:r>
        <w:rPr>
          <w:rFonts w:ascii="Calibri" w:eastAsia="Calibri" w:hAnsi="Calibri" w:cs="Calibri"/>
          <w:b/>
          <w:u w:val="single"/>
        </w:rPr>
        <w:t>. Fig. 15</w:t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</w:p>
    <w:p w:rsidR="00596676" w:rsidRPr="00702D5B" w:rsidRDefault="004B7083">
      <w:pPr>
        <w:spacing w:line="36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  <w:noProof/>
          <w:lang w:val="en-US"/>
        </w:rPr>
        <w:pict>
          <v:shape id="_x0000_i1039" type="#_x0000_t75" style="width:451.15pt;height:253.85pt">
            <v:imagedata r:id="rId22" o:title="Suppl Fig 15 - MAD-cloning"/>
          </v:shape>
        </w:pict>
      </w:r>
    </w:p>
    <w:p w:rsidR="00596676" w:rsidRPr="00702D5B" w:rsidRDefault="002D3CE8">
      <w:pPr>
        <w:spacing w:line="360" w:lineRule="auto"/>
        <w:jc w:val="both"/>
        <w:rPr>
          <w:rFonts w:ascii="Calibri" w:eastAsia="Calibri" w:hAnsi="Calibri" w:cs="Calibri"/>
          <w:lang w:val="en-US"/>
        </w:rPr>
      </w:pP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 xml:space="preserve">Suppl. Fig. 15 - MAD-cloning procedure example. 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Genome-integration plasmids were based on the 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EasyClone-MarkerFree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integrative vectors (e.g. pCfB2909 for genome integration site XII-5) </w:t>
      </w:r>
      <w:hyperlink r:id="rId23">
        <w:r w:rsidRPr="00702D5B">
          <w:rPr>
            <w:rFonts w:ascii="Calibri" w:eastAsia="Calibri" w:hAnsi="Calibri" w:cs="Calibri"/>
            <w:color w:val="000000"/>
            <w:sz w:val="18"/>
            <w:szCs w:val="18"/>
            <w:vertAlign w:val="superscript"/>
            <w:lang w:val="en-US"/>
          </w:rPr>
          <w:t>3</w:t>
        </w:r>
      </w:hyperlink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, which were inverse amplified for generating a linearized USER-ready backbone and for the removal of the 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EasyClone-MarkerFree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cloning site structure, using the backbone primers (BF+BR) with USER-tails compatible with promoter and terminator parts. The regions for upstream homology (H1) and downstream homology (H2) </w:t>
      </w:r>
      <w:proofErr w:type="gramStart"/>
      <w:r w:rsidRPr="00702D5B">
        <w:rPr>
          <w:rFonts w:ascii="Calibri" w:eastAsia="Calibri" w:hAnsi="Calibri" w:cs="Calibri"/>
          <w:sz w:val="18"/>
          <w:szCs w:val="18"/>
          <w:lang w:val="en-US"/>
        </w:rPr>
        <w:t>are flanked</w:t>
      </w:r>
      <w:proofErr w:type="gram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by </w:t>
      </w:r>
      <w:proofErr w:type="spellStart"/>
      <w:r w:rsidRPr="00702D5B">
        <w:rPr>
          <w:rFonts w:ascii="Calibri" w:eastAsia="Calibri" w:hAnsi="Calibri" w:cs="Calibri"/>
          <w:i/>
          <w:sz w:val="18"/>
          <w:szCs w:val="18"/>
          <w:lang w:val="en-US"/>
        </w:rPr>
        <w:t>Not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I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-sites (not shown) for the release of the integration cassette. All parts were amplified using the same primer tails for the individual USER-cloning assembly points, allowing for easy exchange of different parts and library generation: promoters (PF+PR), coding sequences (CF+CR), and terminators (TF+TR). Forward primers for coding sequences were equipped with the AAAACA 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Kozak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sequence.</w:t>
      </w:r>
      <w:r w:rsidRPr="00702D5B">
        <w:rPr>
          <w:lang w:val="en-US"/>
        </w:rPr>
        <w:br w:type="page"/>
      </w:r>
    </w:p>
    <w:p w:rsidR="00596676" w:rsidRDefault="002D3CE8">
      <w:pPr>
        <w:spacing w:line="360" w:lineRule="auto"/>
        <w:jc w:val="both"/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lastRenderedPageBreak/>
        <w:t>Suppl. Fig. 16</w:t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</w:p>
    <w:p w:rsidR="00596676" w:rsidRDefault="004B7083">
      <w:pPr>
        <w:spacing w:line="360" w:lineRule="auto"/>
        <w:jc w:val="both"/>
        <w:rPr>
          <w:rFonts w:ascii="Calibri" w:eastAsia="Calibri" w:hAnsi="Calibri" w:cs="Calibri"/>
          <w:b/>
          <w:sz w:val="18"/>
          <w:szCs w:val="18"/>
          <w:u w:val="single"/>
        </w:rPr>
      </w:pPr>
      <w:r>
        <w:rPr>
          <w:rFonts w:ascii="Calibri" w:eastAsia="Calibri" w:hAnsi="Calibri" w:cs="Calibri"/>
          <w:b/>
          <w:noProof/>
          <w:sz w:val="18"/>
          <w:szCs w:val="18"/>
          <w:lang w:val="en-US"/>
        </w:rPr>
        <w:pict>
          <v:shape id="_x0000_i1040" type="#_x0000_t75" style="width:451.55pt;height:136.5pt">
            <v:imagedata r:id="rId24" o:title="Suppl Fig 16 - IPD-PCR"/>
          </v:shape>
        </w:pict>
      </w:r>
    </w:p>
    <w:p w:rsidR="00596676" w:rsidRPr="00702D5B" w:rsidRDefault="002D3CE8">
      <w:pPr>
        <w:spacing w:line="360" w:lineRule="auto"/>
        <w:jc w:val="both"/>
        <w:rPr>
          <w:rFonts w:ascii="Calibri" w:eastAsia="Calibri" w:hAnsi="Calibri" w:cs="Calibri"/>
          <w:b/>
          <w:u w:val="single"/>
          <w:lang w:val="en-US"/>
        </w:rPr>
      </w:pPr>
      <w:r>
        <w:rPr>
          <w:rFonts w:ascii="Calibri" w:eastAsia="Calibri" w:hAnsi="Calibri" w:cs="Calibri"/>
          <w:b/>
          <w:sz w:val="18"/>
          <w:szCs w:val="18"/>
        </w:rPr>
        <w:t xml:space="preserve">Suppl. Fig. 16 - </w:t>
      </w:r>
      <w:proofErr w:type="spellStart"/>
      <w:r>
        <w:rPr>
          <w:rFonts w:ascii="Calibri" w:eastAsia="Calibri" w:hAnsi="Calibri" w:cs="Calibri"/>
          <w:b/>
          <w:sz w:val="18"/>
          <w:szCs w:val="18"/>
        </w:rPr>
        <w:t>Intentional</w:t>
      </w:r>
      <w:proofErr w:type="spellEnd"/>
      <w:r>
        <w:rPr>
          <w:rFonts w:ascii="Calibri" w:eastAsia="Calibri" w:hAnsi="Calibri" w:cs="Calibri"/>
          <w:b/>
          <w:sz w:val="18"/>
          <w:szCs w:val="18"/>
        </w:rPr>
        <w:t xml:space="preserve"> Primer </w:t>
      </w:r>
      <w:proofErr w:type="spellStart"/>
      <w:r>
        <w:rPr>
          <w:rFonts w:ascii="Calibri" w:eastAsia="Calibri" w:hAnsi="Calibri" w:cs="Calibri"/>
          <w:b/>
          <w:sz w:val="18"/>
          <w:szCs w:val="18"/>
        </w:rPr>
        <w:t>Dimer</w:t>
      </w:r>
      <w:proofErr w:type="spellEnd"/>
      <w:r>
        <w:rPr>
          <w:rFonts w:ascii="Calibri" w:eastAsia="Calibri" w:hAnsi="Calibri" w:cs="Calibri"/>
          <w:b/>
          <w:sz w:val="18"/>
          <w:szCs w:val="18"/>
        </w:rPr>
        <w:t xml:space="preserve"> (IPD) PCR templates for gene knockouts. 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IPD-PCR templates </w:t>
      </w:r>
      <w:proofErr w:type="gramStart"/>
      <w:r w:rsidRPr="00702D5B">
        <w:rPr>
          <w:rFonts w:ascii="Calibri" w:eastAsia="Calibri" w:hAnsi="Calibri" w:cs="Calibri"/>
          <w:sz w:val="18"/>
          <w:szCs w:val="18"/>
          <w:lang w:val="en-US"/>
        </w:rPr>
        <w:t>were generated</w:t>
      </w:r>
      <w:proofErr w:type="gram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by employing two primers with a complementary binding region, which can employ each other as PCR templates for amplification. The primer tails define the genomic homology regions for targeted repair (H1 + H2) and hence flank a gRNA-targeted CRISPR-Cas9 cut site in the genome, such as for removal of exactly the CDS of a gene. In addition to allowing amplification and assembly of the IPD-PCR template, the complementary binding region also contains a 23 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bp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sequence comprising a unique CRISPR landing pad, which </w:t>
      </w:r>
      <w:proofErr w:type="gramStart"/>
      <w:r w:rsidRPr="00702D5B">
        <w:rPr>
          <w:rFonts w:ascii="Calibri" w:eastAsia="Calibri" w:hAnsi="Calibri" w:cs="Calibri"/>
          <w:sz w:val="18"/>
          <w:szCs w:val="18"/>
          <w:lang w:val="en-US"/>
        </w:rPr>
        <w:t>is not found</w:t>
      </w:r>
      <w:proofErr w:type="gram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in the </w:t>
      </w:r>
      <w:r w:rsidRPr="00702D5B">
        <w:rPr>
          <w:rFonts w:ascii="Calibri" w:eastAsia="Calibri" w:hAnsi="Calibri" w:cs="Calibri"/>
          <w:i/>
          <w:sz w:val="18"/>
          <w:szCs w:val="18"/>
          <w:lang w:val="en-US"/>
        </w:rPr>
        <w:t>S. cerevisiae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genome </w:t>
      </w:r>
      <w:hyperlink r:id="rId25">
        <w:r w:rsidRPr="00702D5B">
          <w:rPr>
            <w:rFonts w:ascii="Calibri" w:eastAsia="Calibri" w:hAnsi="Calibri" w:cs="Calibri"/>
            <w:color w:val="000000"/>
            <w:sz w:val="18"/>
            <w:szCs w:val="18"/>
            <w:vertAlign w:val="superscript"/>
            <w:lang w:val="en-US"/>
          </w:rPr>
          <w:t>4</w:t>
        </w:r>
      </w:hyperlink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, and that allows re-engineering of the site. The IPD-PCR knockout template is co-transformed with a CRISPR-Cas9 system to efficiently knockout the targeted gene.  </w:t>
      </w:r>
      <w:r w:rsidRPr="00702D5B">
        <w:rPr>
          <w:lang w:val="en-US"/>
        </w:rPr>
        <w:br w:type="page"/>
      </w:r>
    </w:p>
    <w:p w:rsidR="00596676" w:rsidRDefault="002D3CE8">
      <w:pPr>
        <w:spacing w:line="360" w:lineRule="auto"/>
        <w:jc w:val="both"/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lastRenderedPageBreak/>
        <w:t>Suppl. Fig. 17</w:t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</w:p>
    <w:p w:rsidR="00596676" w:rsidRDefault="004B7083">
      <w:pPr>
        <w:spacing w:line="36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  <w:noProof/>
          <w:lang w:val="en-US"/>
        </w:rPr>
        <w:pict>
          <v:shape id="_x0000_i1041" type="#_x0000_t75" style="width:451.55pt;height:145.25pt">
            <v:imagedata r:id="rId26" o:title="Suppl Fig 17 - SCASA Cocultivation Protocol"/>
          </v:shape>
        </w:pict>
      </w:r>
    </w:p>
    <w:p w:rsidR="00596676" w:rsidRPr="00702D5B" w:rsidRDefault="002D3CE8">
      <w:pPr>
        <w:spacing w:line="360" w:lineRule="auto"/>
        <w:jc w:val="both"/>
        <w:rPr>
          <w:rFonts w:ascii="Calibri" w:eastAsia="Calibri" w:hAnsi="Calibri" w:cs="Calibri"/>
          <w:b/>
          <w:sz w:val="18"/>
          <w:szCs w:val="18"/>
          <w:highlight w:val="yellow"/>
          <w:lang w:val="en-US"/>
        </w:rPr>
      </w:pP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 xml:space="preserve">Suppl. Fig. 17 - Example procedure for preparing SCASA yeast cells with varied GPCR stimulation for co-cultivation with human cells. 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An example of a SCASA-based protocol for co-cultivation of human cells with SCASA yeast cells presenting signal molecules at different levels caused by stimulation with different amounts of GPCR ligand. Initially, yeast </w:t>
      </w:r>
      <w:proofErr w:type="gramStart"/>
      <w:r w:rsidRPr="00702D5B">
        <w:rPr>
          <w:rFonts w:ascii="Calibri" w:eastAsia="Calibri" w:hAnsi="Calibri" w:cs="Calibri"/>
          <w:sz w:val="18"/>
          <w:szCs w:val="18"/>
          <w:lang w:val="en-US"/>
        </w:rPr>
        <w:t>is inoculated and pre-cultured before GPCR stimulation</w:t>
      </w:r>
      <w:proofErr w:type="gram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. The SCASA yeast cells can be systematically exposed to a dilution series of GPCR ligands and stimulated for 20 </w:t>
      </w:r>
      <w:proofErr w:type="gramStart"/>
      <w:r w:rsidRPr="00702D5B">
        <w:rPr>
          <w:rFonts w:ascii="Calibri" w:eastAsia="Calibri" w:hAnsi="Calibri" w:cs="Calibri"/>
          <w:sz w:val="18"/>
          <w:szCs w:val="18"/>
          <w:lang w:val="en-US"/>
        </w:rPr>
        <w:t>hrs.,</w:t>
      </w:r>
      <w:proofErr w:type="gram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which allows for the establishment of stable yeast surface display levels. Alternatively, built-in differences in the designs of SCASA yeast cells </w:t>
      </w:r>
      <w:proofErr w:type="gramStart"/>
      <w:r w:rsidRPr="00702D5B">
        <w:rPr>
          <w:rFonts w:ascii="Calibri" w:eastAsia="Calibri" w:hAnsi="Calibri" w:cs="Calibri"/>
          <w:sz w:val="18"/>
          <w:szCs w:val="18"/>
          <w:lang w:val="en-US"/>
        </w:rPr>
        <w:t>are used</w:t>
      </w:r>
      <w:proofErr w:type="gram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to vary the output intensity without the use of stimulation. After stimulation, the yeast cells are washed in PBS twice to prepare them for co-cultivation in human cell media, such as RPMI+10%FBS. In the case of this study, flow cytometry </w:t>
      </w:r>
      <w:proofErr w:type="gramStart"/>
      <w:r w:rsidRPr="00702D5B">
        <w:rPr>
          <w:rFonts w:ascii="Calibri" w:eastAsia="Calibri" w:hAnsi="Calibri" w:cs="Calibri"/>
          <w:sz w:val="18"/>
          <w:szCs w:val="18"/>
          <w:lang w:val="en-US"/>
        </w:rPr>
        <w:t>was employed</w:t>
      </w:r>
      <w:proofErr w:type="gram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to verify GPCR stimulation and count cells for the establishment of the co-cultures. The SCASA yeast cells and human cells </w:t>
      </w:r>
      <w:proofErr w:type="gramStart"/>
      <w:r w:rsidRPr="00702D5B">
        <w:rPr>
          <w:rFonts w:ascii="Calibri" w:eastAsia="Calibri" w:hAnsi="Calibri" w:cs="Calibri"/>
          <w:sz w:val="18"/>
          <w:szCs w:val="18"/>
          <w:lang w:val="en-US"/>
        </w:rPr>
        <w:t>can be combined</w:t>
      </w:r>
      <w:proofErr w:type="gram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in different cell-to-cell ratios to further diversify the intensity of interactions between the cells. After co-cultivation, the response of the human cells can be characterized e.g. via immunoassays or 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immunophenotyping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. The duration of GPCR stimulation can vary between types of SCASA yeast cell inputs and outputs, and co-cultivation duration should be adapted for different cell types and response types. </w:t>
      </w:r>
    </w:p>
    <w:p w:rsidR="00702D5B" w:rsidRDefault="00702D5B">
      <w:pPr>
        <w:rPr>
          <w:rFonts w:ascii="Calibri" w:eastAsia="Calibri" w:hAnsi="Calibri" w:cs="Calibri"/>
          <w:b/>
          <w:u w:val="single"/>
          <w:lang w:val="en-US"/>
        </w:rPr>
      </w:pPr>
      <w:r>
        <w:rPr>
          <w:rFonts w:ascii="Calibri" w:eastAsia="Calibri" w:hAnsi="Calibri" w:cs="Calibri"/>
          <w:b/>
          <w:u w:val="single"/>
          <w:lang w:val="en-US"/>
        </w:rPr>
        <w:br w:type="page"/>
      </w:r>
    </w:p>
    <w:p w:rsidR="00702D5B" w:rsidRDefault="00702D5B">
      <w:pPr>
        <w:spacing w:line="360" w:lineRule="auto"/>
        <w:jc w:val="both"/>
        <w:rPr>
          <w:rFonts w:ascii="Calibri" w:eastAsia="Calibri" w:hAnsi="Calibri" w:cs="Calibri"/>
          <w:b/>
          <w:u w:val="single"/>
          <w:lang w:val="en-US"/>
        </w:rPr>
      </w:pPr>
      <w:r>
        <w:rPr>
          <w:rFonts w:ascii="Calibri" w:eastAsia="Calibri" w:hAnsi="Calibri" w:cs="Calibri"/>
          <w:b/>
          <w:u w:val="single"/>
          <w:lang w:val="en-US"/>
        </w:rPr>
        <w:lastRenderedPageBreak/>
        <w:t>Suppl. Fig. 18</w:t>
      </w:r>
      <w:r>
        <w:rPr>
          <w:rFonts w:ascii="Calibri" w:eastAsia="Calibri" w:hAnsi="Calibri" w:cs="Calibri"/>
          <w:b/>
          <w:u w:val="single"/>
          <w:lang w:val="en-US"/>
        </w:rPr>
        <w:tab/>
      </w:r>
      <w:r>
        <w:rPr>
          <w:rFonts w:ascii="Calibri" w:eastAsia="Calibri" w:hAnsi="Calibri" w:cs="Calibri"/>
          <w:b/>
          <w:u w:val="single"/>
          <w:lang w:val="en-US"/>
        </w:rPr>
        <w:tab/>
      </w:r>
      <w:r>
        <w:rPr>
          <w:rFonts w:ascii="Calibri" w:eastAsia="Calibri" w:hAnsi="Calibri" w:cs="Calibri"/>
          <w:b/>
          <w:u w:val="single"/>
          <w:lang w:val="en-US"/>
        </w:rPr>
        <w:tab/>
      </w:r>
      <w:r>
        <w:rPr>
          <w:rFonts w:ascii="Calibri" w:eastAsia="Calibri" w:hAnsi="Calibri" w:cs="Calibri"/>
          <w:b/>
          <w:u w:val="single"/>
          <w:lang w:val="en-US"/>
        </w:rPr>
        <w:tab/>
      </w:r>
      <w:r>
        <w:rPr>
          <w:rFonts w:ascii="Calibri" w:eastAsia="Calibri" w:hAnsi="Calibri" w:cs="Calibri"/>
          <w:b/>
          <w:u w:val="single"/>
          <w:lang w:val="en-US"/>
        </w:rPr>
        <w:tab/>
      </w:r>
      <w:r>
        <w:rPr>
          <w:rFonts w:ascii="Calibri" w:eastAsia="Calibri" w:hAnsi="Calibri" w:cs="Calibri"/>
          <w:b/>
          <w:u w:val="single"/>
          <w:lang w:val="en-US"/>
        </w:rPr>
        <w:tab/>
      </w:r>
      <w:r>
        <w:rPr>
          <w:rFonts w:ascii="Calibri" w:eastAsia="Calibri" w:hAnsi="Calibri" w:cs="Calibri"/>
          <w:b/>
          <w:u w:val="single"/>
          <w:lang w:val="en-US"/>
        </w:rPr>
        <w:tab/>
      </w:r>
      <w:r>
        <w:rPr>
          <w:rFonts w:ascii="Calibri" w:eastAsia="Calibri" w:hAnsi="Calibri" w:cs="Calibri"/>
          <w:b/>
          <w:u w:val="single"/>
          <w:lang w:val="en-US"/>
        </w:rPr>
        <w:tab/>
      </w:r>
      <w:r>
        <w:rPr>
          <w:rFonts w:ascii="Calibri" w:eastAsia="Calibri" w:hAnsi="Calibri" w:cs="Calibri"/>
          <w:b/>
          <w:u w:val="single"/>
          <w:lang w:val="en-US"/>
        </w:rPr>
        <w:tab/>
      </w:r>
      <w:r>
        <w:rPr>
          <w:rFonts w:ascii="Calibri" w:eastAsia="Calibri" w:hAnsi="Calibri" w:cs="Calibri"/>
          <w:b/>
          <w:u w:val="single"/>
          <w:lang w:val="en-US"/>
        </w:rPr>
        <w:tab/>
      </w:r>
      <w:r>
        <w:rPr>
          <w:rFonts w:ascii="Calibri" w:eastAsia="Calibri" w:hAnsi="Calibri" w:cs="Calibri"/>
          <w:b/>
          <w:u w:val="single"/>
          <w:lang w:val="en-US"/>
        </w:rPr>
        <w:tab/>
      </w:r>
    </w:p>
    <w:p w:rsidR="00702D5B" w:rsidRPr="00702D5B" w:rsidRDefault="004B7083">
      <w:pPr>
        <w:spacing w:line="360" w:lineRule="auto"/>
        <w:jc w:val="both"/>
        <w:rPr>
          <w:rFonts w:ascii="Calibri" w:eastAsia="Calibri" w:hAnsi="Calibri" w:cs="Calibri"/>
          <w:b/>
          <w:lang w:val="en-US"/>
        </w:rPr>
      </w:pPr>
      <w:r>
        <w:rPr>
          <w:rFonts w:ascii="Calibri" w:eastAsia="Calibri" w:hAnsi="Calibri" w:cs="Calibri"/>
          <w:b/>
          <w:lang w:val="en-US"/>
        </w:rPr>
        <w:pict>
          <v:shape id="_x0000_i1042" type="#_x0000_t75" style="width:417pt;height:374.55pt">
            <v:imagedata r:id="rId27" o:title="Suppl Fig 18 - Gating strategies #1"/>
          </v:shape>
        </w:pict>
      </w:r>
    </w:p>
    <w:p w:rsidR="00596676" w:rsidRPr="00702D5B" w:rsidRDefault="002D3CE8">
      <w:pPr>
        <w:spacing w:line="360" w:lineRule="auto"/>
        <w:jc w:val="both"/>
        <w:rPr>
          <w:rFonts w:ascii="Calibri" w:eastAsia="Calibri" w:hAnsi="Calibri" w:cs="Calibri"/>
          <w:b/>
          <w:u w:val="single"/>
          <w:lang w:val="en-US"/>
        </w:rPr>
      </w:pP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 xml:space="preserve">Suppl. Fig. 18 - Gating strategies for SCASA yeast characterization and co-culture conditions. 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Gating and compensation were done using 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FlowJo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™ v10.8.1 Software (BD Life Sciences). Gating strategies employed fluorescence minus one (FMO) controls, as well as the employment of negative controls where possible for determining true positive signals (e.g. 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yEGFP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+, CFSE+). </w:t>
      </w: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>A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. Gating strategy for 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yEGFP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experiments (</w:t>
      </w: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>Fig. 2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). First singlets were gated (‘Singlets’</w:t>
      </w:r>
      <w:r w:rsidR="00234939">
        <w:rPr>
          <w:rFonts w:ascii="Calibri" w:eastAsia="Calibri" w:hAnsi="Calibri" w:cs="Calibri"/>
          <w:sz w:val="18"/>
          <w:szCs w:val="18"/>
          <w:lang w:val="en-US"/>
        </w:rPr>
        <w:t>: SSC-A vs. SSC-H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), then yeast cells were gated for removal of cellular debris and non-cellular events (‘Yeast cells</w:t>
      </w:r>
      <w:r w:rsidR="00234939">
        <w:rPr>
          <w:rFonts w:ascii="Calibri" w:eastAsia="Calibri" w:hAnsi="Calibri" w:cs="Calibri"/>
          <w:sz w:val="18"/>
          <w:szCs w:val="18"/>
          <w:lang w:val="en-US"/>
        </w:rPr>
        <w:t xml:space="preserve">’: </w:t>
      </w:r>
      <w:r w:rsidR="00234939">
        <w:rPr>
          <w:rFonts w:ascii="Calibri" w:eastAsia="Calibri" w:hAnsi="Calibri" w:cs="Calibri"/>
          <w:sz w:val="18"/>
          <w:szCs w:val="18"/>
          <w:lang w:val="en-US"/>
        </w:rPr>
        <w:t xml:space="preserve">SSC-A vs. </w:t>
      </w:r>
      <w:r w:rsidR="00234939">
        <w:rPr>
          <w:rFonts w:ascii="Calibri" w:eastAsia="Calibri" w:hAnsi="Calibri" w:cs="Calibri"/>
          <w:sz w:val="18"/>
          <w:szCs w:val="18"/>
          <w:lang w:val="en-US"/>
        </w:rPr>
        <w:t>FSC-A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), then dying or non-responding yeast cells were removed through a NOT-gate, via their distinct morphology and increased red 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autofluorescence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(‘Non-responders’</w:t>
      </w:r>
      <w:r w:rsidR="00234939">
        <w:rPr>
          <w:rFonts w:ascii="Calibri" w:eastAsia="Calibri" w:hAnsi="Calibri" w:cs="Calibri"/>
          <w:sz w:val="18"/>
          <w:szCs w:val="18"/>
          <w:lang w:val="en-US"/>
        </w:rPr>
        <w:t>: Y615-H</w:t>
      </w:r>
      <w:r w:rsidR="00234939">
        <w:rPr>
          <w:rFonts w:ascii="Calibri" w:eastAsia="Calibri" w:hAnsi="Calibri" w:cs="Calibri"/>
          <w:sz w:val="18"/>
          <w:szCs w:val="18"/>
          <w:lang w:val="en-US"/>
        </w:rPr>
        <w:t xml:space="preserve"> vs. FSC-A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), leaving responsive yeast cells for detection of 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yEGFP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and morphological changes (‘Responders’).  The example is P</w:t>
      </w:r>
      <w:r w:rsidRPr="00702D5B">
        <w:rPr>
          <w:rFonts w:ascii="Calibri" w:eastAsia="Calibri" w:hAnsi="Calibri" w:cs="Calibri"/>
          <w:sz w:val="18"/>
          <w:szCs w:val="18"/>
          <w:vertAlign w:val="subscript"/>
          <w:lang w:val="en-US"/>
        </w:rPr>
        <w:t>MFA1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-yEGFP stimulated with 0.1 µM ɑ-factor. </w:t>
      </w: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>B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. Gating strategy for CD19 YSD (</w:t>
      </w: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>Fig. 3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).  First yeast cells were gated by a NOT-gate removing cellular debris and non-cellular events (‘Yeast’</w:t>
      </w:r>
      <w:r w:rsidR="00234939">
        <w:rPr>
          <w:rFonts w:ascii="Calibri" w:eastAsia="Calibri" w:hAnsi="Calibri" w:cs="Calibri"/>
          <w:sz w:val="18"/>
          <w:szCs w:val="18"/>
          <w:lang w:val="en-US"/>
        </w:rPr>
        <w:t xml:space="preserve">: </w:t>
      </w:r>
      <w:r w:rsidR="00234939">
        <w:rPr>
          <w:rFonts w:ascii="Calibri" w:eastAsia="Calibri" w:hAnsi="Calibri" w:cs="Calibri"/>
          <w:sz w:val="18"/>
          <w:szCs w:val="18"/>
          <w:lang w:val="en-US"/>
        </w:rPr>
        <w:t>SSC-</w:t>
      </w:r>
      <w:r w:rsidR="00234939">
        <w:rPr>
          <w:rFonts w:ascii="Calibri" w:eastAsia="Calibri" w:hAnsi="Calibri" w:cs="Calibri"/>
          <w:sz w:val="18"/>
          <w:szCs w:val="18"/>
          <w:lang w:val="en-US"/>
        </w:rPr>
        <w:t>H</w:t>
      </w:r>
      <w:r w:rsidR="00234939">
        <w:rPr>
          <w:rFonts w:ascii="Calibri" w:eastAsia="Calibri" w:hAnsi="Calibri" w:cs="Calibri"/>
          <w:sz w:val="18"/>
          <w:szCs w:val="18"/>
          <w:lang w:val="en-US"/>
        </w:rPr>
        <w:t xml:space="preserve"> vs. FSC-</w:t>
      </w:r>
      <w:r w:rsidR="00234939">
        <w:rPr>
          <w:rFonts w:ascii="Calibri" w:eastAsia="Calibri" w:hAnsi="Calibri" w:cs="Calibri"/>
          <w:sz w:val="18"/>
          <w:szCs w:val="18"/>
          <w:lang w:val="en-US"/>
        </w:rPr>
        <w:t>H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), then singlets were gated by a NOT-gate (‘Singlets’</w:t>
      </w:r>
      <w:r w:rsidR="00234939">
        <w:rPr>
          <w:rFonts w:ascii="Calibri" w:eastAsia="Calibri" w:hAnsi="Calibri" w:cs="Calibri"/>
          <w:sz w:val="18"/>
          <w:szCs w:val="18"/>
          <w:lang w:val="en-US"/>
        </w:rPr>
        <w:t>: SSC-A vs. SSC-H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). The example is P</w:t>
      </w:r>
      <w:r w:rsidRPr="00702D5B">
        <w:rPr>
          <w:rFonts w:ascii="Calibri" w:eastAsia="Calibri" w:hAnsi="Calibri" w:cs="Calibri"/>
          <w:sz w:val="18"/>
          <w:szCs w:val="18"/>
          <w:vertAlign w:val="subscript"/>
          <w:lang w:val="en-US"/>
        </w:rPr>
        <w:t>FUS1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-CD19 stimulated with 0.1 µM ɑ-factor. </w:t>
      </w: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>C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. Gating for examination of viability and proliferation of T cells in yeast co-cultures (</w:t>
      </w: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 xml:space="preserve">Suppl. </w:t>
      </w:r>
      <w:r w:rsidRPr="00234939">
        <w:rPr>
          <w:rFonts w:ascii="Calibri" w:eastAsia="Calibri" w:hAnsi="Calibri" w:cs="Calibri"/>
          <w:b/>
          <w:sz w:val="18"/>
          <w:szCs w:val="18"/>
          <w:lang w:val="en-US"/>
        </w:rPr>
        <w:t>Fig. 9</w:t>
      </w:r>
      <w:r w:rsidRPr="00234939">
        <w:rPr>
          <w:rFonts w:ascii="Calibri" w:eastAsia="Calibri" w:hAnsi="Calibri" w:cs="Calibri"/>
          <w:sz w:val="18"/>
          <w:szCs w:val="18"/>
          <w:lang w:val="en-US"/>
        </w:rPr>
        <w:t xml:space="preserve">). 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First singlets were gated (‘Singlets’</w:t>
      </w:r>
      <w:r w:rsidR="00234939">
        <w:rPr>
          <w:rFonts w:ascii="Calibri" w:eastAsia="Calibri" w:hAnsi="Calibri" w:cs="Calibri"/>
          <w:sz w:val="18"/>
          <w:szCs w:val="18"/>
          <w:lang w:val="en-US"/>
        </w:rPr>
        <w:t xml:space="preserve">: </w:t>
      </w:r>
      <w:r w:rsidR="00234939">
        <w:rPr>
          <w:rFonts w:ascii="Calibri" w:eastAsia="Calibri" w:hAnsi="Calibri" w:cs="Calibri"/>
          <w:sz w:val="18"/>
          <w:szCs w:val="18"/>
          <w:lang w:val="en-US"/>
        </w:rPr>
        <w:t>SSC-A vs. SSC-H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), then for the gating of T cells, intact cells were gated for removal of cellular debris and non-cellular events (‘Intact cells’</w:t>
      </w:r>
      <w:r w:rsidR="00234939">
        <w:rPr>
          <w:rFonts w:ascii="Calibri" w:eastAsia="Calibri" w:hAnsi="Calibri" w:cs="Calibri"/>
          <w:sz w:val="18"/>
          <w:szCs w:val="18"/>
          <w:lang w:val="en-US"/>
        </w:rPr>
        <w:t>: FSC-H</w:t>
      </w:r>
      <w:r w:rsidR="00234939">
        <w:rPr>
          <w:rFonts w:ascii="Calibri" w:eastAsia="Calibri" w:hAnsi="Calibri" w:cs="Calibri"/>
          <w:sz w:val="18"/>
          <w:szCs w:val="18"/>
          <w:lang w:val="en-US"/>
        </w:rPr>
        <w:t xml:space="preserve"> vs. SSC-H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), which were then gated for their expression of CD3 (‘T cells (CD3+)’</w:t>
      </w:r>
      <w:r w:rsidR="00234939">
        <w:rPr>
          <w:rFonts w:ascii="Calibri" w:eastAsia="Calibri" w:hAnsi="Calibri" w:cs="Calibri"/>
          <w:sz w:val="18"/>
          <w:szCs w:val="18"/>
          <w:lang w:val="en-US"/>
        </w:rPr>
        <w:t>: Comp-V445-H</w:t>
      </w:r>
      <w:r w:rsidR="00234939">
        <w:rPr>
          <w:rFonts w:ascii="Calibri" w:eastAsia="Calibri" w:hAnsi="Calibri" w:cs="Calibri"/>
          <w:sz w:val="18"/>
          <w:szCs w:val="18"/>
          <w:lang w:val="en-US"/>
        </w:rPr>
        <w:t xml:space="preserve"> vs. SSC-H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). T cells were then gated for CFSE proliferation dye staining (‘T cells (CFSE+)’</w:t>
      </w:r>
      <w:r w:rsidR="00234939">
        <w:rPr>
          <w:rFonts w:ascii="Calibri" w:eastAsia="Calibri" w:hAnsi="Calibri" w:cs="Calibri"/>
          <w:sz w:val="18"/>
          <w:szCs w:val="18"/>
          <w:lang w:val="en-US"/>
        </w:rPr>
        <w:t xml:space="preserve">: </w:t>
      </w:r>
      <w:r w:rsidR="00234939">
        <w:rPr>
          <w:rFonts w:ascii="Calibri" w:eastAsia="Calibri" w:hAnsi="Calibri" w:cs="Calibri"/>
          <w:sz w:val="18"/>
          <w:szCs w:val="18"/>
          <w:lang w:val="en-US"/>
        </w:rPr>
        <w:t>Comp-</w:t>
      </w:r>
      <w:r w:rsidR="00234939">
        <w:rPr>
          <w:rFonts w:ascii="Calibri" w:eastAsia="Calibri" w:hAnsi="Calibri" w:cs="Calibri"/>
          <w:sz w:val="18"/>
          <w:szCs w:val="18"/>
          <w:lang w:val="en-US"/>
        </w:rPr>
        <w:t>B525</w:t>
      </w:r>
      <w:r w:rsidR="00234939">
        <w:rPr>
          <w:rFonts w:ascii="Calibri" w:eastAsia="Calibri" w:hAnsi="Calibri" w:cs="Calibri"/>
          <w:sz w:val="18"/>
          <w:szCs w:val="18"/>
          <w:lang w:val="en-US"/>
        </w:rPr>
        <w:t>-H</w:t>
      </w:r>
      <w:r w:rsidR="00234939">
        <w:rPr>
          <w:rFonts w:ascii="Calibri" w:eastAsia="Calibri" w:hAnsi="Calibri" w:cs="Calibri"/>
          <w:sz w:val="18"/>
          <w:szCs w:val="18"/>
          <w:lang w:val="en-US"/>
        </w:rPr>
        <w:t xml:space="preserve"> vs. F</w:t>
      </w:r>
      <w:r w:rsidR="00234939">
        <w:rPr>
          <w:rFonts w:ascii="Calibri" w:eastAsia="Calibri" w:hAnsi="Calibri" w:cs="Calibri"/>
          <w:sz w:val="18"/>
          <w:szCs w:val="18"/>
          <w:lang w:val="en-US"/>
        </w:rPr>
        <w:t>SC-H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), and dead and alive cells were identified based on Near-IR (NIR) viability dye (‘Dead (NIR+)’ / ‘Alive (NIR-)’</w:t>
      </w:r>
      <w:r w:rsidR="00234939">
        <w:rPr>
          <w:rFonts w:ascii="Calibri" w:eastAsia="Calibri" w:hAnsi="Calibri" w:cs="Calibri"/>
          <w:sz w:val="18"/>
          <w:szCs w:val="18"/>
          <w:lang w:val="en-US"/>
        </w:rPr>
        <w:t xml:space="preserve">: </w:t>
      </w:r>
      <w:r w:rsidR="00234939">
        <w:rPr>
          <w:rFonts w:ascii="Calibri" w:eastAsia="Calibri" w:hAnsi="Calibri" w:cs="Calibri"/>
          <w:sz w:val="18"/>
          <w:szCs w:val="18"/>
          <w:lang w:val="en-US"/>
        </w:rPr>
        <w:t>Comp-</w:t>
      </w:r>
      <w:r w:rsidR="00234939">
        <w:rPr>
          <w:rFonts w:ascii="Calibri" w:eastAsia="Calibri" w:hAnsi="Calibri" w:cs="Calibri"/>
          <w:sz w:val="18"/>
          <w:szCs w:val="18"/>
          <w:lang w:val="en-US"/>
        </w:rPr>
        <w:t>R780</w:t>
      </w:r>
      <w:r w:rsidR="00234939">
        <w:rPr>
          <w:rFonts w:ascii="Calibri" w:eastAsia="Calibri" w:hAnsi="Calibri" w:cs="Calibri"/>
          <w:sz w:val="18"/>
          <w:szCs w:val="18"/>
          <w:lang w:val="en-US"/>
        </w:rPr>
        <w:t>-H vs. FSC-H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). For yeast cells, yeast was first identified based on morphological traits (‘Yeast’</w:t>
      </w:r>
      <w:r w:rsidR="00234939">
        <w:rPr>
          <w:rFonts w:ascii="Calibri" w:eastAsia="Calibri" w:hAnsi="Calibri" w:cs="Calibri"/>
          <w:sz w:val="18"/>
          <w:szCs w:val="18"/>
          <w:lang w:val="en-US"/>
        </w:rPr>
        <w:t>: FSC-H vs. SSC-H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), then on their lack of CD3 expression (‘Yeast (CD3-)</w:t>
      </w:r>
      <w:r w:rsidR="00234939">
        <w:rPr>
          <w:rFonts w:ascii="Calibri" w:eastAsia="Calibri" w:hAnsi="Calibri" w:cs="Calibri"/>
          <w:sz w:val="18"/>
          <w:szCs w:val="18"/>
          <w:lang w:val="en-US"/>
        </w:rPr>
        <w:t>’</w:t>
      </w:r>
      <w:r w:rsidR="00234939">
        <w:rPr>
          <w:rFonts w:ascii="Calibri" w:eastAsia="Calibri" w:hAnsi="Calibri" w:cs="Calibri"/>
          <w:sz w:val="18"/>
          <w:szCs w:val="18"/>
          <w:lang w:val="en-US"/>
        </w:rPr>
        <w:t xml:space="preserve">: Comp-V445-H vs. </w:t>
      </w:r>
      <w:r w:rsidR="00234939">
        <w:rPr>
          <w:rFonts w:ascii="Calibri" w:eastAsia="Calibri" w:hAnsi="Calibri" w:cs="Calibri"/>
          <w:sz w:val="18"/>
          <w:szCs w:val="18"/>
          <w:lang w:val="en-US"/>
        </w:rPr>
        <w:t>F</w:t>
      </w:r>
      <w:r w:rsidR="00234939">
        <w:rPr>
          <w:rFonts w:ascii="Calibri" w:eastAsia="Calibri" w:hAnsi="Calibri" w:cs="Calibri"/>
          <w:sz w:val="18"/>
          <w:szCs w:val="18"/>
          <w:lang w:val="en-US"/>
        </w:rPr>
        <w:t>SC-H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), and finally their lack of CFSE staining (‘Yeast (-CFSE)’</w:t>
      </w:r>
      <w:r w:rsidR="00234939">
        <w:rPr>
          <w:rFonts w:ascii="Calibri" w:eastAsia="Calibri" w:hAnsi="Calibri" w:cs="Calibri"/>
          <w:sz w:val="18"/>
          <w:szCs w:val="18"/>
          <w:lang w:val="en-US"/>
        </w:rPr>
        <w:t>: Comp-B525-H vs. FSC-H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). The example is co-cultivation of T cells with 1.0x yeast, at </w:t>
      </w:r>
      <w:proofErr w:type="gramStart"/>
      <w:r w:rsidRPr="00702D5B">
        <w:rPr>
          <w:rFonts w:ascii="Calibri" w:eastAsia="Calibri" w:hAnsi="Calibri" w:cs="Calibri"/>
          <w:sz w:val="18"/>
          <w:szCs w:val="18"/>
          <w:lang w:val="en-US"/>
        </w:rPr>
        <w:t>0 µM</w:t>
      </w:r>
      <w:proofErr w:type="gram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alpha-factor, on Day 5 (96 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hrs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>).</w:t>
      </w:r>
      <w:r w:rsidRPr="00702D5B">
        <w:rPr>
          <w:lang w:val="en-US"/>
        </w:rPr>
        <w:br w:type="page"/>
      </w:r>
    </w:p>
    <w:p w:rsidR="00596676" w:rsidRDefault="002D3CE8">
      <w:pPr>
        <w:spacing w:line="360" w:lineRule="auto"/>
        <w:jc w:val="both"/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lastRenderedPageBreak/>
        <w:t>Suppl. Fig. 19</w:t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  <w:r>
        <w:rPr>
          <w:rFonts w:ascii="Calibri" w:eastAsia="Calibri" w:hAnsi="Calibri" w:cs="Calibri"/>
          <w:b/>
          <w:u w:val="single"/>
        </w:rPr>
        <w:tab/>
      </w:r>
    </w:p>
    <w:p w:rsidR="00596676" w:rsidRPr="00702D5B" w:rsidRDefault="00234939">
      <w:pPr>
        <w:spacing w:line="36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  <w:noProof/>
          <w:lang w:val="en-US"/>
        </w:rPr>
        <w:pict>
          <v:shape id="_x0000_i1043" type="#_x0000_t75" style="width:437.4pt;height:590.15pt">
            <v:imagedata r:id="rId28" o:title="Suppl Fig 19 - Gating strategies #2"/>
          </v:shape>
        </w:pict>
      </w:r>
    </w:p>
    <w:p w:rsidR="00596676" w:rsidRPr="00702D5B" w:rsidRDefault="002D3CE8">
      <w:pPr>
        <w:jc w:val="both"/>
        <w:rPr>
          <w:rFonts w:ascii="Calibri" w:eastAsia="Calibri" w:hAnsi="Calibri" w:cs="Calibri"/>
          <w:sz w:val="18"/>
          <w:szCs w:val="18"/>
          <w:lang w:val="en-US"/>
        </w:rPr>
      </w:pP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 xml:space="preserve">Suppl. Fig. 19 - Gating strategies for CAR T cell activation assays. 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Gating and compensation were done using 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FlowJo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™ v10.8.1 Software (BD Life Sciences). Gating strategies employed fluorescence minus one (FMO) controls, as well as the employment of negative controls where possible for determining true positive signals (e.g. 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yEGFP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+, CAR+). </w:t>
      </w: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>A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. Gating strategy for activation of donor-derived CAR T cells using NALM6 (</w:t>
      </w: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>Fig. 5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). First singlets were gated (‘Singlets’</w:t>
      </w:r>
      <w:r w:rsidR="009A3569">
        <w:rPr>
          <w:rFonts w:ascii="Calibri" w:eastAsia="Calibri" w:hAnsi="Calibri" w:cs="Calibri"/>
          <w:sz w:val="18"/>
          <w:szCs w:val="18"/>
          <w:lang w:val="en-US"/>
        </w:rPr>
        <w:t>: SSC-A vs. SSC-H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), then for separation of NALM6, the GFP expressing population was gated (‘NALM6 (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GFP</w:t>
      </w:r>
      <w:r w:rsidRPr="00702D5B">
        <w:rPr>
          <w:rFonts w:ascii="Calibri" w:eastAsia="Calibri" w:hAnsi="Calibri" w:cs="Calibri"/>
          <w:sz w:val="18"/>
          <w:szCs w:val="18"/>
          <w:vertAlign w:val="superscript"/>
          <w:lang w:val="en-US"/>
        </w:rPr>
        <w:t>Hi</w:t>
      </w:r>
      <w:proofErr w:type="spellEnd"/>
      <w:r w:rsidRPr="00702D5B">
        <w:rPr>
          <w:rFonts w:ascii="Calibri" w:eastAsia="Calibri" w:hAnsi="Calibri" w:cs="Calibri"/>
          <w:sz w:val="18"/>
          <w:szCs w:val="18"/>
          <w:vertAlign w:val="superscript"/>
          <w:lang w:val="en-US"/>
        </w:rPr>
        <w:t>+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)’</w:t>
      </w:r>
      <w:r w:rsidR="009A3569">
        <w:rPr>
          <w:rFonts w:ascii="Calibri" w:eastAsia="Calibri" w:hAnsi="Calibri" w:cs="Calibri"/>
          <w:sz w:val="18"/>
          <w:szCs w:val="18"/>
          <w:lang w:val="en-US"/>
        </w:rPr>
        <w:t xml:space="preserve">: </w:t>
      </w:r>
      <w:r w:rsidR="009A3569">
        <w:rPr>
          <w:rFonts w:ascii="Calibri" w:eastAsia="Calibri" w:hAnsi="Calibri" w:cs="Calibri"/>
          <w:sz w:val="18"/>
          <w:szCs w:val="18"/>
          <w:lang w:val="en-US"/>
        </w:rPr>
        <w:t>FL1-A-B525/40 vs FL2-A-B690/50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) and further gated by size (‘Normal size NALM6’</w:t>
      </w:r>
      <w:r w:rsidR="009A3569">
        <w:rPr>
          <w:rFonts w:ascii="Calibri" w:eastAsia="Calibri" w:hAnsi="Calibri" w:cs="Calibri"/>
          <w:sz w:val="18"/>
          <w:szCs w:val="18"/>
          <w:lang w:val="en-US"/>
        </w:rPr>
        <w:t>: FSC-H vs. FL9-A-V780/60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). For the separation of T cells, a NOT-gate </w:t>
      </w:r>
      <w:proofErr w:type="gramStart"/>
      <w:r w:rsidRPr="00702D5B">
        <w:rPr>
          <w:rFonts w:ascii="Calibri" w:eastAsia="Calibri" w:hAnsi="Calibri" w:cs="Calibri"/>
          <w:sz w:val="18"/>
          <w:szCs w:val="18"/>
          <w:lang w:val="en-US"/>
        </w:rPr>
        <w:t>was employed</w:t>
      </w:r>
      <w:proofErr w:type="gram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for the 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lastRenderedPageBreak/>
        <w:t>NALM6 population (‘not NALM6 (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GFP</w:t>
      </w:r>
      <w:r w:rsidRPr="00702D5B">
        <w:rPr>
          <w:rFonts w:ascii="Calibri" w:eastAsia="Calibri" w:hAnsi="Calibri" w:cs="Calibri"/>
          <w:sz w:val="18"/>
          <w:szCs w:val="18"/>
          <w:vertAlign w:val="superscript"/>
          <w:lang w:val="en-US"/>
        </w:rPr>
        <w:t>Hi</w:t>
      </w:r>
      <w:proofErr w:type="spellEnd"/>
      <w:r w:rsidRPr="00702D5B">
        <w:rPr>
          <w:rFonts w:ascii="Calibri" w:eastAsia="Calibri" w:hAnsi="Calibri" w:cs="Calibri"/>
          <w:sz w:val="18"/>
          <w:szCs w:val="18"/>
          <w:vertAlign w:val="superscript"/>
          <w:lang w:val="en-US"/>
        </w:rPr>
        <w:t>+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)’</w:t>
      </w:r>
      <w:r w:rsidR="004B7083">
        <w:rPr>
          <w:rFonts w:ascii="Calibri" w:eastAsia="Calibri" w:hAnsi="Calibri" w:cs="Calibri"/>
          <w:sz w:val="18"/>
          <w:szCs w:val="18"/>
          <w:lang w:val="en-US"/>
        </w:rPr>
        <w:t xml:space="preserve">: </w:t>
      </w:r>
      <w:r w:rsidR="004B7083">
        <w:rPr>
          <w:rFonts w:ascii="Calibri" w:eastAsia="Calibri" w:hAnsi="Calibri" w:cs="Calibri"/>
          <w:sz w:val="18"/>
          <w:szCs w:val="18"/>
          <w:lang w:val="en-US"/>
        </w:rPr>
        <w:t>FL1-A-B525/40 vs FL2-A-B690/50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). Then the alive population </w:t>
      </w:r>
      <w:proofErr w:type="gramStart"/>
      <w:r w:rsidRPr="00702D5B">
        <w:rPr>
          <w:rFonts w:ascii="Calibri" w:eastAsia="Calibri" w:hAnsi="Calibri" w:cs="Calibri"/>
          <w:sz w:val="18"/>
          <w:szCs w:val="18"/>
          <w:lang w:val="en-US"/>
        </w:rPr>
        <w:t>was gated</w:t>
      </w:r>
      <w:proofErr w:type="gram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by a Zombie Violet (ZV) stain (‘Alive (ZV-)’</w:t>
      </w:r>
      <w:r w:rsidR="004B7083">
        <w:rPr>
          <w:rFonts w:ascii="Calibri" w:eastAsia="Calibri" w:hAnsi="Calibri" w:cs="Calibri"/>
          <w:sz w:val="18"/>
          <w:szCs w:val="18"/>
          <w:lang w:val="en-US"/>
        </w:rPr>
        <w:t>: FL6-A_V450/45 vs FSC-H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). T cells were then identified by CD3 expression (‘T cells (CD3+)’</w:t>
      </w:r>
      <w:r w:rsidR="009A3569">
        <w:rPr>
          <w:rFonts w:ascii="Calibri" w:eastAsia="Calibri" w:hAnsi="Calibri" w:cs="Calibri"/>
          <w:sz w:val="18"/>
          <w:szCs w:val="18"/>
          <w:lang w:val="en-US"/>
        </w:rPr>
        <w:t>: FSC-H vs. FL</w:t>
      </w:r>
      <w:r w:rsidR="004B7083">
        <w:rPr>
          <w:rFonts w:ascii="Calibri" w:eastAsia="Calibri" w:hAnsi="Calibri" w:cs="Calibri"/>
          <w:sz w:val="18"/>
          <w:szCs w:val="18"/>
          <w:lang w:val="en-US"/>
        </w:rPr>
        <w:t>2</w:t>
      </w:r>
      <w:r w:rsidR="009A3569">
        <w:rPr>
          <w:rFonts w:ascii="Calibri" w:eastAsia="Calibri" w:hAnsi="Calibri" w:cs="Calibri"/>
          <w:sz w:val="18"/>
          <w:szCs w:val="18"/>
          <w:lang w:val="en-US"/>
        </w:rPr>
        <w:t>-A-</w:t>
      </w:r>
      <w:r w:rsidR="004B7083">
        <w:rPr>
          <w:rFonts w:ascii="Calibri" w:eastAsia="Calibri" w:hAnsi="Calibri" w:cs="Calibri"/>
          <w:sz w:val="18"/>
          <w:szCs w:val="18"/>
          <w:lang w:val="en-US"/>
        </w:rPr>
        <w:t>B690/50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), and from 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here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CAR-expressing cells were identified through 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myc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>-tag staining (‘CAR+ T cells (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myc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>+)’</w:t>
      </w:r>
      <w:r w:rsidR="009A3569">
        <w:rPr>
          <w:rFonts w:ascii="Calibri" w:eastAsia="Calibri" w:hAnsi="Calibri" w:cs="Calibri"/>
          <w:sz w:val="18"/>
          <w:szCs w:val="18"/>
          <w:lang w:val="en-US"/>
        </w:rPr>
        <w:t xml:space="preserve">: FSC-H vs. </w:t>
      </w:r>
      <w:r w:rsidR="004B7083">
        <w:rPr>
          <w:rFonts w:ascii="Calibri" w:eastAsia="Calibri" w:hAnsi="Calibri" w:cs="Calibri"/>
          <w:sz w:val="18"/>
          <w:szCs w:val="18"/>
          <w:lang w:val="en-US"/>
        </w:rPr>
        <w:t>FL1-A-B525/40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), and non-expressing T cells through a NOT-gate (‘CAR- T cells (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myc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>-)’</w:t>
      </w:r>
      <w:r w:rsidR="009A3569">
        <w:rPr>
          <w:rFonts w:ascii="Calibri" w:eastAsia="Calibri" w:hAnsi="Calibri" w:cs="Calibri"/>
          <w:sz w:val="18"/>
          <w:szCs w:val="18"/>
          <w:lang w:val="en-US"/>
        </w:rPr>
        <w:t>: FSC-H vs. FL1-A-B525/40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). Activated cells </w:t>
      </w:r>
      <w:proofErr w:type="gramStart"/>
      <w:r w:rsidRPr="00702D5B">
        <w:rPr>
          <w:rFonts w:ascii="Calibri" w:eastAsia="Calibri" w:hAnsi="Calibri" w:cs="Calibri"/>
          <w:sz w:val="18"/>
          <w:szCs w:val="18"/>
          <w:lang w:val="en-US"/>
        </w:rPr>
        <w:t>were identified</w:t>
      </w:r>
      <w:proofErr w:type="gram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by a CD69 stain (‘Activated (CD69+)’</w:t>
      </w:r>
      <w:r w:rsidR="009A3569">
        <w:rPr>
          <w:rFonts w:ascii="Calibri" w:eastAsia="Calibri" w:hAnsi="Calibri" w:cs="Calibri"/>
          <w:sz w:val="18"/>
          <w:szCs w:val="18"/>
          <w:lang w:val="en-US"/>
        </w:rPr>
        <w:t>: FL13-A-Y780/60 vs. FL2-H-B690/50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). The same strategy </w:t>
      </w:r>
      <w:proofErr w:type="gramStart"/>
      <w:r w:rsidRPr="00702D5B">
        <w:rPr>
          <w:rFonts w:ascii="Calibri" w:eastAsia="Calibri" w:hAnsi="Calibri" w:cs="Calibri"/>
          <w:sz w:val="18"/>
          <w:szCs w:val="18"/>
          <w:lang w:val="en-US"/>
        </w:rPr>
        <w:t>was employed</w:t>
      </w:r>
      <w:proofErr w:type="gram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for the CTRL T cell culture. The example is a co-cultivation of CAR T cells with 5.0x NALM6. </w:t>
      </w: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>B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. Gating strategy for activation of donor-derived CAR T cells using SCASA yeast (</w:t>
      </w: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>Fig. 5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). First singlets were gated (‘Singlets’</w:t>
      </w:r>
      <w:r w:rsidR="009A3569">
        <w:rPr>
          <w:rFonts w:ascii="Calibri" w:eastAsia="Calibri" w:hAnsi="Calibri" w:cs="Calibri"/>
          <w:sz w:val="18"/>
          <w:szCs w:val="18"/>
          <w:lang w:val="en-US"/>
        </w:rPr>
        <w:t>: SSC-A vs. SSC-H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), then the alive population was gated by a Zombie Violet (ZV) stain (‘Alive (ZV-)’</w:t>
      </w:r>
      <w:r w:rsidR="009A3569">
        <w:rPr>
          <w:rFonts w:ascii="Calibri" w:eastAsia="Calibri" w:hAnsi="Calibri" w:cs="Calibri"/>
          <w:sz w:val="18"/>
          <w:szCs w:val="18"/>
          <w:lang w:val="en-US"/>
        </w:rPr>
        <w:t>: FSC-H vs. FL6-A-V450/45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). Hereafter, yeast cells (‘Yeast’</w:t>
      </w:r>
      <w:r w:rsidR="009A3569">
        <w:rPr>
          <w:rFonts w:ascii="Calibri" w:eastAsia="Calibri" w:hAnsi="Calibri" w:cs="Calibri"/>
          <w:sz w:val="18"/>
          <w:szCs w:val="18"/>
          <w:lang w:val="en-US"/>
        </w:rPr>
        <w:t>: FSC-H vs. SSC-H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) could be separated from human cells (‘Not yeast cells’</w:t>
      </w:r>
      <w:r w:rsidR="009A3569">
        <w:rPr>
          <w:rFonts w:ascii="Calibri" w:eastAsia="Calibri" w:hAnsi="Calibri" w:cs="Calibri"/>
          <w:sz w:val="18"/>
          <w:szCs w:val="18"/>
          <w:lang w:val="en-US"/>
        </w:rPr>
        <w:t xml:space="preserve">: </w:t>
      </w:r>
      <w:r w:rsidR="009A3569">
        <w:rPr>
          <w:rFonts w:ascii="Calibri" w:eastAsia="Calibri" w:hAnsi="Calibri" w:cs="Calibri"/>
          <w:sz w:val="18"/>
          <w:szCs w:val="18"/>
          <w:lang w:val="en-US"/>
        </w:rPr>
        <w:t>FSC-H vs. SSC-H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) through morphological traits. T cells were then identified via CD3 expression (‘T cells (CD3+)’</w:t>
      </w:r>
      <w:r w:rsidR="009A3569">
        <w:rPr>
          <w:rFonts w:ascii="Calibri" w:eastAsia="Calibri" w:hAnsi="Calibri" w:cs="Calibri"/>
          <w:sz w:val="18"/>
          <w:szCs w:val="18"/>
          <w:lang w:val="en-US"/>
        </w:rPr>
        <w:t xml:space="preserve">: </w:t>
      </w:r>
      <w:r w:rsidR="009A3569">
        <w:rPr>
          <w:rFonts w:ascii="Calibri" w:eastAsia="Calibri" w:hAnsi="Calibri" w:cs="Calibri"/>
          <w:sz w:val="18"/>
          <w:szCs w:val="18"/>
          <w:lang w:val="en-US"/>
        </w:rPr>
        <w:t xml:space="preserve">FSC-H vs. </w:t>
      </w:r>
      <w:r w:rsidR="009A3569">
        <w:rPr>
          <w:rFonts w:ascii="Calibri" w:eastAsia="Calibri" w:hAnsi="Calibri" w:cs="Calibri"/>
          <w:sz w:val="18"/>
          <w:szCs w:val="18"/>
          <w:lang w:val="en-US"/>
        </w:rPr>
        <w:t>FL2-A-B69</w:t>
      </w:r>
      <w:r w:rsidR="00FC21BE">
        <w:rPr>
          <w:rFonts w:ascii="Calibri" w:eastAsia="Calibri" w:hAnsi="Calibri" w:cs="Calibri"/>
          <w:sz w:val="18"/>
          <w:szCs w:val="18"/>
          <w:lang w:val="en-US"/>
        </w:rPr>
        <w:t>0</w:t>
      </w:r>
      <w:r w:rsidR="009A3569">
        <w:rPr>
          <w:rFonts w:ascii="Calibri" w:eastAsia="Calibri" w:hAnsi="Calibri" w:cs="Calibri"/>
          <w:sz w:val="18"/>
          <w:szCs w:val="18"/>
          <w:lang w:val="en-US"/>
        </w:rPr>
        <w:t>/50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), and from 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here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CAR-expressing cells were identified through 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myc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>-tag staining (‘CAR+ T cells (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myc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>+)’</w:t>
      </w:r>
      <w:r w:rsidR="00FC21BE">
        <w:rPr>
          <w:rFonts w:ascii="Calibri" w:eastAsia="Calibri" w:hAnsi="Calibri" w:cs="Calibri"/>
          <w:sz w:val="18"/>
          <w:szCs w:val="18"/>
          <w:lang w:val="en-US"/>
        </w:rPr>
        <w:t>: FSC-H vs. FL1-A-B525/40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), and non-expressing T cells through a NOT-gate (‘CAR- T cells (</w:t>
      </w:r>
      <w:proofErr w:type="spellStart"/>
      <w:r w:rsidRPr="00702D5B">
        <w:rPr>
          <w:rFonts w:ascii="Calibri" w:eastAsia="Calibri" w:hAnsi="Calibri" w:cs="Calibri"/>
          <w:sz w:val="18"/>
          <w:szCs w:val="18"/>
          <w:lang w:val="en-US"/>
        </w:rPr>
        <w:t>myc</w:t>
      </w:r>
      <w:proofErr w:type="spell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-)’). Activated cells </w:t>
      </w:r>
      <w:proofErr w:type="gramStart"/>
      <w:r w:rsidRPr="00702D5B">
        <w:rPr>
          <w:rFonts w:ascii="Calibri" w:eastAsia="Calibri" w:hAnsi="Calibri" w:cs="Calibri"/>
          <w:sz w:val="18"/>
          <w:szCs w:val="18"/>
          <w:lang w:val="en-US"/>
        </w:rPr>
        <w:t>were identified</w:t>
      </w:r>
      <w:proofErr w:type="gram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by a CD69 stain (‘Activated (CD69+)’</w:t>
      </w:r>
      <w:r w:rsidR="00FC21BE">
        <w:rPr>
          <w:rFonts w:ascii="Calibri" w:eastAsia="Calibri" w:hAnsi="Calibri" w:cs="Calibri"/>
          <w:sz w:val="18"/>
          <w:szCs w:val="18"/>
          <w:lang w:val="en-US"/>
        </w:rPr>
        <w:t>: FL13-A-Y780/60 vs. FL2-H-B690/50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). Yeast cells were further identified from the lack of CD3 expression (‘Yeast (CD3-)’</w:t>
      </w:r>
      <w:r w:rsidR="00FC21BE">
        <w:rPr>
          <w:rFonts w:ascii="Calibri" w:eastAsia="Calibri" w:hAnsi="Calibri" w:cs="Calibri"/>
          <w:sz w:val="18"/>
          <w:szCs w:val="18"/>
          <w:lang w:val="en-US"/>
        </w:rPr>
        <w:t>: FL2-A-B690/50 vs. SSC-H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) for the investigation of CD19 levels. The same strategy was employed for the CTRL T cell culture and the negative control yeast (P</w:t>
      </w:r>
      <w:r w:rsidRPr="00702D5B">
        <w:rPr>
          <w:rFonts w:ascii="Calibri" w:eastAsia="Calibri" w:hAnsi="Calibri" w:cs="Calibri"/>
          <w:sz w:val="18"/>
          <w:szCs w:val="18"/>
          <w:vertAlign w:val="subscript"/>
          <w:lang w:val="en-US"/>
        </w:rPr>
        <w:t>PGK1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-Empty). The example is a co-cultivation of CAR T cells with 1.0x P</w:t>
      </w:r>
      <w:r w:rsidRPr="00702D5B">
        <w:rPr>
          <w:rFonts w:ascii="Calibri" w:eastAsia="Calibri" w:hAnsi="Calibri" w:cs="Calibri"/>
          <w:sz w:val="18"/>
          <w:szCs w:val="18"/>
          <w:vertAlign w:val="subscript"/>
          <w:lang w:val="en-US"/>
        </w:rPr>
        <w:t>PGK1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-CD19 SCASA yeast. </w:t>
      </w: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>C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. Gating strategy for post-cryopreservation activation of donor-derived CAR T cells using SCASA yeast (</w:t>
      </w:r>
      <w:r w:rsidRPr="00702D5B">
        <w:rPr>
          <w:rFonts w:ascii="Calibri" w:eastAsia="Calibri" w:hAnsi="Calibri" w:cs="Calibri"/>
          <w:b/>
          <w:sz w:val="18"/>
          <w:szCs w:val="18"/>
          <w:lang w:val="en-US"/>
        </w:rPr>
        <w:t xml:space="preserve">Suppl. </w:t>
      </w:r>
      <w:r w:rsidRPr="00FC21BE">
        <w:rPr>
          <w:rFonts w:ascii="Calibri" w:eastAsia="Calibri" w:hAnsi="Calibri" w:cs="Calibri"/>
          <w:b/>
          <w:sz w:val="18"/>
          <w:szCs w:val="18"/>
          <w:lang w:val="en-US"/>
        </w:rPr>
        <w:t>Fig. 11</w:t>
      </w:r>
      <w:r w:rsidRPr="00FC21BE">
        <w:rPr>
          <w:rFonts w:ascii="Calibri" w:eastAsia="Calibri" w:hAnsi="Calibri" w:cs="Calibri"/>
          <w:sz w:val="18"/>
          <w:szCs w:val="18"/>
          <w:lang w:val="en-US"/>
        </w:rPr>
        <w:t xml:space="preserve">). 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First the alive population was gated by a Zombie Violet (ZV) stain (‘Alive (ZV-)’</w:t>
      </w:r>
      <w:r w:rsidR="00FC21BE">
        <w:rPr>
          <w:rFonts w:ascii="Calibri" w:eastAsia="Calibri" w:hAnsi="Calibri" w:cs="Calibri"/>
          <w:sz w:val="18"/>
          <w:szCs w:val="18"/>
          <w:lang w:val="en-US"/>
        </w:rPr>
        <w:t>: FSC-H vs. V445-H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), then T cells were identified by CD3 expression (‘T cells (CD3+)’</w:t>
      </w:r>
      <w:r w:rsidR="004B7083">
        <w:rPr>
          <w:rFonts w:ascii="Calibri" w:eastAsia="Calibri" w:hAnsi="Calibri" w:cs="Calibri"/>
          <w:sz w:val="18"/>
          <w:szCs w:val="18"/>
          <w:lang w:val="en-US"/>
        </w:rPr>
        <w:t>: B525-H</w:t>
      </w:r>
      <w:r w:rsidR="00FC21BE">
        <w:rPr>
          <w:rFonts w:ascii="Calibri" w:eastAsia="Calibri" w:hAnsi="Calibri" w:cs="Calibri"/>
          <w:sz w:val="18"/>
          <w:szCs w:val="18"/>
          <w:lang w:val="en-US"/>
        </w:rPr>
        <w:t xml:space="preserve"> vs. FSC-H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), and lastly singlets were gated (‘Single cells’</w:t>
      </w:r>
      <w:r w:rsidR="00FC21BE">
        <w:rPr>
          <w:rFonts w:ascii="Calibri" w:eastAsia="Calibri" w:hAnsi="Calibri" w:cs="Calibri"/>
          <w:sz w:val="18"/>
          <w:szCs w:val="18"/>
          <w:lang w:val="en-US"/>
        </w:rPr>
        <w:t>: SSC-H vs SSC-A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) for the examination of CD69 and CD25 expression. The same strate</w:t>
      </w:r>
      <w:bookmarkStart w:id="0" w:name="_GoBack"/>
      <w:bookmarkEnd w:id="0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gy </w:t>
      </w:r>
      <w:proofErr w:type="gramStart"/>
      <w:r w:rsidRPr="00702D5B">
        <w:rPr>
          <w:rFonts w:ascii="Calibri" w:eastAsia="Calibri" w:hAnsi="Calibri" w:cs="Calibri"/>
          <w:sz w:val="18"/>
          <w:szCs w:val="18"/>
          <w:lang w:val="en-US"/>
        </w:rPr>
        <w:t>was employed</w:t>
      </w:r>
      <w:proofErr w:type="gramEnd"/>
      <w:r w:rsidRPr="00702D5B">
        <w:rPr>
          <w:rFonts w:ascii="Calibri" w:eastAsia="Calibri" w:hAnsi="Calibri" w:cs="Calibri"/>
          <w:sz w:val="18"/>
          <w:szCs w:val="18"/>
          <w:lang w:val="en-US"/>
        </w:rPr>
        <w:t xml:space="preserve"> for the other SCASA yeast strains and LAC control. The example is a co-cultivation of CAR T cells with P</w:t>
      </w:r>
      <w:r w:rsidRPr="00702D5B">
        <w:rPr>
          <w:rFonts w:ascii="Calibri" w:eastAsia="Calibri" w:hAnsi="Calibri" w:cs="Calibri"/>
          <w:sz w:val="18"/>
          <w:szCs w:val="18"/>
          <w:vertAlign w:val="subscript"/>
          <w:lang w:val="en-US"/>
        </w:rPr>
        <w:t>TDH3</w:t>
      </w:r>
      <w:r w:rsidRPr="00702D5B">
        <w:rPr>
          <w:rFonts w:ascii="Calibri" w:eastAsia="Calibri" w:hAnsi="Calibri" w:cs="Calibri"/>
          <w:sz w:val="18"/>
          <w:szCs w:val="18"/>
          <w:lang w:val="en-US"/>
        </w:rPr>
        <w:t>-CD19 SCASA yeast (0.3x) without ɑ-factor.</w:t>
      </w:r>
    </w:p>
    <w:p w:rsidR="00596676" w:rsidRPr="00702D5B" w:rsidRDefault="00596676">
      <w:pPr>
        <w:spacing w:line="360" w:lineRule="auto"/>
        <w:jc w:val="both"/>
        <w:rPr>
          <w:rFonts w:ascii="Calibri" w:eastAsia="Calibri" w:hAnsi="Calibri" w:cs="Calibri"/>
          <w:b/>
          <w:lang w:val="en-US"/>
        </w:rPr>
      </w:pPr>
    </w:p>
    <w:p w:rsidR="00702D5B" w:rsidRDefault="00702D5B">
      <w:pPr>
        <w:spacing w:line="360" w:lineRule="auto"/>
        <w:jc w:val="both"/>
        <w:rPr>
          <w:lang w:val="en-US"/>
        </w:rPr>
      </w:pPr>
    </w:p>
    <w:p w:rsidR="00702D5B" w:rsidRDefault="00702D5B">
      <w:pPr>
        <w:spacing w:line="360" w:lineRule="auto"/>
        <w:jc w:val="both"/>
        <w:rPr>
          <w:lang w:val="en-US"/>
        </w:rPr>
      </w:pPr>
    </w:p>
    <w:p w:rsidR="00702D5B" w:rsidRDefault="00702D5B">
      <w:pPr>
        <w:spacing w:line="360" w:lineRule="auto"/>
        <w:jc w:val="both"/>
        <w:rPr>
          <w:lang w:val="en-US"/>
        </w:rPr>
      </w:pPr>
    </w:p>
    <w:p w:rsidR="00596676" w:rsidRPr="00C1024A" w:rsidRDefault="002D3CE8">
      <w:pPr>
        <w:spacing w:line="360" w:lineRule="auto"/>
        <w:jc w:val="both"/>
        <w:rPr>
          <w:rFonts w:ascii="Calibri" w:eastAsia="Calibri" w:hAnsi="Calibri" w:cs="Calibri"/>
          <w:b/>
          <w:lang w:val="da-DK"/>
        </w:rPr>
      </w:pPr>
      <w:r>
        <w:rPr>
          <w:rFonts w:ascii="Calibri" w:eastAsia="Calibri" w:hAnsi="Calibri" w:cs="Calibri"/>
          <w:b/>
        </w:rPr>
        <w:t xml:space="preserve">References: </w:t>
      </w:r>
    </w:p>
    <w:p w:rsidR="00596676" w:rsidRPr="00702D5B" w:rsidRDefault="002D3CE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20" w:line="480" w:lineRule="auto"/>
        <w:ind w:left="440" w:hanging="440"/>
        <w:rPr>
          <w:rFonts w:ascii="Calibri" w:eastAsia="Calibri" w:hAnsi="Calibri" w:cs="Calibri"/>
          <w:color w:val="000000"/>
          <w:lang w:val="en-US"/>
        </w:rPr>
      </w:pPr>
      <w:r>
        <w:rPr>
          <w:rFonts w:ascii="Calibri" w:eastAsia="Calibri" w:hAnsi="Calibri" w:cs="Calibri"/>
          <w:color w:val="000000"/>
        </w:rPr>
        <w:t>1.</w:t>
      </w:r>
      <w:r>
        <w:rPr>
          <w:rFonts w:ascii="Calibri" w:eastAsia="Calibri" w:hAnsi="Calibri" w:cs="Calibri"/>
          <w:color w:val="000000"/>
        </w:rPr>
        <w:tab/>
      </w:r>
      <w:hyperlink r:id="rId29">
        <w:r>
          <w:rPr>
            <w:rFonts w:ascii="Calibri" w:eastAsia="Calibri" w:hAnsi="Calibri" w:cs="Calibri"/>
            <w:color w:val="000000"/>
          </w:rPr>
          <w:t xml:space="preserve">Jensen, E. D. </w:t>
        </w:r>
      </w:hyperlink>
      <w:hyperlink r:id="rId30">
        <w:r>
          <w:rPr>
            <w:rFonts w:ascii="Calibri" w:eastAsia="Calibri" w:hAnsi="Calibri" w:cs="Calibri"/>
            <w:i/>
            <w:color w:val="000000"/>
          </w:rPr>
          <w:t>et al.</w:t>
        </w:r>
      </w:hyperlink>
      <w:hyperlink r:id="rId31">
        <w:r>
          <w:rPr>
            <w:rFonts w:ascii="Calibri" w:eastAsia="Calibri" w:hAnsi="Calibri" w:cs="Calibri"/>
            <w:color w:val="000000"/>
          </w:rPr>
          <w:t xml:space="preserve"> </w:t>
        </w:r>
        <w:r w:rsidRPr="00702D5B">
          <w:rPr>
            <w:rFonts w:ascii="Calibri" w:eastAsia="Calibri" w:hAnsi="Calibri" w:cs="Calibri"/>
            <w:color w:val="000000"/>
            <w:lang w:val="en-US"/>
          </w:rPr>
          <w:t xml:space="preserve">Engineered cell differentiation and sexual reproduction in probiotic and mating yeasts. </w:t>
        </w:r>
      </w:hyperlink>
      <w:hyperlink r:id="rId32">
        <w:r w:rsidRPr="00702D5B">
          <w:rPr>
            <w:rFonts w:ascii="Calibri" w:eastAsia="Calibri" w:hAnsi="Calibri" w:cs="Calibri"/>
            <w:i/>
            <w:color w:val="000000"/>
            <w:lang w:val="en-US"/>
          </w:rPr>
          <w:t xml:space="preserve">Nat. </w:t>
        </w:r>
        <w:proofErr w:type="spellStart"/>
        <w:r w:rsidRPr="00702D5B">
          <w:rPr>
            <w:rFonts w:ascii="Calibri" w:eastAsia="Calibri" w:hAnsi="Calibri" w:cs="Calibri"/>
            <w:i/>
            <w:color w:val="000000"/>
            <w:lang w:val="en-US"/>
          </w:rPr>
          <w:t>Commun</w:t>
        </w:r>
        <w:proofErr w:type="spellEnd"/>
        <w:r w:rsidRPr="00702D5B">
          <w:rPr>
            <w:rFonts w:ascii="Calibri" w:eastAsia="Calibri" w:hAnsi="Calibri" w:cs="Calibri"/>
            <w:i/>
            <w:color w:val="000000"/>
            <w:lang w:val="en-US"/>
          </w:rPr>
          <w:t>.</w:t>
        </w:r>
      </w:hyperlink>
      <w:hyperlink r:id="rId33">
        <w:r w:rsidRPr="00702D5B">
          <w:rPr>
            <w:rFonts w:ascii="Calibri" w:eastAsia="Calibri" w:hAnsi="Calibri" w:cs="Calibri"/>
            <w:color w:val="000000"/>
            <w:lang w:val="en-US"/>
          </w:rPr>
          <w:t xml:space="preserve"> </w:t>
        </w:r>
      </w:hyperlink>
      <w:hyperlink r:id="rId34">
        <w:r w:rsidRPr="00702D5B">
          <w:rPr>
            <w:rFonts w:ascii="Calibri" w:eastAsia="Calibri" w:hAnsi="Calibri" w:cs="Calibri"/>
            <w:b/>
            <w:color w:val="000000"/>
            <w:lang w:val="en-US"/>
          </w:rPr>
          <w:t>13</w:t>
        </w:r>
      </w:hyperlink>
      <w:hyperlink r:id="rId35">
        <w:r w:rsidRPr="00702D5B">
          <w:rPr>
            <w:rFonts w:ascii="Calibri" w:eastAsia="Calibri" w:hAnsi="Calibri" w:cs="Calibri"/>
            <w:color w:val="000000"/>
            <w:lang w:val="en-US"/>
          </w:rPr>
          <w:t>, 6201 (2022).</w:t>
        </w:r>
      </w:hyperlink>
    </w:p>
    <w:p w:rsidR="00596676" w:rsidRPr="00702D5B" w:rsidRDefault="002D3CE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ind w:left="440" w:hanging="440"/>
        <w:rPr>
          <w:rFonts w:ascii="Calibri" w:eastAsia="Calibri" w:hAnsi="Calibri" w:cs="Calibri"/>
          <w:color w:val="000000"/>
          <w:lang w:val="en-US"/>
        </w:rPr>
      </w:pPr>
      <w:r w:rsidRPr="00702D5B">
        <w:rPr>
          <w:rFonts w:ascii="Calibri" w:eastAsia="Calibri" w:hAnsi="Calibri" w:cs="Calibri"/>
          <w:color w:val="000000"/>
          <w:lang w:val="en-US"/>
        </w:rPr>
        <w:t>2.</w:t>
      </w:r>
      <w:r w:rsidRPr="00702D5B">
        <w:rPr>
          <w:rFonts w:ascii="Calibri" w:eastAsia="Calibri" w:hAnsi="Calibri" w:cs="Calibri"/>
          <w:color w:val="000000"/>
          <w:lang w:val="en-US"/>
        </w:rPr>
        <w:tab/>
      </w:r>
      <w:hyperlink r:id="rId36">
        <w:r w:rsidRPr="00702D5B">
          <w:rPr>
            <w:rFonts w:ascii="Calibri" w:eastAsia="Calibri" w:hAnsi="Calibri" w:cs="Calibri"/>
            <w:color w:val="000000"/>
            <w:lang w:val="en-US"/>
          </w:rPr>
          <w:t xml:space="preserve">Shaw, W. M. </w:t>
        </w:r>
      </w:hyperlink>
      <w:hyperlink r:id="rId37">
        <w:r w:rsidRPr="00702D5B">
          <w:rPr>
            <w:rFonts w:ascii="Calibri" w:eastAsia="Calibri" w:hAnsi="Calibri" w:cs="Calibri"/>
            <w:i/>
            <w:color w:val="000000"/>
            <w:lang w:val="en-US"/>
          </w:rPr>
          <w:t>et al.</w:t>
        </w:r>
      </w:hyperlink>
      <w:hyperlink r:id="rId38">
        <w:r w:rsidRPr="00702D5B">
          <w:rPr>
            <w:rFonts w:ascii="Calibri" w:eastAsia="Calibri" w:hAnsi="Calibri" w:cs="Calibri"/>
            <w:color w:val="000000"/>
            <w:lang w:val="en-US"/>
          </w:rPr>
          <w:t xml:space="preserve"> Engineering a Model Cell for Rational Tuning of GPCR Signaling. </w:t>
        </w:r>
      </w:hyperlink>
      <w:hyperlink r:id="rId39">
        <w:r w:rsidRPr="00702D5B">
          <w:rPr>
            <w:rFonts w:ascii="Calibri" w:eastAsia="Calibri" w:hAnsi="Calibri" w:cs="Calibri"/>
            <w:i/>
            <w:color w:val="000000"/>
            <w:lang w:val="en-US"/>
          </w:rPr>
          <w:t>Cell</w:t>
        </w:r>
      </w:hyperlink>
      <w:hyperlink r:id="rId40">
        <w:r w:rsidRPr="00702D5B">
          <w:rPr>
            <w:rFonts w:ascii="Calibri" w:eastAsia="Calibri" w:hAnsi="Calibri" w:cs="Calibri"/>
            <w:color w:val="000000"/>
            <w:lang w:val="en-US"/>
          </w:rPr>
          <w:t xml:space="preserve"> </w:t>
        </w:r>
      </w:hyperlink>
      <w:hyperlink r:id="rId41">
        <w:r w:rsidRPr="00702D5B">
          <w:rPr>
            <w:rFonts w:ascii="Calibri" w:eastAsia="Calibri" w:hAnsi="Calibri" w:cs="Calibri"/>
            <w:b/>
            <w:color w:val="000000"/>
            <w:lang w:val="en-US"/>
          </w:rPr>
          <w:t>177</w:t>
        </w:r>
      </w:hyperlink>
      <w:hyperlink r:id="rId42">
        <w:r w:rsidRPr="00702D5B">
          <w:rPr>
            <w:rFonts w:ascii="Calibri" w:eastAsia="Calibri" w:hAnsi="Calibri" w:cs="Calibri"/>
            <w:color w:val="000000"/>
            <w:lang w:val="en-US"/>
          </w:rPr>
          <w:t>, 782–796.e27 (2019).</w:t>
        </w:r>
      </w:hyperlink>
    </w:p>
    <w:p w:rsidR="00596676" w:rsidRPr="00702D5B" w:rsidRDefault="002D3CE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ind w:left="440" w:hanging="440"/>
        <w:rPr>
          <w:rFonts w:ascii="Calibri" w:eastAsia="Calibri" w:hAnsi="Calibri" w:cs="Calibri"/>
          <w:color w:val="000000"/>
          <w:lang w:val="en-US"/>
        </w:rPr>
      </w:pPr>
      <w:r w:rsidRPr="00702D5B">
        <w:rPr>
          <w:rFonts w:ascii="Calibri" w:eastAsia="Calibri" w:hAnsi="Calibri" w:cs="Calibri"/>
          <w:color w:val="000000"/>
          <w:lang w:val="en-US"/>
        </w:rPr>
        <w:t>3.</w:t>
      </w:r>
      <w:r w:rsidRPr="00702D5B">
        <w:rPr>
          <w:rFonts w:ascii="Calibri" w:eastAsia="Calibri" w:hAnsi="Calibri" w:cs="Calibri"/>
          <w:color w:val="000000"/>
          <w:lang w:val="en-US"/>
        </w:rPr>
        <w:tab/>
      </w:r>
      <w:hyperlink r:id="rId43">
        <w:r w:rsidRPr="00C1024A">
          <w:rPr>
            <w:rFonts w:ascii="Calibri" w:eastAsia="Calibri" w:hAnsi="Calibri" w:cs="Calibri"/>
            <w:color w:val="000000"/>
            <w:lang w:val="en-US"/>
          </w:rPr>
          <w:t xml:space="preserve">Jessop-Fabre, M. M. </w:t>
        </w:r>
      </w:hyperlink>
      <w:hyperlink r:id="rId44">
        <w:r w:rsidRPr="00C1024A">
          <w:rPr>
            <w:rFonts w:ascii="Calibri" w:eastAsia="Calibri" w:hAnsi="Calibri" w:cs="Calibri"/>
            <w:i/>
            <w:color w:val="000000"/>
            <w:lang w:val="en-US"/>
          </w:rPr>
          <w:t>et al.</w:t>
        </w:r>
      </w:hyperlink>
      <w:hyperlink r:id="rId45">
        <w:r w:rsidRPr="00C1024A">
          <w:rPr>
            <w:rFonts w:ascii="Calibri" w:eastAsia="Calibri" w:hAnsi="Calibri" w:cs="Calibri"/>
            <w:color w:val="000000"/>
            <w:lang w:val="en-US"/>
          </w:rPr>
          <w:t xml:space="preserve"> </w:t>
        </w:r>
        <w:r w:rsidRPr="00702D5B">
          <w:rPr>
            <w:rFonts w:ascii="Calibri" w:eastAsia="Calibri" w:hAnsi="Calibri" w:cs="Calibri"/>
            <w:color w:val="000000"/>
            <w:lang w:val="en-US"/>
          </w:rPr>
          <w:t xml:space="preserve">EasyClone-MarkerFree: A vector toolkit for marker-less integration of genes into Saccharomyces cerevisiae via CRISPR-Cas9. </w:t>
        </w:r>
      </w:hyperlink>
      <w:hyperlink r:id="rId46">
        <w:proofErr w:type="spellStart"/>
        <w:r w:rsidRPr="00702D5B">
          <w:rPr>
            <w:rFonts w:ascii="Calibri" w:eastAsia="Calibri" w:hAnsi="Calibri" w:cs="Calibri"/>
            <w:i/>
            <w:color w:val="000000"/>
            <w:lang w:val="en-US"/>
          </w:rPr>
          <w:t>Biotechnol</w:t>
        </w:r>
        <w:proofErr w:type="spellEnd"/>
        <w:r w:rsidRPr="00702D5B">
          <w:rPr>
            <w:rFonts w:ascii="Calibri" w:eastAsia="Calibri" w:hAnsi="Calibri" w:cs="Calibri"/>
            <w:i/>
            <w:color w:val="000000"/>
            <w:lang w:val="en-US"/>
          </w:rPr>
          <w:t>. J.</w:t>
        </w:r>
      </w:hyperlink>
      <w:hyperlink r:id="rId47">
        <w:r w:rsidRPr="00702D5B">
          <w:rPr>
            <w:rFonts w:ascii="Calibri" w:eastAsia="Calibri" w:hAnsi="Calibri" w:cs="Calibri"/>
            <w:color w:val="000000"/>
            <w:lang w:val="en-US"/>
          </w:rPr>
          <w:t xml:space="preserve"> </w:t>
        </w:r>
      </w:hyperlink>
      <w:hyperlink r:id="rId48">
        <w:r w:rsidRPr="00702D5B">
          <w:rPr>
            <w:rFonts w:ascii="Calibri" w:eastAsia="Calibri" w:hAnsi="Calibri" w:cs="Calibri"/>
            <w:b/>
            <w:color w:val="000000"/>
            <w:lang w:val="en-US"/>
          </w:rPr>
          <w:t>11</w:t>
        </w:r>
      </w:hyperlink>
      <w:hyperlink r:id="rId49">
        <w:r w:rsidRPr="00702D5B">
          <w:rPr>
            <w:rFonts w:ascii="Calibri" w:eastAsia="Calibri" w:hAnsi="Calibri" w:cs="Calibri"/>
            <w:color w:val="000000"/>
            <w:lang w:val="en-US"/>
          </w:rPr>
          <w:t>, 1110–1117 (2016).</w:t>
        </w:r>
      </w:hyperlink>
    </w:p>
    <w:p w:rsidR="00596676" w:rsidRPr="00702D5B" w:rsidRDefault="002D3CE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20" w:line="480" w:lineRule="auto"/>
        <w:ind w:left="440" w:hanging="440"/>
        <w:rPr>
          <w:rFonts w:ascii="Calibri" w:eastAsia="Calibri" w:hAnsi="Calibri" w:cs="Calibri"/>
          <w:color w:val="000000"/>
          <w:lang w:val="en-US"/>
        </w:rPr>
      </w:pPr>
      <w:r w:rsidRPr="00702D5B">
        <w:rPr>
          <w:rFonts w:ascii="Calibri" w:eastAsia="Calibri" w:hAnsi="Calibri" w:cs="Calibri"/>
          <w:color w:val="000000"/>
          <w:lang w:val="en-US"/>
        </w:rPr>
        <w:t>4.</w:t>
      </w:r>
      <w:r w:rsidRPr="00702D5B">
        <w:rPr>
          <w:rFonts w:ascii="Calibri" w:eastAsia="Calibri" w:hAnsi="Calibri" w:cs="Calibri"/>
          <w:color w:val="000000"/>
          <w:lang w:val="en-US"/>
        </w:rPr>
        <w:tab/>
      </w:r>
      <w:hyperlink r:id="rId50">
        <w:proofErr w:type="spellStart"/>
        <w:r w:rsidRPr="00702D5B">
          <w:rPr>
            <w:rFonts w:ascii="Calibri" w:eastAsia="Calibri" w:hAnsi="Calibri" w:cs="Calibri"/>
            <w:color w:val="000000"/>
            <w:lang w:val="en-US"/>
          </w:rPr>
          <w:t>D’Ambrosio</w:t>
        </w:r>
        <w:proofErr w:type="spellEnd"/>
        <w:r w:rsidRPr="00702D5B">
          <w:rPr>
            <w:rFonts w:ascii="Calibri" w:eastAsia="Calibri" w:hAnsi="Calibri" w:cs="Calibri"/>
            <w:color w:val="000000"/>
            <w:lang w:val="en-US"/>
          </w:rPr>
          <w:t xml:space="preserve">, V. </w:t>
        </w:r>
      </w:hyperlink>
      <w:hyperlink r:id="rId51">
        <w:r w:rsidRPr="00702D5B">
          <w:rPr>
            <w:rFonts w:ascii="Calibri" w:eastAsia="Calibri" w:hAnsi="Calibri" w:cs="Calibri"/>
            <w:i/>
            <w:color w:val="000000"/>
            <w:lang w:val="en-US"/>
          </w:rPr>
          <w:t>et al.</w:t>
        </w:r>
      </w:hyperlink>
      <w:hyperlink r:id="rId52">
        <w:r w:rsidRPr="00702D5B">
          <w:rPr>
            <w:rFonts w:ascii="Calibri" w:eastAsia="Calibri" w:hAnsi="Calibri" w:cs="Calibri"/>
            <w:color w:val="000000"/>
            <w:lang w:val="en-US"/>
          </w:rPr>
          <w:t xml:space="preserve"> A FAIR-compliant parts catalogue for genome engineering and expression control in Saccharomyces cerevisiae. </w:t>
        </w:r>
      </w:hyperlink>
      <w:hyperlink r:id="rId53">
        <w:r w:rsidRPr="00702D5B">
          <w:rPr>
            <w:rFonts w:ascii="Calibri" w:eastAsia="Calibri" w:hAnsi="Calibri" w:cs="Calibri"/>
            <w:i/>
            <w:color w:val="000000"/>
            <w:lang w:val="en-US"/>
          </w:rPr>
          <w:t xml:space="preserve">Synth </w:t>
        </w:r>
        <w:proofErr w:type="spellStart"/>
        <w:r w:rsidRPr="00702D5B">
          <w:rPr>
            <w:rFonts w:ascii="Calibri" w:eastAsia="Calibri" w:hAnsi="Calibri" w:cs="Calibri"/>
            <w:i/>
            <w:color w:val="000000"/>
            <w:lang w:val="en-US"/>
          </w:rPr>
          <w:t>Syst</w:t>
        </w:r>
        <w:proofErr w:type="spellEnd"/>
        <w:r w:rsidRPr="00702D5B">
          <w:rPr>
            <w:rFonts w:ascii="Calibri" w:eastAsia="Calibri" w:hAnsi="Calibri" w:cs="Calibri"/>
            <w:i/>
            <w:color w:val="000000"/>
            <w:lang w:val="en-US"/>
          </w:rPr>
          <w:t xml:space="preserve"> </w:t>
        </w:r>
        <w:proofErr w:type="spellStart"/>
        <w:r w:rsidRPr="00702D5B">
          <w:rPr>
            <w:rFonts w:ascii="Calibri" w:eastAsia="Calibri" w:hAnsi="Calibri" w:cs="Calibri"/>
            <w:i/>
            <w:color w:val="000000"/>
            <w:lang w:val="en-US"/>
          </w:rPr>
          <w:t>Biotechnol</w:t>
        </w:r>
        <w:proofErr w:type="spellEnd"/>
      </w:hyperlink>
      <w:hyperlink r:id="rId54">
        <w:r w:rsidRPr="00702D5B">
          <w:rPr>
            <w:rFonts w:ascii="Calibri" w:eastAsia="Calibri" w:hAnsi="Calibri" w:cs="Calibri"/>
            <w:color w:val="000000"/>
            <w:lang w:val="en-US"/>
          </w:rPr>
          <w:t xml:space="preserve"> </w:t>
        </w:r>
      </w:hyperlink>
      <w:hyperlink r:id="rId55">
        <w:r w:rsidRPr="00702D5B">
          <w:rPr>
            <w:rFonts w:ascii="Calibri" w:eastAsia="Calibri" w:hAnsi="Calibri" w:cs="Calibri"/>
            <w:b/>
            <w:color w:val="000000"/>
            <w:lang w:val="en-US"/>
          </w:rPr>
          <w:t>7</w:t>
        </w:r>
      </w:hyperlink>
      <w:hyperlink r:id="rId56">
        <w:r w:rsidRPr="00702D5B">
          <w:rPr>
            <w:rFonts w:ascii="Calibri" w:eastAsia="Calibri" w:hAnsi="Calibri" w:cs="Calibri"/>
            <w:color w:val="000000"/>
            <w:lang w:val="en-US"/>
          </w:rPr>
          <w:t>, 657–663 (2022).</w:t>
        </w:r>
      </w:hyperlink>
    </w:p>
    <w:p w:rsidR="00596676" w:rsidRPr="00702D5B" w:rsidRDefault="00596676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lang w:val="en-US"/>
        </w:rPr>
      </w:pPr>
    </w:p>
    <w:sectPr w:rsidR="00596676" w:rsidRPr="00702D5B">
      <w:footerReference w:type="default" r:id="rId57"/>
      <w:pgSz w:w="11909" w:h="16834"/>
      <w:pgMar w:top="1417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4208" w:rsidRDefault="002D3CE8">
      <w:pPr>
        <w:spacing w:line="240" w:lineRule="auto"/>
      </w:pPr>
      <w:r>
        <w:separator/>
      </w:r>
    </w:p>
  </w:endnote>
  <w:endnote w:type="continuationSeparator" w:id="0">
    <w:p w:rsidR="009C4208" w:rsidRDefault="002D3CE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96676" w:rsidRDefault="0059667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4208" w:rsidRDefault="002D3CE8">
      <w:pPr>
        <w:spacing w:line="240" w:lineRule="auto"/>
      </w:pPr>
      <w:r>
        <w:separator/>
      </w:r>
    </w:p>
  </w:footnote>
  <w:footnote w:type="continuationSeparator" w:id="0">
    <w:p w:rsidR="009C4208" w:rsidRDefault="002D3CE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6676"/>
    <w:rsid w:val="00234939"/>
    <w:rsid w:val="002D3CE8"/>
    <w:rsid w:val="004B7083"/>
    <w:rsid w:val="00596676"/>
    <w:rsid w:val="00702D5B"/>
    <w:rsid w:val="009A3569"/>
    <w:rsid w:val="009C4208"/>
    <w:rsid w:val="00C1024A"/>
    <w:rsid w:val="00CB3135"/>
    <w:rsid w:val="00E1505B"/>
    <w:rsid w:val="00FC2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45"/>
    <o:shapelayout v:ext="edit">
      <o:idmap v:ext="edit" data="1"/>
    </o:shapelayout>
  </w:shapeDefaults>
  <w:decimalSymbol w:val=","/>
  <w:listSeparator w:val=";"/>
  <w14:docId w14:val="5F49B6A9"/>
  <w14:defaultImageDpi w14:val="330"/>
  <w15:docId w15:val="{7434109B-CD55-4FF7-8B9F-8B2069BC1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da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7.jpeg"/><Relationship Id="rId39" Type="http://schemas.openxmlformats.org/officeDocument/2006/relationships/hyperlink" Target="http://paperpile.com/b/2cSEaO/GoXE" TargetMode="External"/><Relationship Id="rId21" Type="http://schemas.openxmlformats.org/officeDocument/2006/relationships/image" Target="media/image14.jpeg"/><Relationship Id="rId34" Type="http://schemas.openxmlformats.org/officeDocument/2006/relationships/hyperlink" Target="http://paperpile.com/b/2cSEaO/TB0r" TargetMode="External"/><Relationship Id="rId42" Type="http://schemas.openxmlformats.org/officeDocument/2006/relationships/hyperlink" Target="http://paperpile.com/b/2cSEaO/GoXE" TargetMode="External"/><Relationship Id="rId47" Type="http://schemas.openxmlformats.org/officeDocument/2006/relationships/hyperlink" Target="http://paperpile.com/b/2cSEaO/HHzt" TargetMode="External"/><Relationship Id="rId50" Type="http://schemas.openxmlformats.org/officeDocument/2006/relationships/hyperlink" Target="http://paperpile.com/b/2cSEaO/QRam" TargetMode="External"/><Relationship Id="rId55" Type="http://schemas.openxmlformats.org/officeDocument/2006/relationships/hyperlink" Target="http://paperpile.com/b/2cSEaO/QRam" TargetMode="External"/><Relationship Id="rId7" Type="http://schemas.openxmlformats.org/officeDocument/2006/relationships/hyperlink" Target="https://paperpile.com/c/2cSEaO/TB0r" TargetMode="Externa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hyperlink" Target="https://paperpile.com/c/2cSEaO/QRam" TargetMode="External"/><Relationship Id="rId33" Type="http://schemas.openxmlformats.org/officeDocument/2006/relationships/hyperlink" Target="http://paperpile.com/b/2cSEaO/TB0r" TargetMode="External"/><Relationship Id="rId38" Type="http://schemas.openxmlformats.org/officeDocument/2006/relationships/hyperlink" Target="http://paperpile.com/b/2cSEaO/GoXE" TargetMode="External"/><Relationship Id="rId46" Type="http://schemas.openxmlformats.org/officeDocument/2006/relationships/hyperlink" Target="http://paperpile.com/b/2cSEaO/HHzt" TargetMode="External"/><Relationship Id="rId59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hyperlink" Target="http://paperpile.com/b/2cSEaO/TB0r" TargetMode="External"/><Relationship Id="rId41" Type="http://schemas.openxmlformats.org/officeDocument/2006/relationships/hyperlink" Target="http://paperpile.com/b/2cSEaO/GoXE" TargetMode="External"/><Relationship Id="rId54" Type="http://schemas.openxmlformats.org/officeDocument/2006/relationships/hyperlink" Target="http://paperpile.com/b/2cSEaO/QRam" TargetMode="Externa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https://paperpile.com/c/2cSEaO/GoXE" TargetMode="External"/><Relationship Id="rId24" Type="http://schemas.openxmlformats.org/officeDocument/2006/relationships/image" Target="media/image16.jpeg"/><Relationship Id="rId32" Type="http://schemas.openxmlformats.org/officeDocument/2006/relationships/hyperlink" Target="http://paperpile.com/b/2cSEaO/TB0r" TargetMode="External"/><Relationship Id="rId37" Type="http://schemas.openxmlformats.org/officeDocument/2006/relationships/hyperlink" Target="http://paperpile.com/b/2cSEaO/GoXE" TargetMode="External"/><Relationship Id="rId40" Type="http://schemas.openxmlformats.org/officeDocument/2006/relationships/hyperlink" Target="http://paperpile.com/b/2cSEaO/GoXE" TargetMode="External"/><Relationship Id="rId45" Type="http://schemas.openxmlformats.org/officeDocument/2006/relationships/hyperlink" Target="http://paperpile.com/b/2cSEaO/HHzt" TargetMode="External"/><Relationship Id="rId53" Type="http://schemas.openxmlformats.org/officeDocument/2006/relationships/hyperlink" Target="http://paperpile.com/b/2cSEaO/QRam" TargetMode="External"/><Relationship Id="rId58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8.jpeg"/><Relationship Id="rId23" Type="http://schemas.openxmlformats.org/officeDocument/2006/relationships/hyperlink" Target="https://paperpile.com/c/2cSEaO/HHzt" TargetMode="External"/><Relationship Id="rId28" Type="http://schemas.openxmlformats.org/officeDocument/2006/relationships/image" Target="media/image19.jpeg"/><Relationship Id="rId36" Type="http://schemas.openxmlformats.org/officeDocument/2006/relationships/hyperlink" Target="http://paperpile.com/b/2cSEaO/GoXE" TargetMode="External"/><Relationship Id="rId49" Type="http://schemas.openxmlformats.org/officeDocument/2006/relationships/hyperlink" Target="http://paperpile.com/b/2cSEaO/HHzt" TargetMode="External"/><Relationship Id="rId57" Type="http://schemas.openxmlformats.org/officeDocument/2006/relationships/footer" Target="footer1.xml"/><Relationship Id="rId10" Type="http://schemas.openxmlformats.org/officeDocument/2006/relationships/image" Target="media/image4.jpeg"/><Relationship Id="rId19" Type="http://schemas.openxmlformats.org/officeDocument/2006/relationships/image" Target="media/image12.jpeg"/><Relationship Id="rId31" Type="http://schemas.openxmlformats.org/officeDocument/2006/relationships/hyperlink" Target="http://paperpile.com/b/2cSEaO/TB0r" TargetMode="External"/><Relationship Id="rId44" Type="http://schemas.openxmlformats.org/officeDocument/2006/relationships/hyperlink" Target="http://paperpile.com/b/2cSEaO/HHzt" TargetMode="External"/><Relationship Id="rId52" Type="http://schemas.openxmlformats.org/officeDocument/2006/relationships/hyperlink" Target="http://paperpile.com/b/2cSEaO/QRam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18.jpeg"/><Relationship Id="rId30" Type="http://schemas.openxmlformats.org/officeDocument/2006/relationships/hyperlink" Target="http://paperpile.com/b/2cSEaO/TB0r" TargetMode="External"/><Relationship Id="rId35" Type="http://schemas.openxmlformats.org/officeDocument/2006/relationships/hyperlink" Target="http://paperpile.com/b/2cSEaO/TB0r" TargetMode="External"/><Relationship Id="rId43" Type="http://schemas.openxmlformats.org/officeDocument/2006/relationships/hyperlink" Target="http://paperpile.com/b/2cSEaO/HHzt" TargetMode="External"/><Relationship Id="rId48" Type="http://schemas.openxmlformats.org/officeDocument/2006/relationships/hyperlink" Target="http://paperpile.com/b/2cSEaO/HHzt" TargetMode="External"/><Relationship Id="rId56" Type="http://schemas.openxmlformats.org/officeDocument/2006/relationships/hyperlink" Target="http://paperpile.com/b/2cSEaO/QRam" TargetMode="External"/><Relationship Id="rId8" Type="http://schemas.openxmlformats.org/officeDocument/2006/relationships/image" Target="media/image2.jpeg"/><Relationship Id="rId51" Type="http://schemas.openxmlformats.org/officeDocument/2006/relationships/hyperlink" Target="http://paperpile.com/b/2cSEaO/QRam" TargetMode="External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23</Pages>
  <Words>4657</Words>
  <Characters>26549</Characters>
  <Application>Microsoft Office Word</Application>
  <DocSecurity>0</DocSecurity>
  <Lines>221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DTU</Company>
  <LinksUpToDate>false</LinksUpToDate>
  <CharactersWithSpaces>31144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Marcus Deichmann</cp:lastModifiedBy>
  <cp:revision>7</cp:revision>
  <cp:lastPrinted>2023-10-25T13:27:00Z</cp:lastPrinted>
  <dcterms:created xsi:type="dcterms:W3CDTF">2023-10-25T13:16:00Z</dcterms:created>
  <dcterms:modified xsi:type="dcterms:W3CDTF">2023-10-30T09:45:00Z</dcterms:modified>
</cp:coreProperties>
</file>