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976E" w14:textId="32114954" w:rsidR="00B677D0" w:rsidRPr="00517880" w:rsidRDefault="0001229B" w:rsidP="00517880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7880">
        <w:rPr>
          <w:rFonts w:ascii="Times New Roman" w:hAnsi="Times New Roman" w:cs="Times New Roman"/>
          <w:b/>
          <w:bCs/>
          <w:sz w:val="24"/>
          <w:szCs w:val="24"/>
        </w:rPr>
        <w:t>Supporting Information</w:t>
      </w:r>
    </w:p>
    <w:p w14:paraId="0CCC199A" w14:textId="77777777" w:rsidR="0001229B" w:rsidRDefault="0001229B" w:rsidP="0001229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67A7F">
        <w:rPr>
          <w:rFonts w:ascii="Times New Roman" w:hAnsi="Times New Roman" w:cs="Times New Roman"/>
          <w:b/>
          <w:bCs/>
          <w:sz w:val="20"/>
          <w:szCs w:val="20"/>
        </w:rPr>
        <w:t>3.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C67A7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794B41">
        <w:rPr>
          <w:rFonts w:ascii="Times New Roman" w:hAnsi="Times New Roman" w:cs="Times New Roman"/>
          <w:b/>
          <w:bCs/>
          <w:sz w:val="20"/>
          <w:szCs w:val="20"/>
        </w:rPr>
        <w:t>Chemical structure and thermal stability of dual matrix</w:t>
      </w:r>
    </w:p>
    <w:p w14:paraId="26397117" w14:textId="1C6E454F" w:rsidR="00EA2388" w:rsidRPr="00EA2388" w:rsidRDefault="00EA2388" w:rsidP="00EA2388">
      <w:pPr>
        <w:rPr>
          <w:rFonts w:ascii="Times New Roman" w:hAnsi="Times New Roman" w:cs="Times New Roman"/>
          <w:sz w:val="20"/>
          <w:szCs w:val="20"/>
        </w:rPr>
      </w:pPr>
      <w:r w:rsidRPr="00EA2388">
        <w:rPr>
          <w:rFonts w:ascii="Times New Roman" w:hAnsi="Times New Roman" w:cs="Times New Roman"/>
          <w:sz w:val="20"/>
          <w:szCs w:val="20"/>
        </w:rPr>
        <w:t xml:space="preserve">In-depth analysis of the FTIR </w:t>
      </w:r>
      <w:r w:rsidR="00B677D0">
        <w:rPr>
          <w:rFonts w:ascii="Times New Roman" w:hAnsi="Times New Roman" w:cs="Times New Roman"/>
          <w:sz w:val="20"/>
          <w:szCs w:val="20"/>
        </w:rPr>
        <w:t xml:space="preserve">and XPS </w:t>
      </w:r>
      <w:r w:rsidRPr="00EA2388">
        <w:rPr>
          <w:rFonts w:ascii="Times New Roman" w:hAnsi="Times New Roman" w:cs="Times New Roman"/>
          <w:sz w:val="20"/>
          <w:szCs w:val="20"/>
        </w:rPr>
        <w:t xml:space="preserve">spectra for </w:t>
      </w:r>
      <w:r w:rsidR="00B677D0">
        <w:rPr>
          <w:rFonts w:ascii="Times New Roman" w:hAnsi="Times New Roman" w:cs="Times New Roman"/>
          <w:sz w:val="20"/>
          <w:szCs w:val="20"/>
        </w:rPr>
        <w:t>the dual</w:t>
      </w:r>
      <w:r w:rsidRPr="00EA2388">
        <w:rPr>
          <w:rFonts w:ascii="Times New Roman" w:hAnsi="Times New Roman" w:cs="Times New Roman"/>
          <w:sz w:val="20"/>
          <w:szCs w:val="20"/>
        </w:rPr>
        <w:t xml:space="preserve"> matri</w:t>
      </w:r>
      <w:r>
        <w:rPr>
          <w:rFonts w:ascii="Times New Roman" w:hAnsi="Times New Roman" w:cs="Times New Roman" w:hint="eastAsia"/>
          <w:sz w:val="20"/>
          <w:szCs w:val="20"/>
        </w:rPr>
        <w:t>x</w:t>
      </w:r>
      <w:r w:rsidRPr="00EA2388">
        <w:rPr>
          <w:rFonts w:ascii="Times New Roman" w:hAnsi="Times New Roman" w:cs="Times New Roman"/>
          <w:sz w:val="20"/>
          <w:szCs w:val="20"/>
        </w:rPr>
        <w:t xml:space="preserve"> reveals significant characteristic peaks. For </w:t>
      </w:r>
      <w:r w:rsidR="00B677D0">
        <w:rPr>
          <w:rFonts w:ascii="Times New Roman" w:hAnsi="Times New Roman" w:cs="Times New Roman"/>
          <w:sz w:val="20"/>
          <w:szCs w:val="20"/>
        </w:rPr>
        <w:t xml:space="preserve">FTIR </w:t>
      </w:r>
      <w:r w:rsidR="00B677D0" w:rsidRPr="00EA2388">
        <w:rPr>
          <w:rFonts w:ascii="Times New Roman" w:hAnsi="Times New Roman" w:cs="Times New Roman"/>
          <w:sz w:val="20"/>
          <w:szCs w:val="20"/>
        </w:rPr>
        <w:t xml:space="preserve">spectra </w:t>
      </w:r>
      <w:r w:rsidR="00B677D0">
        <w:rPr>
          <w:rFonts w:ascii="Times New Roman" w:hAnsi="Times New Roman" w:cs="Times New Roman"/>
          <w:sz w:val="20"/>
          <w:szCs w:val="20"/>
        </w:rPr>
        <w:t xml:space="preserve">of </w:t>
      </w:r>
      <w:r w:rsidRPr="00EA2388">
        <w:rPr>
          <w:rFonts w:ascii="Times New Roman" w:hAnsi="Times New Roman" w:cs="Times New Roman"/>
          <w:sz w:val="20"/>
          <w:szCs w:val="20"/>
        </w:rPr>
        <w:t>CR</w:t>
      </w:r>
      <w:r w:rsidR="00B677D0">
        <w:rPr>
          <w:rFonts w:ascii="Times New Roman" w:hAnsi="Times New Roman" w:cs="Times New Roman"/>
          <w:sz w:val="20"/>
          <w:szCs w:val="20"/>
        </w:rPr>
        <w:t xml:space="preserve"> </w:t>
      </w:r>
      <w:r w:rsidR="00B677D0" w:rsidRPr="00EA2388">
        <w:rPr>
          <w:rFonts w:ascii="Times New Roman" w:hAnsi="Times New Roman" w:cs="Times New Roman"/>
          <w:sz w:val="20"/>
          <w:szCs w:val="20"/>
        </w:rPr>
        <w:t>matri</w:t>
      </w:r>
      <w:r w:rsidR="00B677D0">
        <w:rPr>
          <w:rFonts w:ascii="Times New Roman" w:hAnsi="Times New Roman" w:cs="Times New Roman" w:hint="eastAsia"/>
          <w:sz w:val="20"/>
          <w:szCs w:val="20"/>
        </w:rPr>
        <w:t>x</w:t>
      </w:r>
      <w:r w:rsidRPr="00EA2388">
        <w:rPr>
          <w:rFonts w:ascii="Times New Roman" w:hAnsi="Times New Roman" w:cs="Times New Roman"/>
          <w:sz w:val="20"/>
          <w:szCs w:val="20"/>
        </w:rPr>
        <w:t>, peaks at 1595 and 1431 cm</w:t>
      </w:r>
      <w:r w:rsidRPr="00EA238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EA2388">
        <w:rPr>
          <w:rFonts w:ascii="Times New Roman" w:hAnsi="Times New Roman" w:cs="Times New Roman"/>
          <w:sz w:val="20"/>
          <w:szCs w:val="20"/>
        </w:rPr>
        <w:t xml:space="preserve"> represent the vibrational absorption of the benzene ring. Additionally, peaks at 3073, 3051, 2963, and 697 cm</w:t>
      </w:r>
      <w:r w:rsidRPr="00EA2388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EA2388">
        <w:rPr>
          <w:rFonts w:ascii="Times New Roman" w:hAnsi="Times New Roman" w:cs="Times New Roman"/>
          <w:sz w:val="20"/>
          <w:szCs w:val="20"/>
        </w:rPr>
        <w:t xml:space="preserve"> correspond to C-H on the benzene ring. Peaks at 1264, 845, and 803 cm</w:t>
      </w:r>
      <w:r w:rsidRPr="00B677D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EA2388">
        <w:rPr>
          <w:rFonts w:ascii="Times New Roman" w:hAnsi="Times New Roman" w:cs="Times New Roman"/>
          <w:sz w:val="20"/>
          <w:szCs w:val="20"/>
        </w:rPr>
        <w:t xml:space="preserve"> represent vibrational absorption of the methyl group. Notably, the peaks at 1135 and 1027 cm</w:t>
      </w:r>
      <w:r w:rsidRPr="00B677D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EA2388">
        <w:rPr>
          <w:rFonts w:ascii="Times New Roman" w:hAnsi="Times New Roman" w:cs="Times New Roman"/>
          <w:sz w:val="20"/>
          <w:szCs w:val="20"/>
        </w:rPr>
        <w:t xml:space="preserve"> pertain to the -Si-O-Si- anti-symmetric stretching vibration. The presence of two double peaks of similar intensity suggests the formation of long-chain molecules.</w:t>
      </w:r>
      <w:r w:rsidR="00B677D0">
        <w:rPr>
          <w:rFonts w:ascii="Times New Roman" w:hAnsi="Times New Roman" w:cs="Times New Roman"/>
          <w:sz w:val="20"/>
          <w:szCs w:val="20"/>
        </w:rPr>
        <w:t xml:space="preserve"> </w:t>
      </w:r>
      <w:r w:rsidRPr="00EA2388">
        <w:rPr>
          <w:rFonts w:ascii="Times New Roman" w:hAnsi="Times New Roman" w:cs="Times New Roman"/>
          <w:sz w:val="20"/>
          <w:szCs w:val="20"/>
        </w:rPr>
        <w:t xml:space="preserve">For </w:t>
      </w:r>
      <w:proofErr w:type="spellStart"/>
      <w:r w:rsidRPr="00EA2388">
        <w:rPr>
          <w:rFonts w:ascii="Times New Roman" w:hAnsi="Times New Roman" w:cs="Times New Roman"/>
          <w:sz w:val="20"/>
          <w:szCs w:val="20"/>
        </w:rPr>
        <w:t>PRa</w:t>
      </w:r>
      <w:proofErr w:type="spellEnd"/>
      <w:r w:rsidR="00B677D0">
        <w:rPr>
          <w:rFonts w:ascii="Times New Roman" w:hAnsi="Times New Roman" w:cs="Times New Roman"/>
          <w:sz w:val="20"/>
          <w:szCs w:val="20"/>
        </w:rPr>
        <w:t xml:space="preserve"> </w:t>
      </w:r>
      <w:r w:rsidR="00B677D0" w:rsidRPr="00EA2388">
        <w:rPr>
          <w:rFonts w:ascii="Times New Roman" w:hAnsi="Times New Roman" w:cs="Times New Roman"/>
          <w:sz w:val="20"/>
          <w:szCs w:val="20"/>
        </w:rPr>
        <w:t>matri</w:t>
      </w:r>
      <w:r w:rsidR="00B677D0">
        <w:rPr>
          <w:rFonts w:ascii="Times New Roman" w:hAnsi="Times New Roman" w:cs="Times New Roman" w:hint="eastAsia"/>
          <w:sz w:val="20"/>
          <w:szCs w:val="20"/>
        </w:rPr>
        <w:t>x</w:t>
      </w:r>
      <w:r w:rsidRPr="00EA2388">
        <w:rPr>
          <w:rFonts w:ascii="Times New Roman" w:hAnsi="Times New Roman" w:cs="Times New Roman"/>
          <w:sz w:val="20"/>
          <w:szCs w:val="20"/>
        </w:rPr>
        <w:t>, the peaks at 2924 and 1466 cm</w:t>
      </w:r>
      <w:r w:rsidRPr="00B677D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EA2388">
        <w:rPr>
          <w:rFonts w:ascii="Times New Roman" w:hAnsi="Times New Roman" w:cs="Times New Roman"/>
          <w:sz w:val="20"/>
          <w:szCs w:val="20"/>
        </w:rPr>
        <w:t xml:space="preserve"> represent -CH</w:t>
      </w:r>
      <w:r w:rsidRPr="00B677D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A2388">
        <w:rPr>
          <w:rFonts w:ascii="Times New Roman" w:hAnsi="Times New Roman" w:cs="Times New Roman"/>
          <w:sz w:val="20"/>
          <w:szCs w:val="20"/>
        </w:rPr>
        <w:t>- groups connected to the benzene ring. Peaks at 1109 and 968 cm</w:t>
      </w:r>
      <w:r w:rsidRPr="00B677D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EA2388">
        <w:rPr>
          <w:rFonts w:ascii="Times New Roman" w:hAnsi="Times New Roman" w:cs="Times New Roman"/>
          <w:sz w:val="20"/>
          <w:szCs w:val="20"/>
        </w:rPr>
        <w:t xml:space="preserve"> correspond to -C-O-C-. The peaks at 2228 and 1272 cm</w:t>
      </w:r>
      <w:r w:rsidRPr="00B677D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EA2388">
        <w:rPr>
          <w:rFonts w:ascii="Times New Roman" w:hAnsi="Times New Roman" w:cs="Times New Roman"/>
          <w:sz w:val="20"/>
          <w:szCs w:val="20"/>
        </w:rPr>
        <w:t xml:space="preserve"> are characteristic of -C-N-C- originating from HMTA. Furthermore, the peaks at 794 cm</w:t>
      </w:r>
      <w:r w:rsidRPr="00B677D0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EA2388">
        <w:rPr>
          <w:rFonts w:ascii="Times New Roman" w:hAnsi="Times New Roman" w:cs="Times New Roman"/>
          <w:sz w:val="20"/>
          <w:szCs w:val="20"/>
        </w:rPr>
        <w:t xml:space="preserve"> suggest the presence of -Si-O- groups from silane, while peaks at 1717 and 1610 cm-1 indicate the presence of -C=C- bonds.</w:t>
      </w:r>
      <w:r w:rsidR="00B677D0">
        <w:rPr>
          <w:rFonts w:ascii="Times New Roman" w:hAnsi="Times New Roman" w:cs="Times New Roman"/>
          <w:sz w:val="20"/>
          <w:szCs w:val="20"/>
        </w:rPr>
        <w:t xml:space="preserve"> </w:t>
      </w:r>
      <w:r w:rsidRPr="00EA2388">
        <w:rPr>
          <w:rFonts w:ascii="Times New Roman" w:hAnsi="Times New Roman" w:cs="Times New Roman"/>
          <w:sz w:val="20"/>
          <w:szCs w:val="20"/>
        </w:rPr>
        <w:t xml:space="preserve">In </w:t>
      </w:r>
      <w:r w:rsidR="00B677D0" w:rsidRPr="00EA2388">
        <w:rPr>
          <w:rFonts w:ascii="Times New Roman" w:hAnsi="Times New Roman" w:cs="Times New Roman"/>
          <w:sz w:val="20"/>
          <w:szCs w:val="20"/>
        </w:rPr>
        <w:t>XPS spectra</w:t>
      </w:r>
      <w:r w:rsidR="00B677D0">
        <w:rPr>
          <w:rFonts w:ascii="Times New Roman" w:hAnsi="Times New Roman" w:cs="Times New Roman"/>
          <w:sz w:val="20"/>
          <w:szCs w:val="20"/>
        </w:rPr>
        <w:t xml:space="preserve"> of CR</w:t>
      </w:r>
      <w:r w:rsidRPr="00EA2388">
        <w:rPr>
          <w:rFonts w:ascii="Times New Roman" w:hAnsi="Times New Roman" w:cs="Times New Roman"/>
          <w:sz w:val="20"/>
          <w:szCs w:val="20"/>
        </w:rPr>
        <w:t>, the C 1s spectra at 284.2, 285.0</w:t>
      </w:r>
      <w:r w:rsidR="00B677D0">
        <w:rPr>
          <w:rFonts w:ascii="Times New Roman" w:hAnsi="Times New Roman" w:cs="Times New Roman"/>
          <w:sz w:val="20"/>
          <w:szCs w:val="20"/>
        </w:rPr>
        <w:t xml:space="preserve"> </w:t>
      </w:r>
      <w:r w:rsidRPr="00EA2388">
        <w:rPr>
          <w:rFonts w:ascii="Times New Roman" w:hAnsi="Times New Roman" w:cs="Times New Roman"/>
          <w:sz w:val="20"/>
          <w:szCs w:val="20"/>
        </w:rPr>
        <w:t xml:space="preserve">and 288.5 eV correspond to C-Si, C=C, and C=O bonds, respectively, with 282.5 eV corresponding to ceramic </w:t>
      </w:r>
      <w:proofErr w:type="spellStart"/>
      <w:r w:rsidRPr="00EA2388">
        <w:rPr>
          <w:rFonts w:ascii="Times New Roman" w:hAnsi="Times New Roman" w:cs="Times New Roman"/>
          <w:sz w:val="20"/>
          <w:szCs w:val="20"/>
        </w:rPr>
        <w:t>SiC.</w:t>
      </w:r>
      <w:proofErr w:type="spellEnd"/>
      <w:r w:rsidRPr="00EA2388">
        <w:rPr>
          <w:rFonts w:ascii="Times New Roman" w:hAnsi="Times New Roman" w:cs="Times New Roman"/>
          <w:sz w:val="20"/>
          <w:szCs w:val="20"/>
        </w:rPr>
        <w:t xml:space="preserve"> The Si 2p spectra at 102.5 and 100.1 eV correspond to Si-O and Si-C bonds, respectively.</w:t>
      </w:r>
      <w:r w:rsidR="00B677D0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677D0" w:rsidRPr="00B677D0">
        <w:rPr>
          <w:rFonts w:ascii="Times New Roman" w:hAnsi="Times New Roman" w:cs="Times New Roman"/>
          <w:sz w:val="20"/>
          <w:szCs w:val="20"/>
        </w:rPr>
        <w:t xml:space="preserve">In terms of </w:t>
      </w:r>
      <w:proofErr w:type="spellStart"/>
      <w:r w:rsidR="00B677D0" w:rsidRPr="00B677D0">
        <w:rPr>
          <w:rFonts w:ascii="Times New Roman" w:hAnsi="Times New Roman" w:cs="Times New Roman"/>
          <w:sz w:val="20"/>
          <w:szCs w:val="20"/>
        </w:rPr>
        <w:t>PRa</w:t>
      </w:r>
      <w:proofErr w:type="spellEnd"/>
      <w:r w:rsidRPr="00EA2388">
        <w:rPr>
          <w:rFonts w:ascii="Times New Roman" w:hAnsi="Times New Roman" w:cs="Times New Roman"/>
          <w:sz w:val="20"/>
          <w:szCs w:val="20"/>
        </w:rPr>
        <w:t>, the C 1s spectrum at 285.45 eV corresponds to C-O bonds, while the Si 2p spectrum reveals peaks at 104.7, 103.9, and 103.3 eV, corresponding to Si-C, Si-O-C, and Si-OH, respectively.</w:t>
      </w:r>
    </w:p>
    <w:p w14:paraId="3F17D02F" w14:textId="06BEDED5" w:rsidR="00EA2388" w:rsidRDefault="00EA2388" w:rsidP="00B677D0">
      <w:pPr>
        <w:ind w:firstLine="420"/>
        <w:rPr>
          <w:rFonts w:ascii="Times New Roman" w:hAnsi="Times New Roman" w:cs="Times New Roman"/>
          <w:sz w:val="20"/>
          <w:szCs w:val="20"/>
        </w:rPr>
      </w:pPr>
      <w:r w:rsidRPr="00EA2388">
        <w:rPr>
          <w:rFonts w:ascii="Times New Roman" w:hAnsi="Times New Roman" w:cs="Times New Roman"/>
          <w:sz w:val="20"/>
          <w:szCs w:val="20"/>
        </w:rPr>
        <w:t xml:space="preserve">To assess thermal stability, SR, CR, and </w:t>
      </w:r>
      <w:proofErr w:type="spellStart"/>
      <w:r w:rsidRPr="00EA2388">
        <w:rPr>
          <w:rFonts w:ascii="Times New Roman" w:hAnsi="Times New Roman" w:cs="Times New Roman"/>
          <w:sz w:val="20"/>
          <w:szCs w:val="20"/>
        </w:rPr>
        <w:t>PRa</w:t>
      </w:r>
      <w:proofErr w:type="spellEnd"/>
      <w:r w:rsidRPr="00EA2388">
        <w:rPr>
          <w:rFonts w:ascii="Times New Roman" w:hAnsi="Times New Roman" w:cs="Times New Roman"/>
          <w:sz w:val="20"/>
          <w:szCs w:val="20"/>
        </w:rPr>
        <w:t xml:space="preserve"> were tested in an argon atmosphere from room temperature to 1100°C. The weight loss patterns of SR and CR are similar, with rapid weight loss at 460.3°C due to the detachment of side-chain methyl groups and benzene rings, significant thermal loss at 563.8°C attributed to the breakage of C=C and Si-O bonds, and a loss at 744.1°C, possibly originating from the vaporization of B</w:t>
      </w:r>
      <w:r w:rsidRPr="00B677D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A2388">
        <w:rPr>
          <w:rFonts w:ascii="Times New Roman" w:hAnsi="Times New Roman" w:cs="Times New Roman"/>
          <w:sz w:val="20"/>
          <w:szCs w:val="20"/>
        </w:rPr>
        <w:t>O</w:t>
      </w:r>
      <w:r w:rsidRPr="00B677D0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A2388">
        <w:rPr>
          <w:rFonts w:ascii="Times New Roman" w:hAnsi="Times New Roman" w:cs="Times New Roman"/>
          <w:sz w:val="20"/>
          <w:szCs w:val="20"/>
        </w:rPr>
        <w:t xml:space="preserve"> from the ceramic particles. The presence of ceramic particles in CR results in higher weight retention at 1100°C.</w:t>
      </w:r>
      <w:r w:rsidR="00B677D0">
        <w:rPr>
          <w:rFonts w:ascii="Times New Roman" w:hAnsi="Times New Roman" w:cs="Times New Roman"/>
          <w:sz w:val="20"/>
          <w:szCs w:val="20"/>
        </w:rPr>
        <w:t xml:space="preserve"> </w:t>
      </w:r>
      <w:r w:rsidRPr="00EA2388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EA2388">
        <w:rPr>
          <w:rFonts w:ascii="Times New Roman" w:hAnsi="Times New Roman" w:cs="Times New Roman"/>
          <w:sz w:val="20"/>
          <w:szCs w:val="20"/>
        </w:rPr>
        <w:t>PRa</w:t>
      </w:r>
      <w:proofErr w:type="spellEnd"/>
      <w:r w:rsidRPr="00EA2388">
        <w:rPr>
          <w:rFonts w:ascii="Times New Roman" w:hAnsi="Times New Roman" w:cs="Times New Roman"/>
          <w:sz w:val="20"/>
          <w:szCs w:val="20"/>
        </w:rPr>
        <w:t>, substantial weight loss occurs at 546.2°C, arising from the breakage of -CH</w:t>
      </w:r>
      <w:r w:rsidRPr="00B677D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A2388">
        <w:rPr>
          <w:rFonts w:ascii="Times New Roman" w:hAnsi="Times New Roman" w:cs="Times New Roman"/>
          <w:sz w:val="20"/>
          <w:szCs w:val="20"/>
        </w:rPr>
        <w:t>- bridges and benzene rings. Additional thermal weight loss data are provided in Table S2</w:t>
      </w:r>
      <w:r w:rsidR="00B677D0">
        <w:rPr>
          <w:rFonts w:ascii="Times New Roman" w:hAnsi="Times New Roman" w:cs="Times New Roman"/>
          <w:sz w:val="20"/>
          <w:szCs w:val="20"/>
        </w:rPr>
        <w:t>.</w:t>
      </w:r>
    </w:p>
    <w:p w14:paraId="1450F362" w14:textId="744EB8E9" w:rsidR="006B139F" w:rsidRPr="00517880" w:rsidRDefault="006B139F" w:rsidP="006B139F">
      <w:pPr>
        <w:pStyle w:val="XY-"/>
        <w:rPr>
          <w:color w:val="000000" w:themeColor="text1"/>
          <w:sz w:val="20"/>
          <w:szCs w:val="20"/>
        </w:rPr>
      </w:pPr>
      <w:r w:rsidRPr="00517880">
        <w:rPr>
          <w:rFonts w:hint="eastAsia"/>
          <w:color w:val="000000" w:themeColor="text1"/>
          <w:sz w:val="20"/>
          <w:szCs w:val="20"/>
        </w:rPr>
        <w:t>T</w:t>
      </w:r>
      <w:r w:rsidRPr="00517880">
        <w:rPr>
          <w:color w:val="000000" w:themeColor="text1"/>
          <w:sz w:val="20"/>
          <w:szCs w:val="20"/>
        </w:rPr>
        <w:t>able S</w:t>
      </w:r>
      <w:r w:rsidR="002E152E" w:rsidRPr="00517880">
        <w:rPr>
          <w:color w:val="000000" w:themeColor="text1"/>
          <w:sz w:val="20"/>
          <w:szCs w:val="20"/>
        </w:rPr>
        <w:t>2</w:t>
      </w:r>
      <w:r w:rsidRPr="00517880">
        <w:rPr>
          <w:color w:val="000000" w:themeColor="text1"/>
          <w:sz w:val="20"/>
          <w:szCs w:val="20"/>
        </w:rPr>
        <w:t xml:space="preserve"> Characteristic temperature and weight loss of </w:t>
      </w:r>
      <w:r w:rsidRPr="00517880">
        <w:rPr>
          <w:rFonts w:hint="eastAsia"/>
          <w:color w:val="000000" w:themeColor="text1"/>
          <w:sz w:val="20"/>
          <w:szCs w:val="20"/>
        </w:rPr>
        <w:t>resin</w:t>
      </w:r>
      <w:r w:rsidRPr="00517880">
        <w:rPr>
          <w:color w:val="000000" w:themeColor="text1"/>
          <w:sz w:val="20"/>
          <w:szCs w:val="20"/>
        </w:rPr>
        <w:t xml:space="preserve"> matrix</w:t>
      </w:r>
    </w:p>
    <w:tbl>
      <w:tblPr>
        <w:tblStyle w:val="HI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992"/>
        <w:gridCol w:w="847"/>
        <w:gridCol w:w="851"/>
        <w:gridCol w:w="759"/>
        <w:gridCol w:w="1013"/>
        <w:gridCol w:w="1013"/>
        <w:gridCol w:w="1126"/>
      </w:tblGrid>
      <w:tr w:rsidR="006B139F" w:rsidRPr="00517880" w14:paraId="3E90E4EA" w14:textId="77777777" w:rsidTr="00EB11E8">
        <w:trPr>
          <w:trHeight w:val="189"/>
        </w:trPr>
        <w:tc>
          <w:tcPr>
            <w:tcW w:w="1026" w:type="pct"/>
            <w:tcBorders>
              <w:top w:val="single" w:sz="12" w:space="0" w:color="auto"/>
              <w:bottom w:val="single" w:sz="8" w:space="0" w:color="auto"/>
            </w:tcBorders>
          </w:tcPr>
          <w:p w14:paraId="0095A849" w14:textId="02D656E0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S</w:t>
            </w:r>
            <w:r w:rsidRPr="00517880">
              <w:rPr>
                <w:color w:val="000000" w:themeColor="text1"/>
                <w:sz w:val="20"/>
                <w:szCs w:val="20"/>
              </w:rPr>
              <w:t>ample</w:t>
            </w:r>
            <w:r w:rsidR="0001229B" w:rsidRPr="00517880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597" w:type="pct"/>
            <w:tcBorders>
              <w:top w:val="single" w:sz="12" w:space="0" w:color="auto"/>
              <w:bottom w:val="single" w:sz="8" w:space="0" w:color="auto"/>
            </w:tcBorders>
          </w:tcPr>
          <w:p w14:paraId="0865960C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  <w:vertAlign w:val="subscript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T</w:t>
            </w:r>
            <w:r w:rsidRPr="00517880">
              <w:rPr>
                <w:rFonts w:hint="eastAsia"/>
                <w:color w:val="000000" w:themeColor="text1"/>
                <w:sz w:val="20"/>
                <w:szCs w:val="20"/>
                <w:vertAlign w:val="subscript"/>
              </w:rPr>
              <w:t>5%</w:t>
            </w:r>
          </w:p>
          <w:p w14:paraId="3C39ED34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517880">
              <w:rPr>
                <w:rFonts w:cs="Times New Roman"/>
                <w:color w:val="000000" w:themeColor="text1"/>
                <w:sz w:val="20"/>
                <w:szCs w:val="20"/>
              </w:rPr>
              <w:t>℃</w:t>
            </w: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0" w:type="pct"/>
            <w:tcBorders>
              <w:top w:val="single" w:sz="12" w:space="0" w:color="auto"/>
              <w:bottom w:val="single" w:sz="8" w:space="0" w:color="auto"/>
            </w:tcBorders>
          </w:tcPr>
          <w:p w14:paraId="154DB4A1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  <w:vertAlign w:val="subscript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T</w:t>
            </w:r>
            <w:r w:rsidRPr="00517880">
              <w:rPr>
                <w:rFonts w:hint="eastAsia"/>
                <w:color w:val="000000" w:themeColor="text1"/>
                <w:sz w:val="20"/>
                <w:szCs w:val="20"/>
                <w:vertAlign w:val="subscript"/>
              </w:rPr>
              <w:t>10%</w:t>
            </w:r>
          </w:p>
          <w:p w14:paraId="61174048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517880">
              <w:rPr>
                <w:rFonts w:cs="Times New Roman"/>
                <w:color w:val="000000" w:themeColor="text1"/>
                <w:sz w:val="20"/>
                <w:szCs w:val="20"/>
              </w:rPr>
              <w:t>℃</w:t>
            </w: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8" w:space="0" w:color="auto"/>
            </w:tcBorders>
          </w:tcPr>
          <w:p w14:paraId="5409E20C" w14:textId="01C595DE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bookmarkStart w:id="0" w:name="OLE_LINK60"/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T</w:t>
            </w:r>
            <w:r w:rsidRPr="00517880">
              <w:rPr>
                <w:rFonts w:hint="eastAsia"/>
                <w:color w:val="000000" w:themeColor="text1"/>
                <w:sz w:val="20"/>
                <w:szCs w:val="20"/>
                <w:vertAlign w:val="subscript"/>
              </w:rPr>
              <w:t>d</w:t>
            </w:r>
            <w:r w:rsidR="002E152E" w:rsidRPr="00517880">
              <w:rPr>
                <w:rFonts w:hint="eastAsia"/>
                <w:color w:val="000000" w:themeColor="text1"/>
                <w:sz w:val="20"/>
                <w:szCs w:val="20"/>
                <w:vertAlign w:val="subscript"/>
              </w:rPr>
              <w:t>,</w:t>
            </w:r>
            <w:r w:rsidR="00B677D0" w:rsidRPr="00517880">
              <w:rPr>
                <w:color w:val="000000" w:themeColor="text1"/>
                <w:sz w:val="20"/>
                <w:szCs w:val="20"/>
                <w:vertAlign w:val="subscript"/>
              </w:rPr>
              <w:t xml:space="preserve"> </w:t>
            </w:r>
            <w:r w:rsidRPr="00517880">
              <w:rPr>
                <w:rFonts w:hint="eastAsia"/>
                <w:color w:val="000000" w:themeColor="text1"/>
                <w:sz w:val="20"/>
                <w:szCs w:val="20"/>
                <w:vertAlign w:val="subscript"/>
              </w:rPr>
              <w:t>max</w:t>
            </w:r>
          </w:p>
          <w:bookmarkEnd w:id="0"/>
          <w:p w14:paraId="1A31C2AC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517880">
              <w:rPr>
                <w:rFonts w:cs="Times New Roman"/>
                <w:color w:val="000000" w:themeColor="text1"/>
                <w:sz w:val="20"/>
                <w:szCs w:val="20"/>
              </w:rPr>
              <w:t>℃)</w:t>
            </w:r>
          </w:p>
        </w:tc>
        <w:tc>
          <w:tcPr>
            <w:tcW w:w="457" w:type="pct"/>
            <w:tcBorders>
              <w:top w:val="single" w:sz="12" w:space="0" w:color="auto"/>
              <w:bottom w:val="single" w:sz="8" w:space="0" w:color="auto"/>
            </w:tcBorders>
          </w:tcPr>
          <w:p w14:paraId="020611EF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R</w:t>
            </w:r>
            <w:r w:rsidRPr="00517880">
              <w:rPr>
                <w:rFonts w:hint="eastAsia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517880">
              <w:rPr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517880">
              <w:rPr>
                <w:rFonts w:hint="eastAsia"/>
                <w:color w:val="000000" w:themeColor="text1"/>
                <w:sz w:val="20"/>
                <w:szCs w:val="20"/>
                <w:vertAlign w:val="subscript"/>
              </w:rPr>
              <w:t>00</w:t>
            </w:r>
            <w:r w:rsidRPr="00517880">
              <w:rPr>
                <w:rFonts w:hint="eastAsia"/>
                <w:color w:val="000000" w:themeColor="text1"/>
                <w:sz w:val="20"/>
                <w:szCs w:val="20"/>
                <w:vertAlign w:val="subscript"/>
              </w:rPr>
              <w:t>℃</w:t>
            </w:r>
          </w:p>
          <w:p w14:paraId="3DEAC24F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610" w:type="pct"/>
            <w:tcBorders>
              <w:top w:val="single" w:sz="12" w:space="0" w:color="auto"/>
              <w:bottom w:val="single" w:sz="8" w:space="0" w:color="auto"/>
            </w:tcBorders>
          </w:tcPr>
          <w:p w14:paraId="722D2B4A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200-400</w:t>
            </w:r>
            <w:r w:rsidRPr="00517880">
              <w:rPr>
                <w:rFonts w:cs="Times New Roman"/>
                <w:color w:val="000000" w:themeColor="text1"/>
                <w:sz w:val="20"/>
                <w:szCs w:val="20"/>
              </w:rPr>
              <w:t>℃</w:t>
            </w:r>
          </w:p>
          <w:p w14:paraId="49E29784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610" w:type="pct"/>
            <w:tcBorders>
              <w:top w:val="single" w:sz="12" w:space="0" w:color="auto"/>
              <w:bottom w:val="single" w:sz="8" w:space="0" w:color="auto"/>
            </w:tcBorders>
          </w:tcPr>
          <w:p w14:paraId="14DB7082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400-800</w:t>
            </w:r>
            <w:r w:rsidRPr="00517880">
              <w:rPr>
                <w:rFonts w:cs="Times New Roman"/>
                <w:color w:val="000000" w:themeColor="text1"/>
                <w:sz w:val="20"/>
                <w:szCs w:val="20"/>
              </w:rPr>
              <w:t>℃</w:t>
            </w:r>
          </w:p>
          <w:p w14:paraId="4177DEA1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678" w:type="pct"/>
            <w:tcBorders>
              <w:top w:val="single" w:sz="12" w:space="0" w:color="auto"/>
              <w:bottom w:val="single" w:sz="8" w:space="0" w:color="auto"/>
            </w:tcBorders>
          </w:tcPr>
          <w:p w14:paraId="2EA49131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800-1</w:t>
            </w:r>
            <w:r w:rsidRPr="00517880">
              <w:rPr>
                <w:color w:val="000000" w:themeColor="text1"/>
                <w:sz w:val="20"/>
                <w:szCs w:val="20"/>
              </w:rPr>
              <w:t>0</w:t>
            </w: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00</w:t>
            </w:r>
            <w:r w:rsidRPr="00517880">
              <w:rPr>
                <w:rFonts w:cs="Times New Roman"/>
                <w:color w:val="000000" w:themeColor="text1"/>
                <w:sz w:val="20"/>
                <w:szCs w:val="20"/>
              </w:rPr>
              <w:t>℃</w:t>
            </w:r>
          </w:p>
          <w:p w14:paraId="7A62E24F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(%)</w:t>
            </w:r>
          </w:p>
        </w:tc>
      </w:tr>
      <w:tr w:rsidR="006B139F" w:rsidRPr="00517880" w14:paraId="6F173733" w14:textId="77777777" w:rsidTr="00EB11E8">
        <w:trPr>
          <w:trHeight w:val="40"/>
        </w:trPr>
        <w:tc>
          <w:tcPr>
            <w:tcW w:w="1026" w:type="pct"/>
            <w:tcBorders>
              <w:top w:val="nil"/>
              <w:bottom w:val="nil"/>
            </w:tcBorders>
          </w:tcPr>
          <w:p w14:paraId="57AAB45B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Si</w:t>
            </w:r>
            <w:r w:rsidRPr="00517880">
              <w:rPr>
                <w:color w:val="000000" w:themeColor="text1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597" w:type="pct"/>
            <w:tcBorders>
              <w:top w:val="nil"/>
              <w:bottom w:val="nil"/>
            </w:tcBorders>
          </w:tcPr>
          <w:p w14:paraId="4AD5EE9C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4</w:t>
            </w:r>
            <w:r w:rsidRPr="00517880">
              <w:rPr>
                <w:color w:val="000000" w:themeColor="text1"/>
                <w:sz w:val="20"/>
                <w:szCs w:val="20"/>
              </w:rPr>
              <w:t>15.88</w:t>
            </w:r>
          </w:p>
        </w:tc>
        <w:tc>
          <w:tcPr>
            <w:tcW w:w="510" w:type="pct"/>
            <w:tcBorders>
              <w:top w:val="nil"/>
              <w:bottom w:val="nil"/>
            </w:tcBorders>
          </w:tcPr>
          <w:p w14:paraId="0C2FB190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4</w:t>
            </w:r>
            <w:r w:rsidRPr="00517880">
              <w:rPr>
                <w:color w:val="000000" w:themeColor="text1"/>
                <w:sz w:val="20"/>
                <w:szCs w:val="20"/>
              </w:rPr>
              <w:t>63.32</w:t>
            </w:r>
          </w:p>
        </w:tc>
        <w:tc>
          <w:tcPr>
            <w:tcW w:w="512" w:type="pct"/>
            <w:tcBorders>
              <w:top w:val="nil"/>
              <w:bottom w:val="nil"/>
            </w:tcBorders>
          </w:tcPr>
          <w:p w14:paraId="1CBBA174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17880">
              <w:rPr>
                <w:color w:val="000000" w:themeColor="text1"/>
                <w:sz w:val="20"/>
                <w:szCs w:val="20"/>
              </w:rPr>
              <w:t>63.8</w:t>
            </w:r>
          </w:p>
        </w:tc>
        <w:tc>
          <w:tcPr>
            <w:tcW w:w="457" w:type="pct"/>
            <w:tcBorders>
              <w:top w:val="nil"/>
              <w:bottom w:val="nil"/>
            </w:tcBorders>
          </w:tcPr>
          <w:p w14:paraId="652DA532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517880">
              <w:rPr>
                <w:color w:val="000000" w:themeColor="text1"/>
                <w:sz w:val="20"/>
                <w:szCs w:val="20"/>
              </w:rPr>
              <w:t>0.50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14:paraId="23276900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4</w:t>
            </w:r>
            <w:r w:rsidRPr="00517880">
              <w:rPr>
                <w:color w:val="000000" w:themeColor="text1"/>
                <w:sz w:val="20"/>
                <w:szCs w:val="20"/>
              </w:rPr>
              <w:t>.06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14:paraId="39F3E5D0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517880">
              <w:rPr>
                <w:color w:val="000000" w:themeColor="text1"/>
                <w:sz w:val="20"/>
                <w:szCs w:val="20"/>
              </w:rPr>
              <w:t>4.45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14:paraId="5CC43AF9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517880">
              <w:rPr>
                <w:color w:val="000000" w:themeColor="text1"/>
                <w:sz w:val="20"/>
                <w:szCs w:val="20"/>
              </w:rPr>
              <w:t>.90</w:t>
            </w:r>
          </w:p>
        </w:tc>
      </w:tr>
      <w:tr w:rsidR="006B139F" w:rsidRPr="00517880" w14:paraId="0444EF4F" w14:textId="77777777" w:rsidTr="00EB11E8">
        <w:trPr>
          <w:trHeight w:val="60"/>
        </w:trPr>
        <w:tc>
          <w:tcPr>
            <w:tcW w:w="1026" w:type="pct"/>
            <w:tcBorders>
              <w:top w:val="nil"/>
              <w:bottom w:val="nil"/>
            </w:tcBorders>
          </w:tcPr>
          <w:p w14:paraId="68AD8A13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color w:val="000000" w:themeColor="text1"/>
                <w:sz w:val="20"/>
                <w:szCs w:val="20"/>
              </w:rPr>
              <w:t>C</w:t>
            </w:r>
            <w:r w:rsidRPr="00517880">
              <w:rPr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517880">
              <w:rPr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597" w:type="pct"/>
            <w:tcBorders>
              <w:top w:val="nil"/>
              <w:bottom w:val="nil"/>
            </w:tcBorders>
          </w:tcPr>
          <w:p w14:paraId="6496E021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17880">
              <w:rPr>
                <w:color w:val="000000" w:themeColor="text1"/>
                <w:sz w:val="20"/>
                <w:szCs w:val="20"/>
              </w:rPr>
              <w:t>18.96</w:t>
            </w:r>
          </w:p>
        </w:tc>
        <w:tc>
          <w:tcPr>
            <w:tcW w:w="510" w:type="pct"/>
            <w:tcBorders>
              <w:top w:val="nil"/>
              <w:bottom w:val="nil"/>
            </w:tcBorders>
          </w:tcPr>
          <w:p w14:paraId="0B213B0B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nil"/>
              <w:bottom w:val="nil"/>
            </w:tcBorders>
            <w:vAlign w:val="top"/>
          </w:tcPr>
          <w:p w14:paraId="14E2BB70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17880">
              <w:rPr>
                <w:color w:val="000000" w:themeColor="text1"/>
                <w:sz w:val="20"/>
                <w:szCs w:val="20"/>
              </w:rPr>
              <w:t>63.8</w:t>
            </w:r>
          </w:p>
        </w:tc>
        <w:tc>
          <w:tcPr>
            <w:tcW w:w="457" w:type="pct"/>
            <w:tcBorders>
              <w:top w:val="nil"/>
              <w:bottom w:val="nil"/>
            </w:tcBorders>
          </w:tcPr>
          <w:p w14:paraId="593D7221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9</w:t>
            </w:r>
            <w:r w:rsidRPr="00517880">
              <w:rPr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14:paraId="25504FE8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  <w:r w:rsidRPr="00517880">
              <w:rPr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14:paraId="15162AAF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7</w:t>
            </w:r>
            <w:r w:rsidRPr="00517880">
              <w:rPr>
                <w:color w:val="000000" w:themeColor="text1"/>
                <w:sz w:val="20"/>
                <w:szCs w:val="20"/>
              </w:rPr>
              <w:t>.67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14:paraId="0E704648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517880">
              <w:rPr>
                <w:color w:val="000000" w:themeColor="text1"/>
                <w:sz w:val="20"/>
                <w:szCs w:val="20"/>
              </w:rPr>
              <w:t>.21</w:t>
            </w:r>
          </w:p>
        </w:tc>
      </w:tr>
      <w:tr w:rsidR="006B139F" w:rsidRPr="00517880" w14:paraId="7835B612" w14:textId="77777777" w:rsidTr="00EB11E8">
        <w:trPr>
          <w:trHeight w:val="60"/>
        </w:trPr>
        <w:tc>
          <w:tcPr>
            <w:tcW w:w="1026" w:type="pct"/>
            <w:tcBorders>
              <w:top w:val="nil"/>
              <w:bottom w:val="nil"/>
            </w:tcBorders>
          </w:tcPr>
          <w:p w14:paraId="639D512F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color w:val="000000" w:themeColor="text1"/>
                <w:sz w:val="20"/>
                <w:szCs w:val="20"/>
              </w:rPr>
              <w:t>C</w:t>
            </w:r>
            <w:r w:rsidRPr="00517880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517880">
              <w:rPr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597" w:type="pct"/>
            <w:tcBorders>
              <w:top w:val="nil"/>
              <w:bottom w:val="nil"/>
            </w:tcBorders>
          </w:tcPr>
          <w:p w14:paraId="25406DB7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17880">
              <w:rPr>
                <w:color w:val="000000" w:themeColor="text1"/>
                <w:sz w:val="20"/>
                <w:szCs w:val="20"/>
              </w:rPr>
              <w:t>33.66</w:t>
            </w:r>
          </w:p>
        </w:tc>
        <w:tc>
          <w:tcPr>
            <w:tcW w:w="510" w:type="pct"/>
            <w:tcBorders>
              <w:top w:val="nil"/>
              <w:bottom w:val="nil"/>
            </w:tcBorders>
          </w:tcPr>
          <w:p w14:paraId="33BDBFB3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nil"/>
              <w:bottom w:val="nil"/>
            </w:tcBorders>
            <w:vAlign w:val="top"/>
          </w:tcPr>
          <w:p w14:paraId="1170150A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17880">
              <w:rPr>
                <w:color w:val="000000" w:themeColor="text1"/>
                <w:sz w:val="20"/>
                <w:szCs w:val="20"/>
              </w:rPr>
              <w:t>63.8</w:t>
            </w:r>
          </w:p>
        </w:tc>
        <w:tc>
          <w:tcPr>
            <w:tcW w:w="457" w:type="pct"/>
            <w:tcBorders>
              <w:top w:val="nil"/>
              <w:bottom w:val="nil"/>
            </w:tcBorders>
          </w:tcPr>
          <w:p w14:paraId="13E3E066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9</w:t>
            </w:r>
            <w:r w:rsidRPr="00517880">
              <w:rPr>
                <w:color w:val="000000" w:themeColor="text1"/>
                <w:sz w:val="20"/>
                <w:szCs w:val="20"/>
              </w:rPr>
              <w:t>1.65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14:paraId="282472A3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517880">
              <w:rPr>
                <w:color w:val="000000" w:themeColor="text1"/>
                <w:sz w:val="20"/>
                <w:szCs w:val="20"/>
              </w:rPr>
              <w:t>.67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14:paraId="194E98EE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517880">
              <w:rPr>
                <w:color w:val="000000" w:themeColor="text1"/>
                <w:sz w:val="20"/>
                <w:szCs w:val="20"/>
              </w:rPr>
              <w:t>.52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14:paraId="774DA166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517880">
              <w:rPr>
                <w:color w:val="000000" w:themeColor="text1"/>
                <w:sz w:val="20"/>
                <w:szCs w:val="20"/>
              </w:rPr>
              <w:t>.16</w:t>
            </w:r>
          </w:p>
        </w:tc>
      </w:tr>
      <w:tr w:rsidR="006B139F" w:rsidRPr="00517880" w14:paraId="58655F02" w14:textId="77777777" w:rsidTr="005F6029">
        <w:tc>
          <w:tcPr>
            <w:tcW w:w="1026" w:type="pct"/>
            <w:tcBorders>
              <w:top w:val="nil"/>
              <w:bottom w:val="nil"/>
            </w:tcBorders>
          </w:tcPr>
          <w:p w14:paraId="3F96BFA8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color w:val="000000" w:themeColor="text1"/>
                <w:sz w:val="20"/>
                <w:szCs w:val="20"/>
              </w:rPr>
              <w:t>C</w:t>
            </w:r>
            <w:r w:rsidRPr="00517880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  <w:r w:rsidRPr="00517880">
              <w:rPr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597" w:type="pct"/>
            <w:tcBorders>
              <w:top w:val="nil"/>
              <w:bottom w:val="nil"/>
            </w:tcBorders>
          </w:tcPr>
          <w:p w14:paraId="15437842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17880">
              <w:rPr>
                <w:color w:val="000000" w:themeColor="text1"/>
                <w:sz w:val="20"/>
                <w:szCs w:val="20"/>
              </w:rPr>
              <w:t>47.47</w:t>
            </w:r>
          </w:p>
        </w:tc>
        <w:tc>
          <w:tcPr>
            <w:tcW w:w="510" w:type="pct"/>
            <w:tcBorders>
              <w:top w:val="nil"/>
              <w:bottom w:val="nil"/>
            </w:tcBorders>
          </w:tcPr>
          <w:p w14:paraId="586948DA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nil"/>
              <w:bottom w:val="nil"/>
            </w:tcBorders>
            <w:vAlign w:val="top"/>
          </w:tcPr>
          <w:p w14:paraId="5A1CBAF8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517880">
              <w:rPr>
                <w:color w:val="000000" w:themeColor="text1"/>
                <w:sz w:val="20"/>
                <w:szCs w:val="20"/>
              </w:rPr>
              <w:t>63.8</w:t>
            </w:r>
          </w:p>
        </w:tc>
        <w:tc>
          <w:tcPr>
            <w:tcW w:w="457" w:type="pct"/>
            <w:tcBorders>
              <w:top w:val="nil"/>
              <w:bottom w:val="nil"/>
            </w:tcBorders>
          </w:tcPr>
          <w:p w14:paraId="1B3DABE4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9</w:t>
            </w:r>
            <w:r w:rsidRPr="00517880">
              <w:rPr>
                <w:color w:val="000000" w:themeColor="text1"/>
                <w:sz w:val="20"/>
                <w:szCs w:val="20"/>
              </w:rPr>
              <w:t>0.86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14:paraId="27F7FD9B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517880">
              <w:rPr>
                <w:color w:val="000000" w:themeColor="text1"/>
                <w:sz w:val="20"/>
                <w:szCs w:val="20"/>
              </w:rPr>
              <w:t>.85</w:t>
            </w:r>
          </w:p>
        </w:tc>
        <w:tc>
          <w:tcPr>
            <w:tcW w:w="610" w:type="pct"/>
            <w:tcBorders>
              <w:top w:val="nil"/>
              <w:bottom w:val="nil"/>
            </w:tcBorders>
          </w:tcPr>
          <w:p w14:paraId="6FC8EA7D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7</w:t>
            </w:r>
            <w:r w:rsidRPr="00517880">
              <w:rPr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678" w:type="pct"/>
            <w:tcBorders>
              <w:top w:val="nil"/>
              <w:bottom w:val="nil"/>
            </w:tcBorders>
          </w:tcPr>
          <w:p w14:paraId="09D8ACAF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517880">
              <w:rPr>
                <w:color w:val="000000" w:themeColor="text1"/>
                <w:sz w:val="20"/>
                <w:szCs w:val="20"/>
              </w:rPr>
              <w:t>.19</w:t>
            </w:r>
          </w:p>
        </w:tc>
      </w:tr>
      <w:tr w:rsidR="006B139F" w:rsidRPr="00517880" w14:paraId="1E5A2538" w14:textId="77777777" w:rsidTr="00EB11E8">
        <w:trPr>
          <w:trHeight w:val="60"/>
        </w:trPr>
        <w:tc>
          <w:tcPr>
            <w:tcW w:w="1026" w:type="pct"/>
            <w:tcBorders>
              <w:top w:val="nil"/>
              <w:bottom w:val="single" w:sz="12" w:space="0" w:color="auto"/>
            </w:tcBorders>
          </w:tcPr>
          <w:p w14:paraId="43FABAB9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17880">
              <w:rPr>
                <w:color w:val="000000" w:themeColor="text1"/>
                <w:sz w:val="20"/>
                <w:szCs w:val="20"/>
              </w:rPr>
              <w:t>PRa</w:t>
            </w:r>
            <w:proofErr w:type="spellEnd"/>
          </w:p>
        </w:tc>
        <w:tc>
          <w:tcPr>
            <w:tcW w:w="597" w:type="pct"/>
            <w:tcBorders>
              <w:top w:val="nil"/>
              <w:bottom w:val="single" w:sz="12" w:space="0" w:color="auto"/>
            </w:tcBorders>
          </w:tcPr>
          <w:p w14:paraId="04DA33BC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517880">
              <w:rPr>
                <w:color w:val="000000" w:themeColor="text1"/>
                <w:sz w:val="20"/>
                <w:szCs w:val="20"/>
              </w:rPr>
              <w:t>60.57</w:t>
            </w:r>
          </w:p>
        </w:tc>
        <w:tc>
          <w:tcPr>
            <w:tcW w:w="510" w:type="pct"/>
            <w:tcBorders>
              <w:top w:val="nil"/>
              <w:bottom w:val="single" w:sz="12" w:space="0" w:color="auto"/>
            </w:tcBorders>
          </w:tcPr>
          <w:p w14:paraId="41FF75AF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color w:val="000000" w:themeColor="text1"/>
                <w:sz w:val="20"/>
                <w:szCs w:val="20"/>
              </w:rPr>
              <w:t>440.92</w:t>
            </w:r>
          </w:p>
        </w:tc>
        <w:tc>
          <w:tcPr>
            <w:tcW w:w="512" w:type="pct"/>
            <w:tcBorders>
              <w:top w:val="nil"/>
              <w:bottom w:val="single" w:sz="12" w:space="0" w:color="auto"/>
            </w:tcBorders>
          </w:tcPr>
          <w:p w14:paraId="005291DF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color w:val="000000" w:themeColor="text1"/>
                <w:sz w:val="20"/>
                <w:szCs w:val="20"/>
              </w:rPr>
              <w:t>546.20</w:t>
            </w:r>
          </w:p>
        </w:tc>
        <w:tc>
          <w:tcPr>
            <w:tcW w:w="457" w:type="pct"/>
            <w:tcBorders>
              <w:top w:val="nil"/>
              <w:bottom w:val="single" w:sz="12" w:space="0" w:color="auto"/>
            </w:tcBorders>
          </w:tcPr>
          <w:p w14:paraId="7AB2BC93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color w:val="000000" w:themeColor="text1"/>
                <w:sz w:val="20"/>
                <w:szCs w:val="20"/>
              </w:rPr>
              <w:t>63.10</w:t>
            </w:r>
          </w:p>
        </w:tc>
        <w:tc>
          <w:tcPr>
            <w:tcW w:w="610" w:type="pct"/>
            <w:tcBorders>
              <w:top w:val="nil"/>
              <w:bottom w:val="single" w:sz="12" w:space="0" w:color="auto"/>
            </w:tcBorders>
          </w:tcPr>
          <w:p w14:paraId="35F945D2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color w:val="000000" w:themeColor="text1"/>
                <w:sz w:val="20"/>
                <w:szCs w:val="20"/>
              </w:rPr>
              <w:t>7.40</w:t>
            </w:r>
          </w:p>
        </w:tc>
        <w:tc>
          <w:tcPr>
            <w:tcW w:w="610" w:type="pct"/>
            <w:tcBorders>
              <w:top w:val="nil"/>
              <w:bottom w:val="single" w:sz="12" w:space="0" w:color="auto"/>
            </w:tcBorders>
          </w:tcPr>
          <w:p w14:paraId="36F8593D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color w:val="000000" w:themeColor="text1"/>
                <w:sz w:val="20"/>
                <w:szCs w:val="20"/>
              </w:rPr>
              <w:t>28.39</w:t>
            </w:r>
          </w:p>
        </w:tc>
        <w:tc>
          <w:tcPr>
            <w:tcW w:w="678" w:type="pct"/>
            <w:tcBorders>
              <w:top w:val="nil"/>
              <w:bottom w:val="single" w:sz="12" w:space="0" w:color="auto"/>
            </w:tcBorders>
          </w:tcPr>
          <w:p w14:paraId="70844BBA" w14:textId="77777777" w:rsidR="006B139F" w:rsidRPr="00517880" w:rsidRDefault="006B139F" w:rsidP="00EB11E8">
            <w:pPr>
              <w:pStyle w:val="XY-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17880">
              <w:rPr>
                <w:color w:val="000000" w:themeColor="text1"/>
                <w:sz w:val="20"/>
                <w:szCs w:val="20"/>
              </w:rPr>
              <w:t>0.43</w:t>
            </w:r>
          </w:p>
        </w:tc>
      </w:tr>
    </w:tbl>
    <w:p w14:paraId="1732359C" w14:textId="6C192A07" w:rsidR="00EA2388" w:rsidRPr="00B677D0" w:rsidRDefault="00EA2388" w:rsidP="00B677D0">
      <w:pPr>
        <w:rPr>
          <w:rFonts w:ascii="Times New Roman" w:hAnsi="Times New Roman" w:cs="Times New Roman"/>
          <w:sz w:val="20"/>
          <w:szCs w:val="20"/>
        </w:rPr>
      </w:pPr>
      <w:r w:rsidRPr="00B677D0">
        <w:rPr>
          <w:rFonts w:ascii="Times New Roman" w:hAnsi="Times New Roman" w:cs="Times New Roman"/>
          <w:sz w:val="20"/>
          <w:szCs w:val="20"/>
        </w:rPr>
        <w:t>Note: T</w:t>
      </w:r>
      <w:r w:rsidRPr="00B677D0">
        <w:rPr>
          <w:rFonts w:ascii="Times New Roman" w:hAnsi="Times New Roman" w:cs="Times New Roman"/>
          <w:sz w:val="20"/>
          <w:szCs w:val="20"/>
          <w:vertAlign w:val="subscript"/>
        </w:rPr>
        <w:t>5%</w:t>
      </w:r>
      <w:r w:rsidR="00B677D0">
        <w:rPr>
          <w:rFonts w:ascii="Times New Roman" w:hAnsi="Times New Roman" w:cs="Times New Roman"/>
          <w:sz w:val="20"/>
          <w:szCs w:val="20"/>
        </w:rPr>
        <w:t>,</w:t>
      </w:r>
      <w:r w:rsidRPr="00B677D0">
        <w:rPr>
          <w:rFonts w:ascii="Times New Roman" w:hAnsi="Times New Roman" w:cs="Times New Roman"/>
          <w:sz w:val="20"/>
          <w:szCs w:val="20"/>
        </w:rPr>
        <w:t xml:space="preserve"> Characteristic temperature at 5% weight loss; T</w:t>
      </w:r>
      <w:r w:rsidRPr="00B677D0">
        <w:rPr>
          <w:rFonts w:ascii="Times New Roman" w:hAnsi="Times New Roman" w:cs="Times New Roman"/>
          <w:sz w:val="20"/>
          <w:szCs w:val="20"/>
          <w:vertAlign w:val="subscript"/>
        </w:rPr>
        <w:t>10%</w:t>
      </w:r>
      <w:r w:rsidRPr="00B677D0">
        <w:rPr>
          <w:rFonts w:ascii="Times New Roman" w:hAnsi="Times New Roman" w:cs="Times New Roman"/>
          <w:sz w:val="20"/>
          <w:szCs w:val="20"/>
        </w:rPr>
        <w:t>, Characteristic temperature at 10% weight loss; Td,</w:t>
      </w:r>
      <w:r w:rsidR="00B677D0">
        <w:rPr>
          <w:rFonts w:ascii="Times New Roman" w:hAnsi="Times New Roman" w:cs="Times New Roman"/>
          <w:sz w:val="20"/>
          <w:szCs w:val="20"/>
        </w:rPr>
        <w:t xml:space="preserve"> </w:t>
      </w:r>
      <w:r w:rsidRPr="00B677D0">
        <w:rPr>
          <w:rFonts w:ascii="Times New Roman" w:hAnsi="Times New Roman" w:cs="Times New Roman"/>
          <w:sz w:val="20"/>
          <w:szCs w:val="20"/>
        </w:rPr>
        <w:t xml:space="preserve">max, Characteristic temperature at the </w:t>
      </w:r>
      <w:r w:rsidR="00B677D0" w:rsidRPr="00B677D0">
        <w:rPr>
          <w:rFonts w:ascii="Times New Roman" w:hAnsi="Times New Roman" w:cs="Times New Roman"/>
          <w:sz w:val="20"/>
          <w:szCs w:val="20"/>
        </w:rPr>
        <w:t>maximal</w:t>
      </w:r>
      <w:r w:rsidRPr="00B677D0">
        <w:rPr>
          <w:rFonts w:ascii="Times New Roman" w:hAnsi="Times New Roman" w:cs="Times New Roman"/>
          <w:sz w:val="20"/>
          <w:szCs w:val="20"/>
        </w:rPr>
        <w:t xml:space="preserve"> rate of weight loss; R</w:t>
      </w:r>
      <w:r w:rsidRPr="00B677D0">
        <w:rPr>
          <w:rFonts w:ascii="Times New Roman" w:hAnsi="Times New Roman" w:cs="Times New Roman"/>
          <w:sz w:val="20"/>
          <w:szCs w:val="20"/>
          <w:vertAlign w:val="subscript"/>
        </w:rPr>
        <w:t>1100°C</w:t>
      </w:r>
      <w:r w:rsidRPr="00B677D0">
        <w:rPr>
          <w:rFonts w:ascii="Times New Roman" w:hAnsi="Times New Roman" w:cs="Times New Roman"/>
          <w:sz w:val="20"/>
          <w:szCs w:val="20"/>
        </w:rPr>
        <w:t>, Residual weight at 1100°C.</w:t>
      </w:r>
    </w:p>
    <w:p w14:paraId="3D247863" w14:textId="77777777" w:rsidR="0001229B" w:rsidRDefault="0001229B" w:rsidP="0001229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67A7F">
        <w:rPr>
          <w:rFonts w:ascii="Times New Roman" w:hAnsi="Times New Roman" w:cs="Times New Roman"/>
          <w:b/>
          <w:bCs/>
          <w:sz w:val="20"/>
          <w:szCs w:val="20"/>
        </w:rPr>
        <w:t>3.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67A7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53515">
        <w:rPr>
          <w:rFonts w:ascii="Times New Roman" w:hAnsi="Times New Roman" w:cs="Times New Roman"/>
          <w:b/>
          <w:bCs/>
          <w:sz w:val="20"/>
          <w:szCs w:val="20"/>
        </w:rPr>
        <w:t>Evaluation of mechanical strength and thermal insulation</w:t>
      </w:r>
    </w:p>
    <w:p w14:paraId="56F0DC5E" w14:textId="6D12CEE9" w:rsidR="000A7FDF" w:rsidRDefault="00A61097" w:rsidP="00A61097">
      <w:pPr>
        <w:rPr>
          <w:rFonts w:ascii="Times New Roman" w:hAnsi="Times New Roman" w:cs="Times New Roman"/>
          <w:sz w:val="20"/>
          <w:szCs w:val="20"/>
        </w:rPr>
      </w:pPr>
      <w:r w:rsidRPr="00A61097">
        <w:rPr>
          <w:rFonts w:ascii="Times New Roman" w:hAnsi="Times New Roman" w:cs="Times New Roman"/>
          <w:sz w:val="20"/>
          <w:szCs w:val="20"/>
        </w:rPr>
        <w:t xml:space="preserve">The micro-nano pore structure of the phenolic aerogel and the internal porous structure of the composite based on </w:t>
      </w:r>
      <w:proofErr w:type="spellStart"/>
      <w:r w:rsidRPr="00A61097">
        <w:rPr>
          <w:rFonts w:ascii="Times New Roman" w:hAnsi="Times New Roman" w:cs="Times New Roman"/>
          <w:sz w:val="20"/>
          <w:szCs w:val="20"/>
        </w:rPr>
        <w:t>PRa</w:t>
      </w:r>
      <w:proofErr w:type="spellEnd"/>
      <w:r w:rsidRPr="00A61097">
        <w:rPr>
          <w:rFonts w:ascii="Times New Roman" w:hAnsi="Times New Roman" w:cs="Times New Roman"/>
          <w:sz w:val="20"/>
          <w:szCs w:val="20"/>
        </w:rPr>
        <w:t xml:space="preserve"> were tested separately. Detailed data can be found in Table S3. To evaluate the thermal insulation performance of the composites during dynamic ablation, specimens measuring φ30*30 mm</w:t>
      </w:r>
      <w:r w:rsidRPr="00A6109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61097">
        <w:rPr>
          <w:rFonts w:ascii="Times New Roman" w:hAnsi="Times New Roman" w:cs="Times New Roman"/>
          <w:sz w:val="20"/>
          <w:szCs w:val="20"/>
        </w:rPr>
        <w:t xml:space="preserve"> were subjected to a butane flame for 1200 seconds. Backside temperatures were recorded using a thermal imaging camera, as illustrated in Fig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610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A61097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A61097">
        <w:rPr>
          <w:rFonts w:ascii="Times New Roman" w:hAnsi="Times New Roman" w:cs="Times New Roman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6109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61097">
        <w:rPr>
          <w:rFonts w:ascii="Times New Roman" w:hAnsi="Times New Roman" w:cs="Times New Roman"/>
          <w:sz w:val="20"/>
          <w:szCs w:val="20"/>
        </w:rPr>
        <w:t xml:space="preserve">The temperature at the backside of the specimens experienced a rapid increase at approximately 700 seconds, indicating the transfer of heat from the flame </w:t>
      </w:r>
      <w:r w:rsidRPr="00A61097">
        <w:rPr>
          <w:rFonts w:ascii="Times New Roman" w:hAnsi="Times New Roman" w:cs="Times New Roman"/>
          <w:sz w:val="20"/>
          <w:szCs w:val="20"/>
        </w:rPr>
        <w:lastRenderedPageBreak/>
        <w:t>ablation. The equilibrium backside temperature of the specimens stabilized at around 450°C.</w:t>
      </w:r>
    </w:p>
    <w:p w14:paraId="0BD85A9D" w14:textId="46F7E873" w:rsidR="0001229B" w:rsidRPr="0001229B" w:rsidRDefault="0001229B" w:rsidP="00D24C8F">
      <w:pPr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01229B">
        <w:rPr>
          <w:rFonts w:ascii="Times New Roman" w:hAnsi="Times New Roman" w:cs="Times New Roman"/>
          <w:sz w:val="20"/>
          <w:szCs w:val="20"/>
        </w:rPr>
        <w:t xml:space="preserve">Table </w:t>
      </w:r>
      <w:r w:rsidR="000A7FDF">
        <w:rPr>
          <w:rFonts w:ascii="Times New Roman" w:hAnsi="Times New Roman" w:cs="Times New Roman"/>
          <w:sz w:val="20"/>
          <w:szCs w:val="20"/>
        </w:rPr>
        <w:t>S3</w:t>
      </w:r>
      <w:r w:rsidRPr="0001229B">
        <w:rPr>
          <w:rFonts w:ascii="Times New Roman" w:hAnsi="Times New Roman" w:cs="Times New Roman"/>
          <w:sz w:val="20"/>
          <w:szCs w:val="20"/>
        </w:rPr>
        <w:t xml:space="preserve"> The pore-structure parameters of the prepared </w:t>
      </w:r>
      <w:proofErr w:type="spellStart"/>
      <w:r w:rsidRPr="0001229B">
        <w:rPr>
          <w:rFonts w:ascii="Times New Roman" w:hAnsi="Times New Roman" w:cs="Times New Roman"/>
          <w:sz w:val="20"/>
          <w:szCs w:val="20"/>
        </w:rPr>
        <w:t>PRa</w:t>
      </w:r>
      <w:proofErr w:type="spellEnd"/>
      <w:r w:rsidRPr="0001229B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1229B">
        <w:rPr>
          <w:rFonts w:ascii="Times New Roman" w:hAnsi="Times New Roman" w:cs="Times New Roman"/>
          <w:sz w:val="20"/>
          <w:szCs w:val="20"/>
        </w:rPr>
        <w:t>PRa</w:t>
      </w:r>
      <w:proofErr w:type="spellEnd"/>
      <w:r w:rsidRPr="0001229B">
        <w:rPr>
          <w:rFonts w:ascii="Times New Roman" w:hAnsi="Times New Roman" w:cs="Times New Roman"/>
          <w:sz w:val="20"/>
          <w:szCs w:val="20"/>
        </w:rPr>
        <w:t>/NQF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1054"/>
        <w:gridCol w:w="1006"/>
        <w:gridCol w:w="1076"/>
        <w:gridCol w:w="1121"/>
        <w:gridCol w:w="1183"/>
        <w:gridCol w:w="964"/>
        <w:gridCol w:w="1008"/>
      </w:tblGrid>
      <w:tr w:rsidR="0001229B" w:rsidRPr="0001229B" w14:paraId="12DF1C8F" w14:textId="77777777" w:rsidTr="00517880">
        <w:trPr>
          <w:trHeight w:val="472"/>
          <w:jc w:val="center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618EED4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Samples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58EEF46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S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bscript"/>
              </w:rPr>
              <w:t>BET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 xml:space="preserve"> (m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/g)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77DFC1A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S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bscript"/>
              </w:rPr>
              <w:t>mic</w:t>
            </w:r>
            <w:proofErr w:type="spellEnd"/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 xml:space="preserve"> (m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/g)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73D5E6C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S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bscript"/>
              </w:rPr>
              <w:t>meso</w:t>
            </w:r>
            <w:proofErr w:type="spellEnd"/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 xml:space="preserve"> (m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/g)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85C142D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V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bscript"/>
              </w:rPr>
              <w:t>mic</w:t>
            </w:r>
            <w:proofErr w:type="spellEnd"/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 xml:space="preserve"> (cm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/g)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F7ECC00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V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bscript"/>
              </w:rPr>
              <w:t>meso</w:t>
            </w:r>
            <w:proofErr w:type="spellEnd"/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 xml:space="preserve"> (cm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/g)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E650B0B" w14:textId="77777777" w:rsidR="0001229B" w:rsidRPr="0001229B" w:rsidRDefault="0001229B" w:rsidP="005F6029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</w:pP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D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bscript"/>
              </w:rPr>
              <w:t>BET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 xml:space="preserve"> (nm)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5658654" w14:textId="77777777" w:rsidR="0001229B" w:rsidRPr="0001229B" w:rsidRDefault="0001229B" w:rsidP="005F6029">
            <w:pPr>
              <w:jc w:val="center"/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>D</w:t>
            </w:r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  <w:vertAlign w:val="subscript"/>
              </w:rPr>
              <w:t>meso</w:t>
            </w:r>
            <w:proofErr w:type="spellEnd"/>
            <w:r w:rsidRPr="0001229B">
              <w:rPr>
                <w:rFonts w:ascii="Times New Roman" w:eastAsia="微软雅黑" w:hAnsi="Times New Roman" w:cs="Times New Roman"/>
                <w:color w:val="000000"/>
                <w:sz w:val="20"/>
                <w:szCs w:val="20"/>
              </w:rPr>
              <w:t xml:space="preserve"> (nm)</w:t>
            </w:r>
          </w:p>
        </w:tc>
      </w:tr>
      <w:tr w:rsidR="0001229B" w:rsidRPr="0001229B" w14:paraId="5E44DB11" w14:textId="77777777" w:rsidTr="00517880">
        <w:trPr>
          <w:trHeight w:val="472"/>
          <w:jc w:val="center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14575DD6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PRa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6B7A3F2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45.286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7E196682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2.072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F7E8323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38.844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23799D93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B9ECB4D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0.161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65E9F39B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8.338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B3368B5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16.942</w:t>
            </w:r>
          </w:p>
        </w:tc>
      </w:tr>
      <w:tr w:rsidR="0001229B" w:rsidRPr="0001229B" w14:paraId="674458AF" w14:textId="77777777" w:rsidTr="00517880">
        <w:trPr>
          <w:trHeight w:val="472"/>
          <w:jc w:val="center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29509EC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CIT/PR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AAA680A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12.936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6664882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CF88D40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12.577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64FAAFC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95F8479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0.0525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06A0AC6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8.734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F2C0839" w14:textId="77777777" w:rsidR="0001229B" w:rsidRPr="0001229B" w:rsidRDefault="0001229B" w:rsidP="005F6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29B">
              <w:rPr>
                <w:rFonts w:ascii="Times New Roman" w:hAnsi="Times New Roman" w:cs="Times New Roman"/>
                <w:sz w:val="20"/>
                <w:szCs w:val="20"/>
              </w:rPr>
              <w:t>16.599</w:t>
            </w:r>
          </w:p>
        </w:tc>
      </w:tr>
    </w:tbl>
    <w:p w14:paraId="440B1395" w14:textId="5175E87B" w:rsidR="0001229B" w:rsidRPr="0001229B" w:rsidRDefault="0001229B" w:rsidP="000A7FDF">
      <w:pPr>
        <w:rPr>
          <w:rFonts w:ascii="Times New Roman" w:hAnsi="Times New Roman" w:cs="Times New Roman"/>
          <w:sz w:val="20"/>
          <w:szCs w:val="20"/>
        </w:rPr>
      </w:pPr>
      <w:r w:rsidRPr="0001229B">
        <w:rPr>
          <w:rFonts w:ascii="Times New Roman" w:hAnsi="Times New Roman" w:cs="Times New Roman"/>
          <w:kern w:val="0"/>
          <w:sz w:val="20"/>
          <w:szCs w:val="20"/>
        </w:rPr>
        <w:t>Note: S</w:t>
      </w:r>
      <w:r w:rsidRPr="0001229B">
        <w:rPr>
          <w:rFonts w:ascii="Times New Roman" w:hAnsi="Times New Roman" w:cs="Times New Roman"/>
          <w:kern w:val="0"/>
          <w:sz w:val="20"/>
          <w:szCs w:val="20"/>
          <w:vertAlign w:val="subscript"/>
        </w:rPr>
        <w:t>BET</w:t>
      </w:r>
      <w:r w:rsidR="00517880"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01229B">
        <w:rPr>
          <w:rFonts w:ascii="Times New Roman" w:hAnsi="Times New Roman" w:cs="Times New Roman"/>
          <w:kern w:val="0"/>
          <w:sz w:val="20"/>
          <w:szCs w:val="20"/>
        </w:rPr>
        <w:t xml:space="preserve"> BET surface area; </w:t>
      </w:r>
      <w:proofErr w:type="spellStart"/>
      <w:r w:rsidRPr="0001229B">
        <w:rPr>
          <w:rFonts w:ascii="Times New Roman" w:hAnsi="Times New Roman" w:cs="Times New Roman"/>
          <w:kern w:val="0"/>
          <w:sz w:val="20"/>
          <w:szCs w:val="20"/>
        </w:rPr>
        <w:t>S</w:t>
      </w:r>
      <w:r w:rsidRPr="0001229B">
        <w:rPr>
          <w:rFonts w:ascii="Times New Roman" w:hAnsi="Times New Roman" w:cs="Times New Roman"/>
          <w:kern w:val="0"/>
          <w:sz w:val="20"/>
          <w:szCs w:val="20"/>
          <w:vertAlign w:val="subscript"/>
        </w:rPr>
        <w:t>mic</w:t>
      </w:r>
      <w:proofErr w:type="spellEnd"/>
      <w:r w:rsidR="00517880"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01229B">
        <w:rPr>
          <w:rFonts w:ascii="Times New Roman" w:hAnsi="Times New Roman" w:cs="Times New Roman"/>
          <w:kern w:val="0"/>
          <w:sz w:val="20"/>
          <w:szCs w:val="20"/>
        </w:rPr>
        <w:t xml:space="preserve"> micropore surface area; </w:t>
      </w:r>
      <w:proofErr w:type="spellStart"/>
      <w:r w:rsidRPr="0001229B">
        <w:rPr>
          <w:rFonts w:ascii="Times New Roman" w:hAnsi="Times New Roman" w:cs="Times New Roman"/>
          <w:kern w:val="0"/>
          <w:sz w:val="20"/>
          <w:szCs w:val="20"/>
        </w:rPr>
        <w:t>S</w:t>
      </w:r>
      <w:r w:rsidRPr="0001229B">
        <w:rPr>
          <w:rFonts w:ascii="Times New Roman" w:hAnsi="Times New Roman" w:cs="Times New Roman"/>
          <w:kern w:val="0"/>
          <w:sz w:val="20"/>
          <w:szCs w:val="20"/>
          <w:vertAlign w:val="subscript"/>
        </w:rPr>
        <w:t>meso</w:t>
      </w:r>
      <w:proofErr w:type="spellEnd"/>
      <w:r w:rsidR="00517880"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01229B">
        <w:rPr>
          <w:rFonts w:ascii="Times New Roman" w:hAnsi="Times New Roman" w:cs="Times New Roman"/>
          <w:kern w:val="0"/>
          <w:sz w:val="20"/>
          <w:szCs w:val="20"/>
        </w:rPr>
        <w:t xml:space="preserve"> BJH Desorption cumulative surface area of pores Between 1.7 and 300 nm diameter; </w:t>
      </w:r>
      <w:proofErr w:type="spellStart"/>
      <w:r w:rsidRPr="0001229B">
        <w:rPr>
          <w:rFonts w:ascii="Times New Roman" w:hAnsi="Times New Roman" w:cs="Times New Roman"/>
          <w:kern w:val="0"/>
          <w:sz w:val="20"/>
          <w:szCs w:val="20"/>
        </w:rPr>
        <w:t>V</w:t>
      </w:r>
      <w:r w:rsidRPr="0001229B">
        <w:rPr>
          <w:rFonts w:ascii="Times New Roman" w:hAnsi="Times New Roman" w:cs="Times New Roman"/>
          <w:kern w:val="0"/>
          <w:sz w:val="20"/>
          <w:szCs w:val="20"/>
          <w:vertAlign w:val="subscript"/>
        </w:rPr>
        <w:t>mic</w:t>
      </w:r>
      <w:proofErr w:type="spellEnd"/>
      <w:r w:rsidR="00517880"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01229B">
        <w:rPr>
          <w:rFonts w:ascii="Times New Roman" w:hAnsi="Times New Roman" w:cs="Times New Roman"/>
          <w:kern w:val="0"/>
          <w:sz w:val="20"/>
          <w:szCs w:val="20"/>
        </w:rPr>
        <w:t xml:space="preserve"> micropore volume; </w:t>
      </w:r>
      <w:proofErr w:type="spellStart"/>
      <w:proofErr w:type="gramStart"/>
      <w:r w:rsidRPr="0001229B">
        <w:rPr>
          <w:rFonts w:ascii="Times New Roman" w:hAnsi="Times New Roman" w:cs="Times New Roman"/>
          <w:kern w:val="0"/>
          <w:sz w:val="20"/>
          <w:szCs w:val="20"/>
        </w:rPr>
        <w:t>V</w:t>
      </w:r>
      <w:r w:rsidRPr="0001229B">
        <w:rPr>
          <w:rFonts w:ascii="Times New Roman" w:hAnsi="Times New Roman" w:cs="Times New Roman"/>
          <w:kern w:val="0"/>
          <w:sz w:val="20"/>
          <w:szCs w:val="20"/>
          <w:vertAlign w:val="subscript"/>
        </w:rPr>
        <w:t>meso</w:t>
      </w:r>
      <w:r w:rsidR="00517880"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01229B">
        <w:rPr>
          <w:rFonts w:ascii="Times New Roman" w:hAnsi="Times New Roman" w:cs="Times New Roman"/>
          <w:kern w:val="0"/>
          <w:sz w:val="20"/>
          <w:szCs w:val="20"/>
        </w:rPr>
        <w:t>BJH</w:t>
      </w:r>
      <w:proofErr w:type="spellEnd"/>
      <w:proofErr w:type="gramEnd"/>
      <w:r w:rsidRPr="0001229B">
        <w:rPr>
          <w:rFonts w:ascii="Times New Roman" w:hAnsi="Times New Roman" w:cs="Times New Roman"/>
          <w:kern w:val="0"/>
          <w:sz w:val="20"/>
          <w:szCs w:val="20"/>
        </w:rPr>
        <w:t xml:space="preserve"> desorption cumulative pore volume of pores between 1.7 and 300 nm diameter; </w:t>
      </w:r>
      <w:r w:rsidRPr="0001229B">
        <w:rPr>
          <w:rFonts w:ascii="Times New Roman" w:eastAsia="微软雅黑" w:hAnsi="Times New Roman" w:cs="Times New Roman"/>
          <w:color w:val="000000"/>
          <w:sz w:val="20"/>
          <w:szCs w:val="20"/>
        </w:rPr>
        <w:t>D</w:t>
      </w:r>
      <w:r w:rsidRPr="0001229B">
        <w:rPr>
          <w:rFonts w:ascii="Times New Roman" w:eastAsia="微软雅黑" w:hAnsi="Times New Roman" w:cs="Times New Roman"/>
          <w:color w:val="000000"/>
          <w:sz w:val="20"/>
          <w:szCs w:val="20"/>
          <w:vertAlign w:val="subscript"/>
        </w:rPr>
        <w:t>BET</w:t>
      </w:r>
      <w:r w:rsidR="00517880"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01229B">
        <w:rPr>
          <w:rFonts w:ascii="Times New Roman" w:hAnsi="Times New Roman" w:cs="Times New Roman"/>
          <w:kern w:val="0"/>
          <w:sz w:val="20"/>
          <w:szCs w:val="20"/>
        </w:rPr>
        <w:t xml:space="preserve"> Desorption average pore diameter (4V/A by BET); </w:t>
      </w:r>
      <w:proofErr w:type="spellStart"/>
      <w:r w:rsidRPr="0001229B">
        <w:rPr>
          <w:rFonts w:ascii="Times New Roman" w:eastAsia="微软雅黑" w:hAnsi="Times New Roman" w:cs="Times New Roman"/>
          <w:color w:val="000000"/>
          <w:sz w:val="20"/>
          <w:szCs w:val="20"/>
        </w:rPr>
        <w:t>D</w:t>
      </w:r>
      <w:r w:rsidRPr="0001229B">
        <w:rPr>
          <w:rFonts w:ascii="Times New Roman" w:eastAsia="微软雅黑" w:hAnsi="Times New Roman" w:cs="Times New Roman"/>
          <w:color w:val="000000"/>
          <w:sz w:val="20"/>
          <w:szCs w:val="20"/>
          <w:vertAlign w:val="subscript"/>
        </w:rPr>
        <w:t>meso</w:t>
      </w:r>
      <w:proofErr w:type="spellEnd"/>
      <w:r w:rsidR="00517880">
        <w:rPr>
          <w:rFonts w:ascii="Times New Roman" w:hAnsi="Times New Roman" w:cs="Times New Roman"/>
          <w:kern w:val="0"/>
          <w:sz w:val="20"/>
          <w:szCs w:val="20"/>
        </w:rPr>
        <w:t>,</w:t>
      </w:r>
      <w:r w:rsidRPr="0001229B">
        <w:rPr>
          <w:rFonts w:ascii="Times New Roman" w:hAnsi="Times New Roman" w:cs="Times New Roman"/>
          <w:kern w:val="0"/>
          <w:sz w:val="20"/>
          <w:szCs w:val="20"/>
        </w:rPr>
        <w:t xml:space="preserve"> BJH Desorption average pore diameter (4V/A).</w:t>
      </w:r>
    </w:p>
    <w:p w14:paraId="7C01178D" w14:textId="77777777" w:rsidR="00D24C8F" w:rsidRDefault="00D24C8F" w:rsidP="00D24C8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0" distR="0" wp14:anchorId="18017E1D" wp14:editId="7168C5A4">
            <wp:extent cx="3023616" cy="1083564"/>
            <wp:effectExtent l="0" t="0" r="5715" b="2540"/>
            <wp:docPr id="146239258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92588" name="图片 14623925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616" cy="10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03CA8" w14:textId="1D39326B" w:rsidR="00D24C8F" w:rsidRDefault="00D24C8F" w:rsidP="00D24C8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ig.9. </w:t>
      </w:r>
      <w:r w:rsidRPr="006C5D08">
        <w:rPr>
          <w:rFonts w:ascii="Times New Roman" w:hAnsi="Times New Roman" w:cs="Times New Roman"/>
          <w:sz w:val="20"/>
          <w:szCs w:val="20"/>
        </w:rPr>
        <w:t>Cloud map of backside temperature distribution</w:t>
      </w:r>
      <w:r>
        <w:rPr>
          <w:rFonts w:ascii="Times New Roman" w:hAnsi="Times New Roman" w:cs="Times New Roman"/>
          <w:sz w:val="20"/>
          <w:szCs w:val="20"/>
        </w:rPr>
        <w:t xml:space="preserve"> during 1200 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econd ablation</w:t>
      </w:r>
    </w:p>
    <w:p w14:paraId="0AA65149" w14:textId="4AECDDAD" w:rsidR="00D24C8F" w:rsidRDefault="00D24C8F" w:rsidP="00D24C8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w:drawing>
          <wp:inline distT="0" distB="0" distL="0" distR="0" wp14:anchorId="0DE609EE" wp14:editId="280F637F">
            <wp:extent cx="3023235" cy="2172521"/>
            <wp:effectExtent l="0" t="0" r="5715" b="0"/>
            <wp:docPr id="9291287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128778" name="图片 9291287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024" cy="217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1CB1E" w14:textId="75349C2E" w:rsidR="00D24C8F" w:rsidRDefault="00D24C8F" w:rsidP="00D24C8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ig.10. B</w:t>
      </w:r>
      <w:r w:rsidRPr="006C5D08">
        <w:rPr>
          <w:rFonts w:ascii="Times New Roman" w:hAnsi="Times New Roman" w:cs="Times New Roman"/>
          <w:sz w:val="20"/>
          <w:szCs w:val="20"/>
        </w:rPr>
        <w:t xml:space="preserve">ackside temperature </w:t>
      </w:r>
      <w:r>
        <w:rPr>
          <w:rFonts w:ascii="Times New Roman" w:hAnsi="Times New Roman" w:cs="Times New Roman"/>
          <w:sz w:val="20"/>
          <w:szCs w:val="20"/>
        </w:rPr>
        <w:t xml:space="preserve">curves during 1200 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econd ablation</w:t>
      </w:r>
    </w:p>
    <w:p w14:paraId="46C58FFD" w14:textId="77777777" w:rsidR="00A61097" w:rsidRDefault="00A61097" w:rsidP="00A6109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67A7F">
        <w:rPr>
          <w:rFonts w:ascii="Times New Roman" w:hAnsi="Times New Roman" w:cs="Times New Roman"/>
          <w:b/>
          <w:bCs/>
          <w:sz w:val="20"/>
          <w:szCs w:val="20"/>
        </w:rPr>
        <w:t>3.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C67A7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53515">
        <w:rPr>
          <w:rFonts w:ascii="Times New Roman" w:hAnsi="Times New Roman" w:cs="Times New Roman"/>
          <w:b/>
          <w:bCs/>
          <w:sz w:val="20"/>
          <w:szCs w:val="20"/>
        </w:rPr>
        <w:t xml:space="preserve">Evaluation of </w:t>
      </w:r>
      <w:r>
        <w:rPr>
          <w:rFonts w:ascii="Times New Roman" w:hAnsi="Times New Roman" w:cs="Times New Roman"/>
          <w:b/>
          <w:bCs/>
          <w:sz w:val="20"/>
          <w:szCs w:val="20"/>
        </w:rPr>
        <w:t>ablative thermal protection</w:t>
      </w:r>
    </w:p>
    <w:p w14:paraId="221AED9D" w14:textId="653061B3" w:rsidR="00EB11E8" w:rsidRDefault="00EB11E8" w:rsidP="00EB11E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_Hlk100083053"/>
      <w:bookmarkStart w:id="2" w:name="OLE_LINK328"/>
      <w:bookmarkStart w:id="3" w:name="OLE_LINK330"/>
      <w:r w:rsidRPr="00A61097">
        <w:rPr>
          <w:rFonts w:ascii="Times New Roman" w:hAnsi="Times New Roman" w:cs="Times New Roman"/>
          <w:sz w:val="20"/>
          <w:szCs w:val="20"/>
        </w:rPr>
        <w:t xml:space="preserve">To evaluate the thermal </w:t>
      </w:r>
      <w:r>
        <w:rPr>
          <w:rFonts w:ascii="Times New Roman" w:hAnsi="Times New Roman" w:cs="Times New Roman"/>
          <w:sz w:val="20"/>
          <w:szCs w:val="20"/>
        </w:rPr>
        <w:t>protection</w:t>
      </w:r>
      <w:r w:rsidRPr="00A61097">
        <w:rPr>
          <w:rFonts w:ascii="Times New Roman" w:hAnsi="Times New Roman" w:cs="Times New Roman"/>
          <w:sz w:val="20"/>
          <w:szCs w:val="20"/>
        </w:rPr>
        <w:t xml:space="preserve"> performance of the composites, specimens measuring φ30*30 mm</w:t>
      </w:r>
      <w:r w:rsidRPr="00A61097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61097">
        <w:rPr>
          <w:rFonts w:ascii="Times New Roman" w:hAnsi="Times New Roman" w:cs="Times New Roman"/>
          <w:sz w:val="20"/>
          <w:szCs w:val="20"/>
        </w:rPr>
        <w:t xml:space="preserve"> were subjected to a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A61097">
        <w:rPr>
          <w:rFonts w:ascii="Times New Roman" w:hAnsi="Times New Roman" w:cs="Times New Roman"/>
          <w:sz w:val="20"/>
          <w:szCs w:val="20"/>
        </w:rPr>
        <w:t xml:space="preserve"> </w:t>
      </w:r>
      <w:r w:rsidRPr="00EB11E8">
        <w:rPr>
          <w:rFonts w:ascii="Times New Roman" w:hAnsi="Times New Roman" w:cs="Times New Roman"/>
          <w:sz w:val="20"/>
          <w:szCs w:val="20"/>
        </w:rPr>
        <w:t>oxy-</w:t>
      </w:r>
      <w:proofErr w:type="spellStart"/>
      <w:r w:rsidRPr="00EB11E8">
        <w:rPr>
          <w:rFonts w:ascii="Times New Roman" w:hAnsi="Times New Roman" w:cs="Times New Roman"/>
          <w:sz w:val="20"/>
          <w:szCs w:val="20"/>
        </w:rPr>
        <w:t>acetylene</w:t>
      </w:r>
      <w:r w:rsidRPr="00A61097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A61097">
        <w:rPr>
          <w:rFonts w:ascii="Times New Roman" w:hAnsi="Times New Roman" w:cs="Times New Roman"/>
          <w:sz w:val="20"/>
          <w:szCs w:val="20"/>
        </w:rPr>
        <w:t xml:space="preserve"> flame.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11E8">
        <w:rPr>
          <w:rFonts w:ascii="Times New Roman" w:hAnsi="Times New Roman" w:cs="Times New Roman"/>
          <w:sz w:val="20"/>
          <w:szCs w:val="20"/>
        </w:rPr>
        <w:t>The 1.5MW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EB11E8">
        <w:rPr>
          <w:rFonts w:ascii="Times New Roman" w:hAnsi="Times New Roman" w:cs="Times New Roman"/>
          <w:sz w:val="20"/>
          <w:szCs w:val="20"/>
        </w:rPr>
        <w:t>90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11E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econds)</w:t>
      </w:r>
      <w:r w:rsidRPr="00EB11E8">
        <w:rPr>
          <w:rFonts w:ascii="Times New Roman" w:hAnsi="Times New Roman" w:cs="Times New Roman"/>
          <w:sz w:val="20"/>
          <w:szCs w:val="20"/>
        </w:rPr>
        <w:t xml:space="preserve"> and 1.5MW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EB11E8">
        <w:rPr>
          <w:rFonts w:ascii="Times New Roman" w:hAnsi="Times New Roman" w:cs="Times New Roman"/>
          <w:sz w:val="20"/>
          <w:szCs w:val="20"/>
        </w:rPr>
        <w:t>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11E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econds)</w:t>
      </w:r>
      <w:r w:rsidRPr="00EB11E8">
        <w:rPr>
          <w:rFonts w:ascii="Times New Roman" w:hAnsi="Times New Roman" w:cs="Times New Roman"/>
          <w:sz w:val="20"/>
          <w:szCs w:val="20"/>
        </w:rPr>
        <w:t xml:space="preserve"> ablation tests were carried out respectively.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B11E8">
        <w:rPr>
          <w:rFonts w:ascii="Times New Roman" w:hAnsi="Times New Roman" w:cs="Times New Roman"/>
          <w:sz w:val="20"/>
          <w:szCs w:val="20"/>
        </w:rPr>
        <w:t xml:space="preserve">The data of the specimens before and after ablation are shown in Table </w:t>
      </w:r>
      <w:r>
        <w:rPr>
          <w:rFonts w:ascii="Times New Roman" w:hAnsi="Times New Roman" w:cs="Times New Roman"/>
          <w:sz w:val="20"/>
          <w:szCs w:val="20"/>
        </w:rPr>
        <w:t xml:space="preserve">S4 and </w:t>
      </w:r>
      <w:r w:rsidRPr="00EB11E8">
        <w:rPr>
          <w:rFonts w:ascii="Times New Roman" w:hAnsi="Times New Roman" w:cs="Times New Roman"/>
          <w:sz w:val="20"/>
          <w:szCs w:val="20"/>
        </w:rPr>
        <w:t xml:space="preserve">Table </w:t>
      </w:r>
      <w:r>
        <w:rPr>
          <w:rFonts w:ascii="Times New Roman" w:hAnsi="Times New Roman" w:cs="Times New Roman"/>
          <w:sz w:val="20"/>
          <w:szCs w:val="20"/>
        </w:rPr>
        <w:t>S5.</w:t>
      </w:r>
    </w:p>
    <w:p w14:paraId="483AFECC" w14:textId="2BD4E9D2" w:rsidR="00A61097" w:rsidRPr="00A61097" w:rsidRDefault="00A61097" w:rsidP="00A6109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Table S4 Ablation data of SQRP composite</w:t>
      </w:r>
      <w:bookmarkEnd w:id="1"/>
      <w:bookmarkEnd w:id="2"/>
      <w:bookmarkEnd w:id="3"/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(1.5MW for 90s)</w:t>
      </w:r>
    </w:p>
    <w:tbl>
      <w:tblPr>
        <w:tblStyle w:val="HI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219"/>
        <w:gridCol w:w="1226"/>
        <w:gridCol w:w="1409"/>
        <w:gridCol w:w="929"/>
        <w:gridCol w:w="935"/>
        <w:gridCol w:w="1467"/>
      </w:tblGrid>
      <w:tr w:rsidR="00EB11E8" w:rsidRPr="00A61097" w14:paraId="2885F045" w14:textId="77777777" w:rsidTr="00EB11E8">
        <w:trPr>
          <w:trHeight w:val="218"/>
        </w:trPr>
        <w:tc>
          <w:tcPr>
            <w:tcW w:w="67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A4DC19C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bookmarkStart w:id="4" w:name="_Hlk100089286"/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Sample</w:t>
            </w:r>
          </w:p>
        </w:tc>
        <w:tc>
          <w:tcPr>
            <w:tcW w:w="73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4094DEC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L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0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(mm)</w:t>
            </w:r>
          </w:p>
        </w:tc>
        <w:tc>
          <w:tcPr>
            <w:tcW w:w="73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3FF1ED0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L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α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(mm)</w:t>
            </w:r>
          </w:p>
        </w:tc>
        <w:tc>
          <w:tcPr>
            <w:tcW w:w="84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D4E07B9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R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L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μm</w:t>
            </w:r>
            <w:proofErr w:type="spellEnd"/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/s)</w:t>
            </w: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58B2F34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M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0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(g)</w:t>
            </w:r>
          </w:p>
        </w:tc>
        <w:tc>
          <w:tcPr>
            <w:tcW w:w="56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79EC66B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M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α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(g)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12EB941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R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M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(mg/s)</w:t>
            </w:r>
          </w:p>
        </w:tc>
      </w:tr>
      <w:tr w:rsidR="00EB11E8" w:rsidRPr="00A61097" w14:paraId="378AF9AA" w14:textId="77777777" w:rsidTr="00EB11E8">
        <w:trPr>
          <w:trHeight w:val="492"/>
        </w:trPr>
        <w:tc>
          <w:tcPr>
            <w:tcW w:w="675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55F5212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A61097">
              <w:rPr>
                <w:rFonts w:cs="Times New Roman"/>
                <w:sz w:val="20"/>
                <w:szCs w:val="20"/>
              </w:rPr>
              <w:t>S</w:t>
            </w:r>
            <w:r w:rsidRPr="00A61097">
              <w:rPr>
                <w:rFonts w:cs="Times New Roman"/>
                <w:sz w:val="20"/>
                <w:szCs w:val="20"/>
                <w:vertAlign w:val="subscript"/>
              </w:rPr>
              <w:t>0</w:t>
            </w:r>
            <w:r w:rsidRPr="00A61097">
              <w:rPr>
                <w:rFonts w:cs="Times New Roman"/>
                <w:sz w:val="20"/>
                <w:szCs w:val="20"/>
              </w:rPr>
              <w:t>QRP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4DC4F90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27.4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E504AE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25.9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6F157FD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1.67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3C9310B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7.83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86B4C50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6.69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75B6051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12.67</w:t>
            </w:r>
          </w:p>
        </w:tc>
      </w:tr>
      <w:tr w:rsidR="00EB11E8" w:rsidRPr="00A61097" w14:paraId="413D8191" w14:textId="77777777" w:rsidTr="00EB11E8">
        <w:trPr>
          <w:trHeight w:val="73"/>
        </w:trPr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98BA5C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sz w:val="20"/>
                <w:szCs w:val="20"/>
              </w:rPr>
              <w:t>S</w:t>
            </w:r>
            <w:r w:rsidRPr="00A61097">
              <w:rPr>
                <w:rFonts w:cs="Times New Roman"/>
                <w:sz w:val="20"/>
                <w:szCs w:val="20"/>
                <w:vertAlign w:val="subscript"/>
              </w:rPr>
              <w:t>1</w:t>
            </w:r>
            <w:r w:rsidRPr="00A61097">
              <w:rPr>
                <w:rFonts w:cs="Times New Roman"/>
                <w:sz w:val="20"/>
                <w:szCs w:val="20"/>
              </w:rPr>
              <w:t>QRP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23323FD4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27.2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59C76AC7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27.0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</w:tcPr>
          <w:p w14:paraId="52582810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0.22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</w:tcPr>
          <w:p w14:paraId="1B05CA80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7.84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48365E6D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7.01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68D151D7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9.23</w:t>
            </w:r>
          </w:p>
        </w:tc>
      </w:tr>
      <w:tr w:rsidR="00EB11E8" w:rsidRPr="00A61097" w14:paraId="244A0CEA" w14:textId="77777777" w:rsidTr="00EB11E8">
        <w:trPr>
          <w:trHeight w:val="434"/>
        </w:trPr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A0770F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sz w:val="20"/>
                <w:szCs w:val="20"/>
              </w:rPr>
              <w:t>S</w:t>
            </w:r>
            <w:r w:rsidRPr="00A61097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A61097">
              <w:rPr>
                <w:rFonts w:cs="Times New Roman"/>
                <w:sz w:val="20"/>
                <w:szCs w:val="20"/>
              </w:rPr>
              <w:t>QRP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14:paraId="7A045D0D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27.0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1472BD6D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26.9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</w:tcPr>
          <w:p w14:paraId="10D9C243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0.11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</w:tcPr>
          <w:p w14:paraId="0CFE38A5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7.83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0FCFBD2E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7.00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F9939C5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9.22</w:t>
            </w:r>
          </w:p>
        </w:tc>
      </w:tr>
      <w:bookmarkEnd w:id="4"/>
      <w:tr w:rsidR="00EB11E8" w:rsidRPr="00A61097" w14:paraId="4A4469D4" w14:textId="77777777" w:rsidTr="00EB11E8">
        <w:trPr>
          <w:trHeight w:val="73"/>
        </w:trPr>
        <w:tc>
          <w:tcPr>
            <w:tcW w:w="675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7DE3863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sz w:val="20"/>
                <w:szCs w:val="20"/>
              </w:rPr>
              <w:t>S</w:t>
            </w:r>
            <w:r w:rsidRPr="00A61097">
              <w:rPr>
                <w:rFonts w:cs="Times New Roman"/>
                <w:sz w:val="20"/>
                <w:szCs w:val="20"/>
                <w:vertAlign w:val="subscript"/>
              </w:rPr>
              <w:t>3</w:t>
            </w:r>
            <w:r w:rsidRPr="00A61097">
              <w:rPr>
                <w:rFonts w:cs="Times New Roman"/>
                <w:sz w:val="20"/>
                <w:szCs w:val="20"/>
              </w:rPr>
              <w:t>QRP</w:t>
            </w:r>
          </w:p>
        </w:tc>
        <w:tc>
          <w:tcPr>
            <w:tcW w:w="73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25FD77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27.4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798D5B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26.8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30AEB4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AB16A4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7.74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90771B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6.88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36255E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9.56</w:t>
            </w:r>
          </w:p>
        </w:tc>
      </w:tr>
    </w:tbl>
    <w:p w14:paraId="7C9ABCF8" w14:textId="2E62406E" w:rsidR="00EB11E8" w:rsidRPr="00EB11E8" w:rsidRDefault="00EB11E8" w:rsidP="00EB11E8">
      <w:pPr>
        <w:rPr>
          <w:rFonts w:ascii="Times New Roman" w:hAnsi="Times New Roman" w:cs="Times New Roman"/>
          <w:sz w:val="20"/>
          <w:szCs w:val="20"/>
        </w:rPr>
      </w:pPr>
      <w:r w:rsidRPr="00A61097">
        <w:rPr>
          <w:rFonts w:ascii="Times New Roman" w:hAnsi="Times New Roman" w:cs="Times New Roman"/>
          <w:sz w:val="20"/>
          <w:szCs w:val="20"/>
        </w:rPr>
        <w:t xml:space="preserve">Note: 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0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original thickness, L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α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final thickness, R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L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linear ablation rate, M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0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original mass, M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α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final mass, and R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M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mass ablation rate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43574B9E" w14:textId="0A6C6CE8" w:rsidR="00A61097" w:rsidRPr="00A61097" w:rsidRDefault="00A61097" w:rsidP="00A61097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Table S5 Ablation data of SQRP composite (3.6MW for 60s)</w:t>
      </w:r>
    </w:p>
    <w:tbl>
      <w:tblPr>
        <w:tblStyle w:val="HI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221"/>
        <w:gridCol w:w="1226"/>
        <w:gridCol w:w="1409"/>
        <w:gridCol w:w="929"/>
        <w:gridCol w:w="935"/>
        <w:gridCol w:w="1467"/>
      </w:tblGrid>
      <w:tr w:rsidR="00A61097" w:rsidRPr="00A61097" w14:paraId="3DA24055" w14:textId="77777777" w:rsidTr="00EB11E8">
        <w:trPr>
          <w:trHeight w:val="30"/>
        </w:trPr>
        <w:tc>
          <w:tcPr>
            <w:tcW w:w="67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6FCC079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Sample</w:t>
            </w:r>
          </w:p>
        </w:tc>
        <w:tc>
          <w:tcPr>
            <w:tcW w:w="73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9708DCB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L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0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(mm)</w:t>
            </w:r>
          </w:p>
        </w:tc>
        <w:tc>
          <w:tcPr>
            <w:tcW w:w="73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DFC6230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L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α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(mm)</w:t>
            </w:r>
          </w:p>
        </w:tc>
        <w:tc>
          <w:tcPr>
            <w:tcW w:w="84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364FA32E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R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L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μm</w:t>
            </w:r>
            <w:proofErr w:type="spellEnd"/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/s)</w:t>
            </w: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833EA16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M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0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(g)</w:t>
            </w:r>
          </w:p>
        </w:tc>
        <w:tc>
          <w:tcPr>
            <w:tcW w:w="56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AA827AE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M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α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(g)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007284F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R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M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(mg/s)</w:t>
            </w:r>
          </w:p>
        </w:tc>
      </w:tr>
      <w:tr w:rsidR="00A61097" w:rsidRPr="00A61097" w14:paraId="547EFE0F" w14:textId="77777777" w:rsidTr="00EB11E8">
        <w:trPr>
          <w:trHeight w:val="40"/>
        </w:trPr>
        <w:tc>
          <w:tcPr>
            <w:tcW w:w="674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148ACA5C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 w:rsidRPr="00A61097">
              <w:rPr>
                <w:rFonts w:cs="Times New Roman"/>
                <w:sz w:val="20"/>
                <w:szCs w:val="20"/>
              </w:rPr>
              <w:t>S</w:t>
            </w:r>
            <w:r w:rsidRPr="00A61097">
              <w:rPr>
                <w:rFonts w:cs="Times New Roman"/>
                <w:sz w:val="20"/>
                <w:szCs w:val="20"/>
                <w:vertAlign w:val="subscript"/>
              </w:rPr>
              <w:t>0</w:t>
            </w:r>
            <w:r w:rsidRPr="00A61097">
              <w:rPr>
                <w:rFonts w:cs="Times New Roman"/>
                <w:sz w:val="20"/>
                <w:szCs w:val="20"/>
              </w:rPr>
              <w:t>QRP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81D7DB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27.0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F42BB62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26.5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E1B7BBD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66D308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7.83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6BABDC9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5.16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550FA6CE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53.40</w:t>
            </w:r>
          </w:p>
        </w:tc>
      </w:tr>
      <w:tr w:rsidR="00A61097" w:rsidRPr="00A61097" w14:paraId="12F9B47A" w14:textId="77777777" w:rsidTr="00EB11E8">
        <w:trPr>
          <w:trHeight w:val="60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E55B65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sz w:val="20"/>
                <w:szCs w:val="20"/>
              </w:rPr>
              <w:t>S</w:t>
            </w:r>
            <w:r w:rsidRPr="00A61097">
              <w:rPr>
                <w:rFonts w:cs="Times New Roman"/>
                <w:sz w:val="20"/>
                <w:szCs w:val="20"/>
                <w:vertAlign w:val="subscript"/>
              </w:rPr>
              <w:t>1</w:t>
            </w:r>
            <w:r w:rsidRPr="00A61097">
              <w:rPr>
                <w:rFonts w:cs="Times New Roman"/>
                <w:sz w:val="20"/>
                <w:szCs w:val="20"/>
              </w:rPr>
              <w:t>QRP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47EFF248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28.0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5B2E7DA9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27.6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</w:tcPr>
          <w:p w14:paraId="21979D81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8.00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</w:tcPr>
          <w:p w14:paraId="508220EC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8.04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2B35ED61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7.20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4EE06E71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16.80</w:t>
            </w:r>
          </w:p>
        </w:tc>
      </w:tr>
      <w:tr w:rsidR="00A61097" w:rsidRPr="00A61097" w14:paraId="54FF6BFE" w14:textId="77777777" w:rsidTr="00EB11E8">
        <w:trPr>
          <w:trHeight w:val="60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8D747B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sz w:val="20"/>
                <w:szCs w:val="20"/>
              </w:rPr>
              <w:t>S</w:t>
            </w:r>
            <w:r w:rsidRPr="00A61097">
              <w:rPr>
                <w:rFonts w:cs="Times New Roman"/>
                <w:sz w:val="20"/>
                <w:szCs w:val="20"/>
                <w:vertAlign w:val="subscript"/>
              </w:rPr>
              <w:t>2</w:t>
            </w:r>
            <w:r w:rsidRPr="00A61097">
              <w:rPr>
                <w:rFonts w:cs="Times New Roman"/>
                <w:sz w:val="20"/>
                <w:szCs w:val="20"/>
              </w:rPr>
              <w:t>QRP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14:paraId="1DBA4317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27.0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</w:tcPr>
          <w:p w14:paraId="0DAC89DF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26.7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</w:tcPr>
          <w:p w14:paraId="2F31F28D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6.00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</w:tcPr>
          <w:p w14:paraId="2A32CA17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7.64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</w:tcPr>
          <w:p w14:paraId="797F970A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6.72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</w:tcPr>
          <w:p w14:paraId="2ED24DCD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18.40</w:t>
            </w:r>
          </w:p>
        </w:tc>
      </w:tr>
      <w:tr w:rsidR="00A61097" w:rsidRPr="00A61097" w14:paraId="576DB5B5" w14:textId="77777777" w:rsidTr="00EB11E8">
        <w:trPr>
          <w:trHeight w:val="60"/>
        </w:trPr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5DEC3CA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sz w:val="20"/>
                <w:szCs w:val="20"/>
              </w:rPr>
              <w:t>S</w:t>
            </w:r>
            <w:r w:rsidRPr="00A61097">
              <w:rPr>
                <w:rFonts w:cs="Times New Roman"/>
                <w:sz w:val="20"/>
                <w:szCs w:val="20"/>
                <w:vertAlign w:val="subscript"/>
              </w:rPr>
              <w:t>3</w:t>
            </w:r>
            <w:r w:rsidRPr="00A61097">
              <w:rPr>
                <w:rFonts w:cs="Times New Roman"/>
                <w:sz w:val="20"/>
                <w:szCs w:val="20"/>
              </w:rPr>
              <w:t>QRP</w:t>
            </w:r>
          </w:p>
        </w:tc>
        <w:tc>
          <w:tcPr>
            <w:tcW w:w="73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0A1864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27.4</w:t>
            </w:r>
          </w:p>
        </w:tc>
        <w:tc>
          <w:tcPr>
            <w:tcW w:w="73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567F68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27.1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6292C6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8.00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A56F2E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7.40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2A6E27F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6.25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4BF11D" w14:textId="77777777" w:rsidR="00A61097" w:rsidRPr="00A61097" w:rsidRDefault="00A61097" w:rsidP="00A61097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19.20</w:t>
            </w:r>
          </w:p>
        </w:tc>
      </w:tr>
    </w:tbl>
    <w:p w14:paraId="26E0C83B" w14:textId="10E14D61" w:rsidR="00A61097" w:rsidRPr="00A61097" w:rsidRDefault="00A61097" w:rsidP="00A61097">
      <w:pPr>
        <w:rPr>
          <w:rFonts w:ascii="Times New Roman" w:hAnsi="Times New Roman" w:cs="Times New Roman"/>
          <w:sz w:val="20"/>
          <w:szCs w:val="20"/>
        </w:rPr>
      </w:pPr>
      <w:r w:rsidRPr="00A61097">
        <w:rPr>
          <w:rFonts w:ascii="Times New Roman" w:hAnsi="Times New Roman" w:cs="Times New Roman"/>
          <w:sz w:val="20"/>
          <w:szCs w:val="20"/>
        </w:rPr>
        <w:t xml:space="preserve">Note: 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0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original thickness, L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α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final thickness, R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L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linear ablation rate, M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0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original mass, M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α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final mass, and R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M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mass ablation rate</w:t>
      </w:r>
      <w:r w:rsidR="00EB11E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881C7DE" w14:textId="77777777" w:rsidR="00BC5639" w:rsidRDefault="00BC5639" w:rsidP="00BC563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67A7F">
        <w:rPr>
          <w:rFonts w:ascii="Times New Roman" w:hAnsi="Times New Roman" w:cs="Times New Roman"/>
          <w:b/>
          <w:bCs/>
          <w:sz w:val="20"/>
          <w:szCs w:val="20"/>
        </w:rPr>
        <w:t>3.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C67A7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A44653">
        <w:rPr>
          <w:rFonts w:ascii="Times New Roman" w:hAnsi="Times New Roman" w:cs="Times New Roman"/>
          <w:b/>
          <w:bCs/>
          <w:sz w:val="20"/>
          <w:szCs w:val="20"/>
        </w:rPr>
        <w:t>Evaluation of thermal protection under repeated ablation</w:t>
      </w:r>
    </w:p>
    <w:p w14:paraId="6F11C1F8" w14:textId="2B0C5F4A" w:rsidR="00BC5639" w:rsidRDefault="00BC5639">
      <w:pPr>
        <w:rPr>
          <w:rFonts w:ascii="Times New Roman" w:hAnsi="Times New Roman" w:cs="Times New Roman"/>
          <w:sz w:val="20"/>
          <w:szCs w:val="20"/>
        </w:rPr>
      </w:pPr>
      <w:r w:rsidRPr="00BC5639">
        <w:rPr>
          <w:rFonts w:ascii="Times New Roman" w:hAnsi="Times New Roman" w:cs="Times New Roman"/>
          <w:sz w:val="20"/>
          <w:szCs w:val="20"/>
        </w:rPr>
        <w:t>The S</w:t>
      </w:r>
      <w:r w:rsidRPr="00BC563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BC5639">
        <w:rPr>
          <w:rFonts w:ascii="Times New Roman" w:hAnsi="Times New Roman" w:cs="Times New Roman"/>
          <w:sz w:val="20"/>
          <w:szCs w:val="20"/>
        </w:rPr>
        <w:t>QRP specimen was selected and repeated ablation with butane flame ten times, and the surface and side images are shown in Fig. 10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5639">
        <w:rPr>
          <w:rFonts w:ascii="Times New Roman" w:hAnsi="Times New Roman" w:cs="Times New Roman"/>
          <w:sz w:val="20"/>
          <w:szCs w:val="20"/>
        </w:rPr>
        <w:t>where the center of the flame (within the yellow dotted line) region was observed for surface contouring using a laser microscope.</w:t>
      </w:r>
    </w:p>
    <w:p w14:paraId="3EC0AD05" w14:textId="5891DE80" w:rsidR="00D24C8F" w:rsidRDefault="00BC5639" w:rsidP="0093774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7A9BD5F" wp14:editId="49283448">
            <wp:extent cx="5010353" cy="1139825"/>
            <wp:effectExtent l="0" t="0" r="0" b="3175"/>
            <wp:docPr id="17438938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93803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353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BE9AF" w14:textId="5C4EEC97" w:rsidR="00BC5639" w:rsidRDefault="00BC5639" w:rsidP="00BC563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ig.10. Images of</w:t>
      </w:r>
      <w:r w:rsidRPr="00BC5639">
        <w:rPr>
          <w:rFonts w:ascii="Times New Roman" w:hAnsi="Times New Roman" w:cs="Times New Roman"/>
          <w:sz w:val="20"/>
          <w:szCs w:val="20"/>
        </w:rPr>
        <w:t xml:space="preserve"> the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BC5639">
        <w:rPr>
          <w:rFonts w:ascii="Times New Roman" w:hAnsi="Times New Roman" w:cs="Times New Roman"/>
          <w:sz w:val="20"/>
          <w:szCs w:val="20"/>
        </w:rPr>
        <w:t>utane repeated ablation specimen</w:t>
      </w:r>
    </w:p>
    <w:p w14:paraId="168FC2CB" w14:textId="357CD8A7" w:rsidR="00ED599D" w:rsidRPr="00A61097" w:rsidRDefault="00ED599D" w:rsidP="00ED599D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Table 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BC5639">
        <w:rPr>
          <w:rFonts w:ascii="Times New Roman" w:hAnsi="Times New Roman" w:cs="Times New Roman"/>
          <w:sz w:val="20"/>
          <w:szCs w:val="20"/>
        </w:rPr>
        <w:t>epeated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blation data of S</w:t>
      </w:r>
      <w:r w:rsidRPr="00ED599D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QRP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butance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flame for 300 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seconds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tbl>
      <w:tblPr>
        <w:tblStyle w:val="HI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221"/>
        <w:gridCol w:w="1226"/>
        <w:gridCol w:w="1409"/>
        <w:gridCol w:w="929"/>
        <w:gridCol w:w="935"/>
        <w:gridCol w:w="1467"/>
      </w:tblGrid>
      <w:tr w:rsidR="00ED599D" w:rsidRPr="00A61097" w14:paraId="335BF3B1" w14:textId="77777777" w:rsidTr="00EF3856">
        <w:trPr>
          <w:trHeight w:val="30"/>
        </w:trPr>
        <w:tc>
          <w:tcPr>
            <w:tcW w:w="67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430A86F" w14:textId="11905151" w:rsidR="00ED599D" w:rsidRPr="00A61097" w:rsidRDefault="00ED599D" w:rsidP="00EF3856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9BA771F" w14:textId="77777777" w:rsidR="00ED599D" w:rsidRPr="00A61097" w:rsidRDefault="00ED599D" w:rsidP="00EF3856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L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0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(mm)</w:t>
            </w:r>
          </w:p>
        </w:tc>
        <w:tc>
          <w:tcPr>
            <w:tcW w:w="73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178E770" w14:textId="77777777" w:rsidR="00ED599D" w:rsidRPr="00A61097" w:rsidRDefault="00ED599D" w:rsidP="00EF3856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L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α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(mm)</w:t>
            </w:r>
          </w:p>
        </w:tc>
        <w:tc>
          <w:tcPr>
            <w:tcW w:w="84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6535AE1" w14:textId="77777777" w:rsidR="00ED599D" w:rsidRPr="00A61097" w:rsidRDefault="00ED599D" w:rsidP="00EF3856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R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L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μm</w:t>
            </w:r>
            <w:proofErr w:type="spellEnd"/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/s)</w:t>
            </w:r>
          </w:p>
        </w:tc>
        <w:tc>
          <w:tcPr>
            <w:tcW w:w="55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6D21D25" w14:textId="77777777" w:rsidR="00ED599D" w:rsidRPr="00A61097" w:rsidRDefault="00ED599D" w:rsidP="00EF3856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M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0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(g)</w:t>
            </w:r>
          </w:p>
        </w:tc>
        <w:tc>
          <w:tcPr>
            <w:tcW w:w="56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5B4C449" w14:textId="77777777" w:rsidR="00ED599D" w:rsidRPr="00A61097" w:rsidRDefault="00ED599D" w:rsidP="00EF3856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M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α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(g)</w:t>
            </w:r>
          </w:p>
        </w:tc>
        <w:tc>
          <w:tcPr>
            <w:tcW w:w="88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52DAEA50" w14:textId="77777777" w:rsidR="00ED599D" w:rsidRPr="00A61097" w:rsidRDefault="00ED599D" w:rsidP="00EF3856">
            <w:pPr>
              <w:pStyle w:val="XY-"/>
              <w:spacing w:line="240" w:lineRule="auto"/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</w:pP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</w:rPr>
              <w:t>R</w:t>
            </w:r>
            <w:r w:rsidRPr="00A61097">
              <w:rPr>
                <w:rFonts w:cs="Times New Roman"/>
                <w:i/>
                <w:color w:val="000000" w:themeColor="text1"/>
                <w:sz w:val="20"/>
                <w:szCs w:val="20"/>
                <w:vertAlign w:val="subscript"/>
              </w:rPr>
              <w:t xml:space="preserve">M </w:t>
            </w:r>
            <w:r w:rsidRPr="00A61097">
              <w:rPr>
                <w:rFonts w:cs="Times New Roman"/>
                <w:color w:val="000000" w:themeColor="text1"/>
                <w:sz w:val="20"/>
                <w:szCs w:val="20"/>
              </w:rPr>
              <w:t>(mg/s)</w:t>
            </w:r>
          </w:p>
        </w:tc>
      </w:tr>
      <w:tr w:rsidR="00ED599D" w:rsidRPr="00A61097" w14:paraId="0662D4E4" w14:textId="77777777" w:rsidTr="00A71A0F">
        <w:trPr>
          <w:trHeight w:val="40"/>
        </w:trPr>
        <w:tc>
          <w:tcPr>
            <w:tcW w:w="674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69A08964" w14:textId="2976D41F" w:rsidR="00ED599D" w:rsidRPr="00A61097" w:rsidRDefault="00ED599D" w:rsidP="00ED599D">
            <w:pPr>
              <w:pStyle w:val="XY-"/>
              <w:spacing w:line="240" w:lineRule="auto"/>
              <w:rPr>
                <w:rFonts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cs="Times New Roman"/>
                <w:sz w:val="20"/>
                <w:szCs w:val="20"/>
              </w:rPr>
              <w:t>times</w:t>
            </w:r>
            <w:proofErr w:type="gramEnd"/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EC3B517" w14:textId="247E71DB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27.3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507258C" w14:textId="36C64693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27.29</w:t>
            </w:r>
          </w:p>
        </w:tc>
        <w:tc>
          <w:tcPr>
            <w:tcW w:w="848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E383ECE" w14:textId="14785EB5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0.03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ECE419A" w14:textId="286C45F8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6.59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9B75F7A" w14:textId="5F022B1F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6.03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AD69D71" w14:textId="27EC04C4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1.8</w:t>
            </w:r>
            <w:r w:rsidRPr="00ED599D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6380D" w:rsidRPr="00A61097" w14:paraId="36110CBB" w14:textId="77777777" w:rsidTr="007D49B9">
        <w:trPr>
          <w:trHeight w:val="60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 w14:paraId="188DE454" w14:textId="663519EB" w:rsidR="00A6380D" w:rsidRPr="00A61097" w:rsidRDefault="00A6380D" w:rsidP="00A6380D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87533A">
              <w:rPr>
                <w:rFonts w:cs="Times New Roman"/>
                <w:sz w:val="20"/>
                <w:szCs w:val="20"/>
              </w:rPr>
              <w:t xml:space="preserve"> times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D3885" w14:textId="74511F05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27.29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DFD2A" w14:textId="3E5273ED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27.29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1160C99" w14:textId="2D9B69BB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9149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E2957" w14:textId="0B17FC2B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6.03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4CDB1" w14:textId="5364BE56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5.88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3C609" w14:textId="247FA720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0.5</w:t>
            </w:r>
            <w:r w:rsidRPr="00ED599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A6380D" w:rsidRPr="00A61097" w14:paraId="18A7AF34" w14:textId="77777777" w:rsidTr="007D49B9">
        <w:trPr>
          <w:trHeight w:val="60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D16F279" w14:textId="3A89BC85" w:rsidR="00A6380D" w:rsidRPr="00A61097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87533A">
              <w:rPr>
                <w:rFonts w:cs="Times New Roman"/>
                <w:sz w:val="20"/>
                <w:szCs w:val="20"/>
              </w:rPr>
              <w:t xml:space="preserve"> times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0C5A8" w14:textId="671FF7ED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27.29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B6C43" w14:textId="7C3611C0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27.29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2C522F5" w14:textId="6901BBA1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9149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AB199" w14:textId="3231C6E7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5.88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C14F2" w14:textId="5AE6D344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5.77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7B02" w14:textId="0B4EDC27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0.3</w:t>
            </w:r>
            <w:r w:rsidRPr="00ED599D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A6380D" w:rsidRPr="00A61097" w14:paraId="37588E6A" w14:textId="77777777" w:rsidTr="007D49B9">
        <w:trPr>
          <w:trHeight w:val="60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8CE1708" w14:textId="3C2F04A1" w:rsidR="00A6380D" w:rsidRPr="00A61097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87533A">
              <w:rPr>
                <w:rFonts w:cs="Times New Roman"/>
                <w:sz w:val="20"/>
                <w:szCs w:val="20"/>
              </w:rPr>
              <w:t xml:space="preserve"> times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68139" w14:textId="50773BB4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27.29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83017" w14:textId="4153FDF8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27.29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49A7AA" w14:textId="383C3192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D91491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1FF46" w14:textId="3AA8581F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5.77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AE418" w14:textId="6443B25D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D2105" w14:textId="6B6074CB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0.3</w:t>
            </w:r>
            <w:r w:rsidRPr="00ED599D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ED599D" w:rsidRPr="00A61097" w14:paraId="2493209B" w14:textId="77777777" w:rsidTr="00A71A0F">
        <w:trPr>
          <w:trHeight w:val="60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99E350F" w14:textId="656316A1" w:rsidR="00ED599D" w:rsidRPr="00A61097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87533A">
              <w:rPr>
                <w:rFonts w:cs="Times New Roman"/>
                <w:sz w:val="20"/>
                <w:szCs w:val="20"/>
              </w:rPr>
              <w:t xml:space="preserve"> times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64E39" w14:textId="093A44DB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27.29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3CF60" w14:textId="4E42D973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27.28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77A94" w14:textId="4BF9EDAF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0.03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65E66" w14:textId="67496CAF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058B4" w14:textId="141E91C0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7CF94" w14:textId="03C94014" w:rsidR="00ED599D" w:rsidRPr="00ED599D" w:rsidRDefault="00ED599D" w:rsidP="00ED599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6380D" w:rsidRPr="00A61097" w14:paraId="0A779DCD" w14:textId="77777777" w:rsidTr="001E1176">
        <w:trPr>
          <w:trHeight w:val="60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70CEC22" w14:textId="225DACCA" w:rsidR="00A6380D" w:rsidRPr="00A61097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87533A">
              <w:rPr>
                <w:rFonts w:cs="Times New Roman"/>
                <w:sz w:val="20"/>
                <w:szCs w:val="20"/>
              </w:rPr>
              <w:t xml:space="preserve"> times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BB143" w14:textId="1B703E95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27.28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C3A2D" w14:textId="759D001E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27.28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73073DE" w14:textId="7566F195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00E3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9C2E0" w14:textId="06DB6419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5D0D6" w14:textId="73CA1ECE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963D4" w14:textId="12DF6570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6380D" w:rsidRPr="00A61097" w14:paraId="061E70E8" w14:textId="77777777" w:rsidTr="001E1176">
        <w:trPr>
          <w:trHeight w:val="60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E4AF1BA" w14:textId="5729B3A8" w:rsidR="00A6380D" w:rsidRPr="00A61097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  <w:r w:rsidRPr="0087533A">
              <w:rPr>
                <w:rFonts w:cs="Times New Roman"/>
                <w:sz w:val="20"/>
                <w:szCs w:val="20"/>
              </w:rPr>
              <w:t xml:space="preserve"> times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83301" w14:textId="3C1D965F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27.28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97D4F" w14:textId="231A7BF5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27.28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8938A2" w14:textId="334C7E6F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00E3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E7F49" w14:textId="299BC37D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5E498" w14:textId="2C0CBD8C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F633A" w14:textId="70F4613C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6380D" w:rsidRPr="00A61097" w14:paraId="7D278C91" w14:textId="77777777" w:rsidTr="001E1176">
        <w:trPr>
          <w:trHeight w:val="60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B784BDA" w14:textId="62037E7A" w:rsidR="00A6380D" w:rsidRPr="00A61097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Pr="0087533A">
              <w:rPr>
                <w:rFonts w:cs="Times New Roman"/>
                <w:sz w:val="20"/>
                <w:szCs w:val="20"/>
              </w:rPr>
              <w:t xml:space="preserve"> times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2CB87" w14:textId="561E95D9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27.28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6D202" w14:textId="4A121FA0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27.28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EF37A03" w14:textId="187F68D6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00E3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C6C0E" w14:textId="57A752EC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A19F1" w14:textId="7FD06F4F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5.68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22FFC" w14:textId="2F160DF0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6380D" w:rsidRPr="00A61097" w14:paraId="4354E1CE" w14:textId="77777777" w:rsidTr="001E1176">
        <w:trPr>
          <w:trHeight w:val="60"/>
        </w:trPr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 w14:paraId="47222405" w14:textId="20E72AE9" w:rsidR="00A6380D" w:rsidRPr="00A61097" w:rsidRDefault="00A6380D" w:rsidP="00A6380D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Pr="0087533A">
              <w:rPr>
                <w:rFonts w:cs="Times New Roman"/>
                <w:sz w:val="20"/>
                <w:szCs w:val="20"/>
              </w:rPr>
              <w:t xml:space="preserve"> times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CB59A" w14:textId="1603BF5B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27.28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F89FE" w14:textId="172D487C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27.28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F3DC630" w14:textId="05027C87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00E3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91560" w14:textId="2DFBFC15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5DA1F" w14:textId="3011FA90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5.67</w:t>
            </w: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D8D5C" w14:textId="28339232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0.03</w:t>
            </w:r>
          </w:p>
        </w:tc>
      </w:tr>
      <w:tr w:rsidR="00A6380D" w:rsidRPr="00A61097" w14:paraId="1B673F9A" w14:textId="77777777" w:rsidTr="001E1176">
        <w:trPr>
          <w:trHeight w:val="60"/>
        </w:trPr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top"/>
            <w:hideMark/>
          </w:tcPr>
          <w:p w14:paraId="2A677E71" w14:textId="5E613742" w:rsidR="00A6380D" w:rsidRPr="00A61097" w:rsidRDefault="00A6380D" w:rsidP="00A6380D">
            <w:pPr>
              <w:pStyle w:val="XY-"/>
              <w:spacing w:line="24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87533A">
              <w:rPr>
                <w:rFonts w:cs="Times New Roman"/>
                <w:sz w:val="20"/>
                <w:szCs w:val="20"/>
              </w:rPr>
              <w:t xml:space="preserve"> times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F6A9063" w14:textId="69CF556C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27.28</w:t>
            </w:r>
          </w:p>
        </w:tc>
        <w:tc>
          <w:tcPr>
            <w:tcW w:w="73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6320FEB" w14:textId="75C0955F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27.28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top"/>
          </w:tcPr>
          <w:p w14:paraId="199957B5" w14:textId="1FC86A90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00E3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AC66A1C" w14:textId="74351439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8E18639" w14:textId="17EC1FA4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 w:hint="eastAsia"/>
                <w:sz w:val="20"/>
                <w:szCs w:val="20"/>
              </w:rPr>
              <w:t>5.67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EE6E837" w14:textId="2E73D7CF" w:rsidR="00A6380D" w:rsidRPr="00ED599D" w:rsidRDefault="00A6380D" w:rsidP="00A6380D">
            <w:pPr>
              <w:pStyle w:val="XY-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ED599D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62FFC492" w14:textId="77777777" w:rsidR="00ED599D" w:rsidRPr="00A61097" w:rsidRDefault="00ED599D" w:rsidP="00ED599D">
      <w:pPr>
        <w:rPr>
          <w:rFonts w:ascii="Times New Roman" w:hAnsi="Times New Roman" w:cs="Times New Roman"/>
          <w:sz w:val="20"/>
          <w:szCs w:val="20"/>
        </w:rPr>
      </w:pPr>
      <w:r w:rsidRPr="00A61097">
        <w:rPr>
          <w:rFonts w:ascii="Times New Roman" w:hAnsi="Times New Roman" w:cs="Times New Roman"/>
          <w:sz w:val="20"/>
          <w:szCs w:val="20"/>
        </w:rPr>
        <w:t xml:space="preserve">Note: 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0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original thickness, L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α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final thickness, R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L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linear ablation rate, M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0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original mass, M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α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final mass, and R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M</w:t>
      </w:r>
      <w:r w:rsidRPr="00A61097">
        <w:rPr>
          <w:rFonts w:ascii="Times New Roman" w:hAnsi="Times New Roman" w:cs="Times New Roman"/>
          <w:color w:val="000000" w:themeColor="text1"/>
          <w:sz w:val="20"/>
          <w:szCs w:val="20"/>
        </w:rPr>
        <w:t>: mass ablation rate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9135AD1" w14:textId="77777777" w:rsidR="00ED599D" w:rsidRPr="00ED599D" w:rsidRDefault="00ED599D" w:rsidP="00BC563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D599D" w:rsidRPr="00ED5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2312" w14:textId="77777777" w:rsidR="00C7011D" w:rsidRDefault="00C7011D" w:rsidP="00784762">
      <w:r>
        <w:separator/>
      </w:r>
    </w:p>
  </w:endnote>
  <w:endnote w:type="continuationSeparator" w:id="0">
    <w:p w14:paraId="1089A7A0" w14:textId="77777777" w:rsidR="00C7011D" w:rsidRDefault="00C7011D" w:rsidP="0078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078C" w14:textId="77777777" w:rsidR="00C7011D" w:rsidRDefault="00C7011D" w:rsidP="00784762">
      <w:r>
        <w:separator/>
      </w:r>
    </w:p>
  </w:footnote>
  <w:footnote w:type="continuationSeparator" w:id="0">
    <w:p w14:paraId="23566E40" w14:textId="77777777" w:rsidR="00C7011D" w:rsidRDefault="00C7011D" w:rsidP="0078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A65DA"/>
    <w:multiLevelType w:val="hybridMultilevel"/>
    <w:tmpl w:val="3BFCA4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043AAF"/>
    <w:multiLevelType w:val="hybridMultilevel"/>
    <w:tmpl w:val="FED28A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7896156">
    <w:abstractNumId w:val="1"/>
  </w:num>
  <w:num w:numId="2" w16cid:durableId="74064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FC"/>
    <w:rsid w:val="0001229B"/>
    <w:rsid w:val="00053180"/>
    <w:rsid w:val="000A7FDF"/>
    <w:rsid w:val="0019619E"/>
    <w:rsid w:val="00234524"/>
    <w:rsid w:val="002E152E"/>
    <w:rsid w:val="00485D61"/>
    <w:rsid w:val="00517880"/>
    <w:rsid w:val="006B139F"/>
    <w:rsid w:val="006B2A2F"/>
    <w:rsid w:val="00784762"/>
    <w:rsid w:val="00937749"/>
    <w:rsid w:val="009A3AFC"/>
    <w:rsid w:val="00A15C08"/>
    <w:rsid w:val="00A61097"/>
    <w:rsid w:val="00A6380D"/>
    <w:rsid w:val="00AC26AB"/>
    <w:rsid w:val="00B677D0"/>
    <w:rsid w:val="00BC0B9B"/>
    <w:rsid w:val="00BC5639"/>
    <w:rsid w:val="00C02B71"/>
    <w:rsid w:val="00C03896"/>
    <w:rsid w:val="00C2666D"/>
    <w:rsid w:val="00C7011D"/>
    <w:rsid w:val="00CE36B4"/>
    <w:rsid w:val="00D24C8F"/>
    <w:rsid w:val="00E20D20"/>
    <w:rsid w:val="00E379AD"/>
    <w:rsid w:val="00EA2388"/>
    <w:rsid w:val="00EB11E8"/>
    <w:rsid w:val="00ED599D"/>
    <w:rsid w:val="00EE691C"/>
    <w:rsid w:val="00F534DD"/>
    <w:rsid w:val="00F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AADCF"/>
  <w15:chartTrackingRefBased/>
  <w15:docId w15:val="{8BD0E8F6-0665-4D32-B85D-1B05689F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7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47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4762"/>
    <w:rPr>
      <w:sz w:val="18"/>
      <w:szCs w:val="18"/>
    </w:rPr>
  </w:style>
  <w:style w:type="table" w:styleId="a7">
    <w:name w:val="Table Grid"/>
    <w:basedOn w:val="a1"/>
    <w:uiPriority w:val="59"/>
    <w:rsid w:val="0078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5C08"/>
    <w:pPr>
      <w:spacing w:line="288" w:lineRule="auto"/>
      <w:ind w:firstLineChars="200" w:firstLine="420"/>
    </w:pPr>
    <w:rPr>
      <w:rFonts w:ascii="Times New Roman" w:eastAsia="宋体" w:hAnsi="Times New Roman"/>
      <w:sz w:val="24"/>
    </w:rPr>
  </w:style>
  <w:style w:type="character" w:styleId="a9">
    <w:name w:val="Hyperlink"/>
    <w:basedOn w:val="a0"/>
    <w:uiPriority w:val="99"/>
    <w:semiHidden/>
    <w:unhideWhenUsed/>
    <w:rsid w:val="006B139F"/>
    <w:rPr>
      <w:color w:val="0000FF"/>
      <w:u w:val="single"/>
    </w:rPr>
  </w:style>
  <w:style w:type="paragraph" w:customStyle="1" w:styleId="XY-">
    <w:name w:val="XY-图表题"/>
    <w:basedOn w:val="a"/>
    <w:next w:val="a"/>
    <w:link w:val="XY-0"/>
    <w:qFormat/>
    <w:rsid w:val="006B139F"/>
    <w:pPr>
      <w:spacing w:line="300" w:lineRule="auto"/>
      <w:jc w:val="center"/>
    </w:pPr>
    <w:rPr>
      <w:rFonts w:ascii="Times New Roman" w:eastAsia="宋体" w:hAnsi="Times New Roman"/>
    </w:rPr>
  </w:style>
  <w:style w:type="character" w:customStyle="1" w:styleId="XY-0">
    <w:name w:val="XY-图表题 字符"/>
    <w:link w:val="XY-"/>
    <w:rsid w:val="006B139F"/>
    <w:rPr>
      <w:rFonts w:ascii="Times New Roman" w:eastAsia="宋体" w:hAnsi="Times New Roman"/>
    </w:rPr>
  </w:style>
  <w:style w:type="table" w:customStyle="1" w:styleId="HIT">
    <w:name w:val="HIT表格样式"/>
    <w:basedOn w:val="a1"/>
    <w:uiPriority w:val="99"/>
    <w:rsid w:val="006B139F"/>
    <w:pPr>
      <w:spacing w:line="300" w:lineRule="auto"/>
      <w:jc w:val="center"/>
    </w:pPr>
    <w:rPr>
      <w:rFonts w:ascii="Times New Roman" w:eastAsia="宋体" w:hAnsi="Times New Roman"/>
    </w:rPr>
    <w:tblPr>
      <w:jc w:val="center"/>
      <w:tblBorders>
        <w:top w:val="single" w:sz="18" w:space="0" w:color="auto"/>
        <w:bottom w:val="single" w:sz="18" w:space="0" w:color="auto"/>
      </w:tblBorders>
    </w:tblPr>
    <w:trPr>
      <w:jc w:val="center"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hebing wang</dc:creator>
  <cp:keywords/>
  <dc:description/>
  <cp:lastModifiedBy>hebing wang</cp:lastModifiedBy>
  <cp:revision>8</cp:revision>
  <dcterms:created xsi:type="dcterms:W3CDTF">2023-11-07T07:33:00Z</dcterms:created>
  <dcterms:modified xsi:type="dcterms:W3CDTF">2023-11-14T04:23:00Z</dcterms:modified>
</cp:coreProperties>
</file>