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8E368C" w14:textId="77777777" w:rsidR="009F7E6C" w:rsidRPr="00E9053E" w:rsidRDefault="009F7E6C">
      <w:pPr>
        <w:rPr>
          <w:rFonts w:ascii="Times New Roman" w:hAnsi="Times New Roman" w:cs="Times New Roman"/>
          <w:b/>
        </w:rPr>
      </w:pPr>
      <w:bookmarkStart w:id="0" w:name="OLE_LINK1"/>
      <w:bookmarkStart w:id="1" w:name="OLE_LINK2"/>
    </w:p>
    <w:bookmarkEnd w:id="0"/>
    <w:bookmarkEnd w:id="1"/>
    <w:p w14:paraId="3A40266D" w14:textId="77777777" w:rsidR="0098145E" w:rsidRDefault="0098145E" w:rsidP="0098145E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391B2605" wp14:editId="618E5F1D">
            <wp:extent cx="6264000" cy="3060000"/>
            <wp:effectExtent l="0" t="0" r="10160" b="13970"/>
            <wp:docPr id="1929072257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E5F00A86-8C94-5052-E821-E6D62F25AF3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4A0EE95B" w14:textId="77777777" w:rsidR="0098145E" w:rsidRPr="0042317E" w:rsidRDefault="0098145E" w:rsidP="0098145E">
      <w:pPr>
        <w:rPr>
          <w:rFonts w:ascii="Times New Roman" w:hAnsi="Times New Roman" w:cs="Times New Roman"/>
          <w:bCs/>
        </w:rPr>
      </w:pPr>
      <w:r w:rsidRPr="0042317E">
        <w:rPr>
          <w:rFonts w:ascii="Times New Roman" w:hAnsi="Times New Roman" w:cs="Times New Roman"/>
          <w:b/>
        </w:rPr>
        <w:t>Fig</w:t>
      </w:r>
      <w:r>
        <w:rPr>
          <w:rFonts w:ascii="Times New Roman" w:hAnsi="Times New Roman" w:cs="Times New Roman"/>
          <w:b/>
        </w:rPr>
        <w:t>.</w:t>
      </w:r>
      <w:r w:rsidRPr="0042317E">
        <w:rPr>
          <w:rFonts w:ascii="Times New Roman" w:hAnsi="Times New Roman" w:cs="Times New Roman"/>
          <w:b/>
        </w:rPr>
        <w:t xml:space="preserve"> S2 </w:t>
      </w:r>
      <w:r w:rsidRPr="00EA7BBE">
        <w:rPr>
          <w:rFonts w:ascii="Times New Roman" w:hAnsi="Times New Roman" w:cs="Times New Roman"/>
          <w:bCs/>
        </w:rPr>
        <w:t xml:space="preserve">Spontaneous resolution of </w:t>
      </w:r>
      <w:r>
        <w:rPr>
          <w:rFonts w:ascii="Times New Roman" w:hAnsi="Times New Roman" w:cs="Times New Roman"/>
          <w:bCs/>
        </w:rPr>
        <w:t>atrial septal defects (</w:t>
      </w:r>
      <w:r w:rsidRPr="00EA7BBE">
        <w:rPr>
          <w:rFonts w:ascii="Times New Roman" w:hAnsi="Times New Roman" w:cs="Times New Roman"/>
          <w:bCs/>
        </w:rPr>
        <w:t>ASDs</w:t>
      </w:r>
      <w:r>
        <w:rPr>
          <w:rFonts w:ascii="Times New Roman" w:hAnsi="Times New Roman" w:cs="Times New Roman"/>
          <w:bCs/>
        </w:rPr>
        <w:t>)</w:t>
      </w:r>
      <w:r w:rsidRPr="00EA7BBE">
        <w:rPr>
          <w:rFonts w:ascii="Times New Roman" w:hAnsi="Times New Roman" w:cs="Times New Roman"/>
          <w:bCs/>
        </w:rPr>
        <w:t xml:space="preserve"> in term versus preterm neonates based on initial </w:t>
      </w:r>
      <w:r w:rsidRPr="0042317E">
        <w:rPr>
          <w:rFonts w:ascii="Times New Roman" w:hAnsi="Times New Roman" w:cs="Times New Roman"/>
        </w:rPr>
        <w:t>atrial septal defect to aortic valve diameter ratio</w:t>
      </w:r>
      <w:r w:rsidRPr="00EA7BBE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(</w:t>
      </w:r>
      <w:proofErr w:type="spellStart"/>
      <w:r w:rsidRPr="00EA7BBE">
        <w:rPr>
          <w:rFonts w:ascii="Times New Roman" w:hAnsi="Times New Roman" w:cs="Times New Roman"/>
          <w:bCs/>
        </w:rPr>
        <w:t>ASD:AoV</w:t>
      </w:r>
      <w:proofErr w:type="spellEnd"/>
      <w:r>
        <w:rPr>
          <w:rFonts w:ascii="Times New Roman" w:hAnsi="Times New Roman" w:cs="Times New Roman"/>
          <w:bCs/>
        </w:rPr>
        <w:t xml:space="preserve"> ratio)</w:t>
      </w:r>
      <w:r w:rsidRPr="00EA7BBE">
        <w:rPr>
          <w:rFonts w:ascii="Times New Roman" w:hAnsi="Times New Roman" w:cs="Times New Roman"/>
          <w:bCs/>
        </w:rPr>
        <w:t>.</w:t>
      </w:r>
      <w:r w:rsidRPr="0042317E">
        <w:rPr>
          <w:rFonts w:ascii="Times New Roman" w:hAnsi="Times New Roman" w:cs="Times New Roman"/>
          <w:bCs/>
        </w:rPr>
        <w:t xml:space="preserve"> </w:t>
      </w:r>
      <w:r w:rsidRPr="0042317E">
        <w:rPr>
          <w:rFonts w:ascii="Times New Roman" w:hAnsi="Times New Roman" w:cs="Times New Roman"/>
        </w:rPr>
        <w:t>None of the size categories demonstrated a difference between resolution rates of term neonates and preterm neonates (p&gt;0.05 for all categories, Fisher exact test). *</w:t>
      </w:r>
      <w:proofErr w:type="spellStart"/>
      <w:r w:rsidRPr="0042317E">
        <w:rPr>
          <w:rFonts w:ascii="Times New Roman" w:hAnsi="Times New Roman" w:cs="Times New Roman"/>
        </w:rPr>
        <w:t>ASD:AoV</w:t>
      </w:r>
      <w:proofErr w:type="spellEnd"/>
      <w:r w:rsidRPr="0042317E">
        <w:rPr>
          <w:rFonts w:ascii="Times New Roman" w:hAnsi="Times New Roman" w:cs="Times New Roman"/>
        </w:rPr>
        <w:t xml:space="preserve"> ratios </w:t>
      </w:r>
      <w:r>
        <w:rPr>
          <w:rFonts w:ascii="Times New Roman" w:hAnsi="Times New Roman" w:cs="Times New Roman"/>
        </w:rPr>
        <w:t>shown were generated using the color Doppler</w:t>
      </w:r>
      <w:r w:rsidRPr="0042317E">
        <w:rPr>
          <w:rFonts w:ascii="Times New Roman" w:hAnsi="Times New Roman" w:cs="Times New Roman"/>
        </w:rPr>
        <w:t xml:space="preserve"> diameter of the ASD divided by the 2D diameter of the </w:t>
      </w:r>
      <w:proofErr w:type="spellStart"/>
      <w:r w:rsidRPr="0042317E">
        <w:rPr>
          <w:rFonts w:ascii="Times New Roman" w:hAnsi="Times New Roman" w:cs="Times New Roman"/>
        </w:rPr>
        <w:t>AoV</w:t>
      </w:r>
      <w:proofErr w:type="spellEnd"/>
      <w:r w:rsidRPr="0042317E">
        <w:rPr>
          <w:rFonts w:ascii="Times New Roman" w:hAnsi="Times New Roman" w:cs="Times New Roman"/>
        </w:rPr>
        <w:t>.</w:t>
      </w:r>
    </w:p>
    <w:p w14:paraId="373423A0" w14:textId="79AB4342" w:rsidR="00E9053E" w:rsidRPr="0042317E" w:rsidRDefault="00E9053E" w:rsidP="0098145E">
      <w:pPr>
        <w:rPr>
          <w:rFonts w:ascii="Times New Roman" w:hAnsi="Times New Roman" w:cs="Times New Roman"/>
          <w:bCs/>
        </w:rPr>
      </w:pPr>
    </w:p>
    <w:sectPr w:rsidR="00E9053E" w:rsidRPr="0042317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53E"/>
    <w:rsid w:val="00023AFD"/>
    <w:rsid w:val="00042CF4"/>
    <w:rsid w:val="002608EF"/>
    <w:rsid w:val="00360BC9"/>
    <w:rsid w:val="0042317E"/>
    <w:rsid w:val="004C2455"/>
    <w:rsid w:val="004C4787"/>
    <w:rsid w:val="0055606B"/>
    <w:rsid w:val="005853FE"/>
    <w:rsid w:val="005967DC"/>
    <w:rsid w:val="00864332"/>
    <w:rsid w:val="0094255D"/>
    <w:rsid w:val="0098145E"/>
    <w:rsid w:val="009F7E6C"/>
    <w:rsid w:val="00A76C9F"/>
    <w:rsid w:val="00BE6704"/>
    <w:rsid w:val="00C7603A"/>
    <w:rsid w:val="00DB5F56"/>
    <w:rsid w:val="00E60114"/>
    <w:rsid w:val="00E729FF"/>
    <w:rsid w:val="00E9053E"/>
    <w:rsid w:val="00EA7BBE"/>
    <w:rsid w:val="00EE3275"/>
    <w:rsid w:val="00EE545E"/>
    <w:rsid w:val="00EF5FC8"/>
    <w:rsid w:val="00F220D5"/>
    <w:rsid w:val="00F71CC0"/>
    <w:rsid w:val="00FD1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A2D9B00"/>
  <w15:chartTrackingRefBased/>
  <w15:docId w15:val="{278712C7-038A-AE4A-B05E-F3C1C5FB7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145E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E729F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729FF"/>
    <w:rPr>
      <w:kern w:val="2"/>
      <w:sz w:val="20"/>
      <w:szCs w:val="20"/>
      <w14:ligatures w14:val="standardContextual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729F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29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29F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4332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4332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/negar/Library/Mobile%20Documents/com~apple~CloudDocs/Documents/Medical%20School/Research/Manuscript/ASD%20to%20Aortic%20Valve%20ratios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v>Term Neonates</c:v>
          </c:tx>
          <c:spPr>
            <a:solidFill>
              <a:schemeClr val="tx1"/>
            </a:solidFill>
            <a:ln>
              <a:noFill/>
            </a:ln>
            <a:effectLst/>
          </c:spPr>
          <c:invertIfNegative val="0"/>
          <c:cat>
            <c:numRef>
              <c:f>'Distribution and Resolution'!$R$2:$R$15</c:f>
              <c:numCache>
                <c:formatCode>General</c:formatCode>
                <c:ptCount val="14"/>
                <c:pt idx="0">
                  <c:v>0.4</c:v>
                </c:pt>
                <c:pt idx="1">
                  <c:v>0.5</c:v>
                </c:pt>
                <c:pt idx="2">
                  <c:v>0.6</c:v>
                </c:pt>
                <c:pt idx="3">
                  <c:v>0.7</c:v>
                </c:pt>
                <c:pt idx="4">
                  <c:v>0.8</c:v>
                </c:pt>
                <c:pt idx="5">
                  <c:v>0.9</c:v>
                </c:pt>
                <c:pt idx="6">
                  <c:v>1</c:v>
                </c:pt>
                <c:pt idx="7">
                  <c:v>1.1000000000000001</c:v>
                </c:pt>
                <c:pt idx="8">
                  <c:v>1.2</c:v>
                </c:pt>
                <c:pt idx="9">
                  <c:v>1.3</c:v>
                </c:pt>
                <c:pt idx="10">
                  <c:v>1.4</c:v>
                </c:pt>
                <c:pt idx="11">
                  <c:v>1.5</c:v>
                </c:pt>
                <c:pt idx="12">
                  <c:v>1.6</c:v>
                </c:pt>
                <c:pt idx="13">
                  <c:v>1.7</c:v>
                </c:pt>
              </c:numCache>
            </c:numRef>
          </c:cat>
          <c:val>
            <c:numRef>
              <c:f>'Distribution and Resolution'!$S$2:$S$15</c:f>
              <c:numCache>
                <c:formatCode>General</c:formatCode>
                <c:ptCount val="14"/>
                <c:pt idx="0">
                  <c:v>100</c:v>
                </c:pt>
                <c:pt idx="1">
                  <c:v>100</c:v>
                </c:pt>
                <c:pt idx="2">
                  <c:v>85</c:v>
                </c:pt>
                <c:pt idx="3">
                  <c:v>93.103448275862064</c:v>
                </c:pt>
                <c:pt idx="4">
                  <c:v>87.5</c:v>
                </c:pt>
                <c:pt idx="5">
                  <c:v>94.73684210526315</c:v>
                </c:pt>
                <c:pt idx="6">
                  <c:v>85.714285714285708</c:v>
                </c:pt>
                <c:pt idx="7">
                  <c:v>91.666666666666657</c:v>
                </c:pt>
                <c:pt idx="8">
                  <c:v>75</c:v>
                </c:pt>
                <c:pt idx="9">
                  <c:v>83.333333333333343</c:v>
                </c:pt>
                <c:pt idx="10">
                  <c:v>0</c:v>
                </c:pt>
                <c:pt idx="11">
                  <c:v>100</c:v>
                </c:pt>
                <c:pt idx="12">
                  <c:v>0</c:v>
                </c:pt>
                <c:pt idx="13">
                  <c:v>100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4AD-4240-A2E5-0CEB2C2697C5}"/>
            </c:ext>
          </c:extLst>
        </c:ser>
        <c:ser>
          <c:idx val="1"/>
          <c:order val="1"/>
          <c:tx>
            <c:v>Preterm Neonates</c:v>
          </c:tx>
          <c:spPr>
            <a:solidFill>
              <a:schemeClr val="dk1">
                <a:tint val="55000"/>
              </a:schemeClr>
            </a:solidFill>
            <a:ln>
              <a:noFill/>
            </a:ln>
            <a:effectLst/>
          </c:spPr>
          <c:invertIfNegative val="0"/>
          <c:cat>
            <c:numRef>
              <c:f>'Distribution and Resolution'!$R$2:$R$15</c:f>
              <c:numCache>
                <c:formatCode>General</c:formatCode>
                <c:ptCount val="14"/>
                <c:pt idx="0">
                  <c:v>0.4</c:v>
                </c:pt>
                <c:pt idx="1">
                  <c:v>0.5</c:v>
                </c:pt>
                <c:pt idx="2">
                  <c:v>0.6</c:v>
                </c:pt>
                <c:pt idx="3">
                  <c:v>0.7</c:v>
                </c:pt>
                <c:pt idx="4">
                  <c:v>0.8</c:v>
                </c:pt>
                <c:pt idx="5">
                  <c:v>0.9</c:v>
                </c:pt>
                <c:pt idx="6">
                  <c:v>1</c:v>
                </c:pt>
                <c:pt idx="7">
                  <c:v>1.1000000000000001</c:v>
                </c:pt>
                <c:pt idx="8">
                  <c:v>1.2</c:v>
                </c:pt>
                <c:pt idx="9">
                  <c:v>1.3</c:v>
                </c:pt>
                <c:pt idx="10">
                  <c:v>1.4</c:v>
                </c:pt>
                <c:pt idx="11">
                  <c:v>1.5</c:v>
                </c:pt>
                <c:pt idx="12">
                  <c:v>1.6</c:v>
                </c:pt>
                <c:pt idx="13">
                  <c:v>1.7</c:v>
                </c:pt>
              </c:numCache>
            </c:numRef>
          </c:cat>
          <c:val>
            <c:numRef>
              <c:f>'Distribution and Resolution'!$T$2:$T$15</c:f>
              <c:numCache>
                <c:formatCode>General</c:formatCode>
                <c:ptCount val="14"/>
                <c:pt idx="0">
                  <c:v>100</c:v>
                </c:pt>
                <c:pt idx="1">
                  <c:v>85.714285714285708</c:v>
                </c:pt>
                <c:pt idx="2">
                  <c:v>61.904761904761905</c:v>
                </c:pt>
                <c:pt idx="3">
                  <c:v>90.909090909090907</c:v>
                </c:pt>
                <c:pt idx="4">
                  <c:v>79.166666666666657</c:v>
                </c:pt>
                <c:pt idx="5">
                  <c:v>73.91304347826086</c:v>
                </c:pt>
                <c:pt idx="6">
                  <c:v>76.470588235294116</c:v>
                </c:pt>
                <c:pt idx="7">
                  <c:v>72.727272727272734</c:v>
                </c:pt>
                <c:pt idx="8">
                  <c:v>77.777777777777786</c:v>
                </c:pt>
                <c:pt idx="9">
                  <c:v>100</c:v>
                </c:pt>
                <c:pt idx="10">
                  <c:v>50</c:v>
                </c:pt>
                <c:pt idx="11">
                  <c:v>66.666666666666657</c:v>
                </c:pt>
                <c:pt idx="12">
                  <c:v>50</c:v>
                </c:pt>
                <c:pt idx="1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4AD-4240-A2E5-0CEB2C2697C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832166127"/>
        <c:axId val="1832229471"/>
      </c:barChart>
      <c:catAx>
        <c:axId val="1832166127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en-US" sz="800">
                    <a:solidFill>
                      <a:schemeClr val="tx1"/>
                    </a:solidFill>
                    <a:latin typeface="Arial" panose="020B0604020202020204" pitchFamily="34" charset="0"/>
                    <a:cs typeface="Arial" panose="020B0604020202020204" pitchFamily="34" charset="0"/>
                  </a:rPr>
                  <a:t>ASD:AoV</a:t>
                </a:r>
                <a:r>
                  <a:rPr lang="en-US" sz="800" baseline="0">
                    <a:solidFill>
                      <a:schemeClr val="tx1"/>
                    </a:solidFill>
                    <a:latin typeface="Arial" panose="020B0604020202020204" pitchFamily="34" charset="0"/>
                    <a:cs typeface="Arial" panose="020B0604020202020204" pitchFamily="34" charset="0"/>
                  </a:rPr>
                  <a:t> Ratio  </a:t>
                </a:r>
                <a:endParaRPr lang="en-US" sz="800">
                  <a:solidFill>
                    <a:schemeClr val="tx1"/>
                  </a:solidFill>
                  <a:latin typeface="Arial" panose="020B0604020202020204" pitchFamily="34" charset="0"/>
                  <a:cs typeface="Arial" panose="020B0604020202020204" pitchFamily="34" charset="0"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8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1832229471"/>
        <c:crosses val="autoZero"/>
        <c:auto val="1"/>
        <c:lblAlgn val="ctr"/>
        <c:lblOffset val="100"/>
        <c:noMultiLvlLbl val="0"/>
      </c:catAx>
      <c:valAx>
        <c:axId val="1832229471"/>
        <c:scaling>
          <c:orientation val="minMax"/>
          <c:max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en-US" sz="800">
                    <a:solidFill>
                      <a:schemeClr val="tx1"/>
                    </a:solidFill>
                    <a:latin typeface="Arial" panose="020B0604020202020204" pitchFamily="34" charset="0"/>
                    <a:cs typeface="Arial" panose="020B0604020202020204" pitchFamily="34" charset="0"/>
                  </a:rPr>
                  <a:t>Percentage of Spontaneous Resolution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8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1832166127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Negar Heidari</dc:creator>
  <cp:keywords/>
  <dc:description/>
  <cp:lastModifiedBy>Negar Heidari</cp:lastModifiedBy>
  <cp:revision>2</cp:revision>
  <dcterms:created xsi:type="dcterms:W3CDTF">2023-11-14T22:26:00Z</dcterms:created>
  <dcterms:modified xsi:type="dcterms:W3CDTF">2023-11-14T22:26:00Z</dcterms:modified>
</cp:coreProperties>
</file>