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1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Supporting information</w:t>
      </w:r>
    </w:p>
    <w:p>
      <w:pPr>
        <w:pStyle w:val="Normal1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for </w:t>
      </w:r>
    </w:p>
    <w:p>
      <w:pPr>
        <w:pStyle w:val="Normal1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Searching for target-specific and multi-targeting organics for</w:t>
      </w:r>
    </w:p>
    <w:p>
      <w:pPr>
        <w:pStyle w:val="Normal1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Covid-19 in the Drugbank database with a double scoring</w:t>
      </w:r>
    </w:p>
    <w:p>
      <w:pPr>
        <w:pStyle w:val="Normal1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approach</w:t>
      </w:r>
    </w:p>
    <w:p>
      <w:pPr>
        <w:pStyle w:val="Normal1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1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1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Natarajan Arul Murugan</w:t>
      </w:r>
      <w:r>
        <w:rPr>
          <w:rFonts w:eastAsia="Arial Unicode MS" w:cs="Arial Unicode MS" w:ascii="Arial Unicode MS" w:hAnsi="Arial Unicode MS"/>
          <w:b/>
          <w:sz w:val="24"/>
          <w:szCs w:val="24"/>
          <w:vertAlign w:val="superscript"/>
        </w:rPr>
        <w:t>†,∗,</w:t>
      </w:r>
      <w:r>
        <w:rPr>
          <w:b/>
          <w:sz w:val="24"/>
          <w:szCs w:val="24"/>
        </w:rPr>
        <w:t xml:space="preserve"> Sanjiv Kumar</w:t>
      </w:r>
      <w:r>
        <w:rPr>
          <w:b/>
          <w:sz w:val="24"/>
          <w:szCs w:val="24"/>
          <w:vertAlign w:val="superscript"/>
        </w:rPr>
        <w:t>‡</w:t>
      </w:r>
      <w:r>
        <w:rPr>
          <w:b/>
          <w:sz w:val="24"/>
          <w:szCs w:val="24"/>
        </w:rPr>
        <w:t>, Jeyaraman Jeyakanthan</w:t>
      </w:r>
      <w:r>
        <w:rPr>
          <w:b/>
          <w:sz w:val="24"/>
          <w:szCs w:val="24"/>
          <w:vertAlign w:val="superscript"/>
        </w:rPr>
        <w:t>𝛾</w:t>
      </w:r>
      <w:r>
        <w:rPr>
          <w:b/>
          <w:sz w:val="24"/>
          <w:szCs w:val="24"/>
        </w:rPr>
        <w:t xml:space="preserve"> , Vaibhav</w:t>
      </w:r>
    </w:p>
    <w:p>
      <w:pPr>
        <w:pStyle w:val="Normal1"/>
        <w:jc w:val="center"/>
        <w:rPr>
          <w:b/>
          <w:b/>
          <w:sz w:val="24"/>
          <w:szCs w:val="24"/>
          <w:vertAlign w:val="superscript"/>
        </w:rPr>
      </w:pPr>
      <w:r>
        <w:rPr>
          <w:b/>
          <w:sz w:val="24"/>
          <w:szCs w:val="24"/>
        </w:rPr>
        <w:t xml:space="preserve">Srivastava </w:t>
      </w:r>
      <w:r>
        <w:rPr>
          <w:rFonts w:eastAsia="Arial Unicode MS" w:cs="Arial Unicode MS" w:ascii="Arial Unicode MS" w:hAnsi="Arial Unicode MS"/>
          <w:b/>
          <w:sz w:val="24"/>
          <w:szCs w:val="24"/>
          <w:vertAlign w:val="superscript"/>
        </w:rPr>
        <w:t>‡,∗</w:t>
      </w:r>
    </w:p>
    <w:p>
      <w:pPr>
        <w:pStyle w:val="Normal1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† </w:t>
      </w:r>
      <w:r>
        <w:rPr>
          <w:sz w:val="24"/>
          <w:szCs w:val="24"/>
        </w:rPr>
        <w:t xml:space="preserve">Department of Theoretical Chemistry and Biology, </w:t>
      </w:r>
    </w:p>
    <w:p>
      <w:pPr>
        <w:pStyle w:val="Normal1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School of Chemistry, Biotechnology and Health, </w:t>
      </w:r>
    </w:p>
    <w:p>
      <w:pPr>
        <w:pStyle w:val="Normal1"/>
        <w:jc w:val="center"/>
        <w:rPr>
          <w:sz w:val="24"/>
          <w:szCs w:val="24"/>
        </w:rPr>
      </w:pPr>
      <w:r>
        <w:rPr>
          <w:sz w:val="24"/>
          <w:szCs w:val="24"/>
        </w:rPr>
        <w:t>KTH Royal Institute of Technology, S-106 91,</w:t>
      </w:r>
    </w:p>
    <w:p>
      <w:pPr>
        <w:pStyle w:val="Normal1"/>
        <w:jc w:val="center"/>
        <w:rPr>
          <w:sz w:val="24"/>
          <w:szCs w:val="24"/>
        </w:rPr>
      </w:pPr>
      <w:r>
        <w:rPr>
          <w:sz w:val="24"/>
          <w:szCs w:val="24"/>
        </w:rPr>
        <w:t>Stockholm, Sweden</w:t>
      </w:r>
    </w:p>
    <w:p>
      <w:pPr>
        <w:pStyle w:val="Normal1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1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‡ </w:t>
      </w:r>
      <w:r>
        <w:rPr>
          <w:sz w:val="24"/>
          <w:szCs w:val="24"/>
        </w:rPr>
        <w:t xml:space="preserve">Division of Glycoscience, Department of Chemistry, </w:t>
      </w:r>
    </w:p>
    <w:p>
      <w:pPr>
        <w:pStyle w:val="Normal1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School of Chemistry, Biotechnology and Health, </w:t>
      </w:r>
    </w:p>
    <w:p>
      <w:pPr>
        <w:pStyle w:val="Normal1"/>
        <w:jc w:val="center"/>
        <w:rPr>
          <w:sz w:val="24"/>
          <w:szCs w:val="24"/>
        </w:rPr>
      </w:pPr>
      <w:r>
        <w:rPr>
          <w:sz w:val="24"/>
          <w:szCs w:val="24"/>
        </w:rPr>
        <w:t>KTH Royal Institute of Technology, Stockholm, Sweden</w:t>
      </w:r>
    </w:p>
    <w:p>
      <w:pPr>
        <w:pStyle w:val="Normal1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1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𝛾 </w:t>
      </w:r>
      <w:r>
        <w:rPr>
          <w:sz w:val="24"/>
          <w:szCs w:val="24"/>
        </w:rPr>
        <w:t xml:space="preserve">Department of Bioinformatics, </w:t>
      </w:r>
    </w:p>
    <w:p>
      <w:pPr>
        <w:pStyle w:val="Normal1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Alagappa University, </w:t>
      </w:r>
    </w:p>
    <w:p>
      <w:pPr>
        <w:pStyle w:val="Normal1"/>
        <w:jc w:val="center"/>
        <w:rPr>
          <w:sz w:val="24"/>
          <w:szCs w:val="24"/>
        </w:rPr>
      </w:pPr>
      <w:r>
        <w:rPr>
          <w:sz w:val="24"/>
          <w:szCs w:val="24"/>
        </w:rPr>
        <w:t>Karaikudi, Tamilnadu, India</w:t>
      </w:r>
    </w:p>
    <w:p>
      <w:pPr>
        <w:pStyle w:val="Normal1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1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1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1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1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Table S1: List of compounds in the drug trials for covid-19 therapeutics. </w:t>
      </w:r>
    </w:p>
    <w:tbl>
      <w:tblPr>
        <w:tblStyle w:val="Table1"/>
        <w:tblW w:w="9000" w:type="dxa"/>
        <w:jc w:val="left"/>
        <w:tblInd w:w="0" w:type="dxa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2189"/>
        <w:gridCol w:w="1411"/>
        <w:gridCol w:w="1845"/>
        <w:gridCol w:w="1725"/>
        <w:gridCol w:w="1830"/>
      </w:tblGrid>
      <w:tr>
        <w:trPr/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b/>
                <w:b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</w:rPr>
              <w:t xml:space="preserve">Compound name </w:t>
            </w:r>
          </w:p>
        </w:tc>
        <w:tc>
          <w:tcPr>
            <w:tcW w:w="1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b/>
                <w:b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</w:rPr>
              <w:t>3D structure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b/>
                <w:b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</w:rPr>
              <w:t>Company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b/>
                <w:b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</w:rPr>
              <w:t>Category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b/>
                <w:b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</w:rPr>
              <w:t>Mechanism of action</w:t>
            </w:r>
          </w:p>
        </w:tc>
      </w:tr>
      <w:tr>
        <w:trPr/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Remdesivir (</w:t>
            </w:r>
            <w:r>
              <w:rPr>
                <w:rFonts w:eastAsia="Times New Roman" w:cs="Times New Roman" w:ascii="Times New Roman" w:hAnsi="Times New Roman"/>
                <w:color w:val="192027"/>
                <w:sz w:val="20"/>
                <w:szCs w:val="20"/>
                <w:highlight w:val="white"/>
              </w:rPr>
              <w:t>DB14761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333333"/>
                <w:sz w:val="20"/>
                <w:szCs w:val="20"/>
                <w:highlight w:val="white"/>
              </w:rPr>
              <w:t>Gilead Sciences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antiviral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222222"/>
                <w:sz w:val="20"/>
                <w:szCs w:val="20"/>
                <w:highlight w:val="white"/>
              </w:rPr>
              <w:t xml:space="preserve">interferes with the action of viral </w:t>
            </w:r>
            <w:r>
              <w:rPr>
                <w:rFonts w:eastAsia="Times New Roman" w:cs="Times New Roman" w:ascii="Times New Roman" w:hAnsi="Times New Roman"/>
                <w:color w:val="222222"/>
                <w:sz w:val="20"/>
                <w:szCs w:val="20"/>
              </w:rPr>
              <w:t>RdRp</w:t>
            </w:r>
          </w:p>
        </w:tc>
      </w:tr>
      <w:tr>
        <w:trPr/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Hydroxychloroquine (</w:t>
            </w:r>
            <w:r>
              <w:rPr>
                <w:rFonts w:eastAsia="Times New Roman" w:cs="Times New Roman" w:ascii="Times New Roman" w:hAnsi="Times New Roman"/>
                <w:color w:val="192027"/>
                <w:sz w:val="20"/>
                <w:szCs w:val="20"/>
                <w:highlight w:val="white"/>
              </w:rPr>
              <w:t>DB01611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192027"/>
                <w:sz w:val="20"/>
                <w:szCs w:val="20"/>
                <w:highlight w:val="white"/>
              </w:rPr>
              <w:t>AvKARE, Inc.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antiviral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222222"/>
                <w:sz w:val="20"/>
                <w:szCs w:val="20"/>
                <w:highlight w:val="white"/>
              </w:rPr>
              <w:t>inhibits stimulation of TLR 9 family receptors</w:t>
            </w:r>
          </w:p>
        </w:tc>
      </w:tr>
      <w:tr>
        <w:trPr/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white"/>
              </w:rPr>
              <w:t>Oseltamivir(DB00198)</w:t>
            </w:r>
          </w:p>
        </w:tc>
        <w:tc>
          <w:tcPr>
            <w:tcW w:w="1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Yes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white"/>
              </w:rPr>
              <w:t>Actavis Group Ptc Ehf.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Anti-viral (influenza viruses A)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white"/>
              </w:rPr>
              <w:t>neuraminidase inhibitor</w:t>
            </w:r>
          </w:p>
        </w:tc>
      </w:tr>
      <w:tr>
        <w:trPr/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rPr>
                <w:rFonts w:ascii="Times New Roman" w:hAnsi="Times New Roman" w:eastAsia="Times New Roman" w:cs="Times New Roman"/>
                <w:color w:val="333333"/>
                <w:sz w:val="20"/>
                <w:szCs w:val="20"/>
                <w:highlight w:val="white"/>
              </w:rPr>
            </w:pPr>
            <w:r>
              <w:rPr>
                <w:rFonts w:eastAsia="Times New Roman" w:cs="Times New Roman" w:ascii="Times New Roman" w:hAnsi="Times New Roman"/>
                <w:color w:val="333333"/>
                <w:sz w:val="20"/>
                <w:szCs w:val="20"/>
                <w:highlight w:val="white"/>
              </w:rPr>
              <w:t>favipiravir or Avigan (</w:t>
            </w:r>
            <w:r>
              <w:rPr>
                <w:rFonts w:eastAsia="Times New Roman" w:cs="Times New Roman" w:ascii="Times New Roman" w:hAnsi="Times New Roman"/>
                <w:color w:val="192027"/>
                <w:sz w:val="20"/>
                <w:szCs w:val="20"/>
                <w:highlight w:val="white"/>
              </w:rPr>
              <w:t>DB12466</w:t>
            </w:r>
            <w:r>
              <w:rPr>
                <w:rFonts w:eastAsia="Times New Roman" w:cs="Times New Roman" w:ascii="Times New Roman" w:hAnsi="Times New Roman"/>
                <w:color w:val="333333"/>
                <w:sz w:val="20"/>
                <w:szCs w:val="20"/>
                <w:highlight w:val="white"/>
              </w:rPr>
              <w:t>)</w:t>
            </w:r>
          </w:p>
        </w:tc>
        <w:tc>
          <w:tcPr>
            <w:tcW w:w="1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rPr>
                <w:rFonts w:ascii="Times New Roman" w:hAnsi="Times New Roman" w:eastAsia="Times New Roman" w:cs="Times New Roman"/>
                <w:color w:val="333333"/>
                <w:sz w:val="20"/>
                <w:szCs w:val="20"/>
                <w:highlight w:val="white"/>
              </w:rPr>
            </w:pPr>
            <w:r>
              <w:rPr>
                <w:rFonts w:eastAsia="Times New Roman" w:cs="Times New Roman" w:ascii="Times New Roman" w:hAnsi="Times New Roman"/>
                <w:color w:val="333333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333333"/>
                <w:sz w:val="20"/>
                <w:szCs w:val="20"/>
                <w:highlight w:val="white"/>
              </w:rPr>
              <w:t>Fujifilm Toyama Chemical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Anti-viral (influenza)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222222"/>
                <w:sz w:val="20"/>
                <w:szCs w:val="20"/>
                <w:highlight w:val="white"/>
              </w:rPr>
              <w:t xml:space="preserve">inhibition of viral </w:t>
            </w:r>
            <w:r>
              <w:rPr>
                <w:rFonts w:eastAsia="Times New Roman" w:cs="Times New Roman" w:ascii="Times New Roman" w:hAnsi="Times New Roman"/>
                <w:color w:val="222222"/>
                <w:sz w:val="20"/>
                <w:szCs w:val="20"/>
              </w:rPr>
              <w:t>RdRp</w:t>
            </w:r>
          </w:p>
        </w:tc>
      </w:tr>
      <w:tr>
        <w:trPr>
          <w:trHeight w:val="855" w:hRule="atLeast"/>
        </w:trPr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rPr>
                <w:rFonts w:ascii="Times New Roman" w:hAnsi="Times New Roman" w:eastAsia="Times New Roman" w:cs="Times New Roman"/>
                <w:color w:val="192027"/>
                <w:sz w:val="20"/>
                <w:szCs w:val="20"/>
                <w:highlight w:val="white"/>
              </w:rPr>
            </w:pPr>
            <w:r>
              <w:rPr>
                <w:rFonts w:eastAsia="Times New Roman" w:cs="Times New Roman" w:ascii="Times New Roman" w:hAnsi="Times New Roman"/>
                <w:color w:val="192027"/>
                <w:sz w:val="20"/>
                <w:szCs w:val="20"/>
                <w:highlight w:val="white"/>
              </w:rPr>
              <w:t>Umifenovir(DB13609)</w:t>
            </w:r>
          </w:p>
        </w:tc>
        <w:tc>
          <w:tcPr>
            <w:tcW w:w="1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rPr>
                <w:rFonts w:ascii="Times New Roman" w:hAnsi="Times New Roman" w:eastAsia="Times New Roman" w:cs="Times New Roman"/>
                <w:color w:val="333333"/>
                <w:sz w:val="20"/>
                <w:szCs w:val="20"/>
                <w:highlight w:val="white"/>
              </w:rPr>
            </w:pPr>
            <w:r>
              <w:rPr>
                <w:rFonts w:eastAsia="Times New Roman" w:cs="Times New Roman" w:ascii="Times New Roman" w:hAnsi="Times New Roman"/>
                <w:color w:val="333333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color w:val="333333"/>
                <w:sz w:val="20"/>
                <w:szCs w:val="20"/>
                <w:highlight w:val="white"/>
              </w:rPr>
            </w:pPr>
            <w:r>
              <w:rPr>
                <w:rFonts w:eastAsia="Times New Roman" w:cs="Times New Roman" w:ascii="Times New Roman" w:hAnsi="Times New Roman"/>
                <w:color w:val="333333"/>
                <w:sz w:val="20"/>
                <w:szCs w:val="20"/>
                <w:highlight w:val="white"/>
              </w:rPr>
              <w:t>JSC Pharmstandard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Anti-viral 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192027"/>
                <w:sz w:val="20"/>
                <w:szCs w:val="20"/>
                <w:highlight w:val="white"/>
              </w:rPr>
              <w:t>multiple stages of viral life cycle</w:t>
            </w:r>
          </w:p>
        </w:tc>
      </w:tr>
      <w:tr>
        <w:trPr/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rPr>
                <w:rFonts w:ascii="Times New Roman" w:hAnsi="Times New Roman" w:eastAsia="Times New Roman" w:cs="Times New Roman"/>
                <w:color w:val="192027"/>
                <w:sz w:val="20"/>
                <w:szCs w:val="20"/>
                <w:highlight w:val="white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Baloxavir marboxil (</w:t>
            </w:r>
            <w:r>
              <w:rPr>
                <w:rFonts w:eastAsia="Times New Roman" w:cs="Times New Roman" w:ascii="Times New Roman" w:hAnsi="Times New Roman"/>
                <w:color w:val="192027"/>
                <w:sz w:val="20"/>
                <w:szCs w:val="20"/>
                <w:highlight w:val="white"/>
              </w:rPr>
              <w:t>DB13997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rPr>
                <w:rFonts w:ascii="Times New Roman" w:hAnsi="Times New Roman" w:eastAsia="Times New Roman" w:cs="Times New Roman"/>
                <w:color w:val="333333"/>
                <w:sz w:val="20"/>
                <w:szCs w:val="20"/>
                <w:highlight w:val="white"/>
              </w:rPr>
            </w:pPr>
            <w:r>
              <w:rPr>
                <w:rFonts w:eastAsia="Times New Roman" w:cs="Times New Roman" w:ascii="Times New Roman" w:hAnsi="Times New Roman"/>
                <w:color w:val="333333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color w:val="333333"/>
                <w:sz w:val="20"/>
                <w:szCs w:val="20"/>
                <w:highlight w:val="white"/>
              </w:rPr>
            </w:pPr>
            <w:r>
              <w:rPr>
                <w:rFonts w:eastAsia="Times New Roman" w:cs="Times New Roman" w:ascii="Times New Roman" w:hAnsi="Times New Roman"/>
                <w:color w:val="192027"/>
                <w:sz w:val="20"/>
                <w:szCs w:val="20"/>
                <w:highlight w:val="white"/>
              </w:rPr>
              <w:t>Shionogi Co. and Roche AG.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192027"/>
                <w:sz w:val="20"/>
                <w:szCs w:val="20"/>
                <w:highlight w:val="white"/>
              </w:rPr>
              <w:t>influenza A and influenza B infections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192027"/>
                <w:sz w:val="20"/>
                <w:szCs w:val="20"/>
                <w:highlight w:val="white"/>
              </w:rPr>
              <w:t>inhibitor of influenza cap-dependent endonuclease</w:t>
            </w:r>
          </w:p>
        </w:tc>
      </w:tr>
      <w:tr>
        <w:trPr/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rPr>
                <w:rFonts w:ascii="Times New Roman" w:hAnsi="Times New Roman" w:eastAsia="Times New Roman" w:cs="Times New Roman"/>
                <w:color w:val="192027"/>
                <w:sz w:val="20"/>
                <w:szCs w:val="20"/>
                <w:highlight w:val="white"/>
              </w:rPr>
            </w:pPr>
            <w:r>
              <w:rPr>
                <w:rFonts w:eastAsia="Times New Roman" w:cs="Times New Roman" w:ascii="Times New Roman" w:hAnsi="Times New Roman"/>
                <w:color w:val="192027"/>
                <w:sz w:val="20"/>
                <w:szCs w:val="20"/>
                <w:highlight w:val="white"/>
              </w:rPr>
              <w:t>Darunavir(DB01264)</w:t>
            </w:r>
          </w:p>
        </w:tc>
        <w:tc>
          <w:tcPr>
            <w:tcW w:w="1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rPr>
                <w:rFonts w:ascii="Times New Roman" w:hAnsi="Times New Roman" w:eastAsia="Times New Roman" w:cs="Times New Roman"/>
                <w:color w:val="333333"/>
                <w:sz w:val="20"/>
                <w:szCs w:val="20"/>
                <w:highlight w:val="white"/>
              </w:rPr>
            </w:pPr>
            <w:r>
              <w:rPr>
                <w:rFonts w:eastAsia="Times New Roman" w:cs="Times New Roman" w:ascii="Times New Roman" w:hAnsi="Times New Roman"/>
                <w:color w:val="333333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333333"/>
                <w:sz w:val="20"/>
                <w:szCs w:val="20"/>
                <w:highlight w:val="white"/>
              </w:rPr>
              <w:t>Teva Pharmaceutical Industries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anti-HIV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222222"/>
                <w:sz w:val="20"/>
                <w:szCs w:val="20"/>
                <w:highlight w:val="white"/>
              </w:rPr>
              <w:t>nonpeptidic inhibitor of protease (PR)</w:t>
            </w:r>
          </w:p>
        </w:tc>
      </w:tr>
      <w:tr>
        <w:trPr/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rPr>
                <w:rFonts w:ascii="Times New Roman" w:hAnsi="Times New Roman" w:eastAsia="Times New Roman" w:cs="Times New Roman"/>
                <w:color w:val="333333"/>
                <w:sz w:val="20"/>
                <w:szCs w:val="20"/>
                <w:highlight w:val="white"/>
              </w:rPr>
            </w:pPr>
            <w:r>
              <w:rPr>
                <w:rFonts w:eastAsia="Times New Roman" w:cs="Times New Roman" w:ascii="Times New Roman" w:hAnsi="Times New Roman"/>
                <w:color w:val="192027"/>
                <w:sz w:val="20"/>
                <w:szCs w:val="20"/>
                <w:highlight w:val="white"/>
              </w:rPr>
              <w:t xml:space="preserve">Baricitinib (DB11817) </w:t>
            </w:r>
          </w:p>
        </w:tc>
        <w:tc>
          <w:tcPr>
            <w:tcW w:w="1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rPr>
                <w:rFonts w:ascii="Times New Roman" w:hAnsi="Times New Roman" w:eastAsia="Times New Roman" w:cs="Times New Roman"/>
                <w:color w:val="333333"/>
                <w:sz w:val="20"/>
                <w:szCs w:val="20"/>
                <w:highlight w:val="white"/>
              </w:rPr>
            </w:pPr>
            <w:r>
              <w:rPr>
                <w:rFonts w:eastAsia="Times New Roman" w:cs="Times New Roman" w:ascii="Times New Roman" w:hAnsi="Times New Roman"/>
                <w:color w:val="333333"/>
                <w:sz w:val="20"/>
                <w:szCs w:val="20"/>
                <w:highlight w:val="white"/>
              </w:rPr>
              <w:t>Yes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Eli Lilly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Treatment of rheumatoid arthritis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192027"/>
                <w:sz w:val="20"/>
                <w:szCs w:val="20"/>
                <w:highlight w:val="white"/>
              </w:rPr>
              <w:t>Janus kinase 1 and 2 inhibitor</w:t>
            </w:r>
          </w:p>
        </w:tc>
      </w:tr>
      <w:tr>
        <w:trPr/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Lopinavir (</w:t>
            </w:r>
            <w:r>
              <w:rPr>
                <w:rFonts w:eastAsia="Times New Roman" w:cs="Times New Roman" w:ascii="Times New Roman" w:hAnsi="Times New Roman"/>
                <w:color w:val="192027"/>
                <w:sz w:val="20"/>
                <w:szCs w:val="20"/>
                <w:highlight w:val="white"/>
              </w:rPr>
              <w:t>DB01601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anti-HIV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192027"/>
                <w:sz w:val="20"/>
                <w:szCs w:val="20"/>
                <w:highlight w:val="white"/>
              </w:rPr>
              <w:t>antiretroviral protease inhibitor</w:t>
            </w:r>
          </w:p>
        </w:tc>
      </w:tr>
      <w:tr>
        <w:trPr/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Ritonavir (</w:t>
            </w:r>
            <w:r>
              <w:rPr>
                <w:rFonts w:eastAsia="Times New Roman" w:cs="Times New Roman" w:ascii="Times New Roman" w:hAnsi="Times New Roman"/>
                <w:color w:val="192027"/>
                <w:sz w:val="20"/>
                <w:szCs w:val="20"/>
                <w:highlight w:val="white"/>
              </w:rPr>
              <w:t>DB00503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anti-HIV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192027"/>
                <w:sz w:val="20"/>
                <w:szCs w:val="20"/>
                <w:highlight w:val="white"/>
              </w:rPr>
              <w:t>protease inhibitor</w:t>
            </w:r>
          </w:p>
        </w:tc>
      </w:tr>
      <w:tr>
        <w:trPr/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Azithromycin</w:t>
            </w:r>
          </w:p>
        </w:tc>
        <w:tc>
          <w:tcPr>
            <w:tcW w:w="1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No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Pliva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anti-bacterial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Protein synthesis inhibitor</w:t>
            </w:r>
          </w:p>
        </w:tc>
      </w:tr>
      <w:tr>
        <w:trPr/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333333"/>
                <w:sz w:val="20"/>
                <w:szCs w:val="20"/>
                <w:highlight w:val="white"/>
              </w:rPr>
              <w:t>EIDD-2801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whit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(</w:t>
            </w:r>
            <w:r>
              <w:rPr>
                <w:rFonts w:eastAsia="Times New Roman" w:cs="Times New Roman" w:ascii="Times New Roman" w:hAnsi="Times New Roman"/>
                <w:color w:val="192027"/>
                <w:sz w:val="20"/>
                <w:szCs w:val="20"/>
                <w:highlight w:val="white"/>
              </w:rPr>
              <w:t>DB15661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rPr>
                <w:rFonts w:ascii="Times New Roman" w:hAnsi="Times New Roman" w:eastAsia="Times New Roman" w:cs="Times New Roman"/>
                <w:sz w:val="20"/>
                <w:szCs w:val="20"/>
                <w:highlight w:val="white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Anti-viral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192027"/>
                <w:sz w:val="20"/>
                <w:szCs w:val="20"/>
                <w:highlight w:val="white"/>
              </w:rPr>
              <w:t>viral error catastrophe</w:t>
            </w:r>
          </w:p>
        </w:tc>
      </w:tr>
      <w:tr>
        <w:trPr/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rPr>
                <w:rFonts w:ascii="Times New Roman" w:hAnsi="Times New Roman" w:eastAsia="Times New Roman" w:cs="Times New Roman"/>
                <w:color w:val="192027"/>
                <w:sz w:val="20"/>
                <w:szCs w:val="20"/>
                <w:highlight w:val="white"/>
              </w:rPr>
            </w:pPr>
            <w:r>
              <w:rPr>
                <w:rFonts w:eastAsia="Times New Roman" w:cs="Times New Roman" w:ascii="Times New Roman" w:hAnsi="Times New Roman"/>
                <w:color w:val="192027"/>
                <w:sz w:val="20"/>
                <w:szCs w:val="20"/>
                <w:highlight w:val="white"/>
              </w:rPr>
              <w:t>Cobicistat (DB09065)</w:t>
            </w:r>
          </w:p>
        </w:tc>
        <w:tc>
          <w:tcPr>
            <w:tcW w:w="1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rPr>
                <w:rFonts w:ascii="Times New Roman" w:hAnsi="Times New Roman" w:eastAsia="Times New Roman" w:cs="Times New Roman"/>
                <w:sz w:val="20"/>
                <w:szCs w:val="20"/>
                <w:highlight w:val="white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highlight w:val="white"/>
              </w:rPr>
              <w:t>No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color w:val="222222"/>
                <w:sz w:val="20"/>
                <w:szCs w:val="20"/>
                <w:highlight w:val="white"/>
              </w:rPr>
            </w:pPr>
            <w:r>
              <w:rPr>
                <w:rFonts w:eastAsia="Times New Roman" w:cs="Times New Roman" w:ascii="Times New Roman" w:hAnsi="Times New Roman"/>
                <w:color w:val="222222"/>
                <w:sz w:val="20"/>
                <w:szCs w:val="20"/>
                <w:highlight w:val="white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222222"/>
                <w:sz w:val="20"/>
                <w:szCs w:val="20"/>
                <w:highlight w:val="white"/>
              </w:rPr>
              <w:t>Gilead Sciences And Janssen pharmaceuticals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>anti-HIV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1"/>
              <w:widowControl w:val="false"/>
              <w:spacing w:lineRule="auto" w:line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222222"/>
                <w:sz w:val="20"/>
                <w:szCs w:val="20"/>
                <w:highlight w:val="white"/>
              </w:rPr>
              <w:t xml:space="preserve">inhibitor of human </w:t>
            </w:r>
            <w:r>
              <w:rPr>
                <w:rFonts w:eastAsia="Times New Roman" w:cs="Times New Roman" w:ascii="Times New Roman" w:hAnsi="Times New Roman"/>
                <w:color w:val="222222"/>
                <w:sz w:val="20"/>
                <w:szCs w:val="20"/>
              </w:rPr>
              <w:t>CYP3A</w:t>
            </w:r>
            <w:r>
              <w:rPr>
                <w:rFonts w:eastAsia="Times New Roman" w:cs="Times New Roman" w:ascii="Times New Roman" w:hAnsi="Times New Roman"/>
                <w:color w:val="222222"/>
                <w:sz w:val="20"/>
                <w:szCs w:val="20"/>
                <w:highlight w:val="white"/>
              </w:rPr>
              <w:t xml:space="preserve"> proteins</w:t>
            </w:r>
          </w:p>
        </w:tc>
      </w:tr>
    </w:tbl>
    <w:p>
      <w:pPr>
        <w:pStyle w:val="Normal1"/>
        <w:rPr/>
      </w:pPr>
      <w:r>
        <w:rPr/>
      </w:r>
    </w:p>
    <w:sectPr>
      <w:type w:val="nextPage"/>
      <w:pgSz w:w="11906" w:h="16838"/>
      <w:pgMar w:left="1440" w:right="1440" w:header="0" w:top="1440" w:footer="0" w:bottom="1440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 Unicode MS"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51"/>
  <w:defaultTabStop w:val="72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Normal1"/>
    <w:next w:val="Normal1"/>
    <w:qFormat/>
    <w:pPr>
      <w:keepNext w:val="true"/>
      <w:keepLines/>
      <w:spacing w:lineRule="auto" w:line="240" w:before="360" w:after="120"/>
    </w:pPr>
    <w:rPr>
      <w:b w:val="false"/>
      <w:sz w:val="32"/>
      <w:szCs w:val="32"/>
    </w:rPr>
  </w:style>
  <w:style w:type="paragraph" w:styleId="Heading3">
    <w:name w:val="Heading 3"/>
    <w:basedOn w:val="Normal1"/>
    <w:next w:val="Normal1"/>
    <w:qFormat/>
    <w:pPr>
      <w:keepNext w:val="true"/>
      <w:keepLines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spacing w:lineRule="auto" w:line="240" w:before="240" w:after="80"/>
    </w:pPr>
    <w:rPr>
      <w:i/>
      <w:color w:val="666666"/>
      <w:sz w:val="22"/>
      <w:szCs w:val="22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Normal1" w:default="1">
    <w:name w:val="LO-normal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Normal1"/>
    <w:next w:val="Normal1"/>
    <w:qFormat/>
    <w:pPr>
      <w:keepNext w:val="true"/>
      <w:keepLines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LibreOffice/6.3.6.2$Linux_X86_64 LibreOffice_project/30$Build-2</Application>
  <Pages>2</Pages>
  <Words>253</Words>
  <Characters>1726</Characters>
  <CharactersWithSpaces>1908</CharactersWithSpaces>
  <Paragraphs>85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/>
</cp:coreProperties>
</file>