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E36AF" w14:textId="77777777" w:rsidR="00A44C40" w:rsidRPr="00880C61" w:rsidRDefault="00A44C40" w:rsidP="00A44C40">
      <w:pPr>
        <w:pStyle w:val="Heading1"/>
        <w:rPr>
          <w:rFonts w:asciiTheme="minorHAnsi" w:hAnsiTheme="minorHAnsi"/>
          <w:b/>
        </w:rPr>
      </w:pPr>
      <w:bookmarkStart w:id="0" w:name="_Toc105486980"/>
      <w:r w:rsidRPr="00880C61">
        <w:rPr>
          <w:rFonts w:asciiTheme="minorHAnsi" w:hAnsiTheme="minorHAnsi"/>
          <w:b/>
        </w:rPr>
        <w:t>Appendix A: Description of Data Sources</w:t>
      </w:r>
      <w:bookmarkEnd w:id="0"/>
    </w:p>
    <w:p w14:paraId="12F4905F" w14:textId="77777777" w:rsidR="00A44C40" w:rsidRPr="00B83598" w:rsidRDefault="00A44C40" w:rsidP="00A44C40">
      <w:bookmarkStart w:id="1" w:name="_Hlk127743154"/>
      <w:r>
        <w:t>This appendix details the data sources, ranking, and prioritization used to arrive at the final prevalence estimates.</w:t>
      </w:r>
    </w:p>
    <w:p w14:paraId="4B535A36" w14:textId="77777777" w:rsidR="00A44C40" w:rsidRPr="00880C61" w:rsidRDefault="00A44C40" w:rsidP="00A44C40">
      <w:pPr>
        <w:pStyle w:val="Heading2"/>
        <w:rPr>
          <w:rFonts w:asciiTheme="minorHAnsi" w:hAnsiTheme="minorHAnsi"/>
        </w:rPr>
      </w:pPr>
      <w:bookmarkStart w:id="2" w:name="_Toc105486981"/>
      <w:bookmarkStart w:id="3" w:name="_Hlk127743204"/>
      <w:bookmarkEnd w:id="1"/>
      <w:r w:rsidRPr="00880C61">
        <w:rPr>
          <w:rFonts w:asciiTheme="minorHAnsi" w:hAnsiTheme="minorHAnsi"/>
        </w:rPr>
        <w:t>WHO World Mental Health Surveys</w:t>
      </w:r>
      <w:bookmarkEnd w:id="2"/>
    </w:p>
    <w:p w14:paraId="57B8B151" w14:textId="77777777" w:rsidR="00A44C40" w:rsidRDefault="00A44C40" w:rsidP="00A44C40">
      <w:pPr>
        <w:jc w:val="both"/>
      </w:pPr>
      <w:bookmarkStart w:id="4" w:name="_Hlk127743215"/>
      <w:bookmarkEnd w:id="3"/>
      <w:r>
        <w:t xml:space="preserve">The WHO’s WMH Surveys use a multistage cluster household probability sample with case-control design. Respondents were recruited from the </w:t>
      </w:r>
      <w:r w:rsidRPr="00A27341">
        <w:t>General Authority for Statistics</w:t>
      </w:r>
      <w:r w:rsidRPr="00A27341" w:rsidDel="00DC6899">
        <w:t xml:space="preserve"> </w:t>
      </w:r>
      <w:r w:rsidRPr="00A27341">
        <w:t>2010 census for Saudi Arabia</w:t>
      </w:r>
      <w:r>
        <w:t xml:space="preserve">. Trained interviewers carried out a fully structured diagnostic interview using the WMH-CIDI. In Part 1, a core diagnostic assessment was carried out to quantify the prevalence of mental health conditions of primary interest. Part 2 assessed correlates and disorders that were of secondary interest. </w:t>
      </w:r>
      <w:r w:rsidRPr="00A27341">
        <w:t xml:space="preserve">Respondents who met criteria for any disorder in Part </w:t>
      </w:r>
      <w:r>
        <w:t>1</w:t>
      </w:r>
      <w:r w:rsidRPr="00A27341">
        <w:t>, plus a</w:t>
      </w:r>
      <w:r>
        <w:t xml:space="preserve"> subsample of </w:t>
      </w:r>
      <w:r w:rsidRPr="00A27341">
        <w:t>25 percent of respondent controls who did not meet any criteria</w:t>
      </w:r>
      <w:r>
        <w:t>,</w:t>
      </w:r>
      <w:r w:rsidRPr="00A27341">
        <w:t xml:space="preserve"> were included in Part 2. Post</w:t>
      </w:r>
      <w:r>
        <w:t>-</w:t>
      </w:r>
      <w:r w:rsidRPr="00A27341">
        <w:t>assessment weighting was applied to adjust survey results for sociodemographic and geographic variables.</w:t>
      </w:r>
    </w:p>
    <w:p w14:paraId="63775940" w14:textId="77777777" w:rsidR="00A44C40" w:rsidRPr="001A2030" w:rsidRDefault="00A44C40" w:rsidP="00A44C40">
      <w:pPr>
        <w:jc w:val="both"/>
      </w:pPr>
      <w:bookmarkStart w:id="5" w:name="_Hlk127743225"/>
      <w:bookmarkEnd w:id="4"/>
      <w:r w:rsidRPr="001A2030">
        <w:t xml:space="preserve">When comparing the results of the </w:t>
      </w:r>
      <w:r>
        <w:t>Saudi WMH Survey</w:t>
      </w:r>
      <w:r w:rsidRPr="001A2030">
        <w:t xml:space="preserve"> to other high-income countries, there are a few notable differences. The </w:t>
      </w:r>
      <w:r>
        <w:t xml:space="preserve">lifetime </w:t>
      </w:r>
      <w:r w:rsidRPr="001A2030">
        <w:t xml:space="preserve">prevalence for mood disorders and drug abuse was higher at 6.8% and 1.4% vs. 5.2% and 0.5% for other high-income countries </w:t>
      </w:r>
      <w:r>
        <w:t>[68]</w:t>
      </w:r>
      <w:r w:rsidRPr="001A2030">
        <w:t xml:space="preserve">. The higher prevalence of mood disorders can be attributed to bipolar disorder </w:t>
      </w:r>
      <w:r>
        <w:t>[69]</w:t>
      </w:r>
      <w:r w:rsidRPr="001A2030">
        <w:t xml:space="preserve">. Alcohol use disorder was lower than for other high-income countries </w:t>
      </w:r>
      <w:r>
        <w:t>[70]</w:t>
      </w:r>
      <w:r w:rsidRPr="001A2030">
        <w:t>.</w:t>
      </w:r>
    </w:p>
    <w:p w14:paraId="74A7CA82" w14:textId="77777777" w:rsidR="00A44C40" w:rsidRPr="00880C61" w:rsidRDefault="00A44C40" w:rsidP="00A44C40">
      <w:pPr>
        <w:pStyle w:val="Heading2"/>
        <w:jc w:val="both"/>
        <w:rPr>
          <w:rFonts w:asciiTheme="minorHAnsi" w:hAnsiTheme="minorHAnsi"/>
        </w:rPr>
      </w:pPr>
      <w:bookmarkStart w:id="6" w:name="_Toc105486982"/>
      <w:bookmarkStart w:id="7" w:name="_Hlk127743244"/>
      <w:bookmarkEnd w:id="5"/>
      <w:r w:rsidRPr="00880C61">
        <w:rPr>
          <w:rFonts w:asciiTheme="minorHAnsi" w:hAnsiTheme="minorHAnsi"/>
        </w:rPr>
        <w:t>WHO Global Health Observatory</w:t>
      </w:r>
      <w:bookmarkEnd w:id="6"/>
    </w:p>
    <w:p w14:paraId="6410CA65" w14:textId="77777777" w:rsidR="00A44C40" w:rsidRDefault="00A44C40" w:rsidP="00A44C40">
      <w:pPr>
        <w:jc w:val="both"/>
      </w:pPr>
      <w:bookmarkStart w:id="8" w:name="_Hlk127743253"/>
      <w:bookmarkEnd w:id="7"/>
      <w:r>
        <w:t>The WHO Global Health Observatory Mortality Database uses a combination of health service data, population surveys, civil registration, and vital statistics to produce country estimates of disease prevalence [71]. We used the age-specific crude death rates (5- and 10-year groups) for suicide and applied these rates to the UN Department of Economic and Social Affairs (DESA) Population count estimate “weights” for Saudi Arabia [40] to arrive at the count of age-specific deaths due to suicide for four age groupings (18–34, 35–49, 50–64, and 65+ years).</w:t>
      </w:r>
    </w:p>
    <w:p w14:paraId="7331778E" w14:textId="77777777" w:rsidR="00A44C40" w:rsidRDefault="00A44C40" w:rsidP="00A44C40">
      <w:pPr>
        <w:jc w:val="both"/>
      </w:pPr>
      <w:r>
        <w:t>To assess the prevalence of suicide ideation and/or attempts, we multiplied the age-standardized rates of suicide by 20 [72]. This multiplier coheres with the literature in which most persons with suicidal ideation and or those attempting suicides do not complete.</w:t>
      </w:r>
    </w:p>
    <w:p w14:paraId="4BC46DE2" w14:textId="77777777" w:rsidR="00A44C40" w:rsidRDefault="00A44C40" w:rsidP="00A44C40">
      <w:pPr>
        <w:jc w:val="both"/>
      </w:pPr>
      <w:r>
        <w:t>This dataset is not without its limitations. The lack of registration is exacerbated by the cultural and legal concerns that make suicide as a cause of death a particularly sensitive issue which can result in under-reporting and/or misclassification of deaths [71,73].</w:t>
      </w:r>
    </w:p>
    <w:p w14:paraId="49B85523" w14:textId="77777777" w:rsidR="00A44C40" w:rsidRPr="00880C61" w:rsidRDefault="00A44C40" w:rsidP="00A44C40">
      <w:pPr>
        <w:pStyle w:val="Heading2"/>
        <w:rPr>
          <w:rFonts w:asciiTheme="minorHAnsi" w:hAnsiTheme="minorHAnsi"/>
        </w:rPr>
      </w:pPr>
      <w:bookmarkStart w:id="9" w:name="_Toc105486983"/>
      <w:bookmarkStart w:id="10" w:name="_Hlk127743276"/>
      <w:bookmarkEnd w:id="8"/>
      <w:r w:rsidRPr="00880C61">
        <w:rPr>
          <w:rFonts w:asciiTheme="minorHAnsi" w:hAnsiTheme="minorHAnsi"/>
        </w:rPr>
        <w:t>World Alzheimer’s Report</w:t>
      </w:r>
      <w:bookmarkEnd w:id="9"/>
    </w:p>
    <w:p w14:paraId="3FA6F7FB" w14:textId="77777777" w:rsidR="00A44C40" w:rsidRPr="00A27341" w:rsidRDefault="00A44C40" w:rsidP="00A44C40">
      <w:pPr>
        <w:jc w:val="both"/>
      </w:pPr>
      <w:bookmarkStart w:id="11" w:name="_Hlk127743286"/>
      <w:bookmarkEnd w:id="10"/>
      <w:r w:rsidRPr="00A27341">
        <w:t xml:space="preserve">The burden of dementia is expected to increase as the population ages and mortality due to communicable diseases decreases. Current dementia estimates for developing countries suggest that the prevalence of dementia is lower than in developed countries </w:t>
      </w:r>
      <w:r>
        <w:t>[37]</w:t>
      </w:r>
      <w:r w:rsidRPr="00A27341">
        <w:t>. We use</w:t>
      </w:r>
      <w:r>
        <w:t>d</w:t>
      </w:r>
      <w:r w:rsidRPr="00A27341">
        <w:t xml:space="preserve"> the World Alzheimer Group’s regional Middle East and North Africa</w:t>
      </w:r>
      <w:r w:rsidRPr="00A27341" w:rsidDel="00387A8C">
        <w:t xml:space="preserve"> </w:t>
      </w:r>
      <w:r w:rsidRPr="00A27341">
        <w:t xml:space="preserve">estimates. The estimates of prevalence were available in six </w:t>
      </w:r>
      <w:r>
        <w:t xml:space="preserve">age groups five </w:t>
      </w:r>
      <w:r w:rsidRPr="00A27341">
        <w:t>5-year age groups from age 60 to 84, plus 85 and older.</w:t>
      </w:r>
    </w:p>
    <w:p w14:paraId="038430FA" w14:textId="77777777" w:rsidR="00A44C40" w:rsidRPr="00A27341" w:rsidRDefault="00A44C40" w:rsidP="00A44C40">
      <w:pPr>
        <w:jc w:val="both"/>
      </w:pPr>
      <w:r w:rsidRPr="00A27341">
        <w:t xml:space="preserve">Since the risk of dementia increases with age, we used UN population estimates </w:t>
      </w:r>
      <w:r>
        <w:t>[50]</w:t>
      </w:r>
      <w:r w:rsidRPr="00A27341">
        <w:t xml:space="preserve"> to calculate a standardized rate of dementia for individuals aged 65 and older. High-quality dementia prevalence studies were available in the World Alzheimer’s report, primarily in Western countries. A meta-analysis was </w:t>
      </w:r>
      <w:r w:rsidRPr="00A27341">
        <w:lastRenderedPageBreak/>
        <w:t xml:space="preserve">conducted to estimate regional prevalence, and in regions where high-quality studies were rare, expert consensus (from the Delphi Consensus and Dementia Working Group) was also included. Few studies estimating dementia have been conducted in low- and middle-income countries </w:t>
      </w:r>
      <w:r>
        <w:t>[37].</w:t>
      </w:r>
      <w:r w:rsidRPr="00A27341">
        <w:t xml:space="preserve"> For the Middle East and North Africa, only two empirical studies were considered.</w:t>
      </w:r>
    </w:p>
    <w:p w14:paraId="0157A3AB" w14:textId="77777777" w:rsidR="00A44C40" w:rsidRPr="00880C61" w:rsidRDefault="00A44C40" w:rsidP="00A44C40">
      <w:pPr>
        <w:pStyle w:val="Heading2"/>
        <w:rPr>
          <w:rFonts w:asciiTheme="minorHAnsi" w:hAnsiTheme="minorHAnsi"/>
        </w:rPr>
      </w:pPr>
      <w:bookmarkStart w:id="12" w:name="_Toc105486984"/>
      <w:bookmarkStart w:id="13" w:name="_Hlk127743309"/>
      <w:bookmarkEnd w:id="11"/>
      <w:r w:rsidRPr="00880C61">
        <w:rPr>
          <w:rFonts w:asciiTheme="minorHAnsi" w:hAnsiTheme="minorHAnsi"/>
        </w:rPr>
        <w:t>Global Burden of Disease</w:t>
      </w:r>
      <w:bookmarkEnd w:id="12"/>
    </w:p>
    <w:p w14:paraId="1A2E771E" w14:textId="77777777" w:rsidR="00A44C40" w:rsidRPr="00A27341" w:rsidRDefault="00A44C40" w:rsidP="00A44C40">
      <w:bookmarkStart w:id="14" w:name="_Hlk127743316"/>
      <w:bookmarkEnd w:id="13"/>
      <w:r w:rsidRPr="00A27341">
        <w:t xml:space="preserve">When estimates of prevalence using the above resources were not available or were not in line with prior workforce estimates, we used estimates from the GBD study. We used </w:t>
      </w:r>
      <w:r>
        <w:t xml:space="preserve">the Global Burden of Disease </w:t>
      </w:r>
      <w:r w:rsidRPr="00A27341">
        <w:t xml:space="preserve"> estimates for schizophrenia, child intellectual development disorders, childhood conduct and behavioral disorders, and childhood emotional disorders</w:t>
      </w:r>
      <w:r>
        <w:t xml:space="preserve"> [38]</w:t>
      </w:r>
      <w:r w:rsidRPr="00A27341">
        <w:t xml:space="preserve">. </w:t>
      </w:r>
    </w:p>
    <w:bookmarkEnd w:id="14"/>
    <w:p w14:paraId="039C82E2" w14:textId="77777777" w:rsidR="00A44C40" w:rsidRDefault="00A44C40" w:rsidP="00A44C40">
      <w:pPr>
        <w:rPr>
          <w:rFonts w:asciiTheme="majorHAnsi" w:eastAsiaTheme="majorEastAsia" w:hAnsiTheme="majorHAnsi" w:cstheme="majorBidi"/>
          <w:color w:val="2F5496" w:themeColor="accent1" w:themeShade="BF"/>
          <w:sz w:val="32"/>
          <w:szCs w:val="32"/>
        </w:rPr>
      </w:pPr>
      <w:r>
        <w:br w:type="page"/>
      </w:r>
    </w:p>
    <w:p w14:paraId="2655D3EF" w14:textId="77777777" w:rsidR="00A44C40" w:rsidRPr="00880C61" w:rsidRDefault="00A44C40" w:rsidP="00A44C40">
      <w:pPr>
        <w:pStyle w:val="Heading1"/>
        <w:rPr>
          <w:rFonts w:asciiTheme="minorHAnsi" w:hAnsiTheme="minorHAnsi"/>
          <w:b/>
        </w:rPr>
      </w:pPr>
      <w:bookmarkStart w:id="15" w:name="_Toc105486985"/>
      <w:r w:rsidRPr="00880C61">
        <w:rPr>
          <w:rFonts w:asciiTheme="minorHAnsi" w:hAnsiTheme="minorHAnsi"/>
          <w:b/>
        </w:rPr>
        <w:lastRenderedPageBreak/>
        <w:t>Appendix B. Target Coverage and Estimates for Service Coverage</w:t>
      </w:r>
      <w:r>
        <w:rPr>
          <w:rFonts w:asciiTheme="minorHAnsi" w:hAnsiTheme="minorHAnsi" w:cstheme="minorHAnsi"/>
          <w:b/>
          <w:bCs/>
        </w:rPr>
        <w:t>,</w:t>
      </w:r>
      <w:r w:rsidRPr="00880C61">
        <w:rPr>
          <w:rFonts w:asciiTheme="minorHAnsi" w:hAnsiTheme="minorHAnsi"/>
          <w:b/>
        </w:rPr>
        <w:t xml:space="preserve"> Utilization</w:t>
      </w:r>
      <w:r>
        <w:rPr>
          <w:rFonts w:asciiTheme="minorHAnsi" w:hAnsiTheme="minorHAnsi" w:cstheme="minorHAnsi"/>
          <w:b/>
          <w:bCs/>
        </w:rPr>
        <w:t>, and Staffing</w:t>
      </w:r>
      <w:bookmarkEnd w:id="15"/>
    </w:p>
    <w:p w14:paraId="45B04005" w14:textId="77777777" w:rsidR="00A44C40" w:rsidRPr="00B50443" w:rsidRDefault="00A44C40" w:rsidP="00A44C40">
      <w:bookmarkStart w:id="16" w:name="_Hlk127743356"/>
      <w:r>
        <w:t xml:space="preserve">As an update to Chisholm </w:t>
      </w:r>
      <w:r w:rsidRPr="001E1299">
        <w:t xml:space="preserve">Lund, and Saxena </w:t>
      </w:r>
      <w:r>
        <w:t>(2007), w</w:t>
      </w:r>
      <w:r w:rsidRPr="00B50443">
        <w:t xml:space="preserve">e consulted </w:t>
      </w:r>
      <w:r>
        <w:t xml:space="preserve">Dan </w:t>
      </w:r>
      <w:r w:rsidRPr="00B50443">
        <w:t>Chisholm</w:t>
      </w:r>
      <w:r>
        <w:t>, an expert in health economics for the WHO,</w:t>
      </w:r>
      <w:r w:rsidRPr="00B50443">
        <w:t xml:space="preserve"> for an updated set of inputs</w:t>
      </w:r>
      <w:r>
        <w:t xml:space="preserve"> </w:t>
      </w:r>
      <w:r w:rsidRPr="00B50443">
        <w:t xml:space="preserve">for cost and impact of scaling up for mental health. </w:t>
      </w:r>
      <w:r>
        <w:t xml:space="preserve">In recent publications, </w:t>
      </w:r>
      <w:r w:rsidRPr="00B50443">
        <w:t xml:space="preserve">treatment models were </w:t>
      </w:r>
      <w:r>
        <w:t xml:space="preserve">separated by </w:t>
      </w:r>
      <w:r w:rsidRPr="00B50443">
        <w:t>basic, moderate, and intensive treatment of depression based on severity of the condition</w:t>
      </w:r>
      <w:r>
        <w:t xml:space="preserve"> [52]</w:t>
      </w:r>
      <w:r w:rsidRPr="00B50443">
        <w:t xml:space="preserve">. </w:t>
      </w:r>
      <w:r>
        <w:t>After reviewing the two publications from 2007 and 2016</w:t>
      </w:r>
      <w:r w:rsidRPr="00B50443">
        <w:t xml:space="preserve">, </w:t>
      </w:r>
      <w:r>
        <w:t xml:space="preserve">we noted that </w:t>
      </w:r>
      <w:r w:rsidRPr="00B50443">
        <w:t xml:space="preserve">there were substantial changes to the </w:t>
      </w:r>
      <w:r>
        <w:t xml:space="preserve">categories of resource usage (for example, inpatient, outpatient, residential care, and day care); estimates for service use inputs (for example, bed-days and visits/sessions), and estimated service coverage. </w:t>
      </w:r>
      <w:r w:rsidRPr="00B50443">
        <w:t>At a minimum</w:t>
      </w:r>
      <w:r>
        <w:t>, the new inputs would</w:t>
      </w:r>
      <w:r w:rsidRPr="00B50443">
        <w:t xml:space="preserve"> yield workforce estimates that are substantially higher than prior estimates </w:t>
      </w:r>
      <w:r>
        <w:t>[30],</w:t>
      </w:r>
      <w:r w:rsidRPr="00B50443">
        <w:t xml:space="preserve"> which would not allow for a comparison of current and historical workforce projections.</w:t>
      </w:r>
      <w:r>
        <w:t xml:space="preserve"> Therefore, we used the estimates, resource utilization, and service coverage from Chisholm, Lund, and Saxena (2007).</w:t>
      </w:r>
    </w:p>
    <w:p w14:paraId="1594C6E4" w14:textId="77777777" w:rsidR="00A44C40" w:rsidRPr="00A27341" w:rsidRDefault="00A44C40" w:rsidP="00A44C40">
      <w:pPr>
        <w:pStyle w:val="Caption"/>
      </w:pPr>
      <w:bookmarkStart w:id="17" w:name="_Hlk127743390"/>
      <w:bookmarkEnd w:id="16"/>
      <w:r w:rsidRPr="00A27341">
        <w:t xml:space="preserve">Table </w:t>
      </w:r>
      <w:r>
        <w:t>B1</w:t>
      </w:r>
      <w:r w:rsidRPr="00A27341">
        <w:t xml:space="preserve">: </w:t>
      </w:r>
      <w:r w:rsidRPr="00B72A2D">
        <w:rPr>
          <w:b w:val="0"/>
          <w:bCs w:val="0"/>
        </w:rPr>
        <w:t>Target Coverage for Target Populations for Priority Conditions</w:t>
      </w:r>
    </w:p>
    <w:tbl>
      <w:tblPr>
        <w:tblW w:w="5470" w:type="dxa"/>
        <w:tblLook w:val="04A0" w:firstRow="1" w:lastRow="0" w:firstColumn="1" w:lastColumn="0" w:noHBand="0" w:noVBand="1"/>
      </w:tblPr>
      <w:tblGrid>
        <w:gridCol w:w="3330"/>
        <w:gridCol w:w="2140"/>
      </w:tblGrid>
      <w:tr w:rsidR="00A44C40" w:rsidRPr="00A27341" w14:paraId="0E8F7609" w14:textId="77777777" w:rsidTr="004259BB">
        <w:trPr>
          <w:trHeight w:val="705"/>
        </w:trPr>
        <w:tc>
          <w:tcPr>
            <w:tcW w:w="3330" w:type="dxa"/>
            <w:tcBorders>
              <w:top w:val="single" w:sz="12" w:space="0" w:color="auto"/>
              <w:left w:val="nil"/>
              <w:bottom w:val="single" w:sz="4" w:space="0" w:color="auto"/>
              <w:right w:val="nil"/>
            </w:tcBorders>
            <w:shd w:val="clear" w:color="auto" w:fill="auto"/>
            <w:vAlign w:val="center"/>
            <w:hideMark/>
          </w:tcPr>
          <w:p w14:paraId="079EC424" w14:textId="77777777" w:rsidR="00A44C40" w:rsidRPr="00B72A2D" w:rsidRDefault="00A44C40" w:rsidP="004259BB">
            <w:pPr>
              <w:spacing w:after="0" w:line="240" w:lineRule="auto"/>
              <w:jc w:val="center"/>
              <w:rPr>
                <w:rFonts w:ascii="Palatino Linotype" w:eastAsia="Times New Roman" w:hAnsi="Palatino Linotype" w:cs="Calibri"/>
                <w:b/>
                <w:bCs/>
                <w:sz w:val="20"/>
                <w:szCs w:val="20"/>
              </w:rPr>
            </w:pPr>
            <w:bookmarkStart w:id="18" w:name="_Hlk127743533"/>
            <w:bookmarkEnd w:id="17"/>
            <w:r w:rsidRPr="00B72A2D">
              <w:rPr>
                <w:rFonts w:ascii="Palatino Linotype" w:eastAsia="Times New Roman" w:hAnsi="Palatino Linotype" w:cs="Calibri"/>
                <w:b/>
                <w:bCs/>
                <w:sz w:val="20"/>
                <w:szCs w:val="20"/>
              </w:rPr>
              <w:t>Condition</w:t>
            </w:r>
          </w:p>
        </w:tc>
        <w:tc>
          <w:tcPr>
            <w:tcW w:w="2140" w:type="dxa"/>
            <w:tcBorders>
              <w:top w:val="single" w:sz="12" w:space="0" w:color="auto"/>
              <w:left w:val="nil"/>
              <w:bottom w:val="single" w:sz="4" w:space="0" w:color="auto"/>
              <w:right w:val="nil"/>
            </w:tcBorders>
            <w:shd w:val="clear" w:color="auto" w:fill="auto"/>
            <w:vAlign w:val="center"/>
            <w:hideMark/>
          </w:tcPr>
          <w:p w14:paraId="70D74C1A" w14:textId="77777777" w:rsidR="00A44C40" w:rsidRPr="00B72A2D" w:rsidRDefault="00A44C40" w:rsidP="004259BB">
            <w:pPr>
              <w:spacing w:after="0" w:line="240" w:lineRule="auto"/>
              <w:ind w:left="-15"/>
              <w:jc w:val="center"/>
              <w:rPr>
                <w:rFonts w:ascii="Palatino Linotype" w:eastAsia="Times New Roman" w:hAnsi="Palatino Linotype" w:cs="Calibri"/>
                <w:b/>
                <w:bCs/>
                <w:sz w:val="20"/>
                <w:szCs w:val="20"/>
              </w:rPr>
            </w:pPr>
            <w:r w:rsidRPr="00B72A2D">
              <w:rPr>
                <w:rFonts w:ascii="Palatino Linotype" w:eastAsia="Times New Roman" w:hAnsi="Palatino Linotype" w:cs="Calibri"/>
                <w:b/>
                <w:bCs/>
                <w:sz w:val="20"/>
                <w:szCs w:val="20"/>
              </w:rPr>
              <w:t>Target Coverage Percent</w:t>
            </w:r>
          </w:p>
        </w:tc>
      </w:tr>
      <w:tr w:rsidR="00A44C40" w:rsidRPr="00A27341" w14:paraId="60E1E469" w14:textId="77777777" w:rsidTr="004259BB">
        <w:trPr>
          <w:trHeight w:val="345"/>
        </w:trPr>
        <w:tc>
          <w:tcPr>
            <w:tcW w:w="3330" w:type="dxa"/>
            <w:tcBorders>
              <w:top w:val="nil"/>
              <w:left w:val="nil"/>
              <w:bottom w:val="nil"/>
              <w:right w:val="nil"/>
            </w:tcBorders>
            <w:shd w:val="clear" w:color="000000" w:fill="FFFFFF"/>
            <w:vAlign w:val="center"/>
            <w:hideMark/>
          </w:tcPr>
          <w:p w14:paraId="30B00306" w14:textId="77777777" w:rsidR="00A44C40" w:rsidRPr="00B72A2D" w:rsidRDefault="00A44C40" w:rsidP="004259BB">
            <w:pPr>
              <w:spacing w:after="0" w:line="240" w:lineRule="auto"/>
              <w:rPr>
                <w:rFonts w:ascii="Palatino Linotype" w:eastAsia="Times New Roman" w:hAnsi="Palatino Linotype" w:cs="Calibri"/>
                <w:sz w:val="20"/>
                <w:szCs w:val="20"/>
              </w:rPr>
            </w:pPr>
            <w:r w:rsidRPr="00B72A2D">
              <w:rPr>
                <w:rFonts w:ascii="Palatino Linotype" w:eastAsia="Times New Roman" w:hAnsi="Palatino Linotype" w:cs="Calibri"/>
                <w:sz w:val="20"/>
                <w:szCs w:val="20"/>
              </w:rPr>
              <w:t>Schizophrenia</w:t>
            </w:r>
            <w:r w:rsidRPr="00B72A2D">
              <w:rPr>
                <w:rFonts w:ascii="Palatino Linotype" w:eastAsia="Times New Roman" w:hAnsi="Palatino Linotype" w:cs="Calibri"/>
                <w:sz w:val="20"/>
                <w:szCs w:val="20"/>
                <w:vertAlign w:val="superscript"/>
              </w:rPr>
              <w:t>a</w:t>
            </w:r>
          </w:p>
        </w:tc>
        <w:tc>
          <w:tcPr>
            <w:tcW w:w="2140" w:type="dxa"/>
            <w:tcBorders>
              <w:top w:val="nil"/>
              <w:left w:val="nil"/>
              <w:bottom w:val="nil"/>
              <w:right w:val="nil"/>
            </w:tcBorders>
            <w:shd w:val="clear" w:color="000000" w:fill="FFFFFF"/>
            <w:vAlign w:val="center"/>
            <w:hideMark/>
          </w:tcPr>
          <w:p w14:paraId="6B70C928" w14:textId="77777777" w:rsidR="00A44C40" w:rsidRPr="00B72A2D" w:rsidRDefault="00A44C40" w:rsidP="004259BB">
            <w:pPr>
              <w:spacing w:after="0" w:line="240" w:lineRule="auto"/>
              <w:jc w:val="center"/>
              <w:rPr>
                <w:rFonts w:ascii="Palatino Linotype" w:eastAsia="Times New Roman" w:hAnsi="Palatino Linotype" w:cs="Calibri"/>
                <w:sz w:val="20"/>
                <w:szCs w:val="20"/>
              </w:rPr>
            </w:pPr>
            <w:r w:rsidRPr="00B72A2D">
              <w:rPr>
                <w:rFonts w:ascii="Palatino Linotype" w:eastAsia="Times New Roman" w:hAnsi="Palatino Linotype" w:cs="Calibri"/>
                <w:sz w:val="20"/>
                <w:szCs w:val="20"/>
              </w:rPr>
              <w:t>80</w:t>
            </w:r>
          </w:p>
        </w:tc>
      </w:tr>
      <w:tr w:rsidR="00A44C40" w:rsidRPr="00A27341" w14:paraId="3D21A368" w14:textId="77777777" w:rsidTr="004259BB">
        <w:trPr>
          <w:trHeight w:val="345"/>
        </w:trPr>
        <w:tc>
          <w:tcPr>
            <w:tcW w:w="3330" w:type="dxa"/>
            <w:tcBorders>
              <w:top w:val="nil"/>
              <w:left w:val="nil"/>
              <w:bottom w:val="nil"/>
              <w:right w:val="nil"/>
            </w:tcBorders>
            <w:shd w:val="clear" w:color="000000" w:fill="FFFFFF"/>
            <w:vAlign w:val="center"/>
            <w:hideMark/>
          </w:tcPr>
          <w:p w14:paraId="55048B1A" w14:textId="77777777" w:rsidR="00A44C40" w:rsidRPr="00B72A2D" w:rsidRDefault="00A44C40" w:rsidP="004259BB">
            <w:pPr>
              <w:spacing w:after="0" w:line="240" w:lineRule="auto"/>
              <w:rPr>
                <w:rFonts w:ascii="Palatino Linotype" w:eastAsia="Times New Roman" w:hAnsi="Palatino Linotype" w:cs="Calibri"/>
                <w:sz w:val="20"/>
                <w:szCs w:val="20"/>
              </w:rPr>
            </w:pPr>
            <w:r w:rsidRPr="00B72A2D">
              <w:rPr>
                <w:rFonts w:ascii="Palatino Linotype" w:eastAsia="Times New Roman" w:hAnsi="Palatino Linotype" w:cs="Calibri"/>
                <w:sz w:val="20"/>
                <w:szCs w:val="20"/>
              </w:rPr>
              <w:t>Depression</w:t>
            </w:r>
            <w:r w:rsidRPr="00B72A2D">
              <w:rPr>
                <w:rFonts w:ascii="Palatino Linotype" w:eastAsia="Times New Roman" w:hAnsi="Palatino Linotype" w:cs="Calibri"/>
                <w:sz w:val="20"/>
                <w:szCs w:val="20"/>
                <w:vertAlign w:val="superscript"/>
              </w:rPr>
              <w:t>a</w:t>
            </w:r>
          </w:p>
        </w:tc>
        <w:tc>
          <w:tcPr>
            <w:tcW w:w="2140" w:type="dxa"/>
            <w:tcBorders>
              <w:top w:val="nil"/>
              <w:left w:val="nil"/>
              <w:bottom w:val="nil"/>
              <w:right w:val="nil"/>
            </w:tcBorders>
            <w:shd w:val="clear" w:color="000000" w:fill="FFFFFF"/>
            <w:vAlign w:val="center"/>
            <w:hideMark/>
          </w:tcPr>
          <w:p w14:paraId="2A59410F" w14:textId="77777777" w:rsidR="00A44C40" w:rsidRPr="00B72A2D" w:rsidRDefault="00A44C40" w:rsidP="004259BB">
            <w:pPr>
              <w:spacing w:after="0" w:line="240" w:lineRule="auto"/>
              <w:jc w:val="center"/>
              <w:rPr>
                <w:rFonts w:ascii="Palatino Linotype" w:eastAsia="Times New Roman" w:hAnsi="Palatino Linotype" w:cs="Calibri"/>
                <w:sz w:val="20"/>
                <w:szCs w:val="20"/>
              </w:rPr>
            </w:pPr>
            <w:r w:rsidRPr="00B72A2D">
              <w:rPr>
                <w:rFonts w:ascii="Palatino Linotype" w:eastAsia="Times New Roman" w:hAnsi="Palatino Linotype" w:cs="Calibri"/>
                <w:sz w:val="20"/>
                <w:szCs w:val="20"/>
              </w:rPr>
              <w:t>33</w:t>
            </w:r>
          </w:p>
        </w:tc>
      </w:tr>
      <w:tr w:rsidR="00A44C40" w:rsidRPr="00A27341" w14:paraId="561EA7F3" w14:textId="77777777" w:rsidTr="004259BB">
        <w:trPr>
          <w:trHeight w:val="345"/>
        </w:trPr>
        <w:tc>
          <w:tcPr>
            <w:tcW w:w="3330" w:type="dxa"/>
            <w:tcBorders>
              <w:top w:val="nil"/>
              <w:left w:val="nil"/>
              <w:bottom w:val="nil"/>
              <w:right w:val="nil"/>
            </w:tcBorders>
            <w:shd w:val="clear" w:color="000000" w:fill="FFFFFF"/>
            <w:vAlign w:val="center"/>
            <w:hideMark/>
          </w:tcPr>
          <w:p w14:paraId="4E86A725" w14:textId="77777777" w:rsidR="00A44C40" w:rsidRPr="00B72A2D" w:rsidRDefault="00A44C40" w:rsidP="004259BB">
            <w:pPr>
              <w:spacing w:after="0" w:line="240" w:lineRule="auto"/>
              <w:rPr>
                <w:rFonts w:ascii="Palatino Linotype" w:eastAsia="Times New Roman" w:hAnsi="Palatino Linotype" w:cs="Calibri"/>
                <w:sz w:val="20"/>
                <w:szCs w:val="20"/>
              </w:rPr>
            </w:pPr>
            <w:r w:rsidRPr="00B72A2D">
              <w:rPr>
                <w:rFonts w:ascii="Palatino Linotype" w:eastAsia="Times New Roman" w:hAnsi="Palatino Linotype" w:cs="Calibri"/>
                <w:sz w:val="20"/>
                <w:szCs w:val="20"/>
              </w:rPr>
              <w:t>Suicide</w:t>
            </w:r>
            <w:r w:rsidRPr="00B72A2D">
              <w:rPr>
                <w:rFonts w:ascii="Palatino Linotype" w:eastAsia="Times New Roman" w:hAnsi="Palatino Linotype" w:cs="Calibri"/>
                <w:sz w:val="20"/>
                <w:szCs w:val="20"/>
                <w:vertAlign w:val="superscript"/>
              </w:rPr>
              <w:t>b</w:t>
            </w:r>
          </w:p>
        </w:tc>
        <w:tc>
          <w:tcPr>
            <w:tcW w:w="2140" w:type="dxa"/>
            <w:tcBorders>
              <w:top w:val="nil"/>
              <w:left w:val="nil"/>
              <w:bottom w:val="nil"/>
              <w:right w:val="nil"/>
            </w:tcBorders>
            <w:shd w:val="clear" w:color="000000" w:fill="FFFFFF"/>
            <w:vAlign w:val="center"/>
            <w:hideMark/>
          </w:tcPr>
          <w:p w14:paraId="1EC71288" w14:textId="77777777" w:rsidR="00A44C40" w:rsidRPr="00B72A2D" w:rsidRDefault="00A44C40" w:rsidP="004259BB">
            <w:pPr>
              <w:spacing w:after="0" w:line="240" w:lineRule="auto"/>
              <w:jc w:val="center"/>
              <w:rPr>
                <w:rFonts w:ascii="Palatino Linotype" w:eastAsia="Times New Roman" w:hAnsi="Palatino Linotype" w:cs="Calibri"/>
                <w:sz w:val="20"/>
                <w:szCs w:val="20"/>
              </w:rPr>
            </w:pPr>
            <w:r w:rsidRPr="00B72A2D">
              <w:rPr>
                <w:rFonts w:ascii="Palatino Linotype" w:eastAsia="Times New Roman" w:hAnsi="Palatino Linotype" w:cs="Calibri"/>
                <w:sz w:val="20"/>
                <w:szCs w:val="20"/>
              </w:rPr>
              <w:t>80</w:t>
            </w:r>
          </w:p>
        </w:tc>
      </w:tr>
      <w:tr w:rsidR="00A44C40" w:rsidRPr="00A27341" w14:paraId="0C3ECEB4" w14:textId="77777777" w:rsidTr="004259BB">
        <w:trPr>
          <w:trHeight w:val="345"/>
        </w:trPr>
        <w:tc>
          <w:tcPr>
            <w:tcW w:w="3330" w:type="dxa"/>
            <w:tcBorders>
              <w:top w:val="nil"/>
              <w:left w:val="nil"/>
              <w:bottom w:val="nil"/>
              <w:right w:val="nil"/>
            </w:tcBorders>
            <w:shd w:val="clear" w:color="000000" w:fill="FFFFFF"/>
            <w:vAlign w:val="center"/>
            <w:hideMark/>
          </w:tcPr>
          <w:p w14:paraId="711DE61F" w14:textId="77777777" w:rsidR="00A44C40" w:rsidRPr="00B72A2D" w:rsidRDefault="00A44C40" w:rsidP="004259BB">
            <w:pPr>
              <w:spacing w:after="0" w:line="240" w:lineRule="auto"/>
              <w:rPr>
                <w:rFonts w:ascii="Palatino Linotype" w:eastAsia="Times New Roman" w:hAnsi="Palatino Linotype" w:cs="Calibri"/>
                <w:sz w:val="20"/>
                <w:szCs w:val="20"/>
              </w:rPr>
            </w:pPr>
            <w:r w:rsidRPr="00B72A2D">
              <w:rPr>
                <w:rFonts w:ascii="Palatino Linotype" w:eastAsia="Times New Roman" w:hAnsi="Palatino Linotype" w:cs="Calibri"/>
                <w:sz w:val="20"/>
                <w:szCs w:val="20"/>
              </w:rPr>
              <w:t>Epilepsy</w:t>
            </w:r>
            <w:r w:rsidRPr="00B72A2D">
              <w:rPr>
                <w:rFonts w:ascii="Palatino Linotype" w:eastAsia="Times New Roman" w:hAnsi="Palatino Linotype" w:cs="Calibri"/>
                <w:sz w:val="20"/>
                <w:szCs w:val="20"/>
                <w:vertAlign w:val="superscript"/>
              </w:rPr>
              <w:t>c</w:t>
            </w:r>
          </w:p>
        </w:tc>
        <w:tc>
          <w:tcPr>
            <w:tcW w:w="2140" w:type="dxa"/>
            <w:tcBorders>
              <w:top w:val="nil"/>
              <w:left w:val="nil"/>
              <w:bottom w:val="nil"/>
              <w:right w:val="nil"/>
            </w:tcBorders>
            <w:shd w:val="clear" w:color="000000" w:fill="FFFFFF"/>
            <w:vAlign w:val="center"/>
            <w:hideMark/>
          </w:tcPr>
          <w:p w14:paraId="23123317" w14:textId="77777777" w:rsidR="00A44C40" w:rsidRPr="00B72A2D" w:rsidRDefault="00A44C40" w:rsidP="004259BB">
            <w:pPr>
              <w:spacing w:after="0" w:line="240" w:lineRule="auto"/>
              <w:jc w:val="center"/>
              <w:rPr>
                <w:rFonts w:ascii="Palatino Linotype" w:eastAsia="Times New Roman" w:hAnsi="Palatino Linotype" w:cs="Calibri"/>
                <w:sz w:val="20"/>
                <w:szCs w:val="20"/>
              </w:rPr>
            </w:pPr>
            <w:r w:rsidRPr="00B72A2D">
              <w:rPr>
                <w:rFonts w:ascii="Palatino Linotype" w:eastAsia="Times New Roman" w:hAnsi="Palatino Linotype" w:cs="Calibri"/>
                <w:sz w:val="20"/>
                <w:szCs w:val="20"/>
              </w:rPr>
              <w:t>80</w:t>
            </w:r>
          </w:p>
        </w:tc>
      </w:tr>
      <w:tr w:rsidR="00A44C40" w:rsidRPr="00A27341" w14:paraId="4CB99F69" w14:textId="77777777" w:rsidTr="004259BB">
        <w:trPr>
          <w:trHeight w:val="345"/>
        </w:trPr>
        <w:tc>
          <w:tcPr>
            <w:tcW w:w="3330" w:type="dxa"/>
            <w:tcBorders>
              <w:top w:val="nil"/>
              <w:left w:val="nil"/>
              <w:bottom w:val="nil"/>
              <w:right w:val="nil"/>
            </w:tcBorders>
            <w:shd w:val="clear" w:color="000000" w:fill="FFFFFF"/>
            <w:vAlign w:val="center"/>
            <w:hideMark/>
          </w:tcPr>
          <w:p w14:paraId="608C7E98" w14:textId="77777777" w:rsidR="00A44C40" w:rsidRPr="00B72A2D" w:rsidRDefault="00A44C40" w:rsidP="004259BB">
            <w:pPr>
              <w:spacing w:after="0" w:line="240" w:lineRule="auto"/>
              <w:rPr>
                <w:rFonts w:ascii="Palatino Linotype" w:eastAsia="Times New Roman" w:hAnsi="Palatino Linotype" w:cs="Calibri"/>
                <w:sz w:val="20"/>
                <w:szCs w:val="20"/>
              </w:rPr>
            </w:pPr>
            <w:r w:rsidRPr="00B72A2D">
              <w:rPr>
                <w:rFonts w:ascii="Palatino Linotype" w:eastAsia="Times New Roman" w:hAnsi="Palatino Linotype" w:cs="Calibri"/>
                <w:sz w:val="20"/>
                <w:szCs w:val="20"/>
              </w:rPr>
              <w:t>Dementia</w:t>
            </w:r>
            <w:r w:rsidRPr="00B72A2D">
              <w:rPr>
                <w:rFonts w:ascii="Palatino Linotype" w:eastAsia="Times New Roman" w:hAnsi="Palatino Linotype" w:cs="Calibri"/>
                <w:sz w:val="20"/>
                <w:szCs w:val="20"/>
                <w:vertAlign w:val="superscript"/>
              </w:rPr>
              <w:t>d</w:t>
            </w:r>
          </w:p>
        </w:tc>
        <w:tc>
          <w:tcPr>
            <w:tcW w:w="2140" w:type="dxa"/>
            <w:tcBorders>
              <w:top w:val="nil"/>
              <w:left w:val="nil"/>
              <w:bottom w:val="nil"/>
              <w:right w:val="nil"/>
            </w:tcBorders>
            <w:shd w:val="clear" w:color="000000" w:fill="FFFFFF"/>
            <w:vAlign w:val="center"/>
            <w:hideMark/>
          </w:tcPr>
          <w:p w14:paraId="08E177B2" w14:textId="77777777" w:rsidR="00A44C40" w:rsidRPr="00B72A2D" w:rsidRDefault="00A44C40" w:rsidP="004259BB">
            <w:pPr>
              <w:spacing w:after="0" w:line="240" w:lineRule="auto"/>
              <w:jc w:val="center"/>
              <w:rPr>
                <w:rFonts w:ascii="Palatino Linotype" w:eastAsia="Times New Roman" w:hAnsi="Palatino Linotype" w:cs="Calibri"/>
                <w:sz w:val="20"/>
                <w:szCs w:val="20"/>
              </w:rPr>
            </w:pPr>
            <w:r w:rsidRPr="00B72A2D">
              <w:rPr>
                <w:rFonts w:ascii="Palatino Linotype" w:eastAsia="Times New Roman" w:hAnsi="Palatino Linotype" w:cs="Calibri"/>
                <w:sz w:val="20"/>
                <w:szCs w:val="20"/>
              </w:rPr>
              <w:t>80</w:t>
            </w:r>
          </w:p>
        </w:tc>
      </w:tr>
      <w:tr w:rsidR="00A44C40" w:rsidRPr="00A27341" w14:paraId="21AB3EDD" w14:textId="77777777" w:rsidTr="004259BB">
        <w:trPr>
          <w:trHeight w:val="345"/>
        </w:trPr>
        <w:tc>
          <w:tcPr>
            <w:tcW w:w="3330" w:type="dxa"/>
            <w:tcBorders>
              <w:top w:val="nil"/>
              <w:left w:val="nil"/>
              <w:bottom w:val="nil"/>
              <w:right w:val="nil"/>
            </w:tcBorders>
            <w:shd w:val="clear" w:color="000000" w:fill="FFFFFF"/>
            <w:vAlign w:val="center"/>
            <w:hideMark/>
          </w:tcPr>
          <w:p w14:paraId="08255E62" w14:textId="77777777" w:rsidR="00A44C40" w:rsidRPr="00B72A2D" w:rsidRDefault="00A44C40" w:rsidP="004259BB">
            <w:pPr>
              <w:spacing w:after="0" w:line="240" w:lineRule="auto"/>
              <w:rPr>
                <w:rFonts w:ascii="Palatino Linotype" w:eastAsia="Times New Roman" w:hAnsi="Palatino Linotype" w:cs="Calibri"/>
                <w:sz w:val="20"/>
                <w:szCs w:val="20"/>
              </w:rPr>
            </w:pPr>
            <w:r w:rsidRPr="00B72A2D">
              <w:rPr>
                <w:rFonts w:ascii="Palatino Linotype" w:eastAsia="Times New Roman" w:hAnsi="Palatino Linotype" w:cs="Calibri"/>
                <w:sz w:val="20"/>
                <w:szCs w:val="20"/>
              </w:rPr>
              <w:t>Alcohol use disorder</w:t>
            </w:r>
            <w:r w:rsidRPr="00B72A2D">
              <w:rPr>
                <w:rFonts w:ascii="Palatino Linotype" w:eastAsia="Times New Roman" w:hAnsi="Palatino Linotype" w:cs="Calibri"/>
                <w:sz w:val="20"/>
                <w:szCs w:val="20"/>
                <w:vertAlign w:val="superscript"/>
              </w:rPr>
              <w:t>a</w:t>
            </w:r>
          </w:p>
        </w:tc>
        <w:tc>
          <w:tcPr>
            <w:tcW w:w="2140" w:type="dxa"/>
            <w:tcBorders>
              <w:top w:val="nil"/>
              <w:left w:val="nil"/>
              <w:bottom w:val="nil"/>
              <w:right w:val="nil"/>
            </w:tcBorders>
            <w:shd w:val="clear" w:color="000000" w:fill="FFFFFF"/>
            <w:vAlign w:val="center"/>
            <w:hideMark/>
          </w:tcPr>
          <w:p w14:paraId="1CA283E9" w14:textId="77777777" w:rsidR="00A44C40" w:rsidRPr="00B72A2D" w:rsidRDefault="00A44C40" w:rsidP="004259BB">
            <w:pPr>
              <w:spacing w:after="0" w:line="240" w:lineRule="auto"/>
              <w:jc w:val="center"/>
              <w:rPr>
                <w:rFonts w:ascii="Palatino Linotype" w:eastAsia="Times New Roman" w:hAnsi="Palatino Linotype" w:cs="Calibri"/>
                <w:sz w:val="20"/>
                <w:szCs w:val="20"/>
              </w:rPr>
            </w:pPr>
            <w:r w:rsidRPr="00B72A2D">
              <w:rPr>
                <w:rFonts w:ascii="Palatino Linotype" w:eastAsia="Times New Roman" w:hAnsi="Palatino Linotype" w:cs="Calibri"/>
                <w:sz w:val="20"/>
                <w:szCs w:val="20"/>
              </w:rPr>
              <w:t>25</w:t>
            </w:r>
          </w:p>
        </w:tc>
      </w:tr>
      <w:tr w:rsidR="00A44C40" w:rsidRPr="00A27341" w14:paraId="29533791" w14:textId="77777777" w:rsidTr="004259BB">
        <w:trPr>
          <w:trHeight w:val="345"/>
        </w:trPr>
        <w:tc>
          <w:tcPr>
            <w:tcW w:w="3330" w:type="dxa"/>
            <w:tcBorders>
              <w:top w:val="nil"/>
              <w:left w:val="nil"/>
              <w:right w:val="nil"/>
            </w:tcBorders>
            <w:shd w:val="clear" w:color="000000" w:fill="FFFFFF"/>
            <w:vAlign w:val="center"/>
            <w:hideMark/>
          </w:tcPr>
          <w:p w14:paraId="4197671F" w14:textId="77777777" w:rsidR="00A44C40" w:rsidRPr="00B72A2D" w:rsidRDefault="00A44C40" w:rsidP="004259BB">
            <w:pPr>
              <w:spacing w:after="0" w:line="240" w:lineRule="auto"/>
              <w:rPr>
                <w:rFonts w:ascii="Palatino Linotype" w:eastAsia="Times New Roman" w:hAnsi="Palatino Linotype" w:cs="Calibri"/>
                <w:sz w:val="20"/>
                <w:szCs w:val="20"/>
              </w:rPr>
            </w:pPr>
            <w:r w:rsidRPr="00B72A2D">
              <w:rPr>
                <w:rFonts w:ascii="Palatino Linotype" w:eastAsia="Times New Roman" w:hAnsi="Palatino Linotype" w:cs="Calibri"/>
                <w:sz w:val="20"/>
                <w:szCs w:val="20"/>
              </w:rPr>
              <w:t>Other drug use disorders</w:t>
            </w:r>
            <w:r w:rsidRPr="00B72A2D">
              <w:rPr>
                <w:rFonts w:ascii="Palatino Linotype" w:eastAsia="Times New Roman" w:hAnsi="Palatino Linotype" w:cs="Calibri"/>
                <w:sz w:val="20"/>
                <w:szCs w:val="20"/>
                <w:vertAlign w:val="superscript"/>
              </w:rPr>
              <w:t>e</w:t>
            </w:r>
          </w:p>
        </w:tc>
        <w:tc>
          <w:tcPr>
            <w:tcW w:w="2140" w:type="dxa"/>
            <w:tcBorders>
              <w:top w:val="nil"/>
              <w:left w:val="nil"/>
              <w:right w:val="nil"/>
            </w:tcBorders>
            <w:shd w:val="clear" w:color="000000" w:fill="FFFFFF"/>
            <w:vAlign w:val="center"/>
            <w:hideMark/>
          </w:tcPr>
          <w:p w14:paraId="685BEAFF" w14:textId="77777777" w:rsidR="00A44C40" w:rsidRPr="00B72A2D" w:rsidRDefault="00A44C40" w:rsidP="004259BB">
            <w:pPr>
              <w:spacing w:after="0" w:line="240" w:lineRule="auto"/>
              <w:jc w:val="center"/>
              <w:rPr>
                <w:rFonts w:ascii="Palatino Linotype" w:eastAsia="Times New Roman" w:hAnsi="Palatino Linotype" w:cs="Calibri"/>
                <w:sz w:val="20"/>
                <w:szCs w:val="20"/>
              </w:rPr>
            </w:pPr>
            <w:r w:rsidRPr="00B72A2D">
              <w:rPr>
                <w:rFonts w:ascii="Palatino Linotype" w:eastAsia="Times New Roman" w:hAnsi="Palatino Linotype" w:cs="Calibri"/>
                <w:sz w:val="20"/>
                <w:szCs w:val="20"/>
              </w:rPr>
              <w:t>50</w:t>
            </w:r>
          </w:p>
        </w:tc>
      </w:tr>
      <w:tr w:rsidR="00A44C40" w:rsidRPr="00A27341" w14:paraId="5E58FC5A" w14:textId="77777777" w:rsidTr="004259BB">
        <w:trPr>
          <w:trHeight w:val="345"/>
        </w:trPr>
        <w:tc>
          <w:tcPr>
            <w:tcW w:w="3330" w:type="dxa"/>
            <w:tcBorders>
              <w:top w:val="nil"/>
              <w:left w:val="nil"/>
              <w:bottom w:val="single" w:sz="12" w:space="0" w:color="auto"/>
              <w:right w:val="nil"/>
            </w:tcBorders>
            <w:shd w:val="clear" w:color="000000" w:fill="FFFFFF"/>
            <w:vAlign w:val="center"/>
            <w:hideMark/>
          </w:tcPr>
          <w:p w14:paraId="788783F9" w14:textId="77777777" w:rsidR="00A44C40" w:rsidRPr="00B72A2D" w:rsidRDefault="00A44C40" w:rsidP="004259BB">
            <w:pPr>
              <w:spacing w:after="0" w:line="240" w:lineRule="auto"/>
              <w:rPr>
                <w:rFonts w:ascii="Palatino Linotype" w:eastAsia="Times New Roman" w:hAnsi="Palatino Linotype" w:cs="Calibri"/>
                <w:sz w:val="20"/>
                <w:szCs w:val="20"/>
              </w:rPr>
            </w:pPr>
            <w:r w:rsidRPr="00B72A2D">
              <w:rPr>
                <w:rFonts w:ascii="Palatino Linotype" w:eastAsia="Times New Roman" w:hAnsi="Palatino Linotype" w:cs="Calibri"/>
                <w:sz w:val="20"/>
                <w:szCs w:val="20"/>
              </w:rPr>
              <w:t>Childhood disabilities</w:t>
            </w:r>
            <w:r w:rsidRPr="00B72A2D">
              <w:rPr>
                <w:rFonts w:ascii="Palatino Linotype" w:eastAsia="Times New Roman" w:hAnsi="Palatino Linotype" w:cs="Calibri"/>
                <w:sz w:val="20"/>
                <w:szCs w:val="20"/>
                <w:vertAlign w:val="superscript"/>
              </w:rPr>
              <w:t>f</w:t>
            </w:r>
          </w:p>
        </w:tc>
        <w:tc>
          <w:tcPr>
            <w:tcW w:w="2140" w:type="dxa"/>
            <w:tcBorders>
              <w:top w:val="nil"/>
              <w:left w:val="nil"/>
              <w:bottom w:val="single" w:sz="12" w:space="0" w:color="auto"/>
              <w:right w:val="nil"/>
            </w:tcBorders>
            <w:shd w:val="clear" w:color="000000" w:fill="FFFFFF"/>
            <w:vAlign w:val="center"/>
            <w:hideMark/>
          </w:tcPr>
          <w:p w14:paraId="01DEE08C" w14:textId="77777777" w:rsidR="00A44C40" w:rsidRPr="00B72A2D" w:rsidRDefault="00A44C40" w:rsidP="004259BB">
            <w:pPr>
              <w:spacing w:after="0" w:line="240" w:lineRule="auto"/>
              <w:jc w:val="center"/>
              <w:rPr>
                <w:rFonts w:ascii="Palatino Linotype" w:eastAsia="Times New Roman" w:hAnsi="Palatino Linotype" w:cs="Calibri"/>
                <w:sz w:val="20"/>
                <w:szCs w:val="20"/>
              </w:rPr>
            </w:pPr>
            <w:r w:rsidRPr="00B72A2D">
              <w:rPr>
                <w:rFonts w:ascii="Palatino Linotype" w:eastAsia="Times New Roman" w:hAnsi="Palatino Linotype" w:cs="Calibri"/>
                <w:sz w:val="20"/>
                <w:szCs w:val="20"/>
              </w:rPr>
              <w:t>20</w:t>
            </w:r>
          </w:p>
        </w:tc>
      </w:tr>
    </w:tbl>
    <w:p w14:paraId="16D5E9F5" w14:textId="77777777" w:rsidR="00A44C40" w:rsidRPr="001E1299" w:rsidRDefault="00A44C40" w:rsidP="00A44C40">
      <w:pPr>
        <w:pStyle w:val="BodyText3"/>
        <w:rPr>
          <w:sz w:val="18"/>
          <w:szCs w:val="18"/>
        </w:rPr>
      </w:pPr>
      <w:bookmarkStart w:id="19" w:name="_Hlk127743567"/>
      <w:bookmarkEnd w:id="18"/>
      <w:r w:rsidRPr="001E1299">
        <w:rPr>
          <w:i/>
          <w:iCs/>
          <w:sz w:val="18"/>
          <w:szCs w:val="18"/>
        </w:rPr>
        <w:t>Sources:</w:t>
      </w:r>
      <w:r w:rsidRPr="001E1299">
        <w:rPr>
          <w:sz w:val="18"/>
          <w:szCs w:val="18"/>
        </w:rPr>
        <w:t xml:space="preserve"> a. </w:t>
      </w:r>
      <w:r>
        <w:rPr>
          <w:sz w:val="18"/>
          <w:szCs w:val="18"/>
        </w:rPr>
        <w:t>[50]</w:t>
      </w:r>
      <w:r w:rsidRPr="001E1299">
        <w:rPr>
          <w:sz w:val="18"/>
          <w:szCs w:val="18"/>
        </w:rPr>
        <w:t xml:space="preserve">; b. </w:t>
      </w:r>
      <w:r>
        <w:rPr>
          <w:sz w:val="18"/>
          <w:szCs w:val="18"/>
        </w:rPr>
        <w:t>[73]</w:t>
      </w:r>
      <w:r w:rsidRPr="001E1299">
        <w:rPr>
          <w:sz w:val="18"/>
          <w:szCs w:val="18"/>
        </w:rPr>
        <w:t xml:space="preserve">; c. </w:t>
      </w:r>
      <w:r>
        <w:rPr>
          <w:sz w:val="18"/>
          <w:szCs w:val="18"/>
        </w:rPr>
        <w:t>[53]</w:t>
      </w:r>
      <w:r w:rsidRPr="001E1299">
        <w:rPr>
          <w:sz w:val="18"/>
          <w:szCs w:val="18"/>
        </w:rPr>
        <w:t xml:space="preserve">; d. </w:t>
      </w:r>
      <w:r>
        <w:rPr>
          <w:sz w:val="18"/>
          <w:szCs w:val="18"/>
        </w:rPr>
        <w:t>[54]</w:t>
      </w:r>
      <w:r w:rsidRPr="001E1299">
        <w:rPr>
          <w:sz w:val="18"/>
          <w:szCs w:val="18"/>
        </w:rPr>
        <w:t xml:space="preserve">; e. </w:t>
      </w:r>
      <w:r>
        <w:rPr>
          <w:sz w:val="18"/>
          <w:szCs w:val="18"/>
        </w:rPr>
        <w:t>[30]</w:t>
      </w:r>
      <w:r w:rsidRPr="001E1299">
        <w:rPr>
          <w:sz w:val="18"/>
          <w:szCs w:val="18"/>
        </w:rPr>
        <w:t xml:space="preserve">; f. Taken from level attainable in developed countries </w:t>
      </w:r>
      <w:r>
        <w:rPr>
          <w:sz w:val="18"/>
          <w:szCs w:val="18"/>
        </w:rPr>
        <w:t>[51,56]</w:t>
      </w:r>
      <w:r w:rsidRPr="001E1299">
        <w:rPr>
          <w:sz w:val="18"/>
          <w:szCs w:val="18"/>
        </w:rPr>
        <w:t xml:space="preserve">; g. </w:t>
      </w:r>
      <w:r>
        <w:rPr>
          <w:sz w:val="18"/>
          <w:szCs w:val="18"/>
        </w:rPr>
        <w:t>[53]</w:t>
      </w:r>
      <w:r w:rsidRPr="001E1299">
        <w:rPr>
          <w:sz w:val="18"/>
          <w:szCs w:val="18"/>
        </w:rPr>
        <w:t xml:space="preserve"> using treatment coverage for anxiety disorders.</w:t>
      </w:r>
    </w:p>
    <w:bookmarkEnd w:id="19"/>
    <w:p w14:paraId="277D1DA5" w14:textId="77777777" w:rsidR="00A44C40" w:rsidRPr="001E1299" w:rsidRDefault="00A44C40" w:rsidP="00A44C40">
      <w:pPr>
        <w:rPr>
          <w:rFonts w:ascii="Calibri" w:eastAsia="Times New Roman" w:hAnsi="Calibri" w:cs="Calibri"/>
          <w:b/>
          <w:bCs/>
          <w:color w:val="000000"/>
          <w:sz w:val="24"/>
          <w:szCs w:val="24"/>
        </w:rPr>
      </w:pPr>
    </w:p>
    <w:p w14:paraId="05E6FAEB" w14:textId="77777777" w:rsidR="00A44C40" w:rsidRPr="00A27341" w:rsidRDefault="00A44C40" w:rsidP="00A44C40">
      <w:pPr>
        <w:rPr>
          <w:rFonts w:ascii="Calibri" w:eastAsia="Times New Roman" w:hAnsi="Calibri" w:cs="Calibri"/>
          <w:b/>
          <w:bCs/>
          <w:color w:val="000000"/>
        </w:rPr>
        <w:sectPr w:rsidR="00A44C40" w:rsidRPr="00A27341" w:rsidSect="0007686A">
          <w:pgSz w:w="12240" w:h="15840"/>
          <w:pgMar w:top="1440" w:right="1440" w:bottom="1440" w:left="1440" w:header="720" w:footer="720" w:gutter="0"/>
          <w:cols w:space="720"/>
          <w:docGrid w:linePitch="360"/>
        </w:sectPr>
      </w:pPr>
    </w:p>
    <w:p w14:paraId="0934B0C9" w14:textId="77777777" w:rsidR="00A44C40" w:rsidRPr="002C3E0C" w:rsidRDefault="00A44C40" w:rsidP="00A44C40">
      <w:pPr>
        <w:pStyle w:val="Caption"/>
      </w:pPr>
      <w:bookmarkStart w:id="20" w:name="_Hlk127743607"/>
      <w:r w:rsidRPr="00A27341">
        <w:lastRenderedPageBreak/>
        <w:t xml:space="preserve">Table </w:t>
      </w:r>
      <w:r>
        <w:t>B2</w:t>
      </w:r>
      <w:r w:rsidRPr="00A27341">
        <w:t xml:space="preserve">: </w:t>
      </w:r>
      <w:r w:rsidRPr="00B72A2D">
        <w:rPr>
          <w:b w:val="0"/>
          <w:bCs w:val="0"/>
        </w:rPr>
        <w:t>Target Estimates for Service Coverage and Resource Utilization</w:t>
      </w:r>
      <w:bookmarkStart w:id="21" w:name="_Hlk127743776"/>
      <w:bookmarkEnd w:id="20"/>
    </w:p>
    <w:tbl>
      <w:tblPr>
        <w:tblW w:w="10064" w:type="dxa"/>
        <w:tblLayout w:type="fixed"/>
        <w:tblCellMar>
          <w:left w:w="58" w:type="dxa"/>
          <w:right w:w="58" w:type="dxa"/>
        </w:tblCellMar>
        <w:tblLook w:val="04A0" w:firstRow="1" w:lastRow="0" w:firstColumn="1" w:lastColumn="0" w:noHBand="0" w:noVBand="1"/>
      </w:tblPr>
      <w:tblGrid>
        <w:gridCol w:w="426"/>
        <w:gridCol w:w="992"/>
        <w:gridCol w:w="709"/>
        <w:gridCol w:w="708"/>
        <w:gridCol w:w="993"/>
        <w:gridCol w:w="992"/>
        <w:gridCol w:w="709"/>
        <w:gridCol w:w="708"/>
        <w:gridCol w:w="993"/>
        <w:gridCol w:w="850"/>
        <w:gridCol w:w="992"/>
        <w:gridCol w:w="992"/>
      </w:tblGrid>
      <w:tr w:rsidR="00A44C40" w:rsidRPr="000B675B" w14:paraId="7ED080A8" w14:textId="77777777" w:rsidTr="004259BB">
        <w:trPr>
          <w:cantSplit/>
          <w:trHeight w:val="1134"/>
        </w:trPr>
        <w:tc>
          <w:tcPr>
            <w:tcW w:w="426" w:type="dxa"/>
            <w:vMerge w:val="restart"/>
            <w:tcBorders>
              <w:top w:val="nil"/>
              <w:left w:val="nil"/>
              <w:right w:val="nil"/>
            </w:tcBorders>
            <w:shd w:val="clear" w:color="auto" w:fill="FFFFFF" w:themeFill="background1"/>
            <w:textDirection w:val="btLr"/>
          </w:tcPr>
          <w:p w14:paraId="456ED753" w14:textId="77777777" w:rsidR="00A44C40" w:rsidRPr="000B675B" w:rsidRDefault="00A44C40" w:rsidP="004259BB">
            <w:pPr>
              <w:pStyle w:val="NoSpacing"/>
              <w:jc w:val="center"/>
              <w:rPr>
                <w:b/>
                <w:bCs/>
              </w:rPr>
            </w:pPr>
            <w:r w:rsidRPr="000B675B">
              <w:rPr>
                <w:b/>
                <w:bCs/>
              </w:rPr>
              <w:t>Hazardous Alcohol Use</w:t>
            </w:r>
          </w:p>
        </w:tc>
        <w:tc>
          <w:tcPr>
            <w:tcW w:w="992" w:type="dxa"/>
            <w:tcBorders>
              <w:top w:val="nil"/>
              <w:left w:val="nil"/>
              <w:bottom w:val="nil"/>
              <w:right w:val="nil"/>
            </w:tcBorders>
            <w:shd w:val="clear" w:color="auto" w:fill="FFFFFF" w:themeFill="background1"/>
            <w:noWrap/>
            <w:textDirection w:val="btLr"/>
          </w:tcPr>
          <w:p w14:paraId="48476FDB" w14:textId="77777777" w:rsidR="00A44C40" w:rsidRPr="000B675B" w:rsidRDefault="00A44C40" w:rsidP="004259BB">
            <w:pPr>
              <w:pStyle w:val="NoSpacing"/>
              <w:jc w:val="center"/>
              <w:rPr>
                <w:b/>
                <w:bCs/>
              </w:rPr>
            </w:pPr>
            <w:r w:rsidRPr="000B675B">
              <w:rPr>
                <w:b/>
                <w:bCs/>
              </w:rPr>
              <w:t>Resource Use per Case</w:t>
            </w:r>
            <w:r w:rsidRPr="000B675B">
              <w:rPr>
                <w:b/>
                <w:bCs/>
                <w:vertAlign w:val="superscript"/>
              </w:rPr>
              <w:t>c</w:t>
            </w:r>
          </w:p>
        </w:tc>
        <w:tc>
          <w:tcPr>
            <w:tcW w:w="709" w:type="dxa"/>
            <w:tcBorders>
              <w:top w:val="nil"/>
              <w:left w:val="nil"/>
              <w:bottom w:val="nil"/>
              <w:right w:val="nil"/>
            </w:tcBorders>
            <w:shd w:val="clear" w:color="000000" w:fill="FFFFFF"/>
            <w:textDirection w:val="btLr"/>
          </w:tcPr>
          <w:p w14:paraId="779B0331" w14:textId="77777777" w:rsidR="00A44C40" w:rsidRPr="000B675B" w:rsidRDefault="00A44C40" w:rsidP="004259BB">
            <w:pPr>
              <w:spacing w:before="240" w:after="0" w:line="240" w:lineRule="auto"/>
              <w:ind w:left="113" w:right="113"/>
              <w:jc w:val="right"/>
              <w:rPr>
                <w:rFonts w:ascii="Palatino Linotype" w:eastAsia="Times New Roman" w:hAnsi="Palatino Linotype" w:cs="Calibri"/>
              </w:rPr>
            </w:pPr>
          </w:p>
        </w:tc>
        <w:tc>
          <w:tcPr>
            <w:tcW w:w="708" w:type="dxa"/>
            <w:tcBorders>
              <w:top w:val="nil"/>
              <w:left w:val="nil"/>
              <w:bottom w:val="nil"/>
              <w:right w:val="nil"/>
            </w:tcBorders>
            <w:shd w:val="clear" w:color="000000" w:fill="FFFFFF"/>
            <w:noWrap/>
            <w:textDirection w:val="btLr"/>
          </w:tcPr>
          <w:p w14:paraId="10D65874"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w:t>
            </w:r>
          </w:p>
        </w:tc>
        <w:tc>
          <w:tcPr>
            <w:tcW w:w="993" w:type="dxa"/>
            <w:tcBorders>
              <w:top w:val="nil"/>
              <w:left w:val="nil"/>
              <w:bottom w:val="nil"/>
              <w:right w:val="nil"/>
            </w:tcBorders>
            <w:shd w:val="clear" w:color="000000" w:fill="FFFFFF"/>
            <w:noWrap/>
            <w:textDirection w:val="btLr"/>
          </w:tcPr>
          <w:p w14:paraId="0A0C121E"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w:t>
            </w:r>
          </w:p>
        </w:tc>
        <w:tc>
          <w:tcPr>
            <w:tcW w:w="992" w:type="dxa"/>
            <w:tcBorders>
              <w:top w:val="nil"/>
              <w:left w:val="nil"/>
              <w:bottom w:val="nil"/>
              <w:right w:val="nil"/>
            </w:tcBorders>
            <w:shd w:val="clear" w:color="000000" w:fill="FFFFFF"/>
            <w:noWrap/>
            <w:textDirection w:val="btLr"/>
          </w:tcPr>
          <w:p w14:paraId="0C1FB050"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0.1</w:t>
            </w:r>
          </w:p>
        </w:tc>
        <w:tc>
          <w:tcPr>
            <w:tcW w:w="709" w:type="dxa"/>
            <w:tcBorders>
              <w:top w:val="nil"/>
              <w:left w:val="nil"/>
              <w:bottom w:val="nil"/>
              <w:right w:val="nil"/>
            </w:tcBorders>
            <w:shd w:val="clear" w:color="000000" w:fill="FFFFFF"/>
            <w:noWrap/>
            <w:textDirection w:val="btLr"/>
          </w:tcPr>
          <w:p w14:paraId="36BBB55F"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p>
        </w:tc>
        <w:tc>
          <w:tcPr>
            <w:tcW w:w="708" w:type="dxa"/>
            <w:tcBorders>
              <w:top w:val="nil"/>
              <w:left w:val="nil"/>
              <w:bottom w:val="nil"/>
              <w:right w:val="nil"/>
            </w:tcBorders>
            <w:shd w:val="clear" w:color="000000" w:fill="FFFFFF"/>
            <w:noWrap/>
            <w:textDirection w:val="btLr"/>
          </w:tcPr>
          <w:p w14:paraId="5A29BBDA"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w:t>
            </w:r>
          </w:p>
        </w:tc>
        <w:tc>
          <w:tcPr>
            <w:tcW w:w="993" w:type="dxa"/>
            <w:tcBorders>
              <w:top w:val="nil"/>
              <w:left w:val="nil"/>
              <w:bottom w:val="nil"/>
              <w:right w:val="nil"/>
            </w:tcBorders>
            <w:shd w:val="clear" w:color="000000" w:fill="FFFFFF"/>
            <w:noWrap/>
            <w:textDirection w:val="btLr"/>
          </w:tcPr>
          <w:p w14:paraId="0E1878D5"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0.2</w:t>
            </w:r>
          </w:p>
        </w:tc>
        <w:tc>
          <w:tcPr>
            <w:tcW w:w="850" w:type="dxa"/>
            <w:tcBorders>
              <w:top w:val="nil"/>
              <w:left w:val="nil"/>
              <w:bottom w:val="nil"/>
              <w:right w:val="nil"/>
            </w:tcBorders>
            <w:shd w:val="clear" w:color="000000" w:fill="FFFFFF"/>
            <w:noWrap/>
            <w:textDirection w:val="btLr"/>
          </w:tcPr>
          <w:p w14:paraId="5BE046AA"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w:t>
            </w:r>
          </w:p>
        </w:tc>
        <w:tc>
          <w:tcPr>
            <w:tcW w:w="992" w:type="dxa"/>
            <w:tcBorders>
              <w:top w:val="nil"/>
              <w:left w:val="nil"/>
              <w:bottom w:val="nil"/>
              <w:right w:val="nil"/>
            </w:tcBorders>
            <w:shd w:val="clear" w:color="000000" w:fill="FFFFFF"/>
            <w:noWrap/>
            <w:textDirection w:val="btLr"/>
          </w:tcPr>
          <w:p w14:paraId="4603C5F1"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n.a.</w:t>
            </w:r>
          </w:p>
        </w:tc>
        <w:tc>
          <w:tcPr>
            <w:tcW w:w="992" w:type="dxa"/>
            <w:tcBorders>
              <w:top w:val="nil"/>
              <w:left w:val="nil"/>
              <w:bottom w:val="nil"/>
              <w:right w:val="nil"/>
            </w:tcBorders>
            <w:shd w:val="clear" w:color="000000" w:fill="FFFFFF"/>
            <w:noWrap/>
            <w:textDirection w:val="btLr"/>
          </w:tcPr>
          <w:p w14:paraId="19CD94C1"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0.8</w:t>
            </w:r>
          </w:p>
        </w:tc>
      </w:tr>
      <w:tr w:rsidR="00A44C40" w:rsidRPr="000B675B" w14:paraId="67A9E779" w14:textId="77777777" w:rsidTr="004259BB">
        <w:trPr>
          <w:cantSplit/>
          <w:trHeight w:val="1134"/>
        </w:trPr>
        <w:tc>
          <w:tcPr>
            <w:tcW w:w="426" w:type="dxa"/>
            <w:vMerge/>
            <w:tcBorders>
              <w:left w:val="nil"/>
              <w:right w:val="nil"/>
            </w:tcBorders>
            <w:shd w:val="clear" w:color="auto" w:fill="FFFFFF" w:themeFill="background1"/>
            <w:textDirection w:val="btLr"/>
          </w:tcPr>
          <w:p w14:paraId="1FE4B75A" w14:textId="77777777" w:rsidR="00A44C40" w:rsidRPr="000B675B" w:rsidRDefault="00A44C40" w:rsidP="004259BB">
            <w:pPr>
              <w:pStyle w:val="NoSpacing"/>
              <w:jc w:val="center"/>
              <w:rPr>
                <w:b/>
                <w:bCs/>
              </w:rPr>
            </w:pPr>
          </w:p>
        </w:tc>
        <w:tc>
          <w:tcPr>
            <w:tcW w:w="992" w:type="dxa"/>
            <w:tcBorders>
              <w:top w:val="nil"/>
              <w:left w:val="nil"/>
              <w:bottom w:val="nil"/>
              <w:right w:val="nil"/>
            </w:tcBorders>
            <w:shd w:val="clear" w:color="auto" w:fill="FFFFFF" w:themeFill="background1"/>
            <w:noWrap/>
            <w:textDirection w:val="btLr"/>
          </w:tcPr>
          <w:p w14:paraId="245AB729" w14:textId="77777777" w:rsidR="00A44C40" w:rsidRPr="000B675B" w:rsidRDefault="00A44C40" w:rsidP="004259BB">
            <w:pPr>
              <w:pStyle w:val="NoSpacing"/>
              <w:jc w:val="center"/>
              <w:rPr>
                <w:b/>
                <w:bCs/>
              </w:rPr>
            </w:pPr>
            <w:r w:rsidRPr="000B675B">
              <w:rPr>
                <w:b/>
                <w:bCs/>
              </w:rPr>
              <w:t>Average Rate of Use</w:t>
            </w:r>
            <w:r w:rsidRPr="000B675B">
              <w:rPr>
                <w:b/>
                <w:bCs/>
                <w:vertAlign w:val="superscript"/>
              </w:rPr>
              <w:t>b</w:t>
            </w:r>
          </w:p>
        </w:tc>
        <w:tc>
          <w:tcPr>
            <w:tcW w:w="709" w:type="dxa"/>
            <w:tcBorders>
              <w:top w:val="nil"/>
              <w:left w:val="nil"/>
              <w:bottom w:val="nil"/>
              <w:right w:val="nil"/>
            </w:tcBorders>
            <w:shd w:val="clear" w:color="000000" w:fill="FFFFFF"/>
            <w:textDirection w:val="btLr"/>
          </w:tcPr>
          <w:p w14:paraId="473173F7" w14:textId="77777777" w:rsidR="00A44C40" w:rsidRPr="000B675B" w:rsidRDefault="00A44C40" w:rsidP="004259BB">
            <w:pPr>
              <w:spacing w:before="240" w:after="0" w:line="240" w:lineRule="auto"/>
              <w:ind w:left="113" w:right="113"/>
              <w:jc w:val="right"/>
              <w:rPr>
                <w:rFonts w:ascii="Palatino Linotype" w:eastAsia="Times New Roman" w:hAnsi="Palatino Linotype" w:cs="Calibri"/>
              </w:rPr>
            </w:pPr>
          </w:p>
        </w:tc>
        <w:tc>
          <w:tcPr>
            <w:tcW w:w="708" w:type="dxa"/>
            <w:tcBorders>
              <w:top w:val="nil"/>
              <w:left w:val="nil"/>
              <w:bottom w:val="nil"/>
              <w:right w:val="nil"/>
            </w:tcBorders>
            <w:shd w:val="clear" w:color="000000" w:fill="FFFFFF"/>
            <w:noWrap/>
            <w:textDirection w:val="btLr"/>
          </w:tcPr>
          <w:p w14:paraId="4F3A9CED"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w:t>
            </w:r>
          </w:p>
        </w:tc>
        <w:tc>
          <w:tcPr>
            <w:tcW w:w="993" w:type="dxa"/>
            <w:tcBorders>
              <w:top w:val="nil"/>
              <w:left w:val="nil"/>
              <w:bottom w:val="nil"/>
              <w:right w:val="nil"/>
            </w:tcBorders>
            <w:shd w:val="clear" w:color="000000" w:fill="FFFFFF"/>
            <w:noWrap/>
            <w:textDirection w:val="btLr"/>
          </w:tcPr>
          <w:p w14:paraId="16A313E8"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w:t>
            </w:r>
          </w:p>
        </w:tc>
        <w:tc>
          <w:tcPr>
            <w:tcW w:w="992" w:type="dxa"/>
            <w:tcBorders>
              <w:top w:val="nil"/>
              <w:left w:val="nil"/>
              <w:bottom w:val="nil"/>
              <w:right w:val="nil"/>
            </w:tcBorders>
            <w:shd w:val="clear" w:color="000000" w:fill="FFFFFF"/>
            <w:noWrap/>
            <w:textDirection w:val="btLr"/>
          </w:tcPr>
          <w:p w14:paraId="093F5CAA"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5</w:t>
            </w:r>
          </w:p>
        </w:tc>
        <w:tc>
          <w:tcPr>
            <w:tcW w:w="709" w:type="dxa"/>
            <w:tcBorders>
              <w:top w:val="nil"/>
              <w:left w:val="nil"/>
              <w:bottom w:val="nil"/>
              <w:right w:val="nil"/>
            </w:tcBorders>
            <w:shd w:val="clear" w:color="000000" w:fill="FFFFFF"/>
            <w:noWrap/>
            <w:textDirection w:val="btLr"/>
          </w:tcPr>
          <w:p w14:paraId="5ED28DC5"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p>
        </w:tc>
        <w:tc>
          <w:tcPr>
            <w:tcW w:w="708" w:type="dxa"/>
            <w:tcBorders>
              <w:top w:val="nil"/>
              <w:left w:val="nil"/>
              <w:bottom w:val="nil"/>
              <w:right w:val="nil"/>
            </w:tcBorders>
            <w:shd w:val="clear" w:color="000000" w:fill="FFFFFF"/>
            <w:noWrap/>
            <w:textDirection w:val="btLr"/>
          </w:tcPr>
          <w:p w14:paraId="4E959841"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w:t>
            </w:r>
          </w:p>
        </w:tc>
        <w:tc>
          <w:tcPr>
            <w:tcW w:w="993" w:type="dxa"/>
            <w:tcBorders>
              <w:top w:val="nil"/>
              <w:left w:val="nil"/>
              <w:bottom w:val="nil"/>
              <w:right w:val="nil"/>
            </w:tcBorders>
            <w:shd w:val="clear" w:color="000000" w:fill="FFFFFF"/>
            <w:noWrap/>
            <w:textDirection w:val="btLr"/>
          </w:tcPr>
          <w:p w14:paraId="5BFEDFB6"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2</w:t>
            </w:r>
          </w:p>
        </w:tc>
        <w:tc>
          <w:tcPr>
            <w:tcW w:w="850" w:type="dxa"/>
            <w:tcBorders>
              <w:top w:val="nil"/>
              <w:left w:val="nil"/>
              <w:bottom w:val="nil"/>
              <w:right w:val="nil"/>
            </w:tcBorders>
            <w:shd w:val="clear" w:color="000000" w:fill="FFFFFF"/>
            <w:noWrap/>
            <w:textDirection w:val="btLr"/>
          </w:tcPr>
          <w:p w14:paraId="5BD92ABF"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w:t>
            </w:r>
          </w:p>
        </w:tc>
        <w:tc>
          <w:tcPr>
            <w:tcW w:w="992" w:type="dxa"/>
            <w:tcBorders>
              <w:top w:val="nil"/>
              <w:left w:val="nil"/>
              <w:bottom w:val="nil"/>
              <w:right w:val="nil"/>
            </w:tcBorders>
            <w:shd w:val="clear" w:color="000000" w:fill="FFFFFF"/>
            <w:noWrap/>
            <w:textDirection w:val="btLr"/>
          </w:tcPr>
          <w:p w14:paraId="3549D53A"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1</w:t>
            </w:r>
          </w:p>
        </w:tc>
        <w:tc>
          <w:tcPr>
            <w:tcW w:w="992" w:type="dxa"/>
            <w:tcBorders>
              <w:top w:val="nil"/>
              <w:left w:val="nil"/>
              <w:bottom w:val="nil"/>
              <w:right w:val="nil"/>
            </w:tcBorders>
            <w:shd w:val="clear" w:color="000000" w:fill="FFFFFF"/>
            <w:noWrap/>
            <w:textDirection w:val="btLr"/>
          </w:tcPr>
          <w:p w14:paraId="6C85E4DD"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3</w:t>
            </w:r>
          </w:p>
        </w:tc>
      </w:tr>
      <w:tr w:rsidR="00A44C40" w:rsidRPr="000B675B" w14:paraId="082A3217" w14:textId="77777777" w:rsidTr="004259BB">
        <w:trPr>
          <w:cantSplit/>
          <w:trHeight w:val="1134"/>
        </w:trPr>
        <w:tc>
          <w:tcPr>
            <w:tcW w:w="426" w:type="dxa"/>
            <w:vMerge/>
            <w:tcBorders>
              <w:left w:val="nil"/>
              <w:right w:val="nil"/>
            </w:tcBorders>
            <w:shd w:val="clear" w:color="auto" w:fill="FFFFFF" w:themeFill="background1"/>
            <w:textDirection w:val="btLr"/>
          </w:tcPr>
          <w:p w14:paraId="7C21EA17" w14:textId="77777777" w:rsidR="00A44C40" w:rsidRPr="000B675B" w:rsidRDefault="00A44C40" w:rsidP="004259BB">
            <w:pPr>
              <w:pStyle w:val="NoSpacing"/>
              <w:jc w:val="center"/>
              <w:rPr>
                <w:b/>
                <w:bCs/>
              </w:rPr>
            </w:pPr>
          </w:p>
        </w:tc>
        <w:tc>
          <w:tcPr>
            <w:tcW w:w="992" w:type="dxa"/>
            <w:tcBorders>
              <w:top w:val="nil"/>
              <w:left w:val="nil"/>
              <w:bottom w:val="nil"/>
              <w:right w:val="nil"/>
            </w:tcBorders>
            <w:shd w:val="clear" w:color="auto" w:fill="FFFFFF" w:themeFill="background1"/>
            <w:noWrap/>
            <w:textDirection w:val="btLr"/>
          </w:tcPr>
          <w:p w14:paraId="3C1E6C17" w14:textId="77777777" w:rsidR="00A44C40" w:rsidRPr="000B675B" w:rsidRDefault="00A44C40" w:rsidP="004259BB">
            <w:pPr>
              <w:pStyle w:val="NoSpacing"/>
              <w:jc w:val="center"/>
              <w:rPr>
                <w:b/>
                <w:bCs/>
              </w:rPr>
            </w:pPr>
            <w:r w:rsidRPr="000B675B">
              <w:rPr>
                <w:b/>
                <w:bCs/>
              </w:rPr>
              <w:t>Service Coverage</w:t>
            </w:r>
            <w:r w:rsidRPr="000B675B">
              <w:rPr>
                <w:b/>
                <w:bCs/>
              </w:rPr>
              <w:br/>
              <w:t xml:space="preserve"> %</w:t>
            </w:r>
            <w:r w:rsidRPr="000B675B">
              <w:rPr>
                <w:b/>
                <w:bCs/>
                <w:vertAlign w:val="superscript"/>
              </w:rPr>
              <w:t>a</w:t>
            </w:r>
          </w:p>
        </w:tc>
        <w:tc>
          <w:tcPr>
            <w:tcW w:w="709" w:type="dxa"/>
            <w:tcBorders>
              <w:top w:val="nil"/>
              <w:left w:val="nil"/>
              <w:bottom w:val="nil"/>
              <w:right w:val="nil"/>
            </w:tcBorders>
            <w:shd w:val="clear" w:color="000000" w:fill="FFFFFF"/>
            <w:textDirection w:val="btLr"/>
          </w:tcPr>
          <w:p w14:paraId="76259262" w14:textId="77777777" w:rsidR="00A44C40" w:rsidRPr="000B675B" w:rsidRDefault="00A44C40" w:rsidP="004259BB">
            <w:pPr>
              <w:spacing w:before="240" w:after="0" w:line="240" w:lineRule="auto"/>
              <w:ind w:left="113" w:right="113"/>
              <w:jc w:val="right"/>
              <w:rPr>
                <w:rFonts w:ascii="Palatino Linotype" w:eastAsia="Times New Roman" w:hAnsi="Palatino Linotype" w:cs="Calibri"/>
              </w:rPr>
            </w:pPr>
          </w:p>
        </w:tc>
        <w:tc>
          <w:tcPr>
            <w:tcW w:w="708" w:type="dxa"/>
            <w:tcBorders>
              <w:top w:val="nil"/>
              <w:left w:val="nil"/>
              <w:bottom w:val="nil"/>
              <w:right w:val="nil"/>
            </w:tcBorders>
            <w:shd w:val="clear" w:color="000000" w:fill="FFFFFF"/>
            <w:noWrap/>
            <w:textDirection w:val="btLr"/>
          </w:tcPr>
          <w:p w14:paraId="1A6DA640"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w:t>
            </w:r>
          </w:p>
        </w:tc>
        <w:tc>
          <w:tcPr>
            <w:tcW w:w="993" w:type="dxa"/>
            <w:tcBorders>
              <w:top w:val="nil"/>
              <w:left w:val="nil"/>
              <w:bottom w:val="nil"/>
              <w:right w:val="nil"/>
            </w:tcBorders>
            <w:shd w:val="clear" w:color="000000" w:fill="FFFFFF"/>
            <w:noWrap/>
            <w:textDirection w:val="btLr"/>
          </w:tcPr>
          <w:p w14:paraId="7B8FA769"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w:t>
            </w:r>
          </w:p>
        </w:tc>
        <w:tc>
          <w:tcPr>
            <w:tcW w:w="992" w:type="dxa"/>
            <w:tcBorders>
              <w:top w:val="nil"/>
              <w:left w:val="nil"/>
              <w:bottom w:val="nil"/>
              <w:right w:val="nil"/>
            </w:tcBorders>
            <w:shd w:val="clear" w:color="000000" w:fill="FFFFFF"/>
            <w:noWrap/>
            <w:textDirection w:val="btLr"/>
          </w:tcPr>
          <w:p w14:paraId="51164FE5"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2</w:t>
            </w:r>
          </w:p>
        </w:tc>
        <w:tc>
          <w:tcPr>
            <w:tcW w:w="709" w:type="dxa"/>
            <w:tcBorders>
              <w:top w:val="nil"/>
              <w:left w:val="nil"/>
              <w:bottom w:val="nil"/>
              <w:right w:val="nil"/>
            </w:tcBorders>
            <w:shd w:val="clear" w:color="000000" w:fill="FFFFFF"/>
            <w:noWrap/>
            <w:textDirection w:val="btLr"/>
          </w:tcPr>
          <w:p w14:paraId="6003DBA2"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p>
        </w:tc>
        <w:tc>
          <w:tcPr>
            <w:tcW w:w="708" w:type="dxa"/>
            <w:tcBorders>
              <w:top w:val="nil"/>
              <w:left w:val="nil"/>
              <w:bottom w:val="nil"/>
              <w:right w:val="nil"/>
            </w:tcBorders>
            <w:shd w:val="clear" w:color="000000" w:fill="FFFFFF"/>
            <w:noWrap/>
            <w:textDirection w:val="btLr"/>
          </w:tcPr>
          <w:p w14:paraId="0F0DAEB8"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w:t>
            </w:r>
          </w:p>
        </w:tc>
        <w:tc>
          <w:tcPr>
            <w:tcW w:w="993" w:type="dxa"/>
            <w:tcBorders>
              <w:top w:val="nil"/>
              <w:left w:val="nil"/>
              <w:bottom w:val="nil"/>
              <w:right w:val="nil"/>
            </w:tcBorders>
            <w:shd w:val="clear" w:color="000000" w:fill="FFFFFF"/>
            <w:noWrap/>
            <w:textDirection w:val="btLr"/>
          </w:tcPr>
          <w:p w14:paraId="1AF48CA8"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10</w:t>
            </w:r>
          </w:p>
        </w:tc>
        <w:tc>
          <w:tcPr>
            <w:tcW w:w="850" w:type="dxa"/>
            <w:tcBorders>
              <w:top w:val="nil"/>
              <w:left w:val="nil"/>
              <w:bottom w:val="nil"/>
              <w:right w:val="nil"/>
            </w:tcBorders>
            <w:shd w:val="clear" w:color="000000" w:fill="FFFFFF"/>
            <w:noWrap/>
            <w:textDirection w:val="btLr"/>
          </w:tcPr>
          <w:p w14:paraId="32C4CB45"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w:t>
            </w:r>
          </w:p>
        </w:tc>
        <w:tc>
          <w:tcPr>
            <w:tcW w:w="992" w:type="dxa"/>
            <w:tcBorders>
              <w:top w:val="nil"/>
              <w:left w:val="nil"/>
              <w:bottom w:val="nil"/>
              <w:right w:val="nil"/>
            </w:tcBorders>
            <w:shd w:val="clear" w:color="000000" w:fill="FFFFFF"/>
            <w:noWrap/>
            <w:textDirection w:val="btLr"/>
          </w:tcPr>
          <w:p w14:paraId="42B6DF6C"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2—4</w:t>
            </w:r>
          </w:p>
        </w:tc>
        <w:tc>
          <w:tcPr>
            <w:tcW w:w="992" w:type="dxa"/>
            <w:tcBorders>
              <w:top w:val="nil"/>
              <w:left w:val="nil"/>
              <w:bottom w:val="nil"/>
              <w:right w:val="nil"/>
            </w:tcBorders>
            <w:shd w:val="clear" w:color="000000" w:fill="FFFFFF"/>
            <w:noWrap/>
            <w:textDirection w:val="btLr"/>
          </w:tcPr>
          <w:p w14:paraId="7CA60567"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25</w:t>
            </w:r>
          </w:p>
        </w:tc>
      </w:tr>
      <w:tr w:rsidR="00A44C40" w:rsidRPr="000B675B" w14:paraId="49D1CD49" w14:textId="77777777" w:rsidTr="004259BB">
        <w:trPr>
          <w:cantSplit/>
          <w:trHeight w:val="1134"/>
        </w:trPr>
        <w:tc>
          <w:tcPr>
            <w:tcW w:w="426" w:type="dxa"/>
            <w:vMerge w:val="restart"/>
            <w:tcBorders>
              <w:top w:val="nil"/>
              <w:left w:val="nil"/>
              <w:right w:val="nil"/>
            </w:tcBorders>
            <w:shd w:val="clear" w:color="auto" w:fill="FFFFFF" w:themeFill="background1"/>
            <w:textDirection w:val="btLr"/>
          </w:tcPr>
          <w:p w14:paraId="55D03E99" w14:textId="77777777" w:rsidR="00A44C40" w:rsidRPr="000B675B" w:rsidRDefault="00A44C40" w:rsidP="004259BB">
            <w:pPr>
              <w:pStyle w:val="NoSpacing"/>
              <w:jc w:val="center"/>
              <w:rPr>
                <w:b/>
                <w:bCs/>
              </w:rPr>
            </w:pPr>
            <w:r w:rsidRPr="000B675B">
              <w:rPr>
                <w:b/>
                <w:bCs/>
              </w:rPr>
              <w:t>Major Depression</w:t>
            </w:r>
          </w:p>
        </w:tc>
        <w:tc>
          <w:tcPr>
            <w:tcW w:w="992" w:type="dxa"/>
            <w:tcBorders>
              <w:top w:val="nil"/>
              <w:left w:val="nil"/>
              <w:bottom w:val="nil"/>
              <w:right w:val="nil"/>
            </w:tcBorders>
            <w:shd w:val="clear" w:color="auto" w:fill="FFFFFF" w:themeFill="background1"/>
            <w:noWrap/>
            <w:textDirection w:val="btLr"/>
            <w:hideMark/>
          </w:tcPr>
          <w:p w14:paraId="30FE4DCC" w14:textId="77777777" w:rsidR="00A44C40" w:rsidRPr="000B675B" w:rsidRDefault="00A44C40" w:rsidP="004259BB">
            <w:pPr>
              <w:pStyle w:val="NoSpacing"/>
              <w:jc w:val="center"/>
              <w:rPr>
                <w:b/>
                <w:bCs/>
                <w:color w:val="000000"/>
                <w:vertAlign w:val="superscript"/>
              </w:rPr>
            </w:pPr>
            <w:r w:rsidRPr="000B675B">
              <w:rPr>
                <w:b/>
                <w:bCs/>
              </w:rPr>
              <w:t>Resource Use per Case</w:t>
            </w:r>
            <w:r w:rsidRPr="000B675B">
              <w:rPr>
                <w:b/>
                <w:bCs/>
                <w:vertAlign w:val="superscript"/>
              </w:rPr>
              <w:t>c</w:t>
            </w:r>
          </w:p>
        </w:tc>
        <w:tc>
          <w:tcPr>
            <w:tcW w:w="709" w:type="dxa"/>
            <w:tcBorders>
              <w:top w:val="nil"/>
              <w:left w:val="nil"/>
              <w:bottom w:val="nil"/>
              <w:right w:val="nil"/>
            </w:tcBorders>
            <w:shd w:val="clear" w:color="000000" w:fill="FFFFFF"/>
            <w:textDirection w:val="btLr"/>
          </w:tcPr>
          <w:p w14:paraId="26FB5943" w14:textId="77777777" w:rsidR="00A44C40" w:rsidRPr="000B675B" w:rsidRDefault="00A44C40" w:rsidP="004259BB">
            <w:pPr>
              <w:spacing w:before="240" w:after="0" w:line="240" w:lineRule="auto"/>
              <w:ind w:left="113" w:right="113"/>
              <w:jc w:val="right"/>
              <w:rPr>
                <w:rFonts w:ascii="Palatino Linotype" w:eastAsia="Times New Roman" w:hAnsi="Palatino Linotype" w:cs="Calibri"/>
              </w:rPr>
            </w:pPr>
          </w:p>
        </w:tc>
        <w:tc>
          <w:tcPr>
            <w:tcW w:w="708" w:type="dxa"/>
            <w:tcBorders>
              <w:top w:val="nil"/>
              <w:left w:val="nil"/>
              <w:bottom w:val="nil"/>
              <w:right w:val="nil"/>
            </w:tcBorders>
            <w:shd w:val="clear" w:color="000000" w:fill="FFFFFF"/>
            <w:noWrap/>
            <w:textDirection w:val="btLr"/>
            <w:hideMark/>
          </w:tcPr>
          <w:p w14:paraId="139C2421"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w:t>
            </w:r>
          </w:p>
        </w:tc>
        <w:tc>
          <w:tcPr>
            <w:tcW w:w="993" w:type="dxa"/>
            <w:tcBorders>
              <w:top w:val="nil"/>
              <w:left w:val="nil"/>
              <w:bottom w:val="nil"/>
              <w:right w:val="nil"/>
            </w:tcBorders>
            <w:shd w:val="clear" w:color="000000" w:fill="FFFFFF"/>
            <w:noWrap/>
            <w:textDirection w:val="btLr"/>
            <w:hideMark/>
          </w:tcPr>
          <w:p w14:paraId="6822AFB9"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0.5</w:t>
            </w:r>
          </w:p>
        </w:tc>
        <w:tc>
          <w:tcPr>
            <w:tcW w:w="992" w:type="dxa"/>
            <w:tcBorders>
              <w:top w:val="nil"/>
              <w:left w:val="nil"/>
              <w:bottom w:val="nil"/>
              <w:right w:val="nil"/>
            </w:tcBorders>
            <w:shd w:val="clear" w:color="000000" w:fill="FFFFFF"/>
            <w:noWrap/>
            <w:textDirection w:val="btLr"/>
            <w:hideMark/>
          </w:tcPr>
          <w:p w14:paraId="15BC2CB8"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0.3</w:t>
            </w:r>
          </w:p>
        </w:tc>
        <w:tc>
          <w:tcPr>
            <w:tcW w:w="709" w:type="dxa"/>
            <w:tcBorders>
              <w:top w:val="nil"/>
              <w:left w:val="nil"/>
              <w:bottom w:val="nil"/>
              <w:right w:val="nil"/>
            </w:tcBorders>
            <w:shd w:val="clear" w:color="000000" w:fill="FFFFFF"/>
            <w:noWrap/>
            <w:textDirection w:val="btLr"/>
            <w:hideMark/>
          </w:tcPr>
          <w:p w14:paraId="6F0C4085"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p>
        </w:tc>
        <w:tc>
          <w:tcPr>
            <w:tcW w:w="708" w:type="dxa"/>
            <w:tcBorders>
              <w:top w:val="nil"/>
              <w:left w:val="nil"/>
              <w:bottom w:val="nil"/>
              <w:right w:val="nil"/>
            </w:tcBorders>
            <w:shd w:val="clear" w:color="000000" w:fill="FFFFFF"/>
            <w:noWrap/>
            <w:textDirection w:val="btLr"/>
            <w:hideMark/>
          </w:tcPr>
          <w:p w14:paraId="44141891"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0.5</w:t>
            </w:r>
          </w:p>
        </w:tc>
        <w:tc>
          <w:tcPr>
            <w:tcW w:w="993" w:type="dxa"/>
            <w:tcBorders>
              <w:top w:val="nil"/>
              <w:left w:val="nil"/>
              <w:bottom w:val="nil"/>
              <w:right w:val="nil"/>
            </w:tcBorders>
            <w:shd w:val="clear" w:color="000000" w:fill="FFFFFF"/>
            <w:noWrap/>
            <w:textDirection w:val="btLr"/>
            <w:hideMark/>
          </w:tcPr>
          <w:p w14:paraId="51FF3C08"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1.4</w:t>
            </w:r>
          </w:p>
        </w:tc>
        <w:tc>
          <w:tcPr>
            <w:tcW w:w="850" w:type="dxa"/>
            <w:tcBorders>
              <w:top w:val="nil"/>
              <w:left w:val="nil"/>
              <w:bottom w:val="nil"/>
              <w:right w:val="nil"/>
            </w:tcBorders>
            <w:shd w:val="clear" w:color="000000" w:fill="FFFFFF"/>
            <w:noWrap/>
            <w:textDirection w:val="btLr"/>
            <w:hideMark/>
          </w:tcPr>
          <w:p w14:paraId="47AED214"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2.1</w:t>
            </w:r>
          </w:p>
        </w:tc>
        <w:tc>
          <w:tcPr>
            <w:tcW w:w="992" w:type="dxa"/>
            <w:tcBorders>
              <w:top w:val="nil"/>
              <w:left w:val="nil"/>
              <w:bottom w:val="nil"/>
              <w:right w:val="nil"/>
            </w:tcBorders>
            <w:shd w:val="clear" w:color="000000" w:fill="FFFFFF"/>
            <w:noWrap/>
            <w:textDirection w:val="btLr"/>
            <w:hideMark/>
          </w:tcPr>
          <w:p w14:paraId="18BE1492"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n.a.</w:t>
            </w:r>
          </w:p>
        </w:tc>
        <w:tc>
          <w:tcPr>
            <w:tcW w:w="992" w:type="dxa"/>
            <w:tcBorders>
              <w:top w:val="nil"/>
              <w:left w:val="nil"/>
              <w:bottom w:val="nil"/>
              <w:right w:val="nil"/>
            </w:tcBorders>
            <w:shd w:val="clear" w:color="000000" w:fill="FFFFFF"/>
            <w:noWrap/>
            <w:textDirection w:val="btLr"/>
            <w:hideMark/>
          </w:tcPr>
          <w:p w14:paraId="4F27ED92"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1</w:t>
            </w:r>
          </w:p>
        </w:tc>
      </w:tr>
      <w:tr w:rsidR="00A44C40" w:rsidRPr="000B675B" w14:paraId="54CBB670" w14:textId="77777777" w:rsidTr="004259BB">
        <w:trPr>
          <w:cantSplit/>
          <w:trHeight w:val="1134"/>
        </w:trPr>
        <w:tc>
          <w:tcPr>
            <w:tcW w:w="426" w:type="dxa"/>
            <w:vMerge/>
            <w:tcBorders>
              <w:left w:val="nil"/>
              <w:right w:val="nil"/>
            </w:tcBorders>
            <w:shd w:val="clear" w:color="auto" w:fill="FFFFFF" w:themeFill="background1"/>
            <w:textDirection w:val="btLr"/>
          </w:tcPr>
          <w:p w14:paraId="10BD3BCB" w14:textId="77777777" w:rsidR="00A44C40" w:rsidRPr="000B675B" w:rsidRDefault="00A44C40" w:rsidP="004259BB">
            <w:pPr>
              <w:pStyle w:val="NoSpacing"/>
              <w:jc w:val="center"/>
              <w:rPr>
                <w:b/>
                <w:bCs/>
              </w:rPr>
            </w:pPr>
          </w:p>
        </w:tc>
        <w:tc>
          <w:tcPr>
            <w:tcW w:w="992" w:type="dxa"/>
            <w:tcBorders>
              <w:top w:val="nil"/>
              <w:left w:val="nil"/>
              <w:bottom w:val="nil"/>
              <w:right w:val="nil"/>
            </w:tcBorders>
            <w:shd w:val="clear" w:color="auto" w:fill="FFFFFF" w:themeFill="background1"/>
            <w:textDirection w:val="btLr"/>
            <w:hideMark/>
          </w:tcPr>
          <w:p w14:paraId="46AB9F28" w14:textId="77777777" w:rsidR="00A44C40" w:rsidRPr="000B675B" w:rsidRDefault="00A44C40" w:rsidP="004259BB">
            <w:pPr>
              <w:pStyle w:val="NoSpacing"/>
              <w:jc w:val="center"/>
              <w:rPr>
                <w:b/>
                <w:bCs/>
                <w:color w:val="000000"/>
              </w:rPr>
            </w:pPr>
            <w:r w:rsidRPr="000B675B">
              <w:rPr>
                <w:b/>
                <w:bCs/>
              </w:rPr>
              <w:t>Average Rate of Use</w:t>
            </w:r>
            <w:r w:rsidRPr="000B675B">
              <w:rPr>
                <w:b/>
                <w:bCs/>
                <w:vertAlign w:val="superscript"/>
              </w:rPr>
              <w:t>b</w:t>
            </w:r>
          </w:p>
        </w:tc>
        <w:tc>
          <w:tcPr>
            <w:tcW w:w="709" w:type="dxa"/>
            <w:tcBorders>
              <w:top w:val="nil"/>
              <w:left w:val="nil"/>
              <w:bottom w:val="nil"/>
              <w:right w:val="nil"/>
            </w:tcBorders>
            <w:shd w:val="clear" w:color="000000" w:fill="FFFFFF"/>
            <w:textDirection w:val="btLr"/>
          </w:tcPr>
          <w:p w14:paraId="41059527"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p>
        </w:tc>
        <w:tc>
          <w:tcPr>
            <w:tcW w:w="708" w:type="dxa"/>
            <w:tcBorders>
              <w:top w:val="nil"/>
              <w:left w:val="nil"/>
              <w:bottom w:val="nil"/>
              <w:right w:val="nil"/>
            </w:tcBorders>
            <w:shd w:val="clear" w:color="000000" w:fill="FFFFFF"/>
            <w:noWrap/>
            <w:textDirection w:val="btLr"/>
            <w:hideMark/>
          </w:tcPr>
          <w:p w14:paraId="0E37C7EC"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w:t>
            </w:r>
          </w:p>
        </w:tc>
        <w:tc>
          <w:tcPr>
            <w:tcW w:w="993" w:type="dxa"/>
            <w:tcBorders>
              <w:top w:val="nil"/>
              <w:left w:val="nil"/>
              <w:bottom w:val="nil"/>
              <w:right w:val="nil"/>
            </w:tcBorders>
            <w:shd w:val="clear" w:color="000000" w:fill="FFFFFF"/>
            <w:noWrap/>
            <w:textDirection w:val="btLr"/>
            <w:hideMark/>
          </w:tcPr>
          <w:p w14:paraId="0CFD588B"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90</w:t>
            </w:r>
          </w:p>
        </w:tc>
        <w:tc>
          <w:tcPr>
            <w:tcW w:w="992" w:type="dxa"/>
            <w:tcBorders>
              <w:top w:val="nil"/>
              <w:left w:val="nil"/>
              <w:bottom w:val="nil"/>
              <w:right w:val="nil"/>
            </w:tcBorders>
            <w:shd w:val="clear" w:color="000000" w:fill="FFFFFF"/>
            <w:noWrap/>
            <w:textDirection w:val="btLr"/>
            <w:hideMark/>
          </w:tcPr>
          <w:p w14:paraId="6E3A7BA0"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14</w:t>
            </w:r>
          </w:p>
        </w:tc>
        <w:tc>
          <w:tcPr>
            <w:tcW w:w="709" w:type="dxa"/>
            <w:tcBorders>
              <w:top w:val="nil"/>
              <w:left w:val="nil"/>
              <w:bottom w:val="nil"/>
              <w:right w:val="nil"/>
            </w:tcBorders>
            <w:shd w:val="clear" w:color="000000" w:fill="FFFFFF"/>
            <w:noWrap/>
            <w:textDirection w:val="btLr"/>
            <w:hideMark/>
          </w:tcPr>
          <w:p w14:paraId="54A58CA1"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p>
        </w:tc>
        <w:tc>
          <w:tcPr>
            <w:tcW w:w="708" w:type="dxa"/>
            <w:tcBorders>
              <w:top w:val="nil"/>
              <w:left w:val="nil"/>
              <w:bottom w:val="nil"/>
              <w:right w:val="nil"/>
            </w:tcBorders>
            <w:shd w:val="clear" w:color="000000" w:fill="FFFFFF"/>
            <w:noWrap/>
            <w:textDirection w:val="btLr"/>
            <w:hideMark/>
          </w:tcPr>
          <w:p w14:paraId="6E10DEB7"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50</w:t>
            </w:r>
          </w:p>
        </w:tc>
        <w:tc>
          <w:tcPr>
            <w:tcW w:w="993" w:type="dxa"/>
            <w:tcBorders>
              <w:top w:val="nil"/>
              <w:left w:val="nil"/>
              <w:bottom w:val="nil"/>
              <w:right w:val="nil"/>
            </w:tcBorders>
            <w:shd w:val="clear" w:color="000000" w:fill="FFFFFF"/>
            <w:noWrap/>
            <w:textDirection w:val="btLr"/>
            <w:hideMark/>
          </w:tcPr>
          <w:p w14:paraId="183D17B5"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7</w:t>
            </w:r>
          </w:p>
        </w:tc>
        <w:tc>
          <w:tcPr>
            <w:tcW w:w="850" w:type="dxa"/>
            <w:tcBorders>
              <w:top w:val="nil"/>
              <w:left w:val="nil"/>
              <w:bottom w:val="nil"/>
              <w:right w:val="nil"/>
            </w:tcBorders>
            <w:shd w:val="clear" w:color="000000" w:fill="FFFFFF"/>
            <w:noWrap/>
            <w:textDirection w:val="btLr"/>
            <w:hideMark/>
          </w:tcPr>
          <w:p w14:paraId="7AC32CBA"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7</w:t>
            </w:r>
          </w:p>
        </w:tc>
        <w:tc>
          <w:tcPr>
            <w:tcW w:w="992" w:type="dxa"/>
            <w:tcBorders>
              <w:top w:val="nil"/>
              <w:left w:val="nil"/>
              <w:bottom w:val="nil"/>
              <w:right w:val="nil"/>
            </w:tcBorders>
            <w:shd w:val="clear" w:color="000000" w:fill="FFFFFF"/>
            <w:noWrap/>
            <w:textDirection w:val="btLr"/>
            <w:hideMark/>
          </w:tcPr>
          <w:p w14:paraId="2C97E1B2"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1</w:t>
            </w:r>
          </w:p>
        </w:tc>
        <w:tc>
          <w:tcPr>
            <w:tcW w:w="992" w:type="dxa"/>
            <w:tcBorders>
              <w:top w:val="nil"/>
              <w:left w:val="nil"/>
              <w:bottom w:val="nil"/>
              <w:right w:val="nil"/>
            </w:tcBorders>
            <w:shd w:val="clear" w:color="000000" w:fill="FFFFFF"/>
            <w:noWrap/>
            <w:textDirection w:val="btLr"/>
            <w:hideMark/>
          </w:tcPr>
          <w:p w14:paraId="59BA2289"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6</w:t>
            </w:r>
          </w:p>
        </w:tc>
      </w:tr>
      <w:tr w:rsidR="00A44C40" w:rsidRPr="000B675B" w14:paraId="3B412F7B" w14:textId="77777777" w:rsidTr="004259BB">
        <w:trPr>
          <w:cantSplit/>
          <w:trHeight w:val="1134"/>
        </w:trPr>
        <w:tc>
          <w:tcPr>
            <w:tcW w:w="426" w:type="dxa"/>
            <w:vMerge/>
            <w:tcBorders>
              <w:left w:val="nil"/>
              <w:bottom w:val="nil"/>
              <w:right w:val="nil"/>
            </w:tcBorders>
            <w:shd w:val="clear" w:color="auto" w:fill="FFFFFF" w:themeFill="background1"/>
            <w:textDirection w:val="btLr"/>
          </w:tcPr>
          <w:p w14:paraId="2622CA45" w14:textId="77777777" w:rsidR="00A44C40" w:rsidRPr="000B675B" w:rsidRDefault="00A44C40" w:rsidP="004259BB">
            <w:pPr>
              <w:pStyle w:val="NoSpacing"/>
              <w:jc w:val="center"/>
              <w:rPr>
                <w:b/>
                <w:bCs/>
              </w:rPr>
            </w:pPr>
          </w:p>
        </w:tc>
        <w:tc>
          <w:tcPr>
            <w:tcW w:w="992" w:type="dxa"/>
            <w:tcBorders>
              <w:top w:val="nil"/>
              <w:left w:val="nil"/>
              <w:bottom w:val="nil"/>
              <w:right w:val="nil"/>
            </w:tcBorders>
            <w:shd w:val="clear" w:color="auto" w:fill="FFFFFF" w:themeFill="background1"/>
            <w:textDirection w:val="btLr"/>
            <w:hideMark/>
          </w:tcPr>
          <w:p w14:paraId="1FB67BE8" w14:textId="77777777" w:rsidR="00A44C40" w:rsidRPr="000B675B" w:rsidRDefault="00A44C40" w:rsidP="004259BB">
            <w:pPr>
              <w:pStyle w:val="NoSpacing"/>
              <w:jc w:val="center"/>
              <w:rPr>
                <w:b/>
                <w:bCs/>
                <w:color w:val="000000"/>
              </w:rPr>
            </w:pPr>
            <w:r w:rsidRPr="000B675B">
              <w:rPr>
                <w:b/>
                <w:bCs/>
              </w:rPr>
              <w:t>Service Coverage</w:t>
            </w:r>
            <w:r w:rsidRPr="000B675B">
              <w:rPr>
                <w:b/>
                <w:bCs/>
              </w:rPr>
              <w:br/>
              <w:t xml:space="preserve"> %</w:t>
            </w:r>
            <w:r w:rsidRPr="000B675B">
              <w:rPr>
                <w:b/>
                <w:bCs/>
                <w:vertAlign w:val="superscript"/>
              </w:rPr>
              <w:t>a</w:t>
            </w:r>
          </w:p>
        </w:tc>
        <w:tc>
          <w:tcPr>
            <w:tcW w:w="709" w:type="dxa"/>
            <w:tcBorders>
              <w:top w:val="nil"/>
              <w:left w:val="nil"/>
              <w:bottom w:val="nil"/>
              <w:right w:val="nil"/>
            </w:tcBorders>
            <w:shd w:val="clear" w:color="000000" w:fill="FFFFFF"/>
            <w:textDirection w:val="btLr"/>
          </w:tcPr>
          <w:p w14:paraId="36BC27A8"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p>
        </w:tc>
        <w:tc>
          <w:tcPr>
            <w:tcW w:w="708" w:type="dxa"/>
            <w:tcBorders>
              <w:top w:val="nil"/>
              <w:left w:val="nil"/>
              <w:bottom w:val="nil"/>
              <w:right w:val="nil"/>
            </w:tcBorders>
            <w:shd w:val="clear" w:color="000000" w:fill="FFFFFF"/>
            <w:noWrap/>
            <w:textDirection w:val="btLr"/>
            <w:hideMark/>
          </w:tcPr>
          <w:p w14:paraId="6B4A3098"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w:t>
            </w:r>
          </w:p>
        </w:tc>
        <w:tc>
          <w:tcPr>
            <w:tcW w:w="993" w:type="dxa"/>
            <w:tcBorders>
              <w:top w:val="nil"/>
              <w:left w:val="nil"/>
              <w:bottom w:val="nil"/>
              <w:right w:val="nil"/>
            </w:tcBorders>
            <w:shd w:val="clear" w:color="000000" w:fill="FFFFFF"/>
            <w:noWrap/>
            <w:textDirection w:val="btLr"/>
            <w:hideMark/>
          </w:tcPr>
          <w:p w14:paraId="18372BE3"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0.5</w:t>
            </w:r>
          </w:p>
        </w:tc>
        <w:tc>
          <w:tcPr>
            <w:tcW w:w="992" w:type="dxa"/>
            <w:tcBorders>
              <w:top w:val="nil"/>
              <w:left w:val="nil"/>
              <w:bottom w:val="nil"/>
              <w:right w:val="nil"/>
            </w:tcBorders>
            <w:shd w:val="clear" w:color="000000" w:fill="FFFFFF"/>
            <w:noWrap/>
            <w:textDirection w:val="btLr"/>
            <w:hideMark/>
          </w:tcPr>
          <w:p w14:paraId="179B4FE6"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2</w:t>
            </w:r>
          </w:p>
        </w:tc>
        <w:tc>
          <w:tcPr>
            <w:tcW w:w="709" w:type="dxa"/>
            <w:tcBorders>
              <w:top w:val="nil"/>
              <w:left w:val="nil"/>
              <w:bottom w:val="nil"/>
              <w:right w:val="nil"/>
            </w:tcBorders>
            <w:shd w:val="clear" w:color="000000" w:fill="FFFFFF"/>
            <w:noWrap/>
            <w:textDirection w:val="btLr"/>
            <w:hideMark/>
          </w:tcPr>
          <w:p w14:paraId="3C54F961"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p>
        </w:tc>
        <w:tc>
          <w:tcPr>
            <w:tcW w:w="708" w:type="dxa"/>
            <w:tcBorders>
              <w:top w:val="nil"/>
              <w:left w:val="nil"/>
              <w:bottom w:val="nil"/>
              <w:right w:val="nil"/>
            </w:tcBorders>
            <w:shd w:val="clear" w:color="000000" w:fill="FFFFFF"/>
            <w:noWrap/>
            <w:textDirection w:val="btLr"/>
            <w:hideMark/>
          </w:tcPr>
          <w:p w14:paraId="22EFDB60"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1</w:t>
            </w:r>
          </w:p>
        </w:tc>
        <w:tc>
          <w:tcPr>
            <w:tcW w:w="993" w:type="dxa"/>
            <w:tcBorders>
              <w:top w:val="nil"/>
              <w:left w:val="nil"/>
              <w:bottom w:val="nil"/>
              <w:right w:val="nil"/>
            </w:tcBorders>
            <w:shd w:val="clear" w:color="000000" w:fill="FFFFFF"/>
            <w:noWrap/>
            <w:textDirection w:val="btLr"/>
            <w:hideMark/>
          </w:tcPr>
          <w:p w14:paraId="66BFC33F"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20</w:t>
            </w:r>
          </w:p>
        </w:tc>
        <w:tc>
          <w:tcPr>
            <w:tcW w:w="850" w:type="dxa"/>
            <w:tcBorders>
              <w:top w:val="nil"/>
              <w:left w:val="nil"/>
              <w:bottom w:val="nil"/>
              <w:right w:val="nil"/>
            </w:tcBorders>
            <w:shd w:val="clear" w:color="000000" w:fill="FFFFFF"/>
            <w:noWrap/>
            <w:textDirection w:val="btLr"/>
            <w:hideMark/>
          </w:tcPr>
          <w:p w14:paraId="65B22BC4"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30</w:t>
            </w:r>
          </w:p>
        </w:tc>
        <w:tc>
          <w:tcPr>
            <w:tcW w:w="992" w:type="dxa"/>
            <w:tcBorders>
              <w:top w:val="nil"/>
              <w:left w:val="nil"/>
              <w:bottom w:val="nil"/>
              <w:right w:val="nil"/>
            </w:tcBorders>
            <w:shd w:val="clear" w:color="000000" w:fill="FFFFFF"/>
            <w:noWrap/>
            <w:textDirection w:val="btLr"/>
            <w:hideMark/>
          </w:tcPr>
          <w:p w14:paraId="7F45DCE9"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7—14</w:t>
            </w:r>
          </w:p>
        </w:tc>
        <w:tc>
          <w:tcPr>
            <w:tcW w:w="992" w:type="dxa"/>
            <w:tcBorders>
              <w:top w:val="nil"/>
              <w:left w:val="nil"/>
              <w:bottom w:val="nil"/>
              <w:right w:val="nil"/>
            </w:tcBorders>
            <w:shd w:val="clear" w:color="000000" w:fill="FFFFFF"/>
            <w:noWrap/>
            <w:textDirection w:val="btLr"/>
            <w:hideMark/>
          </w:tcPr>
          <w:p w14:paraId="3638C743"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20</w:t>
            </w:r>
          </w:p>
        </w:tc>
      </w:tr>
      <w:tr w:rsidR="00A44C40" w:rsidRPr="000B675B" w14:paraId="3F7BE24D" w14:textId="77777777" w:rsidTr="004259BB">
        <w:trPr>
          <w:cantSplit/>
          <w:trHeight w:val="1134"/>
        </w:trPr>
        <w:tc>
          <w:tcPr>
            <w:tcW w:w="426" w:type="dxa"/>
            <w:vMerge w:val="restart"/>
            <w:tcBorders>
              <w:top w:val="nil"/>
              <w:left w:val="nil"/>
              <w:right w:val="nil"/>
            </w:tcBorders>
            <w:shd w:val="clear" w:color="auto" w:fill="FFFFFF" w:themeFill="background1"/>
            <w:textDirection w:val="btLr"/>
          </w:tcPr>
          <w:p w14:paraId="4EC748DD" w14:textId="77777777" w:rsidR="00A44C40" w:rsidRPr="000B675B" w:rsidRDefault="00A44C40" w:rsidP="004259BB">
            <w:pPr>
              <w:pStyle w:val="NoSpacing"/>
              <w:jc w:val="center"/>
              <w:rPr>
                <w:b/>
                <w:bCs/>
              </w:rPr>
            </w:pPr>
            <w:r w:rsidRPr="000B675B">
              <w:rPr>
                <w:b/>
                <w:bCs/>
              </w:rPr>
              <w:t>Bipolar Disorder</w:t>
            </w:r>
          </w:p>
        </w:tc>
        <w:tc>
          <w:tcPr>
            <w:tcW w:w="992" w:type="dxa"/>
            <w:tcBorders>
              <w:top w:val="nil"/>
              <w:left w:val="nil"/>
              <w:bottom w:val="nil"/>
              <w:right w:val="nil"/>
            </w:tcBorders>
            <w:shd w:val="clear" w:color="auto" w:fill="FFFFFF" w:themeFill="background1"/>
            <w:textDirection w:val="btLr"/>
          </w:tcPr>
          <w:p w14:paraId="4E43358E" w14:textId="77777777" w:rsidR="00A44C40" w:rsidRPr="000B675B" w:rsidRDefault="00A44C40" w:rsidP="004259BB">
            <w:pPr>
              <w:pStyle w:val="NoSpacing"/>
              <w:jc w:val="center"/>
              <w:rPr>
                <w:b/>
                <w:bCs/>
                <w:color w:val="000000"/>
              </w:rPr>
            </w:pPr>
            <w:r w:rsidRPr="000B675B">
              <w:rPr>
                <w:b/>
                <w:bCs/>
              </w:rPr>
              <w:t>Resource Use per Case</w:t>
            </w:r>
            <w:r w:rsidRPr="000B675B">
              <w:rPr>
                <w:b/>
                <w:bCs/>
                <w:vertAlign w:val="superscript"/>
              </w:rPr>
              <w:t>c</w:t>
            </w:r>
          </w:p>
        </w:tc>
        <w:tc>
          <w:tcPr>
            <w:tcW w:w="709" w:type="dxa"/>
            <w:tcBorders>
              <w:top w:val="nil"/>
              <w:left w:val="nil"/>
              <w:bottom w:val="nil"/>
              <w:right w:val="nil"/>
            </w:tcBorders>
            <w:shd w:val="clear" w:color="000000" w:fill="FFFFFF"/>
            <w:textDirection w:val="btLr"/>
          </w:tcPr>
          <w:p w14:paraId="036A5850"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p>
        </w:tc>
        <w:tc>
          <w:tcPr>
            <w:tcW w:w="708" w:type="dxa"/>
            <w:tcBorders>
              <w:top w:val="nil"/>
              <w:left w:val="nil"/>
              <w:bottom w:val="nil"/>
              <w:right w:val="nil"/>
            </w:tcBorders>
            <w:shd w:val="clear" w:color="000000" w:fill="FFFFFF"/>
            <w:noWrap/>
            <w:textDirection w:val="btLr"/>
            <w:hideMark/>
          </w:tcPr>
          <w:p w14:paraId="21CAB2BB"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0.9</w:t>
            </w:r>
          </w:p>
        </w:tc>
        <w:tc>
          <w:tcPr>
            <w:tcW w:w="993" w:type="dxa"/>
            <w:tcBorders>
              <w:top w:val="nil"/>
              <w:left w:val="nil"/>
              <w:bottom w:val="nil"/>
              <w:right w:val="nil"/>
            </w:tcBorders>
            <w:shd w:val="clear" w:color="000000" w:fill="FFFFFF"/>
            <w:noWrap/>
            <w:textDirection w:val="btLr"/>
            <w:hideMark/>
          </w:tcPr>
          <w:p w14:paraId="78377637"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2.7</w:t>
            </w:r>
          </w:p>
        </w:tc>
        <w:tc>
          <w:tcPr>
            <w:tcW w:w="992" w:type="dxa"/>
            <w:tcBorders>
              <w:top w:val="nil"/>
              <w:left w:val="nil"/>
              <w:bottom w:val="nil"/>
              <w:right w:val="nil"/>
            </w:tcBorders>
            <w:shd w:val="clear" w:color="000000" w:fill="FFFFFF"/>
            <w:noWrap/>
            <w:textDirection w:val="btLr"/>
            <w:hideMark/>
          </w:tcPr>
          <w:p w14:paraId="02BF045C"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2.8</w:t>
            </w:r>
          </w:p>
        </w:tc>
        <w:tc>
          <w:tcPr>
            <w:tcW w:w="709" w:type="dxa"/>
            <w:tcBorders>
              <w:top w:val="nil"/>
              <w:left w:val="nil"/>
              <w:bottom w:val="nil"/>
              <w:right w:val="nil"/>
            </w:tcBorders>
            <w:shd w:val="clear" w:color="000000" w:fill="FFFFFF"/>
            <w:noWrap/>
            <w:textDirection w:val="btLr"/>
            <w:hideMark/>
          </w:tcPr>
          <w:p w14:paraId="7516F1F2"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p>
        </w:tc>
        <w:tc>
          <w:tcPr>
            <w:tcW w:w="708" w:type="dxa"/>
            <w:tcBorders>
              <w:top w:val="nil"/>
              <w:left w:val="nil"/>
              <w:bottom w:val="nil"/>
              <w:right w:val="nil"/>
            </w:tcBorders>
            <w:shd w:val="clear" w:color="000000" w:fill="FFFFFF"/>
            <w:noWrap/>
            <w:textDirection w:val="btLr"/>
            <w:hideMark/>
          </w:tcPr>
          <w:p w14:paraId="0C4CB76C"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3.0</w:t>
            </w:r>
          </w:p>
        </w:tc>
        <w:tc>
          <w:tcPr>
            <w:tcW w:w="993" w:type="dxa"/>
            <w:tcBorders>
              <w:top w:val="nil"/>
              <w:left w:val="nil"/>
              <w:bottom w:val="nil"/>
              <w:right w:val="nil"/>
            </w:tcBorders>
            <w:shd w:val="clear" w:color="000000" w:fill="FFFFFF"/>
            <w:noWrap/>
            <w:textDirection w:val="btLr"/>
            <w:hideMark/>
          </w:tcPr>
          <w:p w14:paraId="76256101"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4.8</w:t>
            </w:r>
          </w:p>
        </w:tc>
        <w:tc>
          <w:tcPr>
            <w:tcW w:w="850" w:type="dxa"/>
            <w:tcBorders>
              <w:top w:val="nil"/>
              <w:left w:val="nil"/>
              <w:bottom w:val="nil"/>
              <w:right w:val="nil"/>
            </w:tcBorders>
            <w:shd w:val="clear" w:color="000000" w:fill="FFFFFF"/>
            <w:noWrap/>
            <w:textDirection w:val="btLr"/>
            <w:hideMark/>
          </w:tcPr>
          <w:p w14:paraId="13075B1A"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1.8</w:t>
            </w:r>
          </w:p>
        </w:tc>
        <w:tc>
          <w:tcPr>
            <w:tcW w:w="992" w:type="dxa"/>
            <w:tcBorders>
              <w:top w:val="nil"/>
              <w:left w:val="nil"/>
              <w:bottom w:val="nil"/>
              <w:right w:val="nil"/>
            </w:tcBorders>
            <w:shd w:val="clear" w:color="000000" w:fill="FFFFFF"/>
            <w:noWrap/>
            <w:textDirection w:val="btLr"/>
            <w:hideMark/>
          </w:tcPr>
          <w:p w14:paraId="1C3EB21D"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w:t>
            </w:r>
          </w:p>
        </w:tc>
        <w:tc>
          <w:tcPr>
            <w:tcW w:w="992" w:type="dxa"/>
            <w:tcBorders>
              <w:top w:val="nil"/>
              <w:left w:val="nil"/>
              <w:bottom w:val="nil"/>
              <w:right w:val="nil"/>
            </w:tcBorders>
            <w:shd w:val="clear" w:color="000000" w:fill="FFFFFF"/>
            <w:noWrap/>
            <w:textDirection w:val="btLr"/>
            <w:hideMark/>
          </w:tcPr>
          <w:p w14:paraId="2C43C8D2"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2.4</w:t>
            </w:r>
          </w:p>
        </w:tc>
      </w:tr>
      <w:tr w:rsidR="00A44C40" w:rsidRPr="000B675B" w14:paraId="6D391D88" w14:textId="77777777" w:rsidTr="004259BB">
        <w:trPr>
          <w:cantSplit/>
          <w:trHeight w:val="1134"/>
        </w:trPr>
        <w:tc>
          <w:tcPr>
            <w:tcW w:w="426" w:type="dxa"/>
            <w:vMerge/>
            <w:tcBorders>
              <w:left w:val="nil"/>
              <w:right w:val="nil"/>
            </w:tcBorders>
            <w:shd w:val="clear" w:color="auto" w:fill="FFFFFF" w:themeFill="background1"/>
            <w:textDirection w:val="btLr"/>
          </w:tcPr>
          <w:p w14:paraId="0EA57ECA" w14:textId="77777777" w:rsidR="00A44C40" w:rsidRPr="000B675B" w:rsidRDefault="00A44C40" w:rsidP="004259BB">
            <w:pPr>
              <w:pStyle w:val="NoSpacing"/>
              <w:jc w:val="center"/>
              <w:rPr>
                <w:b/>
                <w:bCs/>
              </w:rPr>
            </w:pPr>
          </w:p>
        </w:tc>
        <w:tc>
          <w:tcPr>
            <w:tcW w:w="992" w:type="dxa"/>
            <w:tcBorders>
              <w:top w:val="nil"/>
              <w:left w:val="nil"/>
              <w:bottom w:val="nil"/>
              <w:right w:val="nil"/>
            </w:tcBorders>
            <w:shd w:val="clear" w:color="auto" w:fill="FFFFFF" w:themeFill="background1"/>
            <w:noWrap/>
            <w:textDirection w:val="btLr"/>
            <w:hideMark/>
          </w:tcPr>
          <w:p w14:paraId="7DFDC48D" w14:textId="77777777" w:rsidR="00A44C40" w:rsidRPr="000B675B" w:rsidRDefault="00A44C40" w:rsidP="004259BB">
            <w:pPr>
              <w:pStyle w:val="NoSpacing"/>
              <w:jc w:val="center"/>
              <w:rPr>
                <w:b/>
                <w:bCs/>
                <w:color w:val="000000"/>
                <w:vertAlign w:val="superscript"/>
              </w:rPr>
            </w:pPr>
            <w:r w:rsidRPr="000B675B">
              <w:rPr>
                <w:b/>
                <w:bCs/>
              </w:rPr>
              <w:t>Average Rate of Use</w:t>
            </w:r>
            <w:r w:rsidRPr="000B675B">
              <w:rPr>
                <w:b/>
                <w:bCs/>
                <w:vertAlign w:val="superscript"/>
              </w:rPr>
              <w:t>b</w:t>
            </w:r>
          </w:p>
        </w:tc>
        <w:tc>
          <w:tcPr>
            <w:tcW w:w="709" w:type="dxa"/>
            <w:tcBorders>
              <w:top w:val="nil"/>
              <w:left w:val="nil"/>
              <w:bottom w:val="nil"/>
              <w:right w:val="nil"/>
            </w:tcBorders>
            <w:shd w:val="clear" w:color="000000" w:fill="FFFFFF"/>
            <w:textDirection w:val="btLr"/>
          </w:tcPr>
          <w:p w14:paraId="0B6A45C5"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p>
        </w:tc>
        <w:tc>
          <w:tcPr>
            <w:tcW w:w="708" w:type="dxa"/>
            <w:tcBorders>
              <w:top w:val="nil"/>
              <w:left w:val="nil"/>
              <w:bottom w:val="nil"/>
              <w:right w:val="nil"/>
            </w:tcBorders>
            <w:shd w:val="clear" w:color="000000" w:fill="FFFFFF"/>
            <w:noWrap/>
            <w:textDirection w:val="btLr"/>
            <w:hideMark/>
          </w:tcPr>
          <w:p w14:paraId="07034374"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sidRPr="000B675B">
              <w:rPr>
                <w:rFonts w:ascii="Palatino Linotype" w:eastAsia="Times New Roman" w:hAnsi="Palatino Linotype" w:cs="Calibri"/>
              </w:rPr>
              <w:t xml:space="preserve"> </w:t>
            </w:r>
            <w:r>
              <w:rPr>
                <w:rFonts w:ascii="Palatino Linotype" w:eastAsia="Times New Roman" w:hAnsi="Palatino Linotype" w:cs="Calibri"/>
              </w:rPr>
              <w:t>90</w:t>
            </w:r>
          </w:p>
        </w:tc>
        <w:tc>
          <w:tcPr>
            <w:tcW w:w="993" w:type="dxa"/>
            <w:tcBorders>
              <w:top w:val="nil"/>
              <w:left w:val="nil"/>
              <w:bottom w:val="nil"/>
              <w:right w:val="nil"/>
            </w:tcBorders>
            <w:shd w:val="clear" w:color="000000" w:fill="FFFFFF"/>
            <w:noWrap/>
            <w:textDirection w:val="btLr"/>
            <w:hideMark/>
          </w:tcPr>
          <w:p w14:paraId="233F650D"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180</w:t>
            </w:r>
          </w:p>
        </w:tc>
        <w:tc>
          <w:tcPr>
            <w:tcW w:w="992" w:type="dxa"/>
            <w:tcBorders>
              <w:top w:val="nil"/>
              <w:left w:val="nil"/>
              <w:bottom w:val="nil"/>
              <w:right w:val="nil"/>
            </w:tcBorders>
            <w:shd w:val="clear" w:color="000000" w:fill="FFFFFF"/>
            <w:noWrap/>
            <w:textDirection w:val="btLr"/>
            <w:hideMark/>
          </w:tcPr>
          <w:p w14:paraId="52146822"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28</w:t>
            </w:r>
          </w:p>
        </w:tc>
        <w:tc>
          <w:tcPr>
            <w:tcW w:w="709" w:type="dxa"/>
            <w:tcBorders>
              <w:top w:val="nil"/>
              <w:left w:val="nil"/>
              <w:bottom w:val="nil"/>
              <w:right w:val="nil"/>
            </w:tcBorders>
            <w:shd w:val="clear" w:color="000000" w:fill="FFFFFF"/>
            <w:noWrap/>
            <w:textDirection w:val="btLr"/>
            <w:hideMark/>
          </w:tcPr>
          <w:p w14:paraId="73EBB3F8"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sidRPr="000B675B">
              <w:rPr>
                <w:rFonts w:ascii="Palatino Linotype" w:eastAsia="Times New Roman" w:hAnsi="Palatino Linotype" w:cs="Calibri"/>
              </w:rPr>
              <w:t xml:space="preserve"> </w:t>
            </w:r>
          </w:p>
        </w:tc>
        <w:tc>
          <w:tcPr>
            <w:tcW w:w="708" w:type="dxa"/>
            <w:tcBorders>
              <w:top w:val="nil"/>
              <w:left w:val="nil"/>
              <w:bottom w:val="nil"/>
              <w:right w:val="nil"/>
            </w:tcBorders>
            <w:shd w:val="clear" w:color="000000" w:fill="FFFFFF"/>
            <w:noWrap/>
            <w:textDirection w:val="btLr"/>
            <w:hideMark/>
          </w:tcPr>
          <w:p w14:paraId="34642635"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100</w:t>
            </w:r>
          </w:p>
        </w:tc>
        <w:tc>
          <w:tcPr>
            <w:tcW w:w="993" w:type="dxa"/>
            <w:tcBorders>
              <w:top w:val="nil"/>
              <w:left w:val="nil"/>
              <w:bottom w:val="nil"/>
              <w:right w:val="nil"/>
            </w:tcBorders>
            <w:shd w:val="clear" w:color="000000" w:fill="FFFFFF"/>
            <w:noWrap/>
            <w:textDirection w:val="btLr"/>
            <w:hideMark/>
          </w:tcPr>
          <w:p w14:paraId="011A9580"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12</w:t>
            </w:r>
          </w:p>
        </w:tc>
        <w:tc>
          <w:tcPr>
            <w:tcW w:w="850" w:type="dxa"/>
            <w:tcBorders>
              <w:top w:val="nil"/>
              <w:left w:val="nil"/>
              <w:bottom w:val="nil"/>
              <w:right w:val="nil"/>
            </w:tcBorders>
            <w:shd w:val="clear" w:color="000000" w:fill="FFFFFF"/>
            <w:noWrap/>
            <w:textDirection w:val="btLr"/>
            <w:hideMark/>
          </w:tcPr>
          <w:p w14:paraId="73E60598"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6</w:t>
            </w:r>
          </w:p>
        </w:tc>
        <w:tc>
          <w:tcPr>
            <w:tcW w:w="992" w:type="dxa"/>
            <w:tcBorders>
              <w:top w:val="nil"/>
              <w:left w:val="nil"/>
              <w:bottom w:val="nil"/>
              <w:right w:val="nil"/>
            </w:tcBorders>
            <w:shd w:val="clear" w:color="000000" w:fill="FFFFFF"/>
            <w:noWrap/>
            <w:textDirection w:val="btLr"/>
            <w:hideMark/>
          </w:tcPr>
          <w:p w14:paraId="5A719DF7"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w:t>
            </w:r>
          </w:p>
        </w:tc>
        <w:tc>
          <w:tcPr>
            <w:tcW w:w="992" w:type="dxa"/>
            <w:tcBorders>
              <w:top w:val="nil"/>
              <w:left w:val="nil"/>
              <w:bottom w:val="nil"/>
              <w:right w:val="nil"/>
            </w:tcBorders>
            <w:shd w:val="clear" w:color="000000" w:fill="FFFFFF"/>
            <w:noWrap/>
            <w:textDirection w:val="btLr"/>
            <w:hideMark/>
          </w:tcPr>
          <w:p w14:paraId="53C5FAF3"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8</w:t>
            </w:r>
          </w:p>
        </w:tc>
      </w:tr>
      <w:tr w:rsidR="00A44C40" w:rsidRPr="000B675B" w14:paraId="48DE995A" w14:textId="77777777" w:rsidTr="004259BB">
        <w:trPr>
          <w:cantSplit/>
          <w:trHeight w:val="1134"/>
        </w:trPr>
        <w:tc>
          <w:tcPr>
            <w:tcW w:w="426" w:type="dxa"/>
            <w:vMerge/>
            <w:tcBorders>
              <w:left w:val="nil"/>
              <w:bottom w:val="nil"/>
              <w:right w:val="nil"/>
            </w:tcBorders>
            <w:shd w:val="clear" w:color="auto" w:fill="FFFFFF" w:themeFill="background1"/>
            <w:textDirection w:val="btLr"/>
          </w:tcPr>
          <w:p w14:paraId="432EE1C4" w14:textId="77777777" w:rsidR="00A44C40" w:rsidRPr="000B675B" w:rsidRDefault="00A44C40" w:rsidP="004259BB">
            <w:pPr>
              <w:pStyle w:val="NoSpacing"/>
              <w:jc w:val="center"/>
              <w:rPr>
                <w:b/>
                <w:bCs/>
              </w:rPr>
            </w:pPr>
          </w:p>
        </w:tc>
        <w:tc>
          <w:tcPr>
            <w:tcW w:w="992" w:type="dxa"/>
            <w:tcBorders>
              <w:top w:val="nil"/>
              <w:left w:val="nil"/>
              <w:bottom w:val="nil"/>
              <w:right w:val="nil"/>
            </w:tcBorders>
            <w:shd w:val="clear" w:color="auto" w:fill="FFFFFF" w:themeFill="background1"/>
            <w:noWrap/>
            <w:textDirection w:val="btLr"/>
            <w:hideMark/>
          </w:tcPr>
          <w:p w14:paraId="789803AD" w14:textId="77777777" w:rsidR="00A44C40" w:rsidRPr="000B675B" w:rsidRDefault="00A44C40" w:rsidP="004259BB">
            <w:pPr>
              <w:pStyle w:val="NoSpacing"/>
              <w:jc w:val="center"/>
              <w:rPr>
                <w:b/>
                <w:bCs/>
                <w:color w:val="000000"/>
              </w:rPr>
            </w:pPr>
            <w:r w:rsidRPr="000B675B">
              <w:rPr>
                <w:b/>
                <w:bCs/>
              </w:rPr>
              <w:t>Service Coverage</w:t>
            </w:r>
            <w:r w:rsidRPr="000B675B">
              <w:rPr>
                <w:b/>
                <w:bCs/>
              </w:rPr>
              <w:br/>
              <w:t xml:space="preserve"> %</w:t>
            </w:r>
            <w:r w:rsidRPr="000B675B">
              <w:rPr>
                <w:b/>
                <w:bCs/>
                <w:vertAlign w:val="superscript"/>
              </w:rPr>
              <w:t>a</w:t>
            </w:r>
          </w:p>
        </w:tc>
        <w:tc>
          <w:tcPr>
            <w:tcW w:w="709" w:type="dxa"/>
            <w:tcBorders>
              <w:top w:val="nil"/>
              <w:left w:val="nil"/>
              <w:bottom w:val="nil"/>
              <w:right w:val="nil"/>
            </w:tcBorders>
            <w:shd w:val="clear" w:color="000000" w:fill="FFFFFF"/>
            <w:textDirection w:val="btLr"/>
          </w:tcPr>
          <w:p w14:paraId="7AD1FE21"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p>
        </w:tc>
        <w:tc>
          <w:tcPr>
            <w:tcW w:w="708" w:type="dxa"/>
            <w:tcBorders>
              <w:top w:val="nil"/>
              <w:left w:val="nil"/>
              <w:bottom w:val="nil"/>
              <w:right w:val="nil"/>
            </w:tcBorders>
            <w:shd w:val="clear" w:color="000000" w:fill="FFFFFF"/>
            <w:noWrap/>
            <w:textDirection w:val="btLr"/>
            <w:hideMark/>
          </w:tcPr>
          <w:p w14:paraId="650F229C"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1</w:t>
            </w:r>
          </w:p>
        </w:tc>
        <w:tc>
          <w:tcPr>
            <w:tcW w:w="993" w:type="dxa"/>
            <w:tcBorders>
              <w:top w:val="nil"/>
              <w:left w:val="nil"/>
              <w:bottom w:val="nil"/>
              <w:right w:val="nil"/>
            </w:tcBorders>
            <w:shd w:val="clear" w:color="000000" w:fill="FFFFFF"/>
            <w:noWrap/>
            <w:textDirection w:val="btLr"/>
            <w:hideMark/>
          </w:tcPr>
          <w:p w14:paraId="10AFA6CC"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1.5</w:t>
            </w:r>
          </w:p>
        </w:tc>
        <w:tc>
          <w:tcPr>
            <w:tcW w:w="992" w:type="dxa"/>
            <w:tcBorders>
              <w:top w:val="nil"/>
              <w:left w:val="nil"/>
              <w:bottom w:val="nil"/>
              <w:right w:val="nil"/>
            </w:tcBorders>
            <w:shd w:val="clear" w:color="000000" w:fill="FFFFFF"/>
            <w:noWrap/>
            <w:textDirection w:val="btLr"/>
            <w:hideMark/>
          </w:tcPr>
          <w:p w14:paraId="3D9E97B5"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10</w:t>
            </w:r>
          </w:p>
        </w:tc>
        <w:tc>
          <w:tcPr>
            <w:tcW w:w="709" w:type="dxa"/>
            <w:tcBorders>
              <w:top w:val="nil"/>
              <w:left w:val="nil"/>
              <w:bottom w:val="nil"/>
              <w:right w:val="nil"/>
            </w:tcBorders>
            <w:shd w:val="clear" w:color="000000" w:fill="FFFFFF"/>
            <w:noWrap/>
            <w:textDirection w:val="btLr"/>
            <w:hideMark/>
          </w:tcPr>
          <w:p w14:paraId="082ECC0E"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p>
        </w:tc>
        <w:tc>
          <w:tcPr>
            <w:tcW w:w="708" w:type="dxa"/>
            <w:tcBorders>
              <w:top w:val="nil"/>
              <w:left w:val="nil"/>
              <w:bottom w:val="nil"/>
              <w:right w:val="nil"/>
            </w:tcBorders>
            <w:shd w:val="clear" w:color="000000" w:fill="FFFFFF"/>
            <w:noWrap/>
            <w:textDirection w:val="btLr"/>
            <w:hideMark/>
          </w:tcPr>
          <w:p w14:paraId="0656EBA3"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3</w:t>
            </w:r>
          </w:p>
        </w:tc>
        <w:tc>
          <w:tcPr>
            <w:tcW w:w="993" w:type="dxa"/>
            <w:tcBorders>
              <w:top w:val="nil"/>
              <w:left w:val="nil"/>
              <w:bottom w:val="nil"/>
              <w:right w:val="nil"/>
            </w:tcBorders>
            <w:shd w:val="clear" w:color="000000" w:fill="FFFFFF"/>
            <w:noWrap/>
            <w:textDirection w:val="btLr"/>
            <w:hideMark/>
          </w:tcPr>
          <w:p w14:paraId="4F9A88AE"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40</w:t>
            </w:r>
          </w:p>
        </w:tc>
        <w:tc>
          <w:tcPr>
            <w:tcW w:w="850" w:type="dxa"/>
            <w:tcBorders>
              <w:top w:val="nil"/>
              <w:left w:val="nil"/>
              <w:bottom w:val="nil"/>
              <w:right w:val="nil"/>
            </w:tcBorders>
            <w:shd w:val="clear" w:color="000000" w:fill="FFFFFF"/>
            <w:noWrap/>
            <w:textDirection w:val="btLr"/>
            <w:hideMark/>
          </w:tcPr>
          <w:p w14:paraId="767A6B73"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30</w:t>
            </w:r>
          </w:p>
        </w:tc>
        <w:tc>
          <w:tcPr>
            <w:tcW w:w="992" w:type="dxa"/>
            <w:tcBorders>
              <w:top w:val="nil"/>
              <w:left w:val="nil"/>
              <w:bottom w:val="nil"/>
              <w:right w:val="nil"/>
            </w:tcBorders>
            <w:shd w:val="clear" w:color="000000" w:fill="FFFFFF"/>
            <w:noWrap/>
            <w:textDirection w:val="btLr"/>
            <w:hideMark/>
          </w:tcPr>
          <w:p w14:paraId="51791EBA"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w:t>
            </w:r>
          </w:p>
        </w:tc>
        <w:tc>
          <w:tcPr>
            <w:tcW w:w="992" w:type="dxa"/>
            <w:tcBorders>
              <w:top w:val="nil"/>
              <w:left w:val="nil"/>
              <w:bottom w:val="nil"/>
              <w:right w:val="nil"/>
            </w:tcBorders>
            <w:shd w:val="clear" w:color="000000" w:fill="FFFFFF"/>
            <w:noWrap/>
            <w:textDirection w:val="btLr"/>
            <w:hideMark/>
          </w:tcPr>
          <w:p w14:paraId="2E9C9A77"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30</w:t>
            </w:r>
          </w:p>
        </w:tc>
      </w:tr>
      <w:tr w:rsidR="00A44C40" w:rsidRPr="000B675B" w14:paraId="20D4D24D" w14:textId="77777777" w:rsidTr="004259BB">
        <w:trPr>
          <w:cantSplit/>
          <w:trHeight w:val="1134"/>
        </w:trPr>
        <w:tc>
          <w:tcPr>
            <w:tcW w:w="426" w:type="dxa"/>
            <w:vMerge w:val="restart"/>
            <w:tcBorders>
              <w:top w:val="nil"/>
              <w:left w:val="nil"/>
              <w:right w:val="nil"/>
            </w:tcBorders>
            <w:shd w:val="clear" w:color="auto" w:fill="FFFFFF" w:themeFill="background1"/>
            <w:textDirection w:val="btLr"/>
          </w:tcPr>
          <w:p w14:paraId="1EADEE89" w14:textId="77777777" w:rsidR="00A44C40" w:rsidRPr="000B675B" w:rsidRDefault="00A44C40" w:rsidP="004259BB">
            <w:pPr>
              <w:pStyle w:val="NoSpacing"/>
              <w:jc w:val="center"/>
              <w:rPr>
                <w:b/>
                <w:bCs/>
              </w:rPr>
            </w:pPr>
            <w:r w:rsidRPr="000B675B">
              <w:rPr>
                <w:b/>
                <w:bCs/>
              </w:rPr>
              <w:t>Schizophrenia</w:t>
            </w:r>
          </w:p>
        </w:tc>
        <w:tc>
          <w:tcPr>
            <w:tcW w:w="992" w:type="dxa"/>
            <w:tcBorders>
              <w:top w:val="nil"/>
              <w:left w:val="nil"/>
              <w:bottom w:val="nil"/>
              <w:right w:val="nil"/>
            </w:tcBorders>
            <w:shd w:val="clear" w:color="auto" w:fill="FFFFFF" w:themeFill="background1"/>
            <w:noWrap/>
            <w:textDirection w:val="btLr"/>
            <w:hideMark/>
          </w:tcPr>
          <w:p w14:paraId="11A4B346" w14:textId="77777777" w:rsidR="00A44C40" w:rsidRPr="000B675B" w:rsidRDefault="00A44C40" w:rsidP="004259BB">
            <w:pPr>
              <w:pStyle w:val="NoSpacing"/>
              <w:jc w:val="center"/>
              <w:rPr>
                <w:b/>
                <w:bCs/>
                <w:color w:val="000000"/>
              </w:rPr>
            </w:pPr>
            <w:r w:rsidRPr="000B675B">
              <w:rPr>
                <w:b/>
                <w:bCs/>
              </w:rPr>
              <w:t>Resource Use per Case</w:t>
            </w:r>
            <w:r w:rsidRPr="000B675B">
              <w:rPr>
                <w:b/>
                <w:bCs/>
                <w:vertAlign w:val="superscript"/>
              </w:rPr>
              <w:t>c</w:t>
            </w:r>
          </w:p>
        </w:tc>
        <w:tc>
          <w:tcPr>
            <w:tcW w:w="709" w:type="dxa"/>
            <w:tcBorders>
              <w:top w:val="nil"/>
              <w:left w:val="nil"/>
              <w:bottom w:val="nil"/>
              <w:right w:val="nil"/>
            </w:tcBorders>
            <w:shd w:val="clear" w:color="000000" w:fill="FFFFFF"/>
            <w:textDirection w:val="btLr"/>
          </w:tcPr>
          <w:p w14:paraId="767E2C10"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p>
        </w:tc>
        <w:tc>
          <w:tcPr>
            <w:tcW w:w="708" w:type="dxa"/>
            <w:tcBorders>
              <w:top w:val="nil"/>
              <w:left w:val="nil"/>
              <w:bottom w:val="nil"/>
              <w:right w:val="nil"/>
            </w:tcBorders>
            <w:shd w:val="clear" w:color="000000" w:fill="FFFFFF"/>
            <w:noWrap/>
            <w:textDirection w:val="btLr"/>
            <w:hideMark/>
          </w:tcPr>
          <w:p w14:paraId="616D6563"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1.8</w:t>
            </w:r>
          </w:p>
        </w:tc>
        <w:tc>
          <w:tcPr>
            <w:tcW w:w="993" w:type="dxa"/>
            <w:tcBorders>
              <w:top w:val="nil"/>
              <w:left w:val="nil"/>
              <w:bottom w:val="nil"/>
              <w:right w:val="nil"/>
            </w:tcBorders>
            <w:shd w:val="clear" w:color="000000" w:fill="FFFFFF"/>
            <w:noWrap/>
            <w:textDirection w:val="btLr"/>
            <w:hideMark/>
          </w:tcPr>
          <w:p w14:paraId="3CD75F4E"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5</w:t>
            </w:r>
          </w:p>
        </w:tc>
        <w:tc>
          <w:tcPr>
            <w:tcW w:w="992" w:type="dxa"/>
            <w:tcBorders>
              <w:top w:val="nil"/>
              <w:left w:val="nil"/>
              <w:bottom w:val="nil"/>
              <w:right w:val="nil"/>
            </w:tcBorders>
            <w:shd w:val="clear" w:color="000000" w:fill="FFFFFF"/>
            <w:noWrap/>
            <w:textDirection w:val="btLr"/>
            <w:hideMark/>
          </w:tcPr>
          <w:p w14:paraId="2D701319"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4.2</w:t>
            </w:r>
          </w:p>
        </w:tc>
        <w:tc>
          <w:tcPr>
            <w:tcW w:w="709" w:type="dxa"/>
            <w:tcBorders>
              <w:top w:val="nil"/>
              <w:left w:val="nil"/>
              <w:bottom w:val="nil"/>
              <w:right w:val="nil"/>
            </w:tcBorders>
            <w:shd w:val="clear" w:color="000000" w:fill="FFFFFF"/>
            <w:noWrap/>
            <w:textDirection w:val="btLr"/>
            <w:hideMark/>
          </w:tcPr>
          <w:p w14:paraId="3F995ECE"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p>
        </w:tc>
        <w:tc>
          <w:tcPr>
            <w:tcW w:w="708" w:type="dxa"/>
            <w:tcBorders>
              <w:top w:val="nil"/>
              <w:left w:val="nil"/>
              <w:bottom w:val="nil"/>
              <w:right w:val="nil"/>
            </w:tcBorders>
            <w:shd w:val="clear" w:color="000000" w:fill="FFFFFF"/>
            <w:noWrap/>
            <w:textDirection w:val="btLr"/>
            <w:hideMark/>
          </w:tcPr>
          <w:p w14:paraId="79D6CB91"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7.5</w:t>
            </w:r>
          </w:p>
        </w:tc>
        <w:tc>
          <w:tcPr>
            <w:tcW w:w="993" w:type="dxa"/>
            <w:tcBorders>
              <w:top w:val="nil"/>
              <w:left w:val="nil"/>
              <w:bottom w:val="nil"/>
              <w:right w:val="nil"/>
            </w:tcBorders>
            <w:shd w:val="clear" w:color="000000" w:fill="FFFFFF"/>
            <w:noWrap/>
            <w:textDirection w:val="btLr"/>
            <w:hideMark/>
          </w:tcPr>
          <w:p w14:paraId="404C657F"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6</w:t>
            </w:r>
          </w:p>
        </w:tc>
        <w:tc>
          <w:tcPr>
            <w:tcW w:w="850" w:type="dxa"/>
            <w:tcBorders>
              <w:top w:val="nil"/>
              <w:left w:val="nil"/>
              <w:bottom w:val="nil"/>
              <w:right w:val="nil"/>
            </w:tcBorders>
            <w:shd w:val="clear" w:color="000000" w:fill="FFFFFF"/>
            <w:noWrap/>
            <w:textDirection w:val="btLr"/>
            <w:hideMark/>
          </w:tcPr>
          <w:p w14:paraId="4DDEA1A9"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1.8</w:t>
            </w:r>
          </w:p>
        </w:tc>
        <w:tc>
          <w:tcPr>
            <w:tcW w:w="992" w:type="dxa"/>
            <w:tcBorders>
              <w:top w:val="nil"/>
              <w:left w:val="nil"/>
              <w:bottom w:val="nil"/>
              <w:right w:val="nil"/>
            </w:tcBorders>
            <w:shd w:val="clear" w:color="000000" w:fill="FFFFFF"/>
            <w:noWrap/>
            <w:textDirection w:val="btLr"/>
            <w:hideMark/>
          </w:tcPr>
          <w:p w14:paraId="70ECB924"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w:t>
            </w:r>
          </w:p>
        </w:tc>
        <w:tc>
          <w:tcPr>
            <w:tcW w:w="992" w:type="dxa"/>
            <w:tcBorders>
              <w:top w:val="nil"/>
              <w:left w:val="nil"/>
              <w:bottom w:val="nil"/>
              <w:right w:val="nil"/>
            </w:tcBorders>
            <w:shd w:val="clear" w:color="000000" w:fill="FFFFFF"/>
            <w:noWrap/>
            <w:textDirection w:val="btLr"/>
            <w:hideMark/>
          </w:tcPr>
          <w:p w14:paraId="448797BC"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2.4</w:t>
            </w:r>
          </w:p>
        </w:tc>
      </w:tr>
      <w:tr w:rsidR="00A44C40" w:rsidRPr="000B675B" w14:paraId="29D30AB0" w14:textId="77777777" w:rsidTr="004259BB">
        <w:trPr>
          <w:cantSplit/>
          <w:trHeight w:val="1134"/>
        </w:trPr>
        <w:tc>
          <w:tcPr>
            <w:tcW w:w="426" w:type="dxa"/>
            <w:vMerge/>
            <w:tcBorders>
              <w:left w:val="nil"/>
              <w:right w:val="nil"/>
            </w:tcBorders>
            <w:shd w:val="clear" w:color="auto" w:fill="FFFFFF" w:themeFill="background1"/>
            <w:textDirection w:val="btLr"/>
          </w:tcPr>
          <w:p w14:paraId="1F94A6FF" w14:textId="77777777" w:rsidR="00A44C40" w:rsidRPr="000B675B" w:rsidRDefault="00A44C40" w:rsidP="004259BB">
            <w:pPr>
              <w:spacing w:before="240" w:after="0" w:line="240" w:lineRule="auto"/>
              <w:ind w:left="159" w:right="113"/>
              <w:jc w:val="center"/>
              <w:rPr>
                <w:rFonts w:ascii="Palatino Linotype" w:eastAsia="Times New Roman" w:hAnsi="Palatino Linotype" w:cs="Calibri"/>
                <w:b/>
                <w:bCs/>
                <w:color w:val="000000"/>
              </w:rPr>
            </w:pPr>
          </w:p>
        </w:tc>
        <w:tc>
          <w:tcPr>
            <w:tcW w:w="992" w:type="dxa"/>
            <w:tcBorders>
              <w:top w:val="nil"/>
              <w:left w:val="nil"/>
              <w:bottom w:val="nil"/>
              <w:right w:val="nil"/>
            </w:tcBorders>
            <w:shd w:val="clear" w:color="auto" w:fill="FFFFFF" w:themeFill="background1"/>
            <w:textDirection w:val="btLr"/>
            <w:hideMark/>
          </w:tcPr>
          <w:p w14:paraId="24D74201" w14:textId="77777777" w:rsidR="00A44C40" w:rsidRPr="000B675B" w:rsidRDefault="00A44C40" w:rsidP="004259BB">
            <w:pPr>
              <w:pStyle w:val="NoSpacing"/>
              <w:jc w:val="center"/>
              <w:rPr>
                <w:b/>
                <w:bCs/>
                <w:color w:val="000000"/>
              </w:rPr>
            </w:pPr>
            <w:r w:rsidRPr="000B675B">
              <w:rPr>
                <w:b/>
                <w:bCs/>
              </w:rPr>
              <w:t>Average Rate of Use</w:t>
            </w:r>
            <w:r w:rsidRPr="000B675B">
              <w:rPr>
                <w:b/>
                <w:bCs/>
                <w:vertAlign w:val="superscript"/>
              </w:rPr>
              <w:t>b</w:t>
            </w:r>
          </w:p>
        </w:tc>
        <w:tc>
          <w:tcPr>
            <w:tcW w:w="709" w:type="dxa"/>
            <w:tcBorders>
              <w:top w:val="nil"/>
              <w:left w:val="nil"/>
              <w:bottom w:val="nil"/>
              <w:right w:val="nil"/>
            </w:tcBorders>
            <w:shd w:val="clear" w:color="000000" w:fill="FFFFFF"/>
            <w:textDirection w:val="btLr"/>
          </w:tcPr>
          <w:p w14:paraId="710BF122"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p>
        </w:tc>
        <w:tc>
          <w:tcPr>
            <w:tcW w:w="708" w:type="dxa"/>
            <w:tcBorders>
              <w:top w:val="nil"/>
              <w:left w:val="nil"/>
              <w:bottom w:val="nil"/>
              <w:right w:val="nil"/>
            </w:tcBorders>
            <w:shd w:val="clear" w:color="000000" w:fill="FFFFFF"/>
            <w:noWrap/>
            <w:textDirection w:val="btLr"/>
            <w:hideMark/>
          </w:tcPr>
          <w:p w14:paraId="722E9E35"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90</w:t>
            </w:r>
          </w:p>
        </w:tc>
        <w:tc>
          <w:tcPr>
            <w:tcW w:w="993" w:type="dxa"/>
            <w:tcBorders>
              <w:top w:val="nil"/>
              <w:left w:val="nil"/>
              <w:bottom w:val="nil"/>
              <w:right w:val="nil"/>
            </w:tcBorders>
            <w:shd w:val="clear" w:color="000000" w:fill="FFFFFF"/>
            <w:noWrap/>
            <w:textDirection w:val="btLr"/>
            <w:hideMark/>
          </w:tcPr>
          <w:p w14:paraId="01785703"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180</w:t>
            </w:r>
          </w:p>
        </w:tc>
        <w:tc>
          <w:tcPr>
            <w:tcW w:w="992" w:type="dxa"/>
            <w:tcBorders>
              <w:top w:val="nil"/>
              <w:left w:val="nil"/>
              <w:bottom w:val="nil"/>
              <w:right w:val="nil"/>
            </w:tcBorders>
            <w:shd w:val="clear" w:color="000000" w:fill="FFFFFF"/>
            <w:noWrap/>
            <w:textDirection w:val="btLr"/>
            <w:hideMark/>
          </w:tcPr>
          <w:p w14:paraId="00AEB608"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28</w:t>
            </w:r>
          </w:p>
        </w:tc>
        <w:tc>
          <w:tcPr>
            <w:tcW w:w="709" w:type="dxa"/>
            <w:tcBorders>
              <w:top w:val="nil"/>
              <w:left w:val="nil"/>
              <w:bottom w:val="nil"/>
              <w:right w:val="nil"/>
            </w:tcBorders>
            <w:shd w:val="clear" w:color="000000" w:fill="FFFFFF"/>
            <w:noWrap/>
            <w:textDirection w:val="btLr"/>
            <w:hideMark/>
          </w:tcPr>
          <w:p w14:paraId="4989FD44"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p>
        </w:tc>
        <w:tc>
          <w:tcPr>
            <w:tcW w:w="708" w:type="dxa"/>
            <w:tcBorders>
              <w:top w:val="nil"/>
              <w:left w:val="nil"/>
              <w:bottom w:val="nil"/>
              <w:right w:val="nil"/>
            </w:tcBorders>
            <w:shd w:val="clear" w:color="000000" w:fill="FFFFFF"/>
            <w:noWrap/>
            <w:textDirection w:val="btLr"/>
            <w:hideMark/>
          </w:tcPr>
          <w:p w14:paraId="4DC5ED0F"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100</w:t>
            </w:r>
          </w:p>
        </w:tc>
        <w:tc>
          <w:tcPr>
            <w:tcW w:w="993" w:type="dxa"/>
            <w:tcBorders>
              <w:top w:val="nil"/>
              <w:left w:val="nil"/>
              <w:bottom w:val="nil"/>
              <w:right w:val="nil"/>
            </w:tcBorders>
            <w:shd w:val="clear" w:color="000000" w:fill="FFFFFF"/>
            <w:noWrap/>
            <w:textDirection w:val="btLr"/>
            <w:hideMark/>
          </w:tcPr>
          <w:p w14:paraId="3D243164"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12</w:t>
            </w:r>
          </w:p>
        </w:tc>
        <w:tc>
          <w:tcPr>
            <w:tcW w:w="850" w:type="dxa"/>
            <w:tcBorders>
              <w:top w:val="nil"/>
              <w:left w:val="nil"/>
              <w:bottom w:val="nil"/>
              <w:right w:val="nil"/>
            </w:tcBorders>
            <w:shd w:val="clear" w:color="000000" w:fill="FFFFFF"/>
            <w:noWrap/>
            <w:textDirection w:val="btLr"/>
            <w:hideMark/>
          </w:tcPr>
          <w:p w14:paraId="3087941C"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6</w:t>
            </w:r>
          </w:p>
        </w:tc>
        <w:tc>
          <w:tcPr>
            <w:tcW w:w="992" w:type="dxa"/>
            <w:tcBorders>
              <w:top w:val="nil"/>
              <w:left w:val="nil"/>
              <w:bottom w:val="nil"/>
              <w:right w:val="nil"/>
            </w:tcBorders>
            <w:shd w:val="clear" w:color="000000" w:fill="FFFFFF"/>
            <w:noWrap/>
            <w:textDirection w:val="btLr"/>
            <w:hideMark/>
          </w:tcPr>
          <w:p w14:paraId="5C49B449"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w:t>
            </w:r>
          </w:p>
        </w:tc>
        <w:tc>
          <w:tcPr>
            <w:tcW w:w="992" w:type="dxa"/>
            <w:tcBorders>
              <w:top w:val="nil"/>
              <w:left w:val="nil"/>
              <w:bottom w:val="nil"/>
              <w:right w:val="nil"/>
            </w:tcBorders>
            <w:shd w:val="clear" w:color="000000" w:fill="FFFFFF"/>
            <w:noWrap/>
            <w:textDirection w:val="btLr"/>
            <w:hideMark/>
          </w:tcPr>
          <w:p w14:paraId="1296449E"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8</w:t>
            </w:r>
          </w:p>
        </w:tc>
      </w:tr>
      <w:tr w:rsidR="00A44C40" w:rsidRPr="000B675B" w14:paraId="7DE28B17" w14:textId="77777777" w:rsidTr="004259BB">
        <w:trPr>
          <w:cantSplit/>
          <w:trHeight w:val="1134"/>
        </w:trPr>
        <w:tc>
          <w:tcPr>
            <w:tcW w:w="426" w:type="dxa"/>
            <w:vMerge/>
            <w:tcBorders>
              <w:left w:val="nil"/>
              <w:right w:val="nil"/>
            </w:tcBorders>
            <w:shd w:val="clear" w:color="auto" w:fill="FFFFFF" w:themeFill="background1"/>
            <w:textDirection w:val="btLr"/>
          </w:tcPr>
          <w:p w14:paraId="204DB8A3" w14:textId="77777777" w:rsidR="00A44C40" w:rsidRPr="000B675B" w:rsidRDefault="00A44C40" w:rsidP="004259BB">
            <w:pPr>
              <w:spacing w:before="240" w:after="0" w:line="240" w:lineRule="auto"/>
              <w:ind w:left="159" w:right="113"/>
              <w:jc w:val="center"/>
              <w:rPr>
                <w:rFonts w:ascii="Palatino Linotype" w:eastAsia="Times New Roman" w:hAnsi="Palatino Linotype" w:cs="Calibri"/>
                <w:b/>
                <w:bCs/>
                <w:color w:val="000000"/>
              </w:rPr>
            </w:pPr>
          </w:p>
        </w:tc>
        <w:tc>
          <w:tcPr>
            <w:tcW w:w="992" w:type="dxa"/>
            <w:tcBorders>
              <w:top w:val="nil"/>
              <w:left w:val="nil"/>
              <w:right w:val="nil"/>
            </w:tcBorders>
            <w:shd w:val="clear" w:color="auto" w:fill="FFFFFF" w:themeFill="background1"/>
            <w:textDirection w:val="btLr"/>
            <w:hideMark/>
          </w:tcPr>
          <w:p w14:paraId="60B10F9E" w14:textId="77777777" w:rsidR="00A44C40" w:rsidRPr="000B675B" w:rsidRDefault="00A44C40" w:rsidP="004259BB">
            <w:pPr>
              <w:pStyle w:val="NoSpacing"/>
              <w:jc w:val="center"/>
              <w:rPr>
                <w:b/>
                <w:bCs/>
                <w:color w:val="000000"/>
                <w:vertAlign w:val="superscript"/>
              </w:rPr>
            </w:pPr>
            <w:r w:rsidRPr="000B675B">
              <w:rPr>
                <w:b/>
                <w:bCs/>
              </w:rPr>
              <w:t>Service Coverage</w:t>
            </w:r>
            <w:r w:rsidRPr="000B675B">
              <w:rPr>
                <w:b/>
                <w:bCs/>
              </w:rPr>
              <w:br/>
              <w:t xml:space="preserve"> %</w:t>
            </w:r>
            <w:r w:rsidRPr="000B675B">
              <w:rPr>
                <w:b/>
                <w:bCs/>
                <w:vertAlign w:val="superscript"/>
              </w:rPr>
              <w:t>a</w:t>
            </w:r>
          </w:p>
        </w:tc>
        <w:tc>
          <w:tcPr>
            <w:tcW w:w="709" w:type="dxa"/>
            <w:tcBorders>
              <w:top w:val="nil"/>
              <w:left w:val="nil"/>
              <w:right w:val="nil"/>
            </w:tcBorders>
            <w:shd w:val="clear" w:color="000000" w:fill="FFFFFF"/>
            <w:textDirection w:val="btLr"/>
          </w:tcPr>
          <w:p w14:paraId="03B10867"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p>
        </w:tc>
        <w:tc>
          <w:tcPr>
            <w:tcW w:w="708" w:type="dxa"/>
            <w:tcBorders>
              <w:top w:val="nil"/>
              <w:left w:val="nil"/>
              <w:right w:val="nil"/>
            </w:tcBorders>
            <w:shd w:val="clear" w:color="000000" w:fill="FFFFFF"/>
            <w:noWrap/>
            <w:textDirection w:val="btLr"/>
            <w:hideMark/>
          </w:tcPr>
          <w:p w14:paraId="399C0F64"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sidRPr="000B675B">
              <w:rPr>
                <w:rFonts w:ascii="Palatino Linotype" w:eastAsia="Times New Roman" w:hAnsi="Palatino Linotype" w:cs="Calibri"/>
              </w:rPr>
              <w:t>2</w:t>
            </w:r>
          </w:p>
        </w:tc>
        <w:tc>
          <w:tcPr>
            <w:tcW w:w="993" w:type="dxa"/>
            <w:tcBorders>
              <w:top w:val="nil"/>
              <w:left w:val="nil"/>
              <w:right w:val="nil"/>
            </w:tcBorders>
            <w:shd w:val="clear" w:color="000000" w:fill="FFFFFF"/>
            <w:noWrap/>
            <w:textDirection w:val="btLr"/>
            <w:hideMark/>
          </w:tcPr>
          <w:p w14:paraId="33073D1B"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sidRPr="000B675B">
              <w:rPr>
                <w:rFonts w:ascii="Palatino Linotype" w:eastAsia="Times New Roman" w:hAnsi="Palatino Linotype" w:cs="Calibri"/>
              </w:rPr>
              <w:t>2.5</w:t>
            </w:r>
          </w:p>
        </w:tc>
        <w:tc>
          <w:tcPr>
            <w:tcW w:w="992" w:type="dxa"/>
            <w:tcBorders>
              <w:top w:val="nil"/>
              <w:left w:val="nil"/>
              <w:right w:val="nil"/>
            </w:tcBorders>
            <w:shd w:val="clear" w:color="000000" w:fill="FFFFFF"/>
            <w:noWrap/>
            <w:textDirection w:val="btLr"/>
            <w:hideMark/>
          </w:tcPr>
          <w:p w14:paraId="37BFFD1D"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15</w:t>
            </w:r>
          </w:p>
        </w:tc>
        <w:tc>
          <w:tcPr>
            <w:tcW w:w="709" w:type="dxa"/>
            <w:tcBorders>
              <w:top w:val="nil"/>
              <w:left w:val="nil"/>
              <w:right w:val="nil"/>
            </w:tcBorders>
            <w:shd w:val="clear" w:color="000000" w:fill="FFFFFF"/>
            <w:noWrap/>
            <w:textDirection w:val="btLr"/>
            <w:hideMark/>
          </w:tcPr>
          <w:p w14:paraId="5B5E263D"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p>
        </w:tc>
        <w:tc>
          <w:tcPr>
            <w:tcW w:w="708" w:type="dxa"/>
            <w:tcBorders>
              <w:top w:val="nil"/>
              <w:left w:val="nil"/>
              <w:right w:val="nil"/>
            </w:tcBorders>
            <w:shd w:val="clear" w:color="000000" w:fill="FFFFFF"/>
            <w:noWrap/>
            <w:textDirection w:val="btLr"/>
            <w:hideMark/>
          </w:tcPr>
          <w:p w14:paraId="45EDD0CB"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7.5</w:t>
            </w:r>
          </w:p>
        </w:tc>
        <w:tc>
          <w:tcPr>
            <w:tcW w:w="993" w:type="dxa"/>
            <w:tcBorders>
              <w:top w:val="nil"/>
              <w:left w:val="nil"/>
              <w:right w:val="nil"/>
            </w:tcBorders>
            <w:shd w:val="clear" w:color="000000" w:fill="FFFFFF"/>
            <w:noWrap/>
            <w:textDirection w:val="btLr"/>
            <w:hideMark/>
          </w:tcPr>
          <w:p w14:paraId="4F6FE565"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50</w:t>
            </w:r>
          </w:p>
        </w:tc>
        <w:tc>
          <w:tcPr>
            <w:tcW w:w="850" w:type="dxa"/>
            <w:tcBorders>
              <w:top w:val="nil"/>
              <w:left w:val="nil"/>
              <w:right w:val="nil"/>
            </w:tcBorders>
            <w:shd w:val="clear" w:color="000000" w:fill="FFFFFF"/>
            <w:noWrap/>
            <w:textDirection w:val="btLr"/>
            <w:hideMark/>
          </w:tcPr>
          <w:p w14:paraId="12C031E1"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30</w:t>
            </w:r>
          </w:p>
        </w:tc>
        <w:tc>
          <w:tcPr>
            <w:tcW w:w="992" w:type="dxa"/>
            <w:tcBorders>
              <w:top w:val="nil"/>
              <w:left w:val="nil"/>
              <w:right w:val="nil"/>
            </w:tcBorders>
            <w:shd w:val="clear" w:color="000000" w:fill="FFFFFF"/>
            <w:noWrap/>
            <w:textDirection w:val="btLr"/>
            <w:hideMark/>
          </w:tcPr>
          <w:p w14:paraId="72464493"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0</w:t>
            </w:r>
          </w:p>
        </w:tc>
        <w:tc>
          <w:tcPr>
            <w:tcW w:w="992" w:type="dxa"/>
            <w:tcBorders>
              <w:top w:val="nil"/>
              <w:left w:val="nil"/>
              <w:right w:val="nil"/>
            </w:tcBorders>
            <w:shd w:val="clear" w:color="000000" w:fill="FFFFFF"/>
            <w:noWrap/>
            <w:textDirection w:val="btLr"/>
            <w:hideMark/>
          </w:tcPr>
          <w:p w14:paraId="0CC1B251" w14:textId="77777777" w:rsidR="00A44C40" w:rsidRPr="000B675B" w:rsidRDefault="00A44C40" w:rsidP="004259BB">
            <w:pPr>
              <w:spacing w:before="240" w:after="0" w:line="240" w:lineRule="auto"/>
              <w:ind w:left="113" w:right="113"/>
              <w:jc w:val="center"/>
              <w:rPr>
                <w:rFonts w:ascii="Palatino Linotype" w:eastAsia="Times New Roman" w:hAnsi="Palatino Linotype" w:cs="Calibri"/>
              </w:rPr>
            </w:pPr>
            <w:r>
              <w:rPr>
                <w:rFonts w:ascii="Palatino Linotype" w:eastAsia="Times New Roman" w:hAnsi="Palatino Linotype" w:cs="Calibri"/>
              </w:rPr>
              <w:t>30</w:t>
            </w:r>
          </w:p>
        </w:tc>
      </w:tr>
      <w:tr w:rsidR="00A44C40" w:rsidRPr="000B675B" w14:paraId="0B3B87E5" w14:textId="77777777" w:rsidTr="004259BB">
        <w:trPr>
          <w:cantSplit/>
          <w:trHeight w:val="1982"/>
        </w:trPr>
        <w:tc>
          <w:tcPr>
            <w:tcW w:w="426" w:type="dxa"/>
            <w:tcBorders>
              <w:top w:val="nil"/>
              <w:left w:val="nil"/>
              <w:bottom w:val="single" w:sz="12" w:space="0" w:color="auto"/>
              <w:right w:val="nil"/>
            </w:tcBorders>
            <w:shd w:val="clear" w:color="auto" w:fill="FFFFFF" w:themeFill="background1"/>
            <w:textDirection w:val="btLr"/>
          </w:tcPr>
          <w:p w14:paraId="76FEDE00" w14:textId="77777777" w:rsidR="00A44C40" w:rsidRPr="000B675B" w:rsidRDefault="00A44C40" w:rsidP="004259BB">
            <w:pPr>
              <w:pStyle w:val="NoSpacing"/>
              <w:jc w:val="center"/>
              <w:rPr>
                <w:b/>
                <w:bCs/>
              </w:rPr>
            </w:pPr>
            <w:r w:rsidRPr="000B675B">
              <w:rPr>
                <w:b/>
                <w:bCs/>
              </w:rPr>
              <w:t>Service</w:t>
            </w:r>
          </w:p>
        </w:tc>
        <w:tc>
          <w:tcPr>
            <w:tcW w:w="992" w:type="dxa"/>
            <w:tcBorders>
              <w:top w:val="nil"/>
              <w:left w:val="nil"/>
              <w:bottom w:val="single" w:sz="12" w:space="0" w:color="auto"/>
              <w:right w:val="nil"/>
            </w:tcBorders>
            <w:shd w:val="clear" w:color="auto" w:fill="FFFFFF" w:themeFill="background1"/>
            <w:noWrap/>
            <w:textDirection w:val="btLr"/>
          </w:tcPr>
          <w:p w14:paraId="2A978E87" w14:textId="77777777" w:rsidR="00A44C40" w:rsidRPr="000B675B" w:rsidRDefault="00A44C40" w:rsidP="004259BB">
            <w:pPr>
              <w:spacing w:before="240" w:after="0" w:line="240" w:lineRule="auto"/>
              <w:ind w:left="113" w:right="113"/>
              <w:jc w:val="center"/>
              <w:rPr>
                <w:rFonts w:eastAsia="Times New Roman" w:cstheme="minorHAnsi"/>
                <w:b/>
                <w:bCs/>
                <w:color w:val="000000"/>
              </w:rPr>
            </w:pPr>
          </w:p>
        </w:tc>
        <w:tc>
          <w:tcPr>
            <w:tcW w:w="709" w:type="dxa"/>
            <w:tcBorders>
              <w:top w:val="nil"/>
              <w:left w:val="nil"/>
              <w:bottom w:val="single" w:sz="12" w:space="0" w:color="auto"/>
              <w:right w:val="nil"/>
            </w:tcBorders>
            <w:shd w:val="clear" w:color="000000" w:fill="FFFFFF"/>
            <w:textDirection w:val="btLr"/>
          </w:tcPr>
          <w:p w14:paraId="13439382" w14:textId="77777777" w:rsidR="00A44C40" w:rsidRPr="000B675B" w:rsidRDefault="00A44C40" w:rsidP="004259BB">
            <w:pPr>
              <w:pStyle w:val="NoSpacing"/>
            </w:pPr>
            <w:r w:rsidRPr="000B675B">
              <w:t>Inpatient and residential care</w:t>
            </w:r>
            <w:r w:rsidRPr="000B675B">
              <w:rPr>
                <w:vertAlign w:val="superscript"/>
              </w:rPr>
              <w:t>d</w:t>
            </w:r>
          </w:p>
        </w:tc>
        <w:tc>
          <w:tcPr>
            <w:tcW w:w="708" w:type="dxa"/>
            <w:tcBorders>
              <w:top w:val="nil"/>
              <w:left w:val="nil"/>
              <w:bottom w:val="single" w:sz="12" w:space="0" w:color="auto"/>
              <w:right w:val="nil"/>
            </w:tcBorders>
            <w:shd w:val="clear" w:color="000000" w:fill="FFFFFF"/>
            <w:noWrap/>
            <w:textDirection w:val="btLr"/>
          </w:tcPr>
          <w:p w14:paraId="227E9A20" w14:textId="77777777" w:rsidR="00A44C40" w:rsidRPr="000B675B" w:rsidRDefault="00A44C40" w:rsidP="004259BB">
            <w:pPr>
              <w:pStyle w:val="NoSpacing"/>
            </w:pPr>
            <w:r w:rsidRPr="000B675B">
              <w:t>Mental hospital care (long stay)</w:t>
            </w:r>
          </w:p>
        </w:tc>
        <w:tc>
          <w:tcPr>
            <w:tcW w:w="993" w:type="dxa"/>
            <w:tcBorders>
              <w:top w:val="nil"/>
              <w:left w:val="nil"/>
              <w:bottom w:val="single" w:sz="12" w:space="0" w:color="auto"/>
              <w:right w:val="nil"/>
            </w:tcBorders>
            <w:shd w:val="clear" w:color="000000" w:fill="FFFFFF"/>
            <w:noWrap/>
            <w:textDirection w:val="btLr"/>
            <w:hideMark/>
          </w:tcPr>
          <w:p w14:paraId="6DEB846E" w14:textId="77777777" w:rsidR="00A44C40" w:rsidRPr="000B675B" w:rsidRDefault="00A44C40" w:rsidP="004259BB">
            <w:pPr>
              <w:pStyle w:val="NoSpacing"/>
            </w:pPr>
            <w:r w:rsidRPr="000B675B">
              <w:t>Community residential care (long stay)</w:t>
            </w:r>
          </w:p>
        </w:tc>
        <w:tc>
          <w:tcPr>
            <w:tcW w:w="992" w:type="dxa"/>
            <w:tcBorders>
              <w:top w:val="nil"/>
              <w:left w:val="nil"/>
              <w:bottom w:val="single" w:sz="12" w:space="0" w:color="auto"/>
              <w:right w:val="nil"/>
            </w:tcBorders>
            <w:shd w:val="clear" w:color="000000" w:fill="FFFFFF"/>
            <w:noWrap/>
            <w:textDirection w:val="btLr"/>
            <w:hideMark/>
          </w:tcPr>
          <w:p w14:paraId="7F4462BF" w14:textId="77777777" w:rsidR="00A44C40" w:rsidRPr="000B675B" w:rsidRDefault="00A44C40" w:rsidP="004259BB">
            <w:pPr>
              <w:pStyle w:val="NoSpacing"/>
            </w:pPr>
            <w:r w:rsidRPr="000B675B">
              <w:t>Community psychiatric unit (acute care)</w:t>
            </w:r>
          </w:p>
        </w:tc>
        <w:tc>
          <w:tcPr>
            <w:tcW w:w="709" w:type="dxa"/>
            <w:tcBorders>
              <w:top w:val="nil"/>
              <w:left w:val="nil"/>
              <w:bottom w:val="single" w:sz="12" w:space="0" w:color="auto"/>
              <w:right w:val="nil"/>
            </w:tcBorders>
            <w:shd w:val="clear" w:color="000000" w:fill="FFFFFF"/>
            <w:noWrap/>
            <w:textDirection w:val="btLr"/>
            <w:hideMark/>
          </w:tcPr>
          <w:p w14:paraId="7D8D4413" w14:textId="77777777" w:rsidR="00A44C40" w:rsidRPr="000B675B" w:rsidRDefault="00A44C40" w:rsidP="004259BB">
            <w:pPr>
              <w:pStyle w:val="NoSpacing"/>
            </w:pPr>
            <w:r w:rsidRPr="000B675B">
              <w:t>Outpatient and day care</w:t>
            </w:r>
            <w:r w:rsidRPr="000B675B">
              <w:rPr>
                <w:vertAlign w:val="superscript"/>
              </w:rPr>
              <w:t>e</w:t>
            </w:r>
          </w:p>
        </w:tc>
        <w:tc>
          <w:tcPr>
            <w:tcW w:w="708" w:type="dxa"/>
            <w:tcBorders>
              <w:top w:val="nil"/>
              <w:left w:val="nil"/>
              <w:bottom w:val="single" w:sz="12" w:space="0" w:color="auto"/>
              <w:right w:val="nil"/>
            </w:tcBorders>
            <w:shd w:val="clear" w:color="000000" w:fill="FFFFFF"/>
            <w:noWrap/>
            <w:textDirection w:val="btLr"/>
            <w:hideMark/>
          </w:tcPr>
          <w:p w14:paraId="2F79957F" w14:textId="77777777" w:rsidR="00A44C40" w:rsidRPr="000B675B" w:rsidRDefault="00A44C40" w:rsidP="004259BB">
            <w:pPr>
              <w:pStyle w:val="NoSpacing"/>
            </w:pPr>
            <w:r w:rsidRPr="000B675B">
              <w:t>Day care services</w:t>
            </w:r>
          </w:p>
        </w:tc>
        <w:tc>
          <w:tcPr>
            <w:tcW w:w="993" w:type="dxa"/>
            <w:tcBorders>
              <w:top w:val="nil"/>
              <w:left w:val="nil"/>
              <w:bottom w:val="single" w:sz="12" w:space="0" w:color="auto"/>
              <w:right w:val="nil"/>
            </w:tcBorders>
            <w:shd w:val="clear" w:color="000000" w:fill="FFFFFF"/>
            <w:noWrap/>
            <w:textDirection w:val="btLr"/>
            <w:hideMark/>
          </w:tcPr>
          <w:p w14:paraId="66690812" w14:textId="77777777" w:rsidR="00A44C40" w:rsidRPr="000B675B" w:rsidRDefault="00A44C40" w:rsidP="004259BB">
            <w:pPr>
              <w:pStyle w:val="NoSpacing"/>
            </w:pPr>
            <w:r w:rsidRPr="000B675B">
              <w:t>Hospital outpatient service</w:t>
            </w:r>
          </w:p>
        </w:tc>
        <w:tc>
          <w:tcPr>
            <w:tcW w:w="850" w:type="dxa"/>
            <w:tcBorders>
              <w:top w:val="nil"/>
              <w:left w:val="nil"/>
              <w:bottom w:val="single" w:sz="12" w:space="0" w:color="auto"/>
              <w:right w:val="nil"/>
            </w:tcBorders>
            <w:shd w:val="clear" w:color="000000" w:fill="FFFFFF"/>
            <w:noWrap/>
            <w:textDirection w:val="btLr"/>
            <w:hideMark/>
          </w:tcPr>
          <w:p w14:paraId="666779B2" w14:textId="77777777" w:rsidR="00A44C40" w:rsidRPr="000B675B" w:rsidRDefault="00A44C40" w:rsidP="004259BB">
            <w:pPr>
              <w:pStyle w:val="NoSpacing"/>
            </w:pPr>
            <w:r w:rsidRPr="000B675B">
              <w:t>Primary health care: treatment</w:t>
            </w:r>
          </w:p>
        </w:tc>
        <w:tc>
          <w:tcPr>
            <w:tcW w:w="992" w:type="dxa"/>
            <w:tcBorders>
              <w:top w:val="nil"/>
              <w:left w:val="nil"/>
              <w:bottom w:val="single" w:sz="12" w:space="0" w:color="auto"/>
              <w:right w:val="nil"/>
            </w:tcBorders>
            <w:shd w:val="clear" w:color="000000" w:fill="FFFFFF"/>
            <w:noWrap/>
            <w:textDirection w:val="btLr"/>
            <w:hideMark/>
          </w:tcPr>
          <w:p w14:paraId="2AB495BB" w14:textId="77777777" w:rsidR="00A44C40" w:rsidRPr="000B675B" w:rsidRDefault="00A44C40" w:rsidP="004259BB">
            <w:pPr>
              <w:pStyle w:val="NoSpacing"/>
            </w:pPr>
            <w:r w:rsidRPr="000B675B">
              <w:t>Primary health care: screening</w:t>
            </w:r>
            <w:r w:rsidRPr="000B675B">
              <w:rPr>
                <w:vertAlign w:val="superscript"/>
              </w:rPr>
              <w:t>f</w:t>
            </w:r>
          </w:p>
        </w:tc>
        <w:tc>
          <w:tcPr>
            <w:tcW w:w="992" w:type="dxa"/>
            <w:tcBorders>
              <w:top w:val="nil"/>
              <w:left w:val="nil"/>
              <w:bottom w:val="single" w:sz="12" w:space="0" w:color="auto"/>
              <w:right w:val="nil"/>
            </w:tcBorders>
            <w:shd w:val="clear" w:color="000000" w:fill="FFFFFF"/>
            <w:noWrap/>
            <w:textDirection w:val="btLr"/>
            <w:hideMark/>
          </w:tcPr>
          <w:p w14:paraId="6CE0E845" w14:textId="77777777" w:rsidR="00A44C40" w:rsidRPr="000B675B" w:rsidRDefault="00A44C40" w:rsidP="004259BB">
            <w:pPr>
              <w:pStyle w:val="NoSpacing"/>
            </w:pPr>
            <w:r w:rsidRPr="000B675B">
              <w:t>Psychosocial treatment</w:t>
            </w:r>
            <w:r w:rsidRPr="000B675B">
              <w:rPr>
                <w:vertAlign w:val="superscript"/>
              </w:rPr>
              <w:t>g</w:t>
            </w:r>
          </w:p>
        </w:tc>
      </w:tr>
    </w:tbl>
    <w:p w14:paraId="05D9142B" w14:textId="77777777" w:rsidR="00A44C40" w:rsidRDefault="00A44C40" w:rsidP="00A44C40">
      <w:pPr>
        <w:pStyle w:val="BodyText3"/>
        <w:rPr>
          <w:i/>
          <w:iCs/>
          <w:sz w:val="18"/>
          <w:szCs w:val="18"/>
        </w:rPr>
      </w:pPr>
    </w:p>
    <w:p w14:paraId="73E75D08" w14:textId="77777777" w:rsidR="00A44C40" w:rsidRPr="00C9389B" w:rsidRDefault="00A44C40" w:rsidP="00A44C40">
      <w:pPr>
        <w:pStyle w:val="BodyText3"/>
        <w:rPr>
          <w:sz w:val="18"/>
          <w:szCs w:val="18"/>
        </w:rPr>
      </w:pPr>
      <w:r w:rsidRPr="00C9389B">
        <w:rPr>
          <w:i/>
          <w:iCs/>
          <w:sz w:val="18"/>
          <w:szCs w:val="18"/>
        </w:rPr>
        <w:t>Source:</w:t>
      </w:r>
      <w:r w:rsidRPr="00C9389B">
        <w:rPr>
          <w:sz w:val="18"/>
          <w:szCs w:val="18"/>
        </w:rPr>
        <w:t xml:space="preserve"> </w:t>
      </w:r>
      <w:r>
        <w:rPr>
          <w:sz w:val="18"/>
          <w:szCs w:val="18"/>
        </w:rPr>
        <w:t>[52]</w:t>
      </w:r>
    </w:p>
    <w:p w14:paraId="0DE8EA94" w14:textId="77777777" w:rsidR="00A44C40" w:rsidRPr="00C9389B" w:rsidRDefault="00A44C40" w:rsidP="00A44C40">
      <w:pPr>
        <w:pStyle w:val="BodyText3"/>
        <w:rPr>
          <w:sz w:val="18"/>
          <w:szCs w:val="18"/>
        </w:rPr>
      </w:pPr>
      <w:r w:rsidRPr="00C9389B">
        <w:rPr>
          <w:i/>
          <w:iCs/>
          <w:sz w:val="18"/>
          <w:szCs w:val="18"/>
        </w:rPr>
        <w:t xml:space="preserve">Note: </w:t>
      </w:r>
      <w:r w:rsidRPr="00C9389B">
        <w:rPr>
          <w:sz w:val="18"/>
          <w:szCs w:val="18"/>
        </w:rPr>
        <w:t xml:space="preserve">n.a. = not applicable. </w:t>
      </w:r>
    </w:p>
    <w:p w14:paraId="3B7BEE2E" w14:textId="77777777" w:rsidR="00A44C40" w:rsidRPr="00C9389B" w:rsidRDefault="00A44C40" w:rsidP="00A44C40">
      <w:pPr>
        <w:pStyle w:val="BodyText3"/>
        <w:rPr>
          <w:sz w:val="18"/>
          <w:szCs w:val="18"/>
        </w:rPr>
      </w:pPr>
      <w:r w:rsidRPr="00C9389B">
        <w:rPr>
          <w:sz w:val="18"/>
          <w:szCs w:val="18"/>
        </w:rPr>
        <w:t xml:space="preserve">a. </w:t>
      </w:r>
      <w:r w:rsidRPr="00C9389B">
        <w:rPr>
          <w:i/>
          <w:iCs/>
          <w:sz w:val="18"/>
          <w:szCs w:val="18"/>
        </w:rPr>
        <w:t>Service coverage</w:t>
      </w:r>
      <w:r w:rsidRPr="00C9389B">
        <w:rPr>
          <w:sz w:val="18"/>
          <w:szCs w:val="18"/>
        </w:rPr>
        <w:t xml:space="preserve"> = percentage of patients in the population expected to use the service or resource over course of 1 year.</w:t>
      </w:r>
    </w:p>
    <w:p w14:paraId="1C6D4051" w14:textId="77777777" w:rsidR="00A44C40" w:rsidRPr="00C9389B" w:rsidRDefault="00A44C40" w:rsidP="00A44C40">
      <w:pPr>
        <w:pStyle w:val="BodyText3"/>
        <w:rPr>
          <w:sz w:val="18"/>
          <w:szCs w:val="18"/>
        </w:rPr>
      </w:pPr>
      <w:r w:rsidRPr="00C9389B">
        <w:rPr>
          <w:sz w:val="18"/>
          <w:szCs w:val="18"/>
        </w:rPr>
        <w:t xml:space="preserve">b. </w:t>
      </w:r>
      <w:r w:rsidRPr="00C9389B">
        <w:rPr>
          <w:i/>
          <w:iCs/>
          <w:sz w:val="18"/>
          <w:szCs w:val="18"/>
        </w:rPr>
        <w:t>Average rate of use</w:t>
      </w:r>
      <w:r w:rsidRPr="00C9389B">
        <w:rPr>
          <w:sz w:val="18"/>
          <w:szCs w:val="18"/>
        </w:rPr>
        <w:t xml:space="preserve"> = mean rate of uptake per year among those expected to use the service or resource.</w:t>
      </w:r>
    </w:p>
    <w:p w14:paraId="26492298" w14:textId="77777777" w:rsidR="00A44C40" w:rsidRPr="00C9389B" w:rsidRDefault="00A44C40" w:rsidP="00A44C40">
      <w:pPr>
        <w:pStyle w:val="BodyText3"/>
        <w:rPr>
          <w:sz w:val="18"/>
          <w:szCs w:val="18"/>
        </w:rPr>
      </w:pPr>
      <w:r w:rsidRPr="00C9389B">
        <w:rPr>
          <w:sz w:val="18"/>
          <w:szCs w:val="18"/>
        </w:rPr>
        <w:t xml:space="preserve">c. </w:t>
      </w:r>
      <w:r w:rsidRPr="00C9389B">
        <w:rPr>
          <w:i/>
          <w:iCs/>
          <w:sz w:val="18"/>
          <w:szCs w:val="18"/>
        </w:rPr>
        <w:t>Resource use per “average” patient in the population =</w:t>
      </w:r>
      <w:r w:rsidRPr="00C9389B">
        <w:rPr>
          <w:sz w:val="18"/>
          <w:szCs w:val="18"/>
        </w:rPr>
        <w:t xml:space="preserve"> percentage of patients expected to use the resource (coverage) multiplied by the average rate of use.</w:t>
      </w:r>
    </w:p>
    <w:p w14:paraId="5EC0D96A" w14:textId="77777777" w:rsidR="00A44C40" w:rsidRPr="00C9389B" w:rsidRDefault="00A44C40" w:rsidP="00A44C40">
      <w:pPr>
        <w:pStyle w:val="BodyText3"/>
        <w:rPr>
          <w:sz w:val="18"/>
          <w:szCs w:val="18"/>
        </w:rPr>
      </w:pPr>
      <w:r w:rsidRPr="00C9389B">
        <w:rPr>
          <w:sz w:val="18"/>
          <w:szCs w:val="18"/>
        </w:rPr>
        <w:t>d. Average rate of use in days.</w:t>
      </w:r>
    </w:p>
    <w:p w14:paraId="27619A31" w14:textId="77777777" w:rsidR="00A44C40" w:rsidRPr="00C9389B" w:rsidRDefault="00A44C40" w:rsidP="00A44C40">
      <w:pPr>
        <w:pStyle w:val="BodyText3"/>
        <w:rPr>
          <w:sz w:val="18"/>
          <w:szCs w:val="18"/>
        </w:rPr>
      </w:pPr>
      <w:r w:rsidRPr="00C9389B">
        <w:rPr>
          <w:sz w:val="18"/>
          <w:szCs w:val="18"/>
        </w:rPr>
        <w:t>e. Average rate of use in visits.</w:t>
      </w:r>
    </w:p>
    <w:p w14:paraId="666505BE" w14:textId="77777777" w:rsidR="00A44C40" w:rsidRPr="00C9389B" w:rsidRDefault="00A44C40" w:rsidP="00A44C40">
      <w:pPr>
        <w:pStyle w:val="BodyText3"/>
        <w:rPr>
          <w:sz w:val="18"/>
          <w:szCs w:val="18"/>
        </w:rPr>
      </w:pPr>
      <w:r w:rsidRPr="00C9389B">
        <w:rPr>
          <w:sz w:val="18"/>
          <w:szCs w:val="18"/>
        </w:rPr>
        <w:t>f. Refers to coverage in the total adult population (before diagnosis).</w:t>
      </w:r>
    </w:p>
    <w:p w14:paraId="4C9A2FDA" w14:textId="77777777" w:rsidR="00A44C40" w:rsidRDefault="00A44C40" w:rsidP="00A44C40">
      <w:pPr>
        <w:pStyle w:val="BodyText3"/>
        <w:rPr>
          <w:sz w:val="18"/>
          <w:szCs w:val="18"/>
        </w:rPr>
      </w:pPr>
      <w:r w:rsidRPr="00C9389B">
        <w:rPr>
          <w:sz w:val="18"/>
          <w:szCs w:val="18"/>
        </w:rPr>
        <w:t>g. Index therapies used: family therapy (schizophrenia); problem-solving treatment (bipolar disorder); brief psychotherapy (depression); brief physician advice (alcohol use). Sessions last 40 minutes each, except brief interventions for alcohol use, which take 10 minutes.</w:t>
      </w:r>
    </w:p>
    <w:bookmarkEnd w:id="21"/>
    <w:p w14:paraId="522A9244" w14:textId="77777777" w:rsidR="00A44C40" w:rsidRPr="00880C61" w:rsidRDefault="00A44C40" w:rsidP="00A44C40">
      <w:pPr>
        <w:pStyle w:val="BodyText3"/>
        <w:rPr>
          <w:sz w:val="18"/>
        </w:rPr>
      </w:pPr>
    </w:p>
    <w:p w14:paraId="463A0CE6" w14:textId="77777777" w:rsidR="00A44C40" w:rsidRDefault="00A44C40" w:rsidP="00A44C40">
      <w:pPr>
        <w:pStyle w:val="BodyText3"/>
        <w:rPr>
          <w:sz w:val="18"/>
          <w:szCs w:val="18"/>
        </w:rPr>
      </w:pPr>
    </w:p>
    <w:p w14:paraId="3C0DB75C" w14:textId="77777777" w:rsidR="00A44C40" w:rsidRDefault="00A44C40" w:rsidP="00A44C40">
      <w:pPr>
        <w:pStyle w:val="BodyText3"/>
        <w:rPr>
          <w:b/>
          <w:bCs/>
          <w:sz w:val="22"/>
          <w:szCs w:val="22"/>
        </w:rPr>
      </w:pPr>
    </w:p>
    <w:p w14:paraId="75401C29" w14:textId="77777777" w:rsidR="00A44C40" w:rsidRDefault="00A44C40" w:rsidP="00A44C40">
      <w:pPr>
        <w:pStyle w:val="BodyText3"/>
        <w:rPr>
          <w:b/>
          <w:bCs/>
          <w:sz w:val="22"/>
          <w:szCs w:val="22"/>
        </w:rPr>
      </w:pPr>
    </w:p>
    <w:p w14:paraId="378545A2" w14:textId="77777777" w:rsidR="00A44C40" w:rsidRDefault="00A44C40" w:rsidP="00A44C40">
      <w:pPr>
        <w:pStyle w:val="BodyText3"/>
        <w:rPr>
          <w:b/>
          <w:bCs/>
          <w:sz w:val="22"/>
          <w:szCs w:val="22"/>
        </w:rPr>
      </w:pPr>
      <w:bookmarkStart w:id="22" w:name="_Hlk127743932"/>
    </w:p>
    <w:p w14:paraId="0ECD31B2" w14:textId="77777777" w:rsidR="00A44C40" w:rsidRPr="00021CF5" w:rsidRDefault="00A44C40" w:rsidP="00A44C40">
      <w:pPr>
        <w:pStyle w:val="BodyText3"/>
        <w:rPr>
          <w:b/>
          <w:bCs/>
          <w:sz w:val="22"/>
          <w:szCs w:val="22"/>
        </w:rPr>
      </w:pPr>
      <w:r w:rsidRPr="00021CF5">
        <w:rPr>
          <w:b/>
          <w:bCs/>
          <w:sz w:val="22"/>
          <w:szCs w:val="22"/>
        </w:rPr>
        <w:t xml:space="preserve">Table B3: </w:t>
      </w:r>
      <w:r w:rsidRPr="00184862">
        <w:rPr>
          <w:sz w:val="22"/>
          <w:szCs w:val="22"/>
        </w:rPr>
        <w:t>Staffing Proportions by Health Care Setting and Country Income Classification</w:t>
      </w:r>
    </w:p>
    <w:bookmarkEnd w:id="22"/>
    <w:p w14:paraId="70F824F8" w14:textId="77777777" w:rsidR="00A44C40" w:rsidRDefault="00A44C40" w:rsidP="00A44C40"/>
    <w:tbl>
      <w:tblPr>
        <w:tblW w:w="9805" w:type="dxa"/>
        <w:tblLook w:val="04A0" w:firstRow="1" w:lastRow="0" w:firstColumn="1" w:lastColumn="0" w:noHBand="0" w:noVBand="1"/>
      </w:tblPr>
      <w:tblGrid>
        <w:gridCol w:w="2695"/>
        <w:gridCol w:w="1620"/>
        <w:gridCol w:w="1800"/>
        <w:gridCol w:w="1710"/>
        <w:gridCol w:w="1980"/>
      </w:tblGrid>
      <w:tr w:rsidR="00A44C40" w:rsidRPr="002907BB" w14:paraId="67683BA1" w14:textId="77777777" w:rsidTr="004259BB">
        <w:trPr>
          <w:trHeight w:val="300"/>
        </w:trPr>
        <w:tc>
          <w:tcPr>
            <w:tcW w:w="2695" w:type="dxa"/>
            <w:vMerge w:val="restart"/>
            <w:tcBorders>
              <w:top w:val="single" w:sz="12" w:space="0" w:color="auto"/>
              <w:left w:val="single" w:sz="4" w:space="0" w:color="auto"/>
              <w:bottom w:val="single" w:sz="4" w:space="0" w:color="000000"/>
              <w:right w:val="single" w:sz="4" w:space="0" w:color="auto"/>
            </w:tcBorders>
            <w:shd w:val="clear" w:color="auto" w:fill="auto"/>
            <w:vAlign w:val="center"/>
            <w:hideMark/>
          </w:tcPr>
          <w:p w14:paraId="7AAF3DD8" w14:textId="77777777" w:rsidR="00A44C40" w:rsidRPr="00184862" w:rsidRDefault="00A44C40" w:rsidP="004259BB">
            <w:pPr>
              <w:spacing w:after="0" w:line="240" w:lineRule="auto"/>
              <w:jc w:val="center"/>
              <w:rPr>
                <w:rFonts w:ascii="Palatino Linotype" w:eastAsia="Times New Roman" w:hAnsi="Palatino Linotype" w:cs="Calibri"/>
                <w:b/>
                <w:bCs/>
                <w:sz w:val="20"/>
                <w:szCs w:val="20"/>
              </w:rPr>
            </w:pPr>
            <w:bookmarkStart w:id="23" w:name="_Hlk127743945"/>
            <w:r w:rsidRPr="00184862">
              <w:rPr>
                <w:rFonts w:ascii="Palatino Linotype" w:eastAsia="Times New Roman" w:hAnsi="Palatino Linotype" w:cs="Calibri"/>
                <w:b/>
                <w:bCs/>
                <w:sz w:val="20"/>
                <w:szCs w:val="20"/>
              </w:rPr>
              <w:t>Occupation</w:t>
            </w:r>
          </w:p>
        </w:tc>
        <w:tc>
          <w:tcPr>
            <w:tcW w:w="3420" w:type="dxa"/>
            <w:gridSpan w:val="2"/>
            <w:tcBorders>
              <w:top w:val="single" w:sz="12" w:space="0" w:color="auto"/>
              <w:left w:val="nil"/>
              <w:bottom w:val="single" w:sz="4" w:space="0" w:color="auto"/>
              <w:right w:val="single" w:sz="4" w:space="0" w:color="auto"/>
            </w:tcBorders>
            <w:shd w:val="clear" w:color="auto" w:fill="auto"/>
            <w:noWrap/>
            <w:vAlign w:val="bottom"/>
            <w:hideMark/>
          </w:tcPr>
          <w:p w14:paraId="2FE47C22" w14:textId="77777777" w:rsidR="00A44C40" w:rsidRPr="00184862" w:rsidRDefault="00A44C40" w:rsidP="004259BB">
            <w:pPr>
              <w:spacing w:after="0" w:line="240" w:lineRule="auto"/>
              <w:jc w:val="center"/>
              <w:rPr>
                <w:rFonts w:ascii="Palatino Linotype" w:eastAsia="Times New Roman" w:hAnsi="Palatino Linotype" w:cs="Calibri"/>
                <w:b/>
                <w:bCs/>
                <w:color w:val="000000"/>
                <w:sz w:val="20"/>
                <w:szCs w:val="20"/>
              </w:rPr>
            </w:pPr>
            <w:r w:rsidRPr="00184862">
              <w:rPr>
                <w:rFonts w:ascii="Palatino Linotype" w:eastAsia="Times New Roman" w:hAnsi="Palatino Linotype" w:cs="Calibri"/>
                <w:b/>
                <w:bCs/>
                <w:color w:val="000000"/>
                <w:sz w:val="20"/>
                <w:szCs w:val="20"/>
              </w:rPr>
              <w:t>Outpatient</w:t>
            </w:r>
          </w:p>
        </w:tc>
        <w:tc>
          <w:tcPr>
            <w:tcW w:w="3690" w:type="dxa"/>
            <w:gridSpan w:val="2"/>
            <w:tcBorders>
              <w:top w:val="single" w:sz="12" w:space="0" w:color="auto"/>
              <w:left w:val="nil"/>
              <w:bottom w:val="single" w:sz="4" w:space="0" w:color="auto"/>
              <w:right w:val="single" w:sz="4" w:space="0" w:color="auto"/>
            </w:tcBorders>
            <w:shd w:val="clear" w:color="auto" w:fill="auto"/>
            <w:noWrap/>
            <w:vAlign w:val="bottom"/>
            <w:hideMark/>
          </w:tcPr>
          <w:p w14:paraId="6B7AF725" w14:textId="77777777" w:rsidR="00A44C40" w:rsidRPr="00184862" w:rsidRDefault="00A44C40" w:rsidP="004259BB">
            <w:pPr>
              <w:spacing w:after="0" w:line="240" w:lineRule="auto"/>
              <w:jc w:val="center"/>
              <w:rPr>
                <w:rFonts w:ascii="Palatino Linotype" w:eastAsia="Times New Roman" w:hAnsi="Palatino Linotype" w:cs="Calibri"/>
                <w:b/>
                <w:bCs/>
                <w:color w:val="000000"/>
                <w:sz w:val="20"/>
                <w:szCs w:val="20"/>
              </w:rPr>
            </w:pPr>
            <w:r w:rsidRPr="00184862">
              <w:rPr>
                <w:rFonts w:ascii="Palatino Linotype" w:eastAsia="Times New Roman" w:hAnsi="Palatino Linotype" w:cs="Calibri"/>
                <w:b/>
                <w:bCs/>
                <w:color w:val="000000"/>
                <w:sz w:val="20"/>
                <w:szCs w:val="20"/>
              </w:rPr>
              <w:t>Inpatient</w:t>
            </w:r>
          </w:p>
        </w:tc>
      </w:tr>
      <w:tr w:rsidR="00A44C40" w:rsidRPr="002907BB" w14:paraId="0136A7A8" w14:textId="77777777" w:rsidTr="004259BB">
        <w:trPr>
          <w:trHeight w:val="765"/>
        </w:trPr>
        <w:tc>
          <w:tcPr>
            <w:tcW w:w="2695" w:type="dxa"/>
            <w:vMerge/>
            <w:tcBorders>
              <w:top w:val="single" w:sz="4" w:space="0" w:color="000000"/>
              <w:left w:val="single" w:sz="4" w:space="0" w:color="auto"/>
              <w:bottom w:val="single" w:sz="4" w:space="0" w:color="000000"/>
              <w:right w:val="single" w:sz="4" w:space="0" w:color="auto"/>
            </w:tcBorders>
            <w:shd w:val="clear" w:color="auto" w:fill="auto"/>
            <w:vAlign w:val="center"/>
            <w:hideMark/>
          </w:tcPr>
          <w:p w14:paraId="24C46CA0" w14:textId="77777777" w:rsidR="00A44C40" w:rsidRPr="00184862" w:rsidRDefault="00A44C40" w:rsidP="004259BB">
            <w:pPr>
              <w:spacing w:after="0" w:line="240" w:lineRule="auto"/>
              <w:rPr>
                <w:rFonts w:ascii="Palatino Linotype" w:eastAsia="Times New Roman" w:hAnsi="Palatino Linotype" w:cs="Calibri"/>
                <w:b/>
                <w:bCs/>
                <w:sz w:val="20"/>
                <w:szCs w:val="20"/>
              </w:rPr>
            </w:pPr>
          </w:p>
        </w:tc>
        <w:tc>
          <w:tcPr>
            <w:tcW w:w="1620" w:type="dxa"/>
            <w:tcBorders>
              <w:top w:val="nil"/>
              <w:left w:val="nil"/>
              <w:bottom w:val="single" w:sz="4" w:space="0" w:color="auto"/>
              <w:right w:val="single" w:sz="4" w:space="0" w:color="auto"/>
            </w:tcBorders>
            <w:shd w:val="clear" w:color="auto" w:fill="auto"/>
            <w:noWrap/>
            <w:vAlign w:val="center"/>
            <w:hideMark/>
          </w:tcPr>
          <w:p w14:paraId="1E880780" w14:textId="77777777" w:rsidR="00A44C40" w:rsidRPr="00184862" w:rsidRDefault="00A44C40" w:rsidP="004259BB">
            <w:pPr>
              <w:spacing w:after="0" w:line="240" w:lineRule="auto"/>
              <w:jc w:val="center"/>
              <w:rPr>
                <w:rFonts w:ascii="Palatino Linotype" w:eastAsia="Times New Roman" w:hAnsi="Palatino Linotype" w:cs="Calibri"/>
                <w:b/>
                <w:bCs/>
                <w:color w:val="000000"/>
                <w:sz w:val="20"/>
                <w:szCs w:val="20"/>
              </w:rPr>
            </w:pPr>
            <w:r w:rsidRPr="00184862">
              <w:rPr>
                <w:rFonts w:ascii="Palatino Linotype" w:eastAsia="Times New Roman" w:hAnsi="Palatino Linotype" w:cs="Calibri"/>
                <w:b/>
                <w:bCs/>
                <w:color w:val="000000"/>
                <w:sz w:val="20"/>
                <w:szCs w:val="20"/>
              </w:rPr>
              <w:t>Day Care</w:t>
            </w:r>
          </w:p>
        </w:tc>
        <w:tc>
          <w:tcPr>
            <w:tcW w:w="1800" w:type="dxa"/>
            <w:tcBorders>
              <w:top w:val="nil"/>
              <w:left w:val="nil"/>
              <w:bottom w:val="single" w:sz="4" w:space="0" w:color="auto"/>
              <w:right w:val="single" w:sz="4" w:space="0" w:color="auto"/>
            </w:tcBorders>
            <w:shd w:val="clear" w:color="auto" w:fill="auto"/>
            <w:vAlign w:val="center"/>
            <w:hideMark/>
          </w:tcPr>
          <w:p w14:paraId="63947704" w14:textId="77777777" w:rsidR="00A44C40" w:rsidRPr="00184862" w:rsidRDefault="00A44C40" w:rsidP="004259BB">
            <w:pPr>
              <w:spacing w:after="0" w:line="240" w:lineRule="auto"/>
              <w:jc w:val="center"/>
              <w:rPr>
                <w:rFonts w:ascii="Palatino Linotype" w:eastAsia="Times New Roman" w:hAnsi="Palatino Linotype" w:cs="Calibri"/>
                <w:b/>
                <w:bCs/>
                <w:color w:val="000000"/>
                <w:sz w:val="20"/>
                <w:szCs w:val="20"/>
              </w:rPr>
            </w:pPr>
            <w:r w:rsidRPr="00184862">
              <w:rPr>
                <w:rFonts w:ascii="Palatino Linotype" w:eastAsia="Times New Roman" w:hAnsi="Palatino Linotype" w:cs="Calibri"/>
                <w:b/>
                <w:bCs/>
                <w:color w:val="000000"/>
                <w:sz w:val="20"/>
                <w:szCs w:val="20"/>
              </w:rPr>
              <w:t>Acute and Primary Care</w:t>
            </w:r>
          </w:p>
        </w:tc>
        <w:tc>
          <w:tcPr>
            <w:tcW w:w="1710" w:type="dxa"/>
            <w:tcBorders>
              <w:top w:val="nil"/>
              <w:left w:val="nil"/>
              <w:bottom w:val="single" w:sz="4" w:space="0" w:color="auto"/>
              <w:right w:val="single" w:sz="4" w:space="0" w:color="auto"/>
            </w:tcBorders>
            <w:shd w:val="clear" w:color="auto" w:fill="auto"/>
            <w:noWrap/>
            <w:vAlign w:val="center"/>
            <w:hideMark/>
          </w:tcPr>
          <w:p w14:paraId="51A6B329" w14:textId="77777777" w:rsidR="00A44C40" w:rsidRPr="00184862" w:rsidRDefault="00A44C40" w:rsidP="004259BB">
            <w:pPr>
              <w:spacing w:after="0" w:line="240" w:lineRule="auto"/>
              <w:jc w:val="center"/>
              <w:rPr>
                <w:rFonts w:ascii="Palatino Linotype" w:eastAsia="Times New Roman" w:hAnsi="Palatino Linotype" w:cs="Calibri"/>
                <w:b/>
                <w:bCs/>
                <w:color w:val="000000"/>
                <w:sz w:val="20"/>
                <w:szCs w:val="20"/>
              </w:rPr>
            </w:pPr>
            <w:r w:rsidRPr="00184862">
              <w:rPr>
                <w:rFonts w:ascii="Palatino Linotype" w:eastAsia="Times New Roman" w:hAnsi="Palatino Linotype" w:cs="Calibri"/>
                <w:b/>
                <w:bCs/>
                <w:color w:val="000000"/>
                <w:sz w:val="20"/>
                <w:szCs w:val="20"/>
              </w:rPr>
              <w:t>Acute Care</w:t>
            </w:r>
          </w:p>
        </w:tc>
        <w:tc>
          <w:tcPr>
            <w:tcW w:w="1980" w:type="dxa"/>
            <w:tcBorders>
              <w:top w:val="nil"/>
              <w:left w:val="nil"/>
              <w:bottom w:val="single" w:sz="4" w:space="0" w:color="auto"/>
              <w:right w:val="single" w:sz="4" w:space="0" w:color="auto"/>
            </w:tcBorders>
            <w:shd w:val="clear" w:color="auto" w:fill="auto"/>
            <w:vAlign w:val="center"/>
            <w:hideMark/>
          </w:tcPr>
          <w:p w14:paraId="03341C84" w14:textId="77777777" w:rsidR="00A44C40" w:rsidRPr="00184862" w:rsidRDefault="00A44C40" w:rsidP="004259BB">
            <w:pPr>
              <w:spacing w:after="0" w:line="240" w:lineRule="auto"/>
              <w:jc w:val="center"/>
              <w:rPr>
                <w:rFonts w:ascii="Palatino Linotype" w:eastAsia="Times New Roman" w:hAnsi="Palatino Linotype" w:cs="Calibri"/>
                <w:b/>
                <w:bCs/>
                <w:color w:val="000000"/>
                <w:sz w:val="20"/>
                <w:szCs w:val="20"/>
              </w:rPr>
            </w:pPr>
            <w:r w:rsidRPr="00184862">
              <w:rPr>
                <w:rFonts w:ascii="Palatino Linotype" w:eastAsia="Times New Roman" w:hAnsi="Palatino Linotype" w:cs="Calibri"/>
                <w:b/>
                <w:bCs/>
                <w:color w:val="000000"/>
                <w:sz w:val="20"/>
                <w:szCs w:val="20"/>
              </w:rPr>
              <w:t>Long Stay/Residential Care</w:t>
            </w:r>
          </w:p>
        </w:tc>
      </w:tr>
      <w:tr w:rsidR="00A44C40" w:rsidRPr="002907BB" w14:paraId="3C9873F2" w14:textId="77777777" w:rsidTr="004259BB">
        <w:trPr>
          <w:trHeight w:val="300"/>
        </w:trPr>
        <w:tc>
          <w:tcPr>
            <w:tcW w:w="2695" w:type="dxa"/>
            <w:tcBorders>
              <w:top w:val="nil"/>
              <w:left w:val="nil"/>
              <w:bottom w:val="single" w:sz="4" w:space="0" w:color="auto"/>
              <w:right w:val="nil"/>
            </w:tcBorders>
            <w:shd w:val="clear" w:color="auto" w:fill="auto"/>
            <w:noWrap/>
            <w:vAlign w:val="center"/>
            <w:hideMark/>
          </w:tcPr>
          <w:p w14:paraId="28CA9840" w14:textId="77777777" w:rsidR="00A44C40" w:rsidRPr="00184862" w:rsidRDefault="00A44C40" w:rsidP="004259BB">
            <w:pPr>
              <w:spacing w:after="0" w:line="240" w:lineRule="auto"/>
              <w:rPr>
                <w:rFonts w:ascii="Palatino Linotype" w:eastAsia="Times New Roman" w:hAnsi="Palatino Linotype" w:cs="Calibri"/>
                <w:b/>
                <w:bCs/>
                <w:color w:val="000000"/>
                <w:sz w:val="20"/>
                <w:szCs w:val="20"/>
              </w:rPr>
            </w:pPr>
            <w:r w:rsidRPr="00184862">
              <w:rPr>
                <w:rFonts w:ascii="Palatino Linotype" w:eastAsia="Times New Roman" w:hAnsi="Palatino Linotype" w:cs="Calibri"/>
                <w:b/>
                <w:bCs/>
                <w:color w:val="000000"/>
                <w:sz w:val="20"/>
                <w:szCs w:val="20"/>
              </w:rPr>
              <w:t>Low-income countries</w:t>
            </w:r>
          </w:p>
        </w:tc>
        <w:tc>
          <w:tcPr>
            <w:tcW w:w="1620" w:type="dxa"/>
            <w:tcBorders>
              <w:top w:val="nil"/>
              <w:left w:val="nil"/>
              <w:bottom w:val="single" w:sz="4" w:space="0" w:color="auto"/>
              <w:right w:val="nil"/>
            </w:tcBorders>
            <w:shd w:val="clear" w:color="auto" w:fill="auto"/>
            <w:noWrap/>
            <w:vAlign w:val="bottom"/>
            <w:hideMark/>
          </w:tcPr>
          <w:p w14:paraId="7F3F8CE8" w14:textId="77777777" w:rsidR="00A44C40" w:rsidRPr="00184862" w:rsidRDefault="00A44C40" w:rsidP="004259BB">
            <w:pPr>
              <w:spacing w:after="0" w:line="240" w:lineRule="auto"/>
              <w:jc w:val="right"/>
              <w:rPr>
                <w:rFonts w:ascii="Palatino Linotype" w:eastAsia="Times New Roman" w:hAnsi="Palatino Linotype" w:cs="Calibri"/>
                <w:sz w:val="20"/>
                <w:szCs w:val="20"/>
              </w:rPr>
            </w:pPr>
          </w:p>
        </w:tc>
        <w:tc>
          <w:tcPr>
            <w:tcW w:w="1800" w:type="dxa"/>
            <w:tcBorders>
              <w:top w:val="nil"/>
              <w:left w:val="nil"/>
              <w:bottom w:val="single" w:sz="4" w:space="0" w:color="auto"/>
              <w:right w:val="nil"/>
            </w:tcBorders>
            <w:shd w:val="clear" w:color="auto" w:fill="auto"/>
            <w:noWrap/>
            <w:vAlign w:val="bottom"/>
            <w:hideMark/>
          </w:tcPr>
          <w:p w14:paraId="440DA025" w14:textId="77777777" w:rsidR="00A44C40" w:rsidRPr="00184862" w:rsidRDefault="00A44C40" w:rsidP="004259BB">
            <w:pPr>
              <w:spacing w:after="0" w:line="240" w:lineRule="auto"/>
              <w:jc w:val="right"/>
              <w:rPr>
                <w:rFonts w:ascii="Palatino Linotype" w:eastAsia="Times New Roman" w:hAnsi="Palatino Linotype" w:cs="Calibri"/>
                <w:sz w:val="20"/>
                <w:szCs w:val="20"/>
              </w:rPr>
            </w:pPr>
          </w:p>
        </w:tc>
        <w:tc>
          <w:tcPr>
            <w:tcW w:w="1710" w:type="dxa"/>
            <w:tcBorders>
              <w:top w:val="nil"/>
              <w:left w:val="nil"/>
              <w:bottom w:val="single" w:sz="4" w:space="0" w:color="auto"/>
              <w:right w:val="nil"/>
            </w:tcBorders>
            <w:shd w:val="clear" w:color="auto" w:fill="auto"/>
            <w:noWrap/>
            <w:vAlign w:val="bottom"/>
            <w:hideMark/>
          </w:tcPr>
          <w:p w14:paraId="59C59769" w14:textId="77777777" w:rsidR="00A44C40" w:rsidRPr="00184862" w:rsidRDefault="00A44C40" w:rsidP="004259BB">
            <w:pPr>
              <w:spacing w:after="0" w:line="240" w:lineRule="auto"/>
              <w:jc w:val="right"/>
              <w:rPr>
                <w:rFonts w:ascii="Palatino Linotype" w:eastAsia="Times New Roman" w:hAnsi="Palatino Linotype" w:cs="Calibri"/>
                <w:sz w:val="20"/>
                <w:szCs w:val="20"/>
              </w:rPr>
            </w:pPr>
          </w:p>
        </w:tc>
        <w:tc>
          <w:tcPr>
            <w:tcW w:w="1980" w:type="dxa"/>
            <w:tcBorders>
              <w:top w:val="nil"/>
              <w:left w:val="nil"/>
              <w:bottom w:val="single" w:sz="4" w:space="0" w:color="auto"/>
              <w:right w:val="nil"/>
            </w:tcBorders>
            <w:shd w:val="clear" w:color="auto" w:fill="auto"/>
            <w:noWrap/>
            <w:vAlign w:val="bottom"/>
            <w:hideMark/>
          </w:tcPr>
          <w:p w14:paraId="0C4E8D89" w14:textId="77777777" w:rsidR="00A44C40" w:rsidRPr="00184862" w:rsidRDefault="00A44C40" w:rsidP="004259BB">
            <w:pPr>
              <w:spacing w:after="0" w:line="240" w:lineRule="auto"/>
              <w:jc w:val="right"/>
              <w:rPr>
                <w:rFonts w:ascii="Palatino Linotype" w:eastAsia="Times New Roman" w:hAnsi="Palatino Linotype" w:cs="Calibri"/>
                <w:sz w:val="20"/>
                <w:szCs w:val="20"/>
              </w:rPr>
            </w:pPr>
          </w:p>
        </w:tc>
      </w:tr>
      <w:tr w:rsidR="00A44C40" w:rsidRPr="002907BB" w14:paraId="219191C8" w14:textId="77777777" w:rsidTr="004259BB">
        <w:trPr>
          <w:trHeight w:val="300"/>
        </w:trPr>
        <w:tc>
          <w:tcPr>
            <w:tcW w:w="2695" w:type="dxa"/>
            <w:tcBorders>
              <w:top w:val="nil"/>
              <w:left w:val="nil"/>
              <w:bottom w:val="nil"/>
              <w:right w:val="nil"/>
            </w:tcBorders>
            <w:shd w:val="clear" w:color="auto" w:fill="auto"/>
            <w:noWrap/>
            <w:vAlign w:val="center"/>
            <w:hideMark/>
          </w:tcPr>
          <w:p w14:paraId="3FA4E714" w14:textId="77777777" w:rsidR="00A44C40" w:rsidRPr="00184862" w:rsidRDefault="00A44C40" w:rsidP="004259BB">
            <w:pPr>
              <w:spacing w:after="0" w:line="240" w:lineRule="auto"/>
              <w:rPr>
                <w:rFonts w:ascii="Palatino Linotype" w:eastAsia="Times New Roman" w:hAnsi="Palatino Linotype" w:cs="Calibri"/>
                <w:color w:val="000000"/>
                <w:sz w:val="20"/>
                <w:szCs w:val="20"/>
              </w:rPr>
            </w:pPr>
            <w:r w:rsidRPr="00184862">
              <w:rPr>
                <w:rFonts w:ascii="Palatino Linotype" w:eastAsia="Times New Roman" w:hAnsi="Palatino Linotype" w:cs="Calibri"/>
                <w:color w:val="000000"/>
                <w:sz w:val="20"/>
                <w:szCs w:val="20"/>
              </w:rPr>
              <w:t>Psychiatrists/specialists</w:t>
            </w:r>
          </w:p>
        </w:tc>
        <w:tc>
          <w:tcPr>
            <w:tcW w:w="1620" w:type="dxa"/>
            <w:tcBorders>
              <w:top w:val="nil"/>
              <w:left w:val="nil"/>
              <w:bottom w:val="nil"/>
              <w:right w:val="nil"/>
            </w:tcBorders>
            <w:shd w:val="clear" w:color="auto" w:fill="auto"/>
            <w:noWrap/>
            <w:vAlign w:val="bottom"/>
            <w:hideMark/>
          </w:tcPr>
          <w:p w14:paraId="3441ADC7" w14:textId="77777777" w:rsidR="00A44C40" w:rsidRPr="00184862" w:rsidRDefault="00A44C40" w:rsidP="004259BB">
            <w:pPr>
              <w:spacing w:after="0" w:line="240" w:lineRule="auto"/>
              <w:jc w:val="right"/>
              <w:rPr>
                <w:rFonts w:ascii="Palatino Linotype" w:eastAsia="Times New Roman" w:hAnsi="Palatino Linotype" w:cs="Calibri"/>
                <w:sz w:val="20"/>
                <w:szCs w:val="20"/>
              </w:rPr>
            </w:pPr>
            <w:r w:rsidRPr="00184862">
              <w:rPr>
                <w:rFonts w:ascii="Palatino Linotype" w:eastAsia="Times New Roman" w:hAnsi="Palatino Linotype" w:cs="Calibri"/>
                <w:sz w:val="20"/>
                <w:szCs w:val="20"/>
              </w:rPr>
              <w:t>0.00%</w:t>
            </w:r>
          </w:p>
        </w:tc>
        <w:tc>
          <w:tcPr>
            <w:tcW w:w="1800" w:type="dxa"/>
            <w:tcBorders>
              <w:top w:val="nil"/>
              <w:left w:val="nil"/>
              <w:bottom w:val="nil"/>
              <w:right w:val="nil"/>
            </w:tcBorders>
            <w:shd w:val="clear" w:color="auto" w:fill="auto"/>
            <w:noWrap/>
            <w:vAlign w:val="bottom"/>
            <w:hideMark/>
          </w:tcPr>
          <w:p w14:paraId="56B47805" w14:textId="77777777" w:rsidR="00A44C40" w:rsidRPr="00184862" w:rsidRDefault="00A44C40" w:rsidP="004259BB">
            <w:pPr>
              <w:spacing w:after="0" w:line="240" w:lineRule="auto"/>
              <w:jc w:val="right"/>
              <w:rPr>
                <w:rFonts w:ascii="Palatino Linotype" w:eastAsia="Times New Roman" w:hAnsi="Palatino Linotype" w:cs="Calibri"/>
                <w:sz w:val="20"/>
                <w:szCs w:val="20"/>
              </w:rPr>
            </w:pPr>
            <w:r w:rsidRPr="00184862">
              <w:rPr>
                <w:rFonts w:ascii="Palatino Linotype" w:eastAsia="Times New Roman" w:hAnsi="Palatino Linotype" w:cs="Calibri"/>
                <w:sz w:val="20"/>
                <w:szCs w:val="20"/>
              </w:rPr>
              <w:t>1.67%</w:t>
            </w:r>
          </w:p>
        </w:tc>
        <w:tc>
          <w:tcPr>
            <w:tcW w:w="1710" w:type="dxa"/>
            <w:tcBorders>
              <w:top w:val="nil"/>
              <w:left w:val="nil"/>
              <w:bottom w:val="nil"/>
              <w:right w:val="nil"/>
            </w:tcBorders>
            <w:shd w:val="clear" w:color="auto" w:fill="auto"/>
            <w:noWrap/>
            <w:vAlign w:val="bottom"/>
            <w:hideMark/>
          </w:tcPr>
          <w:p w14:paraId="646D31A7" w14:textId="77777777" w:rsidR="00A44C40" w:rsidRPr="00184862" w:rsidRDefault="00A44C40" w:rsidP="004259BB">
            <w:pPr>
              <w:spacing w:after="0" w:line="240" w:lineRule="auto"/>
              <w:jc w:val="right"/>
              <w:rPr>
                <w:rFonts w:ascii="Palatino Linotype" w:eastAsia="Times New Roman" w:hAnsi="Palatino Linotype" w:cs="Calibri"/>
                <w:sz w:val="20"/>
                <w:szCs w:val="20"/>
              </w:rPr>
            </w:pPr>
            <w:r w:rsidRPr="00184862">
              <w:rPr>
                <w:rFonts w:ascii="Palatino Linotype" w:eastAsia="Times New Roman" w:hAnsi="Palatino Linotype" w:cs="Calibri"/>
                <w:sz w:val="20"/>
                <w:szCs w:val="20"/>
              </w:rPr>
              <w:t>6.25%</w:t>
            </w:r>
          </w:p>
        </w:tc>
        <w:tc>
          <w:tcPr>
            <w:tcW w:w="1980" w:type="dxa"/>
            <w:tcBorders>
              <w:top w:val="nil"/>
              <w:left w:val="nil"/>
              <w:bottom w:val="nil"/>
              <w:right w:val="nil"/>
            </w:tcBorders>
            <w:shd w:val="clear" w:color="auto" w:fill="auto"/>
            <w:noWrap/>
            <w:vAlign w:val="bottom"/>
            <w:hideMark/>
          </w:tcPr>
          <w:p w14:paraId="4C16CBB4" w14:textId="77777777" w:rsidR="00A44C40" w:rsidRPr="00184862" w:rsidRDefault="00A44C40" w:rsidP="004259BB">
            <w:pPr>
              <w:spacing w:after="0" w:line="240" w:lineRule="auto"/>
              <w:jc w:val="right"/>
              <w:rPr>
                <w:rFonts w:ascii="Palatino Linotype" w:eastAsia="Times New Roman" w:hAnsi="Palatino Linotype" w:cs="Calibri"/>
                <w:sz w:val="20"/>
                <w:szCs w:val="20"/>
              </w:rPr>
            </w:pPr>
            <w:r w:rsidRPr="00184862">
              <w:rPr>
                <w:rFonts w:ascii="Palatino Linotype" w:eastAsia="Times New Roman" w:hAnsi="Palatino Linotype" w:cs="Calibri"/>
                <w:sz w:val="20"/>
                <w:szCs w:val="20"/>
              </w:rPr>
              <w:t>7.69%</w:t>
            </w:r>
          </w:p>
        </w:tc>
      </w:tr>
      <w:tr w:rsidR="00A44C40" w:rsidRPr="002907BB" w14:paraId="54079EF3" w14:textId="77777777" w:rsidTr="004259BB">
        <w:trPr>
          <w:trHeight w:val="300"/>
        </w:trPr>
        <w:tc>
          <w:tcPr>
            <w:tcW w:w="2695" w:type="dxa"/>
            <w:tcBorders>
              <w:top w:val="nil"/>
              <w:left w:val="nil"/>
              <w:bottom w:val="nil"/>
              <w:right w:val="nil"/>
            </w:tcBorders>
            <w:shd w:val="clear" w:color="auto" w:fill="auto"/>
            <w:noWrap/>
            <w:vAlign w:val="center"/>
            <w:hideMark/>
          </w:tcPr>
          <w:p w14:paraId="689273E1" w14:textId="77777777" w:rsidR="00A44C40" w:rsidRPr="00184862" w:rsidRDefault="00A44C40" w:rsidP="004259BB">
            <w:pPr>
              <w:spacing w:after="0" w:line="240" w:lineRule="auto"/>
              <w:rPr>
                <w:rFonts w:ascii="Palatino Linotype" w:eastAsia="Times New Roman" w:hAnsi="Palatino Linotype" w:cs="Calibri"/>
                <w:color w:val="000000"/>
                <w:sz w:val="20"/>
                <w:szCs w:val="20"/>
              </w:rPr>
            </w:pPr>
            <w:r w:rsidRPr="00184862">
              <w:rPr>
                <w:rFonts w:ascii="Palatino Linotype" w:eastAsia="Times New Roman" w:hAnsi="Palatino Linotype" w:cs="Calibri"/>
                <w:color w:val="000000"/>
                <w:sz w:val="20"/>
                <w:szCs w:val="20"/>
              </w:rPr>
              <w:t>Nursing care provider</w:t>
            </w:r>
          </w:p>
        </w:tc>
        <w:tc>
          <w:tcPr>
            <w:tcW w:w="1620" w:type="dxa"/>
            <w:tcBorders>
              <w:top w:val="nil"/>
              <w:left w:val="nil"/>
              <w:bottom w:val="nil"/>
              <w:right w:val="nil"/>
            </w:tcBorders>
            <w:shd w:val="clear" w:color="auto" w:fill="auto"/>
            <w:noWrap/>
            <w:vAlign w:val="bottom"/>
            <w:hideMark/>
          </w:tcPr>
          <w:p w14:paraId="557470DA" w14:textId="77777777" w:rsidR="00A44C40" w:rsidRPr="00184862" w:rsidRDefault="00A44C40" w:rsidP="004259BB">
            <w:pPr>
              <w:spacing w:after="0" w:line="240" w:lineRule="auto"/>
              <w:jc w:val="right"/>
              <w:rPr>
                <w:rFonts w:ascii="Palatino Linotype" w:eastAsia="Times New Roman" w:hAnsi="Palatino Linotype" w:cs="Calibri"/>
                <w:sz w:val="20"/>
                <w:szCs w:val="20"/>
              </w:rPr>
            </w:pPr>
            <w:r w:rsidRPr="00184862">
              <w:rPr>
                <w:rFonts w:ascii="Palatino Linotype" w:eastAsia="Times New Roman" w:hAnsi="Palatino Linotype" w:cs="Calibri"/>
                <w:sz w:val="20"/>
                <w:szCs w:val="20"/>
              </w:rPr>
              <w:t>66.67%</w:t>
            </w:r>
          </w:p>
        </w:tc>
        <w:tc>
          <w:tcPr>
            <w:tcW w:w="1800" w:type="dxa"/>
            <w:tcBorders>
              <w:top w:val="nil"/>
              <w:left w:val="nil"/>
              <w:bottom w:val="nil"/>
              <w:right w:val="nil"/>
            </w:tcBorders>
            <w:shd w:val="clear" w:color="auto" w:fill="auto"/>
            <w:noWrap/>
            <w:vAlign w:val="bottom"/>
            <w:hideMark/>
          </w:tcPr>
          <w:p w14:paraId="6F1A4D89" w14:textId="77777777" w:rsidR="00A44C40" w:rsidRPr="00184862" w:rsidRDefault="00A44C40" w:rsidP="004259BB">
            <w:pPr>
              <w:spacing w:after="0" w:line="240" w:lineRule="auto"/>
              <w:jc w:val="right"/>
              <w:rPr>
                <w:rFonts w:ascii="Palatino Linotype" w:eastAsia="Times New Roman" w:hAnsi="Palatino Linotype" w:cs="Calibri"/>
                <w:sz w:val="20"/>
                <w:szCs w:val="20"/>
              </w:rPr>
            </w:pPr>
            <w:r w:rsidRPr="00184862">
              <w:rPr>
                <w:rFonts w:ascii="Palatino Linotype" w:eastAsia="Times New Roman" w:hAnsi="Palatino Linotype" w:cs="Calibri"/>
                <w:sz w:val="20"/>
                <w:szCs w:val="20"/>
              </w:rPr>
              <w:t>20.83%</w:t>
            </w:r>
          </w:p>
        </w:tc>
        <w:tc>
          <w:tcPr>
            <w:tcW w:w="1710" w:type="dxa"/>
            <w:tcBorders>
              <w:top w:val="nil"/>
              <w:left w:val="nil"/>
              <w:bottom w:val="nil"/>
              <w:right w:val="nil"/>
            </w:tcBorders>
            <w:shd w:val="clear" w:color="auto" w:fill="auto"/>
            <w:noWrap/>
            <w:vAlign w:val="bottom"/>
            <w:hideMark/>
          </w:tcPr>
          <w:p w14:paraId="5F1D61A6" w14:textId="77777777" w:rsidR="00A44C40" w:rsidRPr="00184862" w:rsidRDefault="00A44C40" w:rsidP="004259BB">
            <w:pPr>
              <w:spacing w:after="0" w:line="240" w:lineRule="auto"/>
              <w:jc w:val="right"/>
              <w:rPr>
                <w:rFonts w:ascii="Palatino Linotype" w:eastAsia="Times New Roman" w:hAnsi="Palatino Linotype" w:cs="Calibri"/>
                <w:sz w:val="20"/>
                <w:szCs w:val="20"/>
              </w:rPr>
            </w:pPr>
            <w:r w:rsidRPr="00184862">
              <w:rPr>
                <w:rFonts w:ascii="Palatino Linotype" w:eastAsia="Times New Roman" w:hAnsi="Palatino Linotype" w:cs="Calibri"/>
                <w:sz w:val="20"/>
                <w:szCs w:val="20"/>
              </w:rPr>
              <w:t>62.50%</w:t>
            </w:r>
          </w:p>
        </w:tc>
        <w:tc>
          <w:tcPr>
            <w:tcW w:w="1980" w:type="dxa"/>
            <w:tcBorders>
              <w:top w:val="nil"/>
              <w:left w:val="nil"/>
              <w:bottom w:val="nil"/>
              <w:right w:val="nil"/>
            </w:tcBorders>
            <w:shd w:val="clear" w:color="auto" w:fill="auto"/>
            <w:noWrap/>
            <w:vAlign w:val="bottom"/>
            <w:hideMark/>
          </w:tcPr>
          <w:p w14:paraId="05381844" w14:textId="77777777" w:rsidR="00A44C40" w:rsidRPr="00184862" w:rsidRDefault="00A44C40" w:rsidP="004259BB">
            <w:pPr>
              <w:spacing w:after="0" w:line="240" w:lineRule="auto"/>
              <w:jc w:val="right"/>
              <w:rPr>
                <w:rFonts w:ascii="Palatino Linotype" w:eastAsia="Times New Roman" w:hAnsi="Palatino Linotype" w:cs="Calibri"/>
                <w:sz w:val="20"/>
                <w:szCs w:val="20"/>
              </w:rPr>
            </w:pPr>
            <w:r w:rsidRPr="00184862">
              <w:rPr>
                <w:rFonts w:ascii="Palatino Linotype" w:eastAsia="Times New Roman" w:hAnsi="Palatino Linotype" w:cs="Calibri"/>
                <w:sz w:val="20"/>
                <w:szCs w:val="20"/>
              </w:rPr>
              <w:t>61.54%</w:t>
            </w:r>
          </w:p>
        </w:tc>
      </w:tr>
      <w:tr w:rsidR="00A44C40" w:rsidRPr="002907BB" w14:paraId="255C6E74" w14:textId="77777777" w:rsidTr="004259BB">
        <w:trPr>
          <w:trHeight w:val="300"/>
        </w:trPr>
        <w:tc>
          <w:tcPr>
            <w:tcW w:w="2695" w:type="dxa"/>
            <w:tcBorders>
              <w:top w:val="nil"/>
              <w:left w:val="nil"/>
              <w:bottom w:val="single" w:sz="4" w:space="0" w:color="auto"/>
              <w:right w:val="nil"/>
            </w:tcBorders>
            <w:shd w:val="clear" w:color="auto" w:fill="auto"/>
            <w:noWrap/>
            <w:vAlign w:val="center"/>
            <w:hideMark/>
          </w:tcPr>
          <w:p w14:paraId="4369BD99" w14:textId="77777777" w:rsidR="00A44C40" w:rsidRPr="00184862" w:rsidRDefault="00A44C40" w:rsidP="004259BB">
            <w:pPr>
              <w:spacing w:after="0" w:line="240" w:lineRule="auto"/>
              <w:rPr>
                <w:rFonts w:ascii="Palatino Linotype" w:eastAsia="Times New Roman" w:hAnsi="Palatino Linotype" w:cs="Calibri"/>
                <w:color w:val="000000"/>
                <w:sz w:val="20"/>
                <w:szCs w:val="20"/>
              </w:rPr>
            </w:pPr>
            <w:r w:rsidRPr="00184862">
              <w:rPr>
                <w:rFonts w:ascii="Palatino Linotype" w:eastAsia="Times New Roman" w:hAnsi="Palatino Linotype" w:cs="Calibri"/>
                <w:color w:val="000000"/>
                <w:sz w:val="20"/>
                <w:szCs w:val="20"/>
              </w:rPr>
              <w:t>Psychosocial care provider</w:t>
            </w:r>
          </w:p>
        </w:tc>
        <w:tc>
          <w:tcPr>
            <w:tcW w:w="1620" w:type="dxa"/>
            <w:tcBorders>
              <w:top w:val="nil"/>
              <w:left w:val="nil"/>
              <w:bottom w:val="single" w:sz="4" w:space="0" w:color="auto"/>
              <w:right w:val="nil"/>
            </w:tcBorders>
            <w:shd w:val="clear" w:color="auto" w:fill="auto"/>
            <w:noWrap/>
            <w:vAlign w:val="bottom"/>
            <w:hideMark/>
          </w:tcPr>
          <w:p w14:paraId="4A9B70F2" w14:textId="77777777" w:rsidR="00A44C40" w:rsidRPr="00184862" w:rsidRDefault="00A44C40" w:rsidP="004259BB">
            <w:pPr>
              <w:spacing w:after="0" w:line="240" w:lineRule="auto"/>
              <w:jc w:val="right"/>
              <w:rPr>
                <w:rFonts w:ascii="Palatino Linotype" w:eastAsia="Times New Roman" w:hAnsi="Palatino Linotype" w:cs="Calibri"/>
                <w:sz w:val="20"/>
                <w:szCs w:val="20"/>
              </w:rPr>
            </w:pPr>
            <w:r w:rsidRPr="00184862">
              <w:rPr>
                <w:rFonts w:ascii="Palatino Linotype" w:eastAsia="Times New Roman" w:hAnsi="Palatino Linotype" w:cs="Calibri"/>
                <w:sz w:val="20"/>
                <w:szCs w:val="20"/>
              </w:rPr>
              <w:t>33.33%</w:t>
            </w:r>
          </w:p>
        </w:tc>
        <w:tc>
          <w:tcPr>
            <w:tcW w:w="1800" w:type="dxa"/>
            <w:tcBorders>
              <w:top w:val="nil"/>
              <w:left w:val="nil"/>
              <w:bottom w:val="single" w:sz="4" w:space="0" w:color="auto"/>
              <w:right w:val="nil"/>
            </w:tcBorders>
            <w:shd w:val="clear" w:color="auto" w:fill="auto"/>
            <w:noWrap/>
            <w:vAlign w:val="bottom"/>
            <w:hideMark/>
          </w:tcPr>
          <w:p w14:paraId="4848D000" w14:textId="77777777" w:rsidR="00A44C40" w:rsidRPr="00184862" w:rsidRDefault="00A44C40" w:rsidP="004259BB">
            <w:pPr>
              <w:spacing w:after="0" w:line="240" w:lineRule="auto"/>
              <w:jc w:val="right"/>
              <w:rPr>
                <w:rFonts w:ascii="Palatino Linotype" w:eastAsia="Times New Roman" w:hAnsi="Palatino Linotype" w:cs="Calibri"/>
                <w:sz w:val="20"/>
                <w:szCs w:val="20"/>
              </w:rPr>
            </w:pPr>
            <w:r w:rsidRPr="00184862">
              <w:rPr>
                <w:rFonts w:ascii="Palatino Linotype" w:eastAsia="Times New Roman" w:hAnsi="Palatino Linotype" w:cs="Calibri"/>
                <w:sz w:val="20"/>
                <w:szCs w:val="20"/>
              </w:rPr>
              <w:t>77.50%</w:t>
            </w:r>
          </w:p>
        </w:tc>
        <w:tc>
          <w:tcPr>
            <w:tcW w:w="1710" w:type="dxa"/>
            <w:tcBorders>
              <w:top w:val="nil"/>
              <w:left w:val="nil"/>
              <w:bottom w:val="single" w:sz="4" w:space="0" w:color="auto"/>
              <w:right w:val="nil"/>
            </w:tcBorders>
            <w:shd w:val="clear" w:color="auto" w:fill="auto"/>
            <w:noWrap/>
            <w:vAlign w:val="bottom"/>
            <w:hideMark/>
          </w:tcPr>
          <w:p w14:paraId="2C6072E8" w14:textId="77777777" w:rsidR="00A44C40" w:rsidRPr="00184862" w:rsidRDefault="00A44C40" w:rsidP="004259BB">
            <w:pPr>
              <w:spacing w:after="0" w:line="240" w:lineRule="auto"/>
              <w:jc w:val="right"/>
              <w:rPr>
                <w:rFonts w:ascii="Palatino Linotype" w:eastAsia="Times New Roman" w:hAnsi="Palatino Linotype" w:cs="Calibri"/>
                <w:sz w:val="20"/>
                <w:szCs w:val="20"/>
              </w:rPr>
            </w:pPr>
            <w:r w:rsidRPr="00184862">
              <w:rPr>
                <w:rFonts w:ascii="Palatino Linotype" w:eastAsia="Times New Roman" w:hAnsi="Palatino Linotype" w:cs="Calibri"/>
                <w:sz w:val="20"/>
                <w:szCs w:val="20"/>
              </w:rPr>
              <w:t>31.25%</w:t>
            </w:r>
          </w:p>
        </w:tc>
        <w:tc>
          <w:tcPr>
            <w:tcW w:w="1980" w:type="dxa"/>
            <w:tcBorders>
              <w:top w:val="nil"/>
              <w:left w:val="nil"/>
              <w:bottom w:val="single" w:sz="4" w:space="0" w:color="auto"/>
              <w:right w:val="nil"/>
            </w:tcBorders>
            <w:shd w:val="clear" w:color="auto" w:fill="auto"/>
            <w:noWrap/>
            <w:vAlign w:val="bottom"/>
            <w:hideMark/>
          </w:tcPr>
          <w:p w14:paraId="0B24FF22" w14:textId="77777777" w:rsidR="00A44C40" w:rsidRPr="00184862" w:rsidRDefault="00A44C40" w:rsidP="004259BB">
            <w:pPr>
              <w:spacing w:after="0" w:line="240" w:lineRule="auto"/>
              <w:jc w:val="right"/>
              <w:rPr>
                <w:rFonts w:ascii="Palatino Linotype" w:eastAsia="Times New Roman" w:hAnsi="Palatino Linotype" w:cs="Calibri"/>
                <w:sz w:val="20"/>
                <w:szCs w:val="20"/>
              </w:rPr>
            </w:pPr>
            <w:r w:rsidRPr="00184862">
              <w:rPr>
                <w:rFonts w:ascii="Palatino Linotype" w:eastAsia="Times New Roman" w:hAnsi="Palatino Linotype" w:cs="Calibri"/>
                <w:sz w:val="20"/>
                <w:szCs w:val="20"/>
              </w:rPr>
              <w:t>30.77%</w:t>
            </w:r>
          </w:p>
        </w:tc>
      </w:tr>
      <w:tr w:rsidR="00A44C40" w:rsidRPr="002907BB" w14:paraId="08A819EC" w14:textId="77777777" w:rsidTr="004259BB">
        <w:trPr>
          <w:trHeight w:val="300"/>
        </w:trPr>
        <w:tc>
          <w:tcPr>
            <w:tcW w:w="2695" w:type="dxa"/>
            <w:tcBorders>
              <w:top w:val="nil"/>
              <w:left w:val="nil"/>
              <w:bottom w:val="nil"/>
              <w:right w:val="nil"/>
            </w:tcBorders>
            <w:shd w:val="clear" w:color="auto" w:fill="auto"/>
            <w:noWrap/>
            <w:vAlign w:val="center"/>
            <w:hideMark/>
          </w:tcPr>
          <w:p w14:paraId="66062D55" w14:textId="77777777" w:rsidR="00A44C40" w:rsidRPr="00184862" w:rsidRDefault="00A44C40" w:rsidP="004259BB">
            <w:pPr>
              <w:spacing w:after="0" w:line="240" w:lineRule="auto"/>
              <w:rPr>
                <w:rFonts w:ascii="Palatino Linotype" w:eastAsia="Times New Roman" w:hAnsi="Palatino Linotype" w:cs="Calibri"/>
                <w:b/>
                <w:bCs/>
                <w:color w:val="000000"/>
                <w:sz w:val="20"/>
                <w:szCs w:val="20"/>
              </w:rPr>
            </w:pPr>
            <w:r w:rsidRPr="00184862">
              <w:rPr>
                <w:rFonts w:ascii="Palatino Linotype" w:eastAsia="Times New Roman" w:hAnsi="Palatino Linotype" w:cs="Calibri"/>
                <w:b/>
                <w:bCs/>
                <w:color w:val="000000"/>
                <w:sz w:val="20"/>
                <w:szCs w:val="20"/>
              </w:rPr>
              <w:t>TOTAL</w:t>
            </w:r>
          </w:p>
        </w:tc>
        <w:tc>
          <w:tcPr>
            <w:tcW w:w="1620" w:type="dxa"/>
            <w:tcBorders>
              <w:top w:val="nil"/>
              <w:left w:val="nil"/>
              <w:bottom w:val="nil"/>
              <w:right w:val="nil"/>
            </w:tcBorders>
            <w:shd w:val="clear" w:color="auto" w:fill="auto"/>
            <w:noWrap/>
            <w:vAlign w:val="bottom"/>
            <w:hideMark/>
          </w:tcPr>
          <w:p w14:paraId="160603E0" w14:textId="77777777" w:rsidR="00A44C40" w:rsidRPr="00184862" w:rsidRDefault="00A44C40" w:rsidP="004259BB">
            <w:pPr>
              <w:spacing w:after="0" w:line="240" w:lineRule="auto"/>
              <w:jc w:val="right"/>
              <w:rPr>
                <w:rFonts w:ascii="Palatino Linotype" w:eastAsia="Times New Roman" w:hAnsi="Palatino Linotype" w:cs="Calibri"/>
                <w:sz w:val="20"/>
                <w:szCs w:val="20"/>
              </w:rPr>
            </w:pPr>
            <w:r w:rsidRPr="00184862">
              <w:rPr>
                <w:rFonts w:ascii="Palatino Linotype" w:eastAsia="Times New Roman" w:hAnsi="Palatino Linotype" w:cs="Calibri"/>
                <w:sz w:val="20"/>
                <w:szCs w:val="20"/>
              </w:rPr>
              <w:t>100.00%</w:t>
            </w:r>
          </w:p>
        </w:tc>
        <w:tc>
          <w:tcPr>
            <w:tcW w:w="1800" w:type="dxa"/>
            <w:tcBorders>
              <w:top w:val="nil"/>
              <w:left w:val="nil"/>
              <w:bottom w:val="nil"/>
              <w:right w:val="nil"/>
            </w:tcBorders>
            <w:shd w:val="clear" w:color="auto" w:fill="auto"/>
            <w:noWrap/>
            <w:vAlign w:val="bottom"/>
            <w:hideMark/>
          </w:tcPr>
          <w:p w14:paraId="7FCF74B9" w14:textId="77777777" w:rsidR="00A44C40" w:rsidRPr="00184862" w:rsidRDefault="00A44C40" w:rsidP="004259BB">
            <w:pPr>
              <w:spacing w:after="0" w:line="240" w:lineRule="auto"/>
              <w:jc w:val="right"/>
              <w:rPr>
                <w:rFonts w:ascii="Palatino Linotype" w:eastAsia="Times New Roman" w:hAnsi="Palatino Linotype" w:cs="Calibri"/>
                <w:sz w:val="20"/>
                <w:szCs w:val="20"/>
              </w:rPr>
            </w:pPr>
            <w:r w:rsidRPr="00184862">
              <w:rPr>
                <w:rFonts w:ascii="Palatino Linotype" w:eastAsia="Times New Roman" w:hAnsi="Palatino Linotype" w:cs="Calibri"/>
                <w:sz w:val="20"/>
                <w:szCs w:val="20"/>
              </w:rPr>
              <w:t>100.00%</w:t>
            </w:r>
          </w:p>
        </w:tc>
        <w:tc>
          <w:tcPr>
            <w:tcW w:w="1710" w:type="dxa"/>
            <w:tcBorders>
              <w:top w:val="nil"/>
              <w:left w:val="nil"/>
              <w:bottom w:val="nil"/>
              <w:right w:val="nil"/>
            </w:tcBorders>
            <w:shd w:val="clear" w:color="auto" w:fill="auto"/>
            <w:noWrap/>
            <w:vAlign w:val="bottom"/>
            <w:hideMark/>
          </w:tcPr>
          <w:p w14:paraId="54BDE0EE" w14:textId="77777777" w:rsidR="00A44C40" w:rsidRPr="00184862" w:rsidRDefault="00A44C40" w:rsidP="004259BB">
            <w:pPr>
              <w:spacing w:after="0" w:line="240" w:lineRule="auto"/>
              <w:jc w:val="right"/>
              <w:rPr>
                <w:rFonts w:ascii="Palatino Linotype" w:eastAsia="Times New Roman" w:hAnsi="Palatino Linotype" w:cs="Calibri"/>
                <w:sz w:val="20"/>
                <w:szCs w:val="20"/>
              </w:rPr>
            </w:pPr>
            <w:r w:rsidRPr="00184862">
              <w:rPr>
                <w:rFonts w:ascii="Palatino Linotype" w:eastAsia="Times New Roman" w:hAnsi="Palatino Linotype" w:cs="Calibri"/>
                <w:sz w:val="20"/>
                <w:szCs w:val="20"/>
              </w:rPr>
              <w:t>100.00%</w:t>
            </w:r>
          </w:p>
        </w:tc>
        <w:tc>
          <w:tcPr>
            <w:tcW w:w="1980" w:type="dxa"/>
            <w:tcBorders>
              <w:top w:val="nil"/>
              <w:left w:val="nil"/>
              <w:bottom w:val="nil"/>
              <w:right w:val="nil"/>
            </w:tcBorders>
            <w:shd w:val="clear" w:color="auto" w:fill="auto"/>
            <w:noWrap/>
            <w:vAlign w:val="bottom"/>
            <w:hideMark/>
          </w:tcPr>
          <w:p w14:paraId="136AF0E4" w14:textId="77777777" w:rsidR="00A44C40" w:rsidRPr="00184862" w:rsidRDefault="00A44C40" w:rsidP="004259BB">
            <w:pPr>
              <w:spacing w:after="0" w:line="240" w:lineRule="auto"/>
              <w:jc w:val="right"/>
              <w:rPr>
                <w:rFonts w:ascii="Palatino Linotype" w:eastAsia="Times New Roman" w:hAnsi="Palatino Linotype" w:cs="Calibri"/>
                <w:sz w:val="20"/>
                <w:szCs w:val="20"/>
              </w:rPr>
            </w:pPr>
            <w:r w:rsidRPr="00184862">
              <w:rPr>
                <w:rFonts w:ascii="Palatino Linotype" w:eastAsia="Times New Roman" w:hAnsi="Palatino Linotype" w:cs="Calibri"/>
                <w:sz w:val="20"/>
                <w:szCs w:val="20"/>
              </w:rPr>
              <w:t>100.00%</w:t>
            </w:r>
          </w:p>
        </w:tc>
      </w:tr>
      <w:tr w:rsidR="00A44C40" w:rsidRPr="002907BB" w14:paraId="2BF225CE" w14:textId="77777777" w:rsidTr="004259BB">
        <w:trPr>
          <w:trHeight w:val="300"/>
        </w:trPr>
        <w:tc>
          <w:tcPr>
            <w:tcW w:w="2695" w:type="dxa"/>
            <w:tcBorders>
              <w:top w:val="nil"/>
              <w:left w:val="nil"/>
              <w:bottom w:val="single" w:sz="4" w:space="0" w:color="auto"/>
              <w:right w:val="nil"/>
            </w:tcBorders>
            <w:shd w:val="clear" w:color="auto" w:fill="auto"/>
            <w:noWrap/>
            <w:vAlign w:val="bottom"/>
            <w:hideMark/>
          </w:tcPr>
          <w:p w14:paraId="33F723F7" w14:textId="77777777" w:rsidR="00A44C40" w:rsidRPr="00184862" w:rsidRDefault="00A44C40" w:rsidP="004259BB">
            <w:pPr>
              <w:spacing w:after="0" w:line="240" w:lineRule="auto"/>
              <w:rPr>
                <w:rFonts w:ascii="Palatino Linotype" w:eastAsia="Times New Roman" w:hAnsi="Palatino Linotype" w:cs="Calibri"/>
                <w:b/>
                <w:bCs/>
                <w:color w:val="000000"/>
                <w:sz w:val="20"/>
                <w:szCs w:val="20"/>
              </w:rPr>
            </w:pPr>
            <w:r w:rsidRPr="00184862">
              <w:rPr>
                <w:rFonts w:ascii="Palatino Linotype" w:eastAsia="Times New Roman" w:hAnsi="Palatino Linotype" w:cs="Calibri"/>
                <w:b/>
                <w:bCs/>
                <w:color w:val="000000"/>
                <w:sz w:val="20"/>
                <w:szCs w:val="20"/>
              </w:rPr>
              <w:t>Middle-income countries</w:t>
            </w:r>
          </w:p>
        </w:tc>
        <w:tc>
          <w:tcPr>
            <w:tcW w:w="1620" w:type="dxa"/>
            <w:tcBorders>
              <w:top w:val="nil"/>
              <w:left w:val="nil"/>
              <w:bottom w:val="single" w:sz="4" w:space="0" w:color="auto"/>
              <w:right w:val="nil"/>
            </w:tcBorders>
            <w:shd w:val="clear" w:color="auto" w:fill="auto"/>
            <w:noWrap/>
            <w:vAlign w:val="bottom"/>
            <w:hideMark/>
          </w:tcPr>
          <w:p w14:paraId="2B2B7B2C" w14:textId="77777777" w:rsidR="00A44C40" w:rsidRPr="00184862" w:rsidRDefault="00A44C40" w:rsidP="004259BB">
            <w:pPr>
              <w:spacing w:after="0" w:line="240" w:lineRule="auto"/>
              <w:rPr>
                <w:rFonts w:ascii="Palatino Linotype" w:eastAsia="Times New Roman" w:hAnsi="Palatino Linotype" w:cs="Calibri"/>
                <w:color w:val="000000"/>
                <w:sz w:val="20"/>
                <w:szCs w:val="20"/>
              </w:rPr>
            </w:pPr>
          </w:p>
        </w:tc>
        <w:tc>
          <w:tcPr>
            <w:tcW w:w="1800" w:type="dxa"/>
            <w:tcBorders>
              <w:top w:val="nil"/>
              <w:left w:val="nil"/>
              <w:bottom w:val="single" w:sz="4" w:space="0" w:color="auto"/>
              <w:right w:val="nil"/>
            </w:tcBorders>
            <w:shd w:val="clear" w:color="auto" w:fill="auto"/>
            <w:noWrap/>
            <w:vAlign w:val="bottom"/>
            <w:hideMark/>
          </w:tcPr>
          <w:p w14:paraId="3E21028E" w14:textId="77777777" w:rsidR="00A44C40" w:rsidRPr="00184862" w:rsidRDefault="00A44C40" w:rsidP="004259BB">
            <w:pPr>
              <w:spacing w:after="0" w:line="240" w:lineRule="auto"/>
              <w:rPr>
                <w:rFonts w:ascii="Palatino Linotype" w:eastAsia="Times New Roman" w:hAnsi="Palatino Linotype" w:cs="Calibri"/>
                <w:color w:val="000000"/>
                <w:sz w:val="20"/>
                <w:szCs w:val="20"/>
              </w:rPr>
            </w:pPr>
          </w:p>
        </w:tc>
        <w:tc>
          <w:tcPr>
            <w:tcW w:w="1710" w:type="dxa"/>
            <w:tcBorders>
              <w:top w:val="nil"/>
              <w:left w:val="nil"/>
              <w:bottom w:val="single" w:sz="4" w:space="0" w:color="auto"/>
              <w:right w:val="nil"/>
            </w:tcBorders>
            <w:shd w:val="clear" w:color="auto" w:fill="auto"/>
            <w:noWrap/>
            <w:vAlign w:val="bottom"/>
            <w:hideMark/>
          </w:tcPr>
          <w:p w14:paraId="136BC493" w14:textId="77777777" w:rsidR="00A44C40" w:rsidRPr="00184862" w:rsidRDefault="00A44C40" w:rsidP="004259BB">
            <w:pPr>
              <w:spacing w:after="0" w:line="240" w:lineRule="auto"/>
              <w:rPr>
                <w:rFonts w:ascii="Palatino Linotype" w:eastAsia="Times New Roman" w:hAnsi="Palatino Linotype" w:cs="Calibri"/>
                <w:color w:val="000000"/>
                <w:sz w:val="20"/>
                <w:szCs w:val="20"/>
              </w:rPr>
            </w:pPr>
          </w:p>
        </w:tc>
        <w:tc>
          <w:tcPr>
            <w:tcW w:w="1980" w:type="dxa"/>
            <w:tcBorders>
              <w:top w:val="nil"/>
              <w:left w:val="nil"/>
              <w:bottom w:val="single" w:sz="4" w:space="0" w:color="auto"/>
              <w:right w:val="nil"/>
            </w:tcBorders>
            <w:shd w:val="clear" w:color="auto" w:fill="auto"/>
            <w:noWrap/>
            <w:vAlign w:val="bottom"/>
            <w:hideMark/>
          </w:tcPr>
          <w:p w14:paraId="2860FDB7" w14:textId="77777777" w:rsidR="00A44C40" w:rsidRPr="00184862" w:rsidRDefault="00A44C40" w:rsidP="004259BB">
            <w:pPr>
              <w:spacing w:after="0" w:line="240" w:lineRule="auto"/>
              <w:rPr>
                <w:rFonts w:ascii="Palatino Linotype" w:eastAsia="Times New Roman" w:hAnsi="Palatino Linotype" w:cs="Calibri"/>
                <w:color w:val="000000"/>
                <w:sz w:val="20"/>
                <w:szCs w:val="20"/>
              </w:rPr>
            </w:pPr>
          </w:p>
        </w:tc>
      </w:tr>
      <w:tr w:rsidR="00A44C40" w:rsidRPr="002907BB" w14:paraId="1B3AF3B7" w14:textId="77777777" w:rsidTr="004259BB">
        <w:trPr>
          <w:trHeight w:val="300"/>
        </w:trPr>
        <w:tc>
          <w:tcPr>
            <w:tcW w:w="2695" w:type="dxa"/>
            <w:tcBorders>
              <w:top w:val="nil"/>
              <w:left w:val="nil"/>
              <w:bottom w:val="nil"/>
              <w:right w:val="nil"/>
            </w:tcBorders>
            <w:shd w:val="clear" w:color="auto" w:fill="auto"/>
            <w:noWrap/>
            <w:vAlign w:val="center"/>
            <w:hideMark/>
          </w:tcPr>
          <w:p w14:paraId="03A11EE4" w14:textId="77777777" w:rsidR="00A44C40" w:rsidRPr="00184862" w:rsidRDefault="00A44C40" w:rsidP="004259BB">
            <w:pPr>
              <w:spacing w:after="0" w:line="240" w:lineRule="auto"/>
              <w:rPr>
                <w:rFonts w:ascii="Palatino Linotype" w:eastAsia="Times New Roman" w:hAnsi="Palatino Linotype" w:cs="Calibri"/>
                <w:color w:val="000000"/>
                <w:sz w:val="20"/>
                <w:szCs w:val="20"/>
              </w:rPr>
            </w:pPr>
            <w:r w:rsidRPr="00184862">
              <w:rPr>
                <w:rFonts w:ascii="Palatino Linotype" w:eastAsia="Times New Roman" w:hAnsi="Palatino Linotype" w:cs="Calibri"/>
                <w:color w:val="000000"/>
                <w:sz w:val="20"/>
                <w:szCs w:val="20"/>
              </w:rPr>
              <w:t>Psychiatrists/specialists</w:t>
            </w:r>
          </w:p>
        </w:tc>
        <w:tc>
          <w:tcPr>
            <w:tcW w:w="1620" w:type="dxa"/>
            <w:tcBorders>
              <w:top w:val="nil"/>
              <w:left w:val="nil"/>
              <w:bottom w:val="nil"/>
              <w:right w:val="nil"/>
            </w:tcBorders>
            <w:shd w:val="clear" w:color="auto" w:fill="auto"/>
            <w:noWrap/>
            <w:vAlign w:val="bottom"/>
            <w:hideMark/>
          </w:tcPr>
          <w:p w14:paraId="572AB624" w14:textId="77777777" w:rsidR="00A44C40" w:rsidRPr="00184862" w:rsidRDefault="00A44C40" w:rsidP="004259BB">
            <w:pPr>
              <w:spacing w:after="0" w:line="240" w:lineRule="auto"/>
              <w:jc w:val="right"/>
              <w:rPr>
                <w:rFonts w:ascii="Palatino Linotype" w:eastAsia="Times New Roman" w:hAnsi="Palatino Linotype" w:cs="Calibri"/>
                <w:color w:val="000000"/>
                <w:sz w:val="20"/>
                <w:szCs w:val="20"/>
              </w:rPr>
            </w:pPr>
            <w:r w:rsidRPr="00184862">
              <w:rPr>
                <w:rFonts w:ascii="Palatino Linotype" w:eastAsia="Times New Roman" w:hAnsi="Palatino Linotype" w:cs="Calibri"/>
                <w:color w:val="000000"/>
                <w:sz w:val="20"/>
                <w:szCs w:val="20"/>
              </w:rPr>
              <w:t>0.00%</w:t>
            </w:r>
          </w:p>
        </w:tc>
        <w:tc>
          <w:tcPr>
            <w:tcW w:w="1800" w:type="dxa"/>
            <w:tcBorders>
              <w:top w:val="nil"/>
              <w:left w:val="nil"/>
              <w:bottom w:val="nil"/>
              <w:right w:val="nil"/>
            </w:tcBorders>
            <w:shd w:val="clear" w:color="auto" w:fill="auto"/>
            <w:noWrap/>
            <w:vAlign w:val="bottom"/>
            <w:hideMark/>
          </w:tcPr>
          <w:p w14:paraId="1C9A6E74" w14:textId="77777777" w:rsidR="00A44C40" w:rsidRPr="00184862" w:rsidRDefault="00A44C40" w:rsidP="004259BB">
            <w:pPr>
              <w:spacing w:after="0" w:line="240" w:lineRule="auto"/>
              <w:jc w:val="right"/>
              <w:rPr>
                <w:rFonts w:ascii="Palatino Linotype" w:eastAsia="Times New Roman" w:hAnsi="Palatino Linotype" w:cs="Calibri"/>
                <w:color w:val="000000"/>
                <w:sz w:val="20"/>
                <w:szCs w:val="20"/>
              </w:rPr>
            </w:pPr>
            <w:r w:rsidRPr="00184862">
              <w:rPr>
                <w:rFonts w:ascii="Palatino Linotype" w:eastAsia="Times New Roman" w:hAnsi="Palatino Linotype" w:cs="Calibri"/>
                <w:color w:val="000000"/>
                <w:sz w:val="20"/>
                <w:szCs w:val="20"/>
              </w:rPr>
              <w:t>3.57%</w:t>
            </w:r>
          </w:p>
        </w:tc>
        <w:tc>
          <w:tcPr>
            <w:tcW w:w="1710" w:type="dxa"/>
            <w:tcBorders>
              <w:top w:val="nil"/>
              <w:left w:val="nil"/>
              <w:bottom w:val="nil"/>
              <w:right w:val="nil"/>
            </w:tcBorders>
            <w:shd w:val="clear" w:color="auto" w:fill="auto"/>
            <w:noWrap/>
            <w:vAlign w:val="bottom"/>
            <w:hideMark/>
          </w:tcPr>
          <w:p w14:paraId="6B8C16C7" w14:textId="77777777" w:rsidR="00A44C40" w:rsidRPr="00184862" w:rsidRDefault="00A44C40" w:rsidP="004259BB">
            <w:pPr>
              <w:spacing w:after="0" w:line="240" w:lineRule="auto"/>
              <w:jc w:val="right"/>
              <w:rPr>
                <w:rFonts w:ascii="Palatino Linotype" w:eastAsia="Times New Roman" w:hAnsi="Palatino Linotype" w:cs="Calibri"/>
                <w:color w:val="000000"/>
                <w:sz w:val="20"/>
                <w:szCs w:val="20"/>
              </w:rPr>
            </w:pPr>
            <w:r w:rsidRPr="00184862">
              <w:rPr>
                <w:rFonts w:ascii="Palatino Linotype" w:eastAsia="Times New Roman" w:hAnsi="Palatino Linotype" w:cs="Calibri"/>
                <w:color w:val="000000"/>
                <w:sz w:val="20"/>
                <w:szCs w:val="20"/>
              </w:rPr>
              <w:t>10.00%</w:t>
            </w:r>
          </w:p>
        </w:tc>
        <w:tc>
          <w:tcPr>
            <w:tcW w:w="1980" w:type="dxa"/>
            <w:tcBorders>
              <w:top w:val="nil"/>
              <w:left w:val="nil"/>
              <w:bottom w:val="nil"/>
              <w:right w:val="nil"/>
            </w:tcBorders>
            <w:shd w:val="clear" w:color="auto" w:fill="auto"/>
            <w:noWrap/>
            <w:vAlign w:val="bottom"/>
            <w:hideMark/>
          </w:tcPr>
          <w:p w14:paraId="7852CACC" w14:textId="77777777" w:rsidR="00A44C40" w:rsidRPr="00184862" w:rsidRDefault="00A44C40" w:rsidP="004259BB">
            <w:pPr>
              <w:spacing w:after="0" w:line="240" w:lineRule="auto"/>
              <w:jc w:val="right"/>
              <w:rPr>
                <w:rFonts w:ascii="Palatino Linotype" w:eastAsia="Times New Roman" w:hAnsi="Palatino Linotype" w:cs="Calibri"/>
                <w:color w:val="000000"/>
                <w:sz w:val="20"/>
                <w:szCs w:val="20"/>
              </w:rPr>
            </w:pPr>
            <w:r w:rsidRPr="00184862">
              <w:rPr>
                <w:rFonts w:ascii="Palatino Linotype" w:eastAsia="Times New Roman" w:hAnsi="Palatino Linotype" w:cs="Calibri"/>
                <w:color w:val="000000"/>
                <w:sz w:val="20"/>
                <w:szCs w:val="20"/>
              </w:rPr>
              <w:t>6.67%</w:t>
            </w:r>
          </w:p>
        </w:tc>
      </w:tr>
      <w:tr w:rsidR="00A44C40" w:rsidRPr="002907BB" w14:paraId="586625BA" w14:textId="77777777" w:rsidTr="004259BB">
        <w:trPr>
          <w:trHeight w:val="300"/>
        </w:trPr>
        <w:tc>
          <w:tcPr>
            <w:tcW w:w="2695" w:type="dxa"/>
            <w:tcBorders>
              <w:top w:val="nil"/>
              <w:left w:val="nil"/>
              <w:bottom w:val="nil"/>
              <w:right w:val="nil"/>
            </w:tcBorders>
            <w:shd w:val="clear" w:color="auto" w:fill="auto"/>
            <w:noWrap/>
            <w:vAlign w:val="center"/>
            <w:hideMark/>
          </w:tcPr>
          <w:p w14:paraId="3FA473D8" w14:textId="77777777" w:rsidR="00A44C40" w:rsidRPr="00184862" w:rsidRDefault="00A44C40" w:rsidP="004259BB">
            <w:pPr>
              <w:spacing w:after="0" w:line="240" w:lineRule="auto"/>
              <w:rPr>
                <w:rFonts w:ascii="Palatino Linotype" w:eastAsia="Times New Roman" w:hAnsi="Palatino Linotype" w:cs="Calibri"/>
                <w:color w:val="000000"/>
                <w:sz w:val="20"/>
                <w:szCs w:val="20"/>
              </w:rPr>
            </w:pPr>
            <w:r w:rsidRPr="00184862">
              <w:rPr>
                <w:rFonts w:ascii="Palatino Linotype" w:eastAsia="Times New Roman" w:hAnsi="Palatino Linotype" w:cs="Calibri"/>
                <w:color w:val="000000"/>
                <w:sz w:val="20"/>
                <w:szCs w:val="20"/>
              </w:rPr>
              <w:t>Nursing care provider</w:t>
            </w:r>
          </w:p>
        </w:tc>
        <w:tc>
          <w:tcPr>
            <w:tcW w:w="1620" w:type="dxa"/>
            <w:tcBorders>
              <w:top w:val="nil"/>
              <w:left w:val="nil"/>
              <w:bottom w:val="nil"/>
              <w:right w:val="nil"/>
            </w:tcBorders>
            <w:shd w:val="clear" w:color="auto" w:fill="auto"/>
            <w:noWrap/>
            <w:vAlign w:val="bottom"/>
            <w:hideMark/>
          </w:tcPr>
          <w:p w14:paraId="22FD006F" w14:textId="77777777" w:rsidR="00A44C40" w:rsidRPr="00184862" w:rsidRDefault="00A44C40" w:rsidP="004259BB">
            <w:pPr>
              <w:spacing w:after="0" w:line="240" w:lineRule="auto"/>
              <w:jc w:val="right"/>
              <w:rPr>
                <w:rFonts w:ascii="Palatino Linotype" w:eastAsia="Times New Roman" w:hAnsi="Palatino Linotype" w:cs="Calibri"/>
                <w:color w:val="000000"/>
                <w:sz w:val="20"/>
                <w:szCs w:val="20"/>
              </w:rPr>
            </w:pPr>
            <w:r w:rsidRPr="00184862">
              <w:rPr>
                <w:rFonts w:ascii="Palatino Linotype" w:eastAsia="Times New Roman" w:hAnsi="Palatino Linotype" w:cs="Calibri"/>
                <w:color w:val="000000"/>
                <w:sz w:val="20"/>
                <w:szCs w:val="20"/>
              </w:rPr>
              <w:t>62.50%</w:t>
            </w:r>
          </w:p>
        </w:tc>
        <w:tc>
          <w:tcPr>
            <w:tcW w:w="1800" w:type="dxa"/>
            <w:tcBorders>
              <w:top w:val="nil"/>
              <w:left w:val="nil"/>
              <w:bottom w:val="nil"/>
              <w:right w:val="nil"/>
            </w:tcBorders>
            <w:shd w:val="clear" w:color="auto" w:fill="auto"/>
            <w:noWrap/>
            <w:vAlign w:val="bottom"/>
            <w:hideMark/>
          </w:tcPr>
          <w:p w14:paraId="5F06696E" w14:textId="77777777" w:rsidR="00A44C40" w:rsidRPr="00184862" w:rsidRDefault="00A44C40" w:rsidP="004259BB">
            <w:pPr>
              <w:spacing w:after="0" w:line="240" w:lineRule="auto"/>
              <w:jc w:val="right"/>
              <w:rPr>
                <w:rFonts w:ascii="Palatino Linotype" w:eastAsia="Times New Roman" w:hAnsi="Palatino Linotype" w:cs="Calibri"/>
                <w:color w:val="000000"/>
                <w:sz w:val="20"/>
                <w:szCs w:val="20"/>
              </w:rPr>
            </w:pPr>
            <w:r w:rsidRPr="00184862">
              <w:rPr>
                <w:rFonts w:ascii="Palatino Linotype" w:eastAsia="Times New Roman" w:hAnsi="Palatino Linotype" w:cs="Calibri"/>
                <w:color w:val="000000"/>
                <w:sz w:val="20"/>
                <w:szCs w:val="20"/>
              </w:rPr>
              <w:t>28.57%</w:t>
            </w:r>
          </w:p>
        </w:tc>
        <w:tc>
          <w:tcPr>
            <w:tcW w:w="1710" w:type="dxa"/>
            <w:tcBorders>
              <w:top w:val="nil"/>
              <w:left w:val="nil"/>
              <w:bottom w:val="nil"/>
              <w:right w:val="nil"/>
            </w:tcBorders>
            <w:shd w:val="clear" w:color="auto" w:fill="auto"/>
            <w:noWrap/>
            <w:vAlign w:val="bottom"/>
            <w:hideMark/>
          </w:tcPr>
          <w:p w14:paraId="14078944" w14:textId="77777777" w:rsidR="00A44C40" w:rsidRPr="00184862" w:rsidRDefault="00A44C40" w:rsidP="004259BB">
            <w:pPr>
              <w:spacing w:after="0" w:line="240" w:lineRule="auto"/>
              <w:jc w:val="right"/>
              <w:rPr>
                <w:rFonts w:ascii="Palatino Linotype" w:eastAsia="Times New Roman" w:hAnsi="Palatino Linotype" w:cs="Calibri"/>
                <w:color w:val="000000"/>
                <w:sz w:val="20"/>
                <w:szCs w:val="20"/>
              </w:rPr>
            </w:pPr>
            <w:r w:rsidRPr="00184862">
              <w:rPr>
                <w:rFonts w:ascii="Palatino Linotype" w:eastAsia="Times New Roman" w:hAnsi="Palatino Linotype" w:cs="Calibri"/>
                <w:color w:val="000000"/>
                <w:sz w:val="20"/>
                <w:szCs w:val="20"/>
              </w:rPr>
              <w:t>60.00%</w:t>
            </w:r>
          </w:p>
        </w:tc>
        <w:tc>
          <w:tcPr>
            <w:tcW w:w="1980" w:type="dxa"/>
            <w:tcBorders>
              <w:top w:val="nil"/>
              <w:left w:val="nil"/>
              <w:bottom w:val="nil"/>
              <w:right w:val="nil"/>
            </w:tcBorders>
            <w:shd w:val="clear" w:color="auto" w:fill="auto"/>
            <w:noWrap/>
            <w:vAlign w:val="bottom"/>
            <w:hideMark/>
          </w:tcPr>
          <w:p w14:paraId="0029A330" w14:textId="77777777" w:rsidR="00A44C40" w:rsidRPr="00184862" w:rsidRDefault="00A44C40" w:rsidP="004259BB">
            <w:pPr>
              <w:spacing w:after="0" w:line="240" w:lineRule="auto"/>
              <w:jc w:val="right"/>
              <w:rPr>
                <w:rFonts w:ascii="Palatino Linotype" w:eastAsia="Times New Roman" w:hAnsi="Palatino Linotype" w:cs="Calibri"/>
                <w:color w:val="000000"/>
                <w:sz w:val="20"/>
                <w:szCs w:val="20"/>
              </w:rPr>
            </w:pPr>
            <w:r w:rsidRPr="00184862">
              <w:rPr>
                <w:rFonts w:ascii="Palatino Linotype" w:eastAsia="Times New Roman" w:hAnsi="Palatino Linotype" w:cs="Calibri"/>
                <w:color w:val="000000"/>
                <w:sz w:val="20"/>
                <w:szCs w:val="20"/>
              </w:rPr>
              <w:t>66.67%</w:t>
            </w:r>
          </w:p>
        </w:tc>
      </w:tr>
      <w:tr w:rsidR="00A44C40" w:rsidRPr="002907BB" w14:paraId="1F923E13" w14:textId="77777777" w:rsidTr="004259BB">
        <w:trPr>
          <w:trHeight w:val="300"/>
        </w:trPr>
        <w:tc>
          <w:tcPr>
            <w:tcW w:w="2695" w:type="dxa"/>
            <w:tcBorders>
              <w:top w:val="nil"/>
              <w:left w:val="nil"/>
              <w:bottom w:val="single" w:sz="4" w:space="0" w:color="auto"/>
              <w:right w:val="nil"/>
            </w:tcBorders>
            <w:shd w:val="clear" w:color="auto" w:fill="auto"/>
            <w:noWrap/>
            <w:vAlign w:val="center"/>
            <w:hideMark/>
          </w:tcPr>
          <w:p w14:paraId="61C240BD" w14:textId="77777777" w:rsidR="00A44C40" w:rsidRPr="00184862" w:rsidRDefault="00A44C40" w:rsidP="004259BB">
            <w:pPr>
              <w:spacing w:after="0" w:line="240" w:lineRule="auto"/>
              <w:rPr>
                <w:rFonts w:ascii="Palatino Linotype" w:eastAsia="Times New Roman" w:hAnsi="Palatino Linotype" w:cs="Calibri"/>
                <w:color w:val="000000"/>
                <w:sz w:val="20"/>
                <w:szCs w:val="20"/>
              </w:rPr>
            </w:pPr>
            <w:r w:rsidRPr="00184862">
              <w:rPr>
                <w:rFonts w:ascii="Palatino Linotype" w:eastAsia="Times New Roman" w:hAnsi="Palatino Linotype" w:cs="Calibri"/>
                <w:color w:val="000000"/>
                <w:sz w:val="20"/>
                <w:szCs w:val="20"/>
              </w:rPr>
              <w:t>Psychosocial care provider</w:t>
            </w:r>
          </w:p>
        </w:tc>
        <w:tc>
          <w:tcPr>
            <w:tcW w:w="1620" w:type="dxa"/>
            <w:tcBorders>
              <w:top w:val="nil"/>
              <w:left w:val="nil"/>
              <w:bottom w:val="single" w:sz="4" w:space="0" w:color="auto"/>
              <w:right w:val="nil"/>
            </w:tcBorders>
            <w:shd w:val="clear" w:color="auto" w:fill="auto"/>
            <w:noWrap/>
            <w:vAlign w:val="bottom"/>
            <w:hideMark/>
          </w:tcPr>
          <w:p w14:paraId="743A77A9" w14:textId="77777777" w:rsidR="00A44C40" w:rsidRPr="00184862" w:rsidRDefault="00A44C40" w:rsidP="004259BB">
            <w:pPr>
              <w:spacing w:after="0" w:line="240" w:lineRule="auto"/>
              <w:jc w:val="right"/>
              <w:rPr>
                <w:rFonts w:ascii="Palatino Linotype" w:eastAsia="Times New Roman" w:hAnsi="Palatino Linotype" w:cs="Calibri"/>
                <w:color w:val="000000"/>
                <w:sz w:val="20"/>
                <w:szCs w:val="20"/>
              </w:rPr>
            </w:pPr>
            <w:r w:rsidRPr="00184862">
              <w:rPr>
                <w:rFonts w:ascii="Palatino Linotype" w:eastAsia="Times New Roman" w:hAnsi="Palatino Linotype" w:cs="Calibri"/>
                <w:color w:val="000000"/>
                <w:sz w:val="20"/>
                <w:szCs w:val="20"/>
              </w:rPr>
              <w:t>37.50%</w:t>
            </w:r>
          </w:p>
        </w:tc>
        <w:tc>
          <w:tcPr>
            <w:tcW w:w="1800" w:type="dxa"/>
            <w:tcBorders>
              <w:top w:val="nil"/>
              <w:left w:val="nil"/>
              <w:bottom w:val="single" w:sz="4" w:space="0" w:color="auto"/>
              <w:right w:val="nil"/>
            </w:tcBorders>
            <w:shd w:val="clear" w:color="auto" w:fill="auto"/>
            <w:noWrap/>
            <w:vAlign w:val="bottom"/>
            <w:hideMark/>
          </w:tcPr>
          <w:p w14:paraId="020D88E8" w14:textId="77777777" w:rsidR="00A44C40" w:rsidRPr="00184862" w:rsidRDefault="00A44C40" w:rsidP="004259BB">
            <w:pPr>
              <w:spacing w:after="0" w:line="240" w:lineRule="auto"/>
              <w:jc w:val="right"/>
              <w:rPr>
                <w:rFonts w:ascii="Palatino Linotype" w:eastAsia="Times New Roman" w:hAnsi="Palatino Linotype" w:cs="Calibri"/>
                <w:color w:val="000000"/>
                <w:sz w:val="20"/>
                <w:szCs w:val="20"/>
              </w:rPr>
            </w:pPr>
            <w:r w:rsidRPr="00184862">
              <w:rPr>
                <w:rFonts w:ascii="Palatino Linotype" w:eastAsia="Times New Roman" w:hAnsi="Palatino Linotype" w:cs="Calibri"/>
                <w:color w:val="000000"/>
                <w:sz w:val="20"/>
                <w:szCs w:val="20"/>
              </w:rPr>
              <w:t>67.86%</w:t>
            </w:r>
          </w:p>
        </w:tc>
        <w:tc>
          <w:tcPr>
            <w:tcW w:w="1710" w:type="dxa"/>
            <w:tcBorders>
              <w:top w:val="nil"/>
              <w:left w:val="nil"/>
              <w:bottom w:val="single" w:sz="4" w:space="0" w:color="auto"/>
              <w:right w:val="nil"/>
            </w:tcBorders>
            <w:shd w:val="clear" w:color="auto" w:fill="auto"/>
            <w:noWrap/>
            <w:vAlign w:val="bottom"/>
            <w:hideMark/>
          </w:tcPr>
          <w:p w14:paraId="5C49DF28" w14:textId="77777777" w:rsidR="00A44C40" w:rsidRPr="00184862" w:rsidRDefault="00A44C40" w:rsidP="004259BB">
            <w:pPr>
              <w:spacing w:after="0" w:line="240" w:lineRule="auto"/>
              <w:jc w:val="right"/>
              <w:rPr>
                <w:rFonts w:ascii="Palatino Linotype" w:eastAsia="Times New Roman" w:hAnsi="Palatino Linotype" w:cs="Calibri"/>
                <w:color w:val="000000"/>
                <w:sz w:val="20"/>
                <w:szCs w:val="20"/>
              </w:rPr>
            </w:pPr>
            <w:r w:rsidRPr="00184862">
              <w:rPr>
                <w:rFonts w:ascii="Palatino Linotype" w:eastAsia="Times New Roman" w:hAnsi="Palatino Linotype" w:cs="Calibri"/>
                <w:color w:val="000000"/>
                <w:sz w:val="20"/>
                <w:szCs w:val="20"/>
              </w:rPr>
              <w:t>30.00%</w:t>
            </w:r>
          </w:p>
        </w:tc>
        <w:tc>
          <w:tcPr>
            <w:tcW w:w="1980" w:type="dxa"/>
            <w:tcBorders>
              <w:top w:val="nil"/>
              <w:left w:val="nil"/>
              <w:bottom w:val="single" w:sz="4" w:space="0" w:color="auto"/>
              <w:right w:val="nil"/>
            </w:tcBorders>
            <w:shd w:val="clear" w:color="auto" w:fill="auto"/>
            <w:noWrap/>
            <w:vAlign w:val="bottom"/>
            <w:hideMark/>
          </w:tcPr>
          <w:p w14:paraId="1902E830" w14:textId="77777777" w:rsidR="00A44C40" w:rsidRPr="00184862" w:rsidRDefault="00A44C40" w:rsidP="004259BB">
            <w:pPr>
              <w:spacing w:after="0" w:line="240" w:lineRule="auto"/>
              <w:jc w:val="right"/>
              <w:rPr>
                <w:rFonts w:ascii="Palatino Linotype" w:eastAsia="Times New Roman" w:hAnsi="Palatino Linotype" w:cs="Calibri"/>
                <w:color w:val="000000"/>
                <w:sz w:val="20"/>
                <w:szCs w:val="20"/>
              </w:rPr>
            </w:pPr>
            <w:r w:rsidRPr="00184862">
              <w:rPr>
                <w:rFonts w:ascii="Palatino Linotype" w:eastAsia="Times New Roman" w:hAnsi="Palatino Linotype" w:cs="Calibri"/>
                <w:color w:val="000000"/>
                <w:sz w:val="20"/>
                <w:szCs w:val="20"/>
              </w:rPr>
              <w:t>26.67%</w:t>
            </w:r>
          </w:p>
        </w:tc>
      </w:tr>
      <w:tr w:rsidR="00A44C40" w:rsidRPr="002907BB" w14:paraId="6CB96E77" w14:textId="77777777" w:rsidTr="004259BB">
        <w:trPr>
          <w:trHeight w:val="300"/>
        </w:trPr>
        <w:tc>
          <w:tcPr>
            <w:tcW w:w="2695" w:type="dxa"/>
            <w:tcBorders>
              <w:top w:val="single" w:sz="4" w:space="0" w:color="auto"/>
              <w:left w:val="nil"/>
              <w:bottom w:val="single" w:sz="12" w:space="0" w:color="auto"/>
              <w:right w:val="nil"/>
            </w:tcBorders>
            <w:shd w:val="clear" w:color="auto" w:fill="auto"/>
            <w:noWrap/>
            <w:vAlign w:val="center"/>
            <w:hideMark/>
          </w:tcPr>
          <w:p w14:paraId="48642110" w14:textId="77777777" w:rsidR="00A44C40" w:rsidRPr="00184862" w:rsidRDefault="00A44C40" w:rsidP="004259BB">
            <w:pPr>
              <w:spacing w:after="0" w:line="240" w:lineRule="auto"/>
              <w:rPr>
                <w:rFonts w:ascii="Palatino Linotype" w:eastAsia="Times New Roman" w:hAnsi="Palatino Linotype" w:cs="Calibri"/>
                <w:b/>
                <w:bCs/>
                <w:color w:val="000000"/>
                <w:sz w:val="20"/>
                <w:szCs w:val="20"/>
              </w:rPr>
            </w:pPr>
            <w:r w:rsidRPr="00184862">
              <w:rPr>
                <w:rFonts w:ascii="Palatino Linotype" w:eastAsia="Times New Roman" w:hAnsi="Palatino Linotype" w:cs="Calibri"/>
                <w:b/>
                <w:bCs/>
                <w:color w:val="000000"/>
                <w:sz w:val="20"/>
                <w:szCs w:val="20"/>
              </w:rPr>
              <w:t>Total</w:t>
            </w:r>
          </w:p>
        </w:tc>
        <w:tc>
          <w:tcPr>
            <w:tcW w:w="1620" w:type="dxa"/>
            <w:tcBorders>
              <w:top w:val="single" w:sz="4" w:space="0" w:color="auto"/>
              <w:left w:val="nil"/>
              <w:bottom w:val="single" w:sz="12" w:space="0" w:color="auto"/>
              <w:right w:val="nil"/>
            </w:tcBorders>
            <w:shd w:val="clear" w:color="auto" w:fill="auto"/>
            <w:noWrap/>
            <w:vAlign w:val="bottom"/>
            <w:hideMark/>
          </w:tcPr>
          <w:p w14:paraId="44554B90" w14:textId="77777777" w:rsidR="00A44C40" w:rsidRPr="00184862" w:rsidRDefault="00A44C40" w:rsidP="004259BB">
            <w:pPr>
              <w:spacing w:after="0" w:line="240" w:lineRule="auto"/>
              <w:jc w:val="right"/>
              <w:rPr>
                <w:rFonts w:ascii="Palatino Linotype" w:eastAsia="Times New Roman" w:hAnsi="Palatino Linotype" w:cs="Calibri"/>
                <w:color w:val="000000"/>
                <w:sz w:val="20"/>
                <w:szCs w:val="20"/>
              </w:rPr>
            </w:pPr>
            <w:r w:rsidRPr="00184862">
              <w:rPr>
                <w:rFonts w:ascii="Palatino Linotype" w:eastAsia="Times New Roman" w:hAnsi="Palatino Linotype" w:cs="Calibri"/>
                <w:color w:val="000000"/>
                <w:sz w:val="20"/>
                <w:szCs w:val="20"/>
              </w:rPr>
              <w:t>100.00%</w:t>
            </w:r>
          </w:p>
        </w:tc>
        <w:tc>
          <w:tcPr>
            <w:tcW w:w="1800" w:type="dxa"/>
            <w:tcBorders>
              <w:top w:val="single" w:sz="4" w:space="0" w:color="auto"/>
              <w:left w:val="nil"/>
              <w:bottom w:val="single" w:sz="12" w:space="0" w:color="auto"/>
              <w:right w:val="nil"/>
            </w:tcBorders>
            <w:shd w:val="clear" w:color="auto" w:fill="auto"/>
            <w:noWrap/>
            <w:vAlign w:val="bottom"/>
            <w:hideMark/>
          </w:tcPr>
          <w:p w14:paraId="1740AA9B" w14:textId="77777777" w:rsidR="00A44C40" w:rsidRPr="00184862" w:rsidRDefault="00A44C40" w:rsidP="004259BB">
            <w:pPr>
              <w:spacing w:after="0" w:line="240" w:lineRule="auto"/>
              <w:jc w:val="right"/>
              <w:rPr>
                <w:rFonts w:ascii="Palatino Linotype" w:eastAsia="Times New Roman" w:hAnsi="Palatino Linotype" w:cs="Calibri"/>
                <w:color w:val="000000"/>
                <w:sz w:val="20"/>
                <w:szCs w:val="20"/>
              </w:rPr>
            </w:pPr>
            <w:r w:rsidRPr="00184862">
              <w:rPr>
                <w:rFonts w:ascii="Palatino Linotype" w:eastAsia="Times New Roman" w:hAnsi="Palatino Linotype" w:cs="Calibri"/>
                <w:color w:val="000000"/>
                <w:sz w:val="20"/>
                <w:szCs w:val="20"/>
              </w:rPr>
              <w:t>100.00%</w:t>
            </w:r>
          </w:p>
        </w:tc>
        <w:tc>
          <w:tcPr>
            <w:tcW w:w="1710" w:type="dxa"/>
            <w:tcBorders>
              <w:top w:val="single" w:sz="4" w:space="0" w:color="auto"/>
              <w:left w:val="nil"/>
              <w:bottom w:val="single" w:sz="12" w:space="0" w:color="auto"/>
              <w:right w:val="nil"/>
            </w:tcBorders>
            <w:shd w:val="clear" w:color="auto" w:fill="auto"/>
            <w:noWrap/>
            <w:vAlign w:val="bottom"/>
            <w:hideMark/>
          </w:tcPr>
          <w:p w14:paraId="26DDC73D" w14:textId="77777777" w:rsidR="00A44C40" w:rsidRPr="00184862" w:rsidRDefault="00A44C40" w:rsidP="004259BB">
            <w:pPr>
              <w:spacing w:after="0" w:line="240" w:lineRule="auto"/>
              <w:jc w:val="right"/>
              <w:rPr>
                <w:rFonts w:ascii="Palatino Linotype" w:eastAsia="Times New Roman" w:hAnsi="Palatino Linotype" w:cs="Calibri"/>
                <w:color w:val="000000"/>
                <w:sz w:val="20"/>
                <w:szCs w:val="20"/>
              </w:rPr>
            </w:pPr>
            <w:r w:rsidRPr="00184862">
              <w:rPr>
                <w:rFonts w:ascii="Palatino Linotype" w:eastAsia="Times New Roman" w:hAnsi="Palatino Linotype" w:cs="Calibri"/>
                <w:color w:val="000000"/>
                <w:sz w:val="20"/>
                <w:szCs w:val="20"/>
              </w:rPr>
              <w:t>100.00%</w:t>
            </w:r>
          </w:p>
        </w:tc>
        <w:tc>
          <w:tcPr>
            <w:tcW w:w="1980" w:type="dxa"/>
            <w:tcBorders>
              <w:top w:val="single" w:sz="4" w:space="0" w:color="auto"/>
              <w:left w:val="nil"/>
              <w:bottom w:val="single" w:sz="12" w:space="0" w:color="auto"/>
              <w:right w:val="nil"/>
            </w:tcBorders>
            <w:shd w:val="clear" w:color="auto" w:fill="auto"/>
            <w:noWrap/>
            <w:vAlign w:val="bottom"/>
            <w:hideMark/>
          </w:tcPr>
          <w:p w14:paraId="25313B37" w14:textId="77777777" w:rsidR="00A44C40" w:rsidRPr="00184862" w:rsidRDefault="00A44C40" w:rsidP="004259BB">
            <w:pPr>
              <w:spacing w:after="0" w:line="240" w:lineRule="auto"/>
              <w:jc w:val="right"/>
              <w:rPr>
                <w:rFonts w:ascii="Palatino Linotype" w:eastAsia="Times New Roman" w:hAnsi="Palatino Linotype" w:cs="Calibri"/>
                <w:color w:val="000000"/>
                <w:sz w:val="20"/>
                <w:szCs w:val="20"/>
              </w:rPr>
            </w:pPr>
            <w:r w:rsidRPr="00184862">
              <w:rPr>
                <w:rFonts w:ascii="Palatino Linotype" w:eastAsia="Times New Roman" w:hAnsi="Palatino Linotype" w:cs="Calibri"/>
                <w:color w:val="000000"/>
                <w:sz w:val="20"/>
                <w:szCs w:val="20"/>
              </w:rPr>
              <w:t>100.00%</w:t>
            </w:r>
          </w:p>
        </w:tc>
      </w:tr>
    </w:tbl>
    <w:p w14:paraId="20CFC1FE" w14:textId="77777777" w:rsidR="00A44C40" w:rsidRPr="009E64C6" w:rsidRDefault="00A44C40" w:rsidP="00A44C40">
      <w:pPr>
        <w:rPr>
          <w:sz w:val="18"/>
          <w:szCs w:val="18"/>
        </w:rPr>
      </w:pPr>
      <w:r w:rsidRPr="00F035E6">
        <w:rPr>
          <w:i/>
          <w:iCs/>
          <w:sz w:val="18"/>
          <w:szCs w:val="18"/>
        </w:rPr>
        <w:t>Source:</w:t>
      </w:r>
      <w:r w:rsidRPr="009E64C6">
        <w:rPr>
          <w:sz w:val="18"/>
          <w:szCs w:val="18"/>
        </w:rPr>
        <w:t xml:space="preserve"> </w:t>
      </w:r>
      <w:r>
        <w:rPr>
          <w:sz w:val="18"/>
          <w:szCs w:val="18"/>
        </w:rPr>
        <w:t>[52]</w:t>
      </w:r>
    </w:p>
    <w:bookmarkEnd w:id="23"/>
    <w:p w14:paraId="5D52035D" w14:textId="77777777" w:rsidR="00A44C40" w:rsidRPr="00021CF5" w:rsidRDefault="00A44C40" w:rsidP="00A44C40">
      <w:pPr>
        <w:pStyle w:val="BodyText3"/>
        <w:rPr>
          <w:b/>
          <w:bCs/>
          <w:sz w:val="18"/>
          <w:szCs w:val="18"/>
        </w:rPr>
        <w:sectPr w:rsidR="00A44C40" w:rsidRPr="00021CF5" w:rsidSect="0007686A">
          <w:pgSz w:w="12240" w:h="15840"/>
          <w:pgMar w:top="1440" w:right="1440" w:bottom="1440" w:left="1440" w:header="720" w:footer="720" w:gutter="0"/>
          <w:cols w:space="720"/>
          <w:docGrid w:linePitch="360"/>
        </w:sectPr>
      </w:pPr>
    </w:p>
    <w:p w14:paraId="2E57FBAD" w14:textId="77777777" w:rsidR="00A44C40" w:rsidRPr="00880C61" w:rsidRDefault="00A44C40" w:rsidP="00A44C40">
      <w:pPr>
        <w:pStyle w:val="Heading1"/>
        <w:rPr>
          <w:rFonts w:asciiTheme="minorHAnsi" w:hAnsiTheme="minorHAnsi"/>
          <w:b/>
        </w:rPr>
      </w:pPr>
      <w:bookmarkStart w:id="24" w:name="_Toc105486986"/>
      <w:r w:rsidRPr="00880C61">
        <w:rPr>
          <w:rFonts w:asciiTheme="minorHAnsi" w:hAnsiTheme="minorHAnsi"/>
          <w:b/>
        </w:rPr>
        <w:lastRenderedPageBreak/>
        <w:t>Appendix C. Comorbidity Adjustments</w:t>
      </w:r>
      <w:bookmarkEnd w:id="24"/>
    </w:p>
    <w:p w14:paraId="005EDD1D" w14:textId="77777777" w:rsidR="00A44C40" w:rsidRPr="00A27341" w:rsidRDefault="00A44C40" w:rsidP="00A44C40">
      <w:pPr>
        <w:jc w:val="both"/>
      </w:pPr>
      <w:bookmarkStart w:id="25" w:name="_Hlk127744191"/>
      <w:r>
        <w:t>B</w:t>
      </w:r>
      <w:r w:rsidRPr="00A27341">
        <w:t xml:space="preserve">ipolar disorder, depression, and schizophrenia have a high likelihood of comorbidity with alcohol and </w:t>
      </w:r>
      <w:r>
        <w:t>other drug</w:t>
      </w:r>
      <w:r w:rsidRPr="00A27341">
        <w:t xml:space="preserve"> use disorder</w:t>
      </w:r>
      <w:r>
        <w:t>s</w:t>
      </w:r>
      <w:r w:rsidRPr="00A27341">
        <w:t xml:space="preserve"> </w:t>
      </w:r>
      <w:r>
        <w:t>[74-76]</w:t>
      </w:r>
      <w:r w:rsidRPr="00A27341">
        <w:t xml:space="preserve"> and suicidality </w:t>
      </w:r>
      <w:r>
        <w:t>[77]</w:t>
      </w:r>
      <w:r w:rsidRPr="00A27341">
        <w:t xml:space="preserve">. Co-occurrence of these </w:t>
      </w:r>
      <w:r>
        <w:t>m</w:t>
      </w:r>
      <w:r w:rsidRPr="00913660">
        <w:t xml:space="preserve">ental, neurological, and substance </w:t>
      </w:r>
      <w:r>
        <w:t>use</w:t>
      </w:r>
      <w:r w:rsidRPr="00913660" w:rsidDel="00913660">
        <w:t xml:space="preserve"> </w:t>
      </w:r>
      <w:r w:rsidRPr="00A27341">
        <w:t xml:space="preserve">conditions does not necessarily mean that each condition requires a separate dedicated treatment model. Some therapies and treatment models, administered within single visits with health workers, </w:t>
      </w:r>
      <w:r>
        <w:t>can</w:t>
      </w:r>
      <w:r w:rsidRPr="00A27341">
        <w:t xml:space="preserve"> effectively address two co-occurring conditions </w:t>
      </w:r>
      <w:r>
        <w:t xml:space="preserve">[78-80]. </w:t>
      </w:r>
      <w:r w:rsidRPr="00A27341">
        <w:t xml:space="preserve">In the case of depression comorbid with </w:t>
      </w:r>
      <w:r>
        <w:t>alcohol or substance</w:t>
      </w:r>
      <w:r w:rsidRPr="00A27341">
        <w:t xml:space="preserve"> </w:t>
      </w:r>
      <w:r>
        <w:t>use</w:t>
      </w:r>
      <w:r w:rsidRPr="00A27341">
        <w:t>, cognitive behavior</w:t>
      </w:r>
      <w:r>
        <w:t>al</w:t>
      </w:r>
      <w:r w:rsidRPr="00A27341">
        <w:t xml:space="preserve"> therapy and some medications can</w:t>
      </w:r>
      <w:r>
        <w:t xml:space="preserve">, within the same treatment model, </w:t>
      </w:r>
      <w:r w:rsidRPr="00A27341">
        <w:t xml:space="preserve">address both conditions </w:t>
      </w:r>
      <w:r>
        <w:t>[78,79]</w:t>
      </w:r>
      <w:r w:rsidRPr="00A27341">
        <w:t xml:space="preserve">. The same holds for schizophrenia that co-occurs with substance use disorder </w:t>
      </w:r>
      <w:r>
        <w:t>[80]</w:t>
      </w:r>
      <w:r w:rsidRPr="00A27341">
        <w:t>.</w:t>
      </w:r>
    </w:p>
    <w:p w14:paraId="52555D07" w14:textId="77777777" w:rsidR="00A44C40" w:rsidRPr="00A27341" w:rsidRDefault="00A44C40" w:rsidP="00A44C40">
      <w:pPr>
        <w:jc w:val="both"/>
      </w:pPr>
      <w:bookmarkStart w:id="26" w:name="_Hlk127744200"/>
      <w:bookmarkEnd w:id="25"/>
      <w:r w:rsidRPr="00A27341">
        <w:t xml:space="preserve">Figure </w:t>
      </w:r>
      <w:r>
        <w:t>C</w:t>
      </w:r>
      <w:r w:rsidRPr="00A27341">
        <w:t xml:space="preserve">1 illustrates the conditions and the hypothesized temporal sequence of onset of comorbidities. This overview illustrates the possible co-occurrence of conditions. The numeric values represent the proportion of persons who have the comorbidity associated with the respective path that connects two conditions. To walk through an example, 41.7 percent of </w:t>
      </w:r>
      <w:r>
        <w:t xml:space="preserve">individuals with </w:t>
      </w:r>
      <w:r w:rsidRPr="00A27341">
        <w:t xml:space="preserve">schizophrenia have comorbid substance </w:t>
      </w:r>
      <w:r>
        <w:t>use</w:t>
      </w:r>
      <w:r w:rsidRPr="00A27341">
        <w:t xml:space="preserve"> </w:t>
      </w:r>
      <w:r>
        <w:t>[75]</w:t>
      </w:r>
      <w:r w:rsidRPr="00A27341">
        <w:t xml:space="preserve">. This comorbidity is captured in </w:t>
      </w:r>
      <w:r>
        <w:t>f</w:t>
      </w:r>
      <w:r w:rsidRPr="00A27341">
        <w:t xml:space="preserve">igure </w:t>
      </w:r>
      <w:r>
        <w:t>C</w:t>
      </w:r>
      <w:r w:rsidRPr="00A27341">
        <w:t>1 via the arrow connecting schizophrenia and other drug use disorder</w:t>
      </w:r>
      <w:r>
        <w:t>s</w:t>
      </w:r>
      <w:r w:rsidRPr="00A27341">
        <w:t xml:space="preserve">. The value 0.42 (rounded) means that 41.7 percent of </w:t>
      </w:r>
      <w:r>
        <w:t xml:space="preserve">individuals with </w:t>
      </w:r>
      <w:r w:rsidRPr="00A27341">
        <w:t>schizophreni</w:t>
      </w:r>
      <w:r>
        <w:t>a</w:t>
      </w:r>
      <w:r w:rsidRPr="00A27341">
        <w:t xml:space="preserve"> have comorbid substance </w:t>
      </w:r>
      <w:r>
        <w:t>use</w:t>
      </w:r>
      <w:r w:rsidRPr="00A27341">
        <w:t>.</w:t>
      </w:r>
    </w:p>
    <w:p w14:paraId="2FDEB7ED" w14:textId="77777777" w:rsidR="00A44C40" w:rsidRPr="00A27341" w:rsidRDefault="00A44C40" w:rsidP="00A44C40">
      <w:pPr>
        <w:jc w:val="both"/>
      </w:pPr>
      <w:bookmarkStart w:id="27" w:name="_Hlk127744211"/>
      <w:bookmarkEnd w:id="26"/>
      <w:r w:rsidRPr="00A27341">
        <w:t>When two conditions were comorbid with each other, we prioritized the condition with the higher target coverage. In the case of schizophrenia and other drug use disorder</w:t>
      </w:r>
      <w:r>
        <w:t>s</w:t>
      </w:r>
      <w:r w:rsidRPr="00A27341">
        <w:t>, we considered only other drug use disorder</w:t>
      </w:r>
      <w:r>
        <w:t>s</w:t>
      </w:r>
      <w:r w:rsidRPr="00A27341">
        <w:t xml:space="preserve"> within schizophrenia (target coverage 80 percent) and not schizophrenia within other drug use disorder</w:t>
      </w:r>
      <w:r>
        <w:t>s</w:t>
      </w:r>
      <w:r w:rsidRPr="00A27341">
        <w:t xml:space="preserve"> (target coverage 50 percent). After adjusting for comorbidities, we added a screening component to account for potential difficulties in screening </w:t>
      </w:r>
      <w:r>
        <w:t xml:space="preserve">for </w:t>
      </w:r>
      <w:r w:rsidRPr="00A27341">
        <w:t>and detecti</w:t>
      </w:r>
      <w:r>
        <w:t>ng</w:t>
      </w:r>
      <w:r w:rsidRPr="00A27341">
        <w:t xml:space="preserve"> comorbid conditions within the target population. The primary measure considered was the positive predictive value. The positive predictive value is the likelihood that a standardized screening instrument is able to detect a comorbid condition within the target population. </w:t>
      </w:r>
    </w:p>
    <w:p w14:paraId="0E42D3EB" w14:textId="77777777" w:rsidR="00A44C40" w:rsidRPr="00A27341" w:rsidRDefault="00A44C40" w:rsidP="00A44C40">
      <w:pPr>
        <w:jc w:val="both"/>
      </w:pPr>
      <w:bookmarkStart w:id="28" w:name="_Hlk127744217"/>
      <w:bookmarkEnd w:id="27"/>
      <w:r w:rsidRPr="00A27341">
        <w:t xml:space="preserve">To continue with the prior example, the detection of substance </w:t>
      </w:r>
      <w:r>
        <w:t>use</w:t>
      </w:r>
      <w:r w:rsidRPr="00A27341">
        <w:t xml:space="preserve"> in </w:t>
      </w:r>
      <w:r>
        <w:t xml:space="preserve">individuals with </w:t>
      </w:r>
      <w:r w:rsidRPr="00A27341">
        <w:t>schizophreni</w:t>
      </w:r>
      <w:r>
        <w:t>a</w:t>
      </w:r>
      <w:r w:rsidRPr="00A27341">
        <w:t xml:space="preserve"> has a positive predictive value of 45 percent </w:t>
      </w:r>
      <w:r>
        <w:t>[81]</w:t>
      </w:r>
      <w:r w:rsidRPr="00A27341">
        <w:t>. This means that</w:t>
      </w:r>
      <w:r>
        <w:t>,</w:t>
      </w:r>
      <w:r w:rsidRPr="00A27341">
        <w:t xml:space="preserve"> if the </w:t>
      </w:r>
      <w:r>
        <w:t xml:space="preserve">individuals with </w:t>
      </w:r>
      <w:r w:rsidRPr="00A27341">
        <w:t>schizophreni</w:t>
      </w:r>
      <w:r>
        <w:t>a</w:t>
      </w:r>
      <w:r w:rsidRPr="00A27341">
        <w:t xml:space="preserve"> in our target population were all screened for substance </w:t>
      </w:r>
      <w:r>
        <w:t>use</w:t>
      </w:r>
      <w:r w:rsidRPr="00A27341">
        <w:t>, the</w:t>
      </w:r>
      <w:r>
        <w:t>re is a</w:t>
      </w:r>
      <w:r w:rsidRPr="00A27341">
        <w:t xml:space="preserve"> 45 percent chance </w:t>
      </w:r>
      <w:r>
        <w:t>that</w:t>
      </w:r>
      <w:r w:rsidRPr="00A27341">
        <w:t xml:space="preserve"> those who actually have comorbid substance </w:t>
      </w:r>
      <w:r>
        <w:t>use</w:t>
      </w:r>
      <w:r w:rsidRPr="00A27341">
        <w:t xml:space="preserve"> would be correctly identified or successfully screened. So, a 0.</w:t>
      </w:r>
      <w:r>
        <w:t>41</w:t>
      </w:r>
      <w:r w:rsidRPr="00A27341">
        <w:t xml:space="preserve"> percent age-standardized prevalence of schizophrenia with 80 percent target coverage corresponds to </w:t>
      </w:r>
      <w:r>
        <w:t>114,189</w:t>
      </w:r>
      <w:r w:rsidRPr="00A27341">
        <w:t xml:space="preserve"> target cases within the total population. Within this group, we are assuming that 41.7 percent have comorbid substance </w:t>
      </w:r>
      <w:r>
        <w:t>use</w:t>
      </w:r>
      <w:r w:rsidRPr="00A27341">
        <w:t xml:space="preserve"> </w:t>
      </w:r>
      <w:r>
        <w:t>[75]</w:t>
      </w:r>
      <w:r w:rsidRPr="00A27341">
        <w:t xml:space="preserve"> and that 45 percent of this group can be identified for treatment </w:t>
      </w:r>
      <w:r>
        <w:t>[81]</w:t>
      </w:r>
      <w:r w:rsidRPr="00A27341">
        <w:t xml:space="preserve">. </w:t>
      </w:r>
      <w:r>
        <w:t>T</w:t>
      </w:r>
      <w:r w:rsidRPr="00A27341">
        <w:t xml:space="preserve">his leaves us with </w:t>
      </w:r>
      <w:r>
        <w:t>21,428</w:t>
      </w:r>
      <w:r w:rsidRPr="00A27341">
        <w:t xml:space="preserve"> </w:t>
      </w:r>
      <w:r>
        <w:t xml:space="preserve">individuals with </w:t>
      </w:r>
      <w:r w:rsidRPr="00A27341">
        <w:t>schizophreni</w:t>
      </w:r>
      <w:r>
        <w:t>a</w:t>
      </w:r>
      <w:r w:rsidRPr="00A27341">
        <w:t xml:space="preserve"> with detectable </w:t>
      </w:r>
      <w:r>
        <w:t xml:space="preserve">other </w:t>
      </w:r>
      <w:r w:rsidRPr="00A27341">
        <w:t>drug use disorder</w:t>
      </w:r>
      <w:r>
        <w:t xml:space="preserve">s, which </w:t>
      </w:r>
      <w:r w:rsidRPr="00A27341">
        <w:t xml:space="preserve">means that we can remove </w:t>
      </w:r>
      <w:r>
        <w:t>21,428</w:t>
      </w:r>
      <w:r w:rsidRPr="00A27341">
        <w:t xml:space="preserve"> patients from our “other drug </w:t>
      </w:r>
      <w:r>
        <w:t>use</w:t>
      </w:r>
      <w:r w:rsidRPr="00A27341">
        <w:t>” treatment model and potentially treat them within the schizophrenia treatment model.</w:t>
      </w:r>
    </w:p>
    <w:p w14:paraId="34C8A986" w14:textId="77777777" w:rsidR="00A44C40" w:rsidRPr="00A27341" w:rsidRDefault="00A44C40" w:rsidP="00A44C40">
      <w:pPr>
        <w:pStyle w:val="Caption"/>
      </w:pPr>
      <w:bookmarkStart w:id="29" w:name="_Hlk127744281"/>
      <w:bookmarkEnd w:id="28"/>
      <w:r w:rsidRPr="00A27341">
        <w:lastRenderedPageBreak/>
        <w:t xml:space="preserve">Figure </w:t>
      </w:r>
      <w:r>
        <w:t>C1</w:t>
      </w:r>
      <w:r w:rsidRPr="00A27341">
        <w:t xml:space="preserve">: </w:t>
      </w:r>
      <w:r w:rsidRPr="00184862">
        <w:rPr>
          <w:b w:val="0"/>
          <w:bCs w:val="0"/>
        </w:rPr>
        <w:t xml:space="preserve">Overview of Comorbidities: Adjustments and Direction of Adjustment </w:t>
      </w:r>
    </w:p>
    <w:bookmarkEnd w:id="29"/>
    <w:p w14:paraId="111C5AA4" w14:textId="77777777" w:rsidR="00A44C40" w:rsidRDefault="00A44C40" w:rsidP="00A44C40">
      <w:r>
        <w:rPr>
          <w:noProof/>
        </w:rPr>
        <w:drawing>
          <wp:inline distT="0" distB="0" distL="0" distR="0" wp14:anchorId="7C0BB2DB" wp14:editId="67D97B3C">
            <wp:extent cx="5980430" cy="4137025"/>
            <wp:effectExtent l="0" t="0" r="127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5"/>
                    <a:stretch>
                      <a:fillRect/>
                    </a:stretch>
                  </pic:blipFill>
                  <pic:spPr>
                    <a:xfrm>
                      <a:off x="0" y="0"/>
                      <a:ext cx="5980430" cy="4137025"/>
                    </a:xfrm>
                    <a:prstGeom prst="rect">
                      <a:avLst/>
                    </a:prstGeom>
                  </pic:spPr>
                </pic:pic>
              </a:graphicData>
            </a:graphic>
          </wp:inline>
        </w:drawing>
      </w:r>
    </w:p>
    <w:p w14:paraId="07CDFAB5" w14:textId="77777777" w:rsidR="00A44C40" w:rsidRPr="005A6CF7" w:rsidRDefault="00A44C40" w:rsidP="00A44C40">
      <w:pPr>
        <w:pStyle w:val="BodyText3"/>
        <w:rPr>
          <w:sz w:val="18"/>
          <w:szCs w:val="18"/>
        </w:rPr>
      </w:pPr>
      <w:bookmarkStart w:id="30" w:name="_Hlk127744337"/>
      <w:r w:rsidRPr="005A6CF7">
        <w:rPr>
          <w:sz w:val="18"/>
          <w:szCs w:val="18"/>
        </w:rPr>
        <w:t xml:space="preserve">Sources: Schizophrenia and alcohol use disorder </w:t>
      </w:r>
      <w:r>
        <w:rPr>
          <w:sz w:val="18"/>
          <w:szCs w:val="18"/>
        </w:rPr>
        <w:t>[75]</w:t>
      </w:r>
      <w:r w:rsidRPr="005A6CF7">
        <w:rPr>
          <w:sz w:val="18"/>
          <w:szCs w:val="18"/>
        </w:rPr>
        <w:t xml:space="preserve">; other drug use disorders </w:t>
      </w:r>
      <w:r>
        <w:rPr>
          <w:sz w:val="18"/>
          <w:szCs w:val="18"/>
        </w:rPr>
        <w:t>[75]</w:t>
      </w:r>
      <w:r w:rsidRPr="005A6CF7">
        <w:rPr>
          <w:sz w:val="18"/>
          <w:szCs w:val="18"/>
        </w:rPr>
        <w:t xml:space="preserve">; suicidal ideation </w:t>
      </w:r>
      <w:r>
        <w:rPr>
          <w:sz w:val="18"/>
          <w:szCs w:val="18"/>
        </w:rPr>
        <w:t>[82].</w:t>
      </w:r>
    </w:p>
    <w:p w14:paraId="04179CEB" w14:textId="77777777" w:rsidR="00A44C40" w:rsidRPr="005A6CF7" w:rsidRDefault="00A44C40" w:rsidP="00A44C40">
      <w:pPr>
        <w:pStyle w:val="BodyText3"/>
        <w:rPr>
          <w:sz w:val="18"/>
          <w:szCs w:val="18"/>
        </w:rPr>
      </w:pPr>
      <w:r w:rsidRPr="005A6CF7">
        <w:rPr>
          <w:sz w:val="18"/>
          <w:szCs w:val="18"/>
        </w:rPr>
        <w:t xml:space="preserve">Bipolar disorder and alcohol use disorder </w:t>
      </w:r>
      <w:r>
        <w:rPr>
          <w:sz w:val="18"/>
          <w:szCs w:val="18"/>
        </w:rPr>
        <w:t>[74]</w:t>
      </w:r>
      <w:r w:rsidRPr="005A6CF7">
        <w:rPr>
          <w:sz w:val="18"/>
          <w:szCs w:val="18"/>
        </w:rPr>
        <w:t xml:space="preserve">; other drug use disorders </w:t>
      </w:r>
      <w:r>
        <w:rPr>
          <w:sz w:val="18"/>
          <w:szCs w:val="18"/>
        </w:rPr>
        <w:t>[74]</w:t>
      </w:r>
      <w:r w:rsidRPr="005A6CF7">
        <w:rPr>
          <w:sz w:val="18"/>
          <w:szCs w:val="18"/>
        </w:rPr>
        <w:t xml:space="preserve">; suicidal ideation </w:t>
      </w:r>
      <w:r>
        <w:rPr>
          <w:sz w:val="18"/>
          <w:szCs w:val="18"/>
        </w:rPr>
        <w:t>[83]</w:t>
      </w:r>
      <w:r w:rsidRPr="005A6CF7">
        <w:rPr>
          <w:sz w:val="18"/>
          <w:szCs w:val="18"/>
        </w:rPr>
        <w:t>.</w:t>
      </w:r>
    </w:p>
    <w:p w14:paraId="18EB8877" w14:textId="77777777" w:rsidR="00A44C40" w:rsidRPr="005A6CF7" w:rsidRDefault="00A44C40" w:rsidP="00A44C40">
      <w:pPr>
        <w:pStyle w:val="BodyText3"/>
        <w:rPr>
          <w:sz w:val="18"/>
          <w:szCs w:val="18"/>
        </w:rPr>
      </w:pPr>
      <w:r w:rsidRPr="005A6CF7">
        <w:rPr>
          <w:sz w:val="18"/>
          <w:szCs w:val="18"/>
        </w:rPr>
        <w:t xml:space="preserve">Depression and alcohol use disorder </w:t>
      </w:r>
      <w:r>
        <w:rPr>
          <w:sz w:val="18"/>
          <w:szCs w:val="18"/>
        </w:rPr>
        <w:t>[76]</w:t>
      </w:r>
      <w:r w:rsidRPr="005A6CF7">
        <w:rPr>
          <w:sz w:val="18"/>
          <w:szCs w:val="18"/>
        </w:rPr>
        <w:t xml:space="preserve">; other drug use disorders </w:t>
      </w:r>
      <w:r>
        <w:rPr>
          <w:sz w:val="18"/>
          <w:szCs w:val="18"/>
        </w:rPr>
        <w:t>[76]</w:t>
      </w:r>
      <w:r w:rsidRPr="005A6CF7">
        <w:rPr>
          <w:sz w:val="18"/>
          <w:szCs w:val="18"/>
        </w:rPr>
        <w:t xml:space="preserve">; suicidal ideation </w:t>
      </w:r>
      <w:r>
        <w:rPr>
          <w:sz w:val="18"/>
          <w:szCs w:val="18"/>
        </w:rPr>
        <w:t>[83]</w:t>
      </w:r>
      <w:r w:rsidRPr="005A6CF7">
        <w:rPr>
          <w:sz w:val="18"/>
          <w:szCs w:val="18"/>
        </w:rPr>
        <w:t>.</w:t>
      </w:r>
    </w:p>
    <w:bookmarkEnd w:id="30"/>
    <w:p w14:paraId="1EDEED56" w14:textId="77777777" w:rsidR="00A44C40" w:rsidRPr="005A6CF7" w:rsidRDefault="00A44C40" w:rsidP="00A44C40">
      <w:pPr>
        <w:pStyle w:val="BodyText3"/>
        <w:rPr>
          <w:sz w:val="18"/>
          <w:szCs w:val="18"/>
        </w:rPr>
      </w:pPr>
    </w:p>
    <w:p w14:paraId="6943C73E" w14:textId="77777777" w:rsidR="00A44C40" w:rsidRPr="005A6CF7" w:rsidRDefault="00A44C40" w:rsidP="00A44C40">
      <w:pPr>
        <w:pStyle w:val="BodyText3"/>
        <w:rPr>
          <w:i/>
          <w:iCs/>
          <w:sz w:val="18"/>
          <w:szCs w:val="18"/>
        </w:rPr>
      </w:pPr>
    </w:p>
    <w:p w14:paraId="683F8EE8" w14:textId="77777777" w:rsidR="00A44C40" w:rsidRPr="005A6CF7" w:rsidRDefault="00A44C40" w:rsidP="00A44C40">
      <w:pPr>
        <w:pStyle w:val="BodyText3"/>
        <w:rPr>
          <w:sz w:val="18"/>
          <w:szCs w:val="18"/>
        </w:rPr>
      </w:pPr>
      <w:bookmarkStart w:id="31" w:name="_Hlk127744390"/>
      <w:r w:rsidRPr="005A6CF7">
        <w:rPr>
          <w:sz w:val="18"/>
          <w:szCs w:val="18"/>
        </w:rPr>
        <w:t>Positive predictive values for schizophrenia and alcohol use disorder (0.55); other drug use disorders (0.45); suicidal intention (0.79)</w:t>
      </w:r>
      <w:r>
        <w:rPr>
          <w:sz w:val="18"/>
          <w:szCs w:val="18"/>
        </w:rPr>
        <w:t>;</w:t>
      </w:r>
      <w:r w:rsidRPr="005A6CF7">
        <w:rPr>
          <w:sz w:val="18"/>
          <w:szCs w:val="18"/>
        </w:rPr>
        <w:t xml:space="preserve"> </w:t>
      </w:r>
      <w:r>
        <w:rPr>
          <w:sz w:val="18"/>
          <w:szCs w:val="18"/>
        </w:rPr>
        <w:t>[81,84,85].</w:t>
      </w:r>
    </w:p>
    <w:p w14:paraId="695A3E02" w14:textId="77777777" w:rsidR="00A44C40" w:rsidRPr="005A6CF7" w:rsidRDefault="00A44C40" w:rsidP="00A44C40">
      <w:pPr>
        <w:pStyle w:val="BodyText3"/>
        <w:rPr>
          <w:sz w:val="18"/>
          <w:szCs w:val="18"/>
        </w:rPr>
      </w:pPr>
      <w:r w:rsidRPr="005A6CF7">
        <w:rPr>
          <w:sz w:val="18"/>
          <w:szCs w:val="18"/>
        </w:rPr>
        <w:t xml:space="preserve">Bipolar disorder and alcohol use disorder (0.35); other drug use disorders (0.35); suicidal intention (0.86): </w:t>
      </w:r>
      <w:r>
        <w:rPr>
          <w:sz w:val="18"/>
          <w:szCs w:val="18"/>
        </w:rPr>
        <w:t>[85,86].</w:t>
      </w:r>
    </w:p>
    <w:p w14:paraId="4609C9DD" w14:textId="77777777" w:rsidR="00A44C40" w:rsidRPr="005A6CF7" w:rsidRDefault="00A44C40" w:rsidP="00A44C40">
      <w:pPr>
        <w:pStyle w:val="BodyText3"/>
        <w:rPr>
          <w:sz w:val="18"/>
          <w:szCs w:val="18"/>
        </w:rPr>
      </w:pPr>
      <w:r w:rsidRPr="005A6CF7">
        <w:rPr>
          <w:sz w:val="18"/>
          <w:szCs w:val="18"/>
        </w:rPr>
        <w:t xml:space="preserve">Depression and alcohol use disorder (0.35); other drug use disorders (0.35); suicidal intention (0.86): </w:t>
      </w:r>
      <w:r>
        <w:rPr>
          <w:sz w:val="18"/>
          <w:szCs w:val="18"/>
        </w:rPr>
        <w:t>[85,86].</w:t>
      </w:r>
    </w:p>
    <w:bookmarkEnd w:id="31"/>
    <w:p w14:paraId="0091F5C9" w14:textId="77777777" w:rsidR="00A44C40" w:rsidRPr="005A6CF7" w:rsidRDefault="00A44C40" w:rsidP="00A44C40">
      <w:pPr>
        <w:rPr>
          <w:sz w:val="24"/>
          <w:szCs w:val="24"/>
        </w:rPr>
      </w:pPr>
    </w:p>
    <w:p w14:paraId="7A8ED2F8" w14:textId="77777777" w:rsidR="00A44C40" w:rsidRPr="00A27341" w:rsidRDefault="00A44C40" w:rsidP="00A44C40">
      <w:pPr>
        <w:jc w:val="both"/>
      </w:pPr>
      <w:bookmarkStart w:id="32" w:name="_Hlk127744421"/>
      <w:r w:rsidRPr="00A27341">
        <w:t xml:space="preserve">To address comorbidity of schizophrenia, bipolar disorder, and depression with alcohol and </w:t>
      </w:r>
      <w:r w:rsidRPr="00C92C3F">
        <w:t xml:space="preserve">other </w:t>
      </w:r>
      <w:r w:rsidRPr="00A27341">
        <w:t xml:space="preserve">drug use disorders, we added another level of adjustment for these conditions. For each condition, we identified comorbid </w:t>
      </w:r>
      <w:r w:rsidRPr="00C92C3F">
        <w:t xml:space="preserve">other </w:t>
      </w:r>
      <w:r w:rsidRPr="00A27341">
        <w:t xml:space="preserve">drug and alcohol </w:t>
      </w:r>
      <w:r>
        <w:t>use</w:t>
      </w:r>
      <w:r w:rsidRPr="00A27341">
        <w:t xml:space="preserve"> </w:t>
      </w:r>
      <w:r>
        <w:t>[74-76]</w:t>
      </w:r>
      <w:r w:rsidRPr="00A27341">
        <w:t xml:space="preserve">. In </w:t>
      </w:r>
      <w:r>
        <w:t>f</w:t>
      </w:r>
      <w:r w:rsidRPr="00A27341">
        <w:t xml:space="preserve">igure </w:t>
      </w:r>
      <w:r>
        <w:t>C</w:t>
      </w:r>
      <w:r w:rsidRPr="00A27341">
        <w:t>1, the three arrows leading from other drug use disorder</w:t>
      </w:r>
      <w:r>
        <w:t>s</w:t>
      </w:r>
      <w:r w:rsidRPr="00A27341">
        <w:t xml:space="preserve"> to alcohol use disorder</w:t>
      </w:r>
      <w:r w:rsidRPr="007C13EF">
        <w:t xml:space="preserve"> </w:t>
      </w:r>
      <w:r w:rsidRPr="00A27341">
        <w:t>depict</w:t>
      </w:r>
      <w:r w:rsidRPr="007C13EF">
        <w:t xml:space="preserve"> </w:t>
      </w:r>
      <w:r w:rsidRPr="00A27341">
        <w:t xml:space="preserve">these comorbidities </w:t>
      </w:r>
      <w:r>
        <w:t>according to</w:t>
      </w:r>
      <w:r w:rsidRPr="00A27341">
        <w:t xml:space="preserve"> condition. Using the same methodology as before, we assigned the comorbidity to the condition with the larger treatment coverage</w:t>
      </w:r>
      <w:r>
        <w:t>,</w:t>
      </w:r>
      <w:r w:rsidRPr="00A27341">
        <w:t xml:space="preserve"> which in this case </w:t>
      </w:r>
      <w:r>
        <w:t>wa</w:t>
      </w:r>
      <w:r w:rsidRPr="00A27341">
        <w:t>s other drug use disorder</w:t>
      </w:r>
      <w:r>
        <w:t>s</w:t>
      </w:r>
      <w:r w:rsidRPr="00A27341">
        <w:t xml:space="preserve"> (target coverage 50 percent</w:t>
      </w:r>
      <w:r>
        <w:t>,</w:t>
      </w:r>
      <w:r w:rsidRPr="00A27341">
        <w:t xml:space="preserve"> compared </w:t>
      </w:r>
      <w:r>
        <w:t>with</w:t>
      </w:r>
      <w:r w:rsidRPr="00A27341">
        <w:t xml:space="preserve"> 25 percent for alcohol use disorder</w:t>
      </w:r>
      <w:r>
        <w:t>)</w:t>
      </w:r>
      <w:r w:rsidRPr="00A27341">
        <w:t xml:space="preserve">. This means that alcohol use disorder can be treated under </w:t>
      </w:r>
      <w:r>
        <w:t xml:space="preserve">the </w:t>
      </w:r>
      <w:r w:rsidRPr="00A27341">
        <w:t xml:space="preserve">other drug </w:t>
      </w:r>
      <w:r>
        <w:t>use</w:t>
      </w:r>
      <w:r w:rsidRPr="00A27341">
        <w:t xml:space="preserve"> treatment model. This effectively removes the double count of </w:t>
      </w:r>
      <w:r>
        <w:t xml:space="preserve">individuals with </w:t>
      </w:r>
      <w:r w:rsidRPr="00A27341">
        <w:t>schizophrenia who have alcohol use disorder and other drug use disorder</w:t>
      </w:r>
      <w:r>
        <w:t>s</w:t>
      </w:r>
      <w:r w:rsidRPr="00A27341">
        <w:t xml:space="preserve"> and allows us to independently assess alcohol </w:t>
      </w:r>
      <w:r>
        <w:t>use</w:t>
      </w:r>
      <w:r w:rsidRPr="00A27341">
        <w:t xml:space="preserve"> within schizophrenia.</w:t>
      </w:r>
    </w:p>
    <w:p w14:paraId="544061B7" w14:textId="77777777" w:rsidR="00A44C40" w:rsidRPr="00A27341" w:rsidRDefault="00A44C40" w:rsidP="00A44C40">
      <w:bookmarkStart w:id="33" w:name="_Hlk127744532"/>
      <w:bookmarkEnd w:id="32"/>
      <w:r w:rsidRPr="00A27341">
        <w:lastRenderedPageBreak/>
        <w:t xml:space="preserve">Figure </w:t>
      </w:r>
      <w:r>
        <w:t>C</w:t>
      </w:r>
      <w:r w:rsidRPr="00A27341">
        <w:t xml:space="preserve">2 walks through the example using schizophrenia and comorbid other drug and alcohol use disorder. </w:t>
      </w:r>
    </w:p>
    <w:p w14:paraId="44F184F8" w14:textId="77777777" w:rsidR="00A44C40" w:rsidRPr="00A27341" w:rsidRDefault="00A44C40" w:rsidP="00A44C40">
      <w:bookmarkStart w:id="34" w:name="_Hlk127744565"/>
      <w:bookmarkEnd w:id="33"/>
      <w:r w:rsidRPr="00A27341">
        <w:rPr>
          <w:b/>
          <w:bCs/>
        </w:rPr>
        <w:t>Step 1</w:t>
      </w:r>
      <w:r>
        <w:t>—</w:t>
      </w:r>
      <w:r w:rsidRPr="00A27341">
        <w:t xml:space="preserve">Review treatment models for comorbidity of </w:t>
      </w:r>
      <w:r w:rsidRPr="00C92C3F">
        <w:t xml:space="preserve">other </w:t>
      </w:r>
      <w:r w:rsidRPr="00A27341">
        <w:t xml:space="preserve">drug </w:t>
      </w:r>
      <w:r>
        <w:t>use</w:t>
      </w:r>
      <w:r w:rsidRPr="00A27341">
        <w:t xml:space="preserve"> within schizophrenia that can be treated as part of schizophrenia treatment.</w:t>
      </w:r>
    </w:p>
    <w:p w14:paraId="0086EF9F" w14:textId="77777777" w:rsidR="00A44C40" w:rsidRPr="00A27341" w:rsidRDefault="00A44C40" w:rsidP="00A44C40">
      <w:pPr>
        <w:pStyle w:val="ListParagraph"/>
        <w:numPr>
          <w:ilvl w:val="0"/>
          <w:numId w:val="1"/>
        </w:numPr>
      </w:pPr>
      <w:r w:rsidRPr="00A27341">
        <w:t xml:space="preserve">41.7 percent of </w:t>
      </w:r>
      <w:r>
        <w:t xml:space="preserve">individuals with </w:t>
      </w:r>
      <w:r w:rsidRPr="00A27341">
        <w:t>schizophreni</w:t>
      </w:r>
      <w:r>
        <w:t>a</w:t>
      </w:r>
      <w:r w:rsidRPr="00A27341">
        <w:t xml:space="preserve"> have comorbid </w:t>
      </w:r>
      <w:r w:rsidRPr="00C92C3F">
        <w:t xml:space="preserve">other </w:t>
      </w:r>
      <w:r w:rsidRPr="00A27341">
        <w:t xml:space="preserve">drug </w:t>
      </w:r>
      <w:r>
        <w:t>use,</w:t>
      </w:r>
      <w:r w:rsidRPr="00A27341">
        <w:t xml:space="preserve"> and if screened, 45 percent of them can be successfully identified for follow-up.</w:t>
      </w:r>
    </w:p>
    <w:p w14:paraId="53A34BDA" w14:textId="77777777" w:rsidR="00A44C40" w:rsidRPr="00A27341" w:rsidRDefault="00A44C40" w:rsidP="00A44C40">
      <w:r w:rsidRPr="00A27341">
        <w:rPr>
          <w:b/>
          <w:bCs/>
        </w:rPr>
        <w:t>Step 2</w:t>
      </w:r>
      <w:r>
        <w:t>—</w:t>
      </w:r>
      <w:r w:rsidRPr="00A27341">
        <w:t>Quantify comorbidity of alcohol use disorder that can be treated within other drug use disorder</w:t>
      </w:r>
      <w:r>
        <w:t>s</w:t>
      </w:r>
      <w:r w:rsidRPr="00A27341">
        <w:t>. Remove from alcohol use disorder</w:t>
      </w:r>
      <w:r>
        <w:t>.</w:t>
      </w:r>
    </w:p>
    <w:p w14:paraId="3AA1C0AA" w14:textId="77777777" w:rsidR="00A44C40" w:rsidRPr="00A27341" w:rsidRDefault="00A44C40" w:rsidP="00A44C40">
      <w:pPr>
        <w:pStyle w:val="ListParagraph"/>
        <w:numPr>
          <w:ilvl w:val="0"/>
          <w:numId w:val="1"/>
        </w:numPr>
      </w:pPr>
      <w:r w:rsidRPr="00A27341">
        <w:t xml:space="preserve">10.1 percent of </w:t>
      </w:r>
      <w:r>
        <w:t xml:space="preserve">individuals with </w:t>
      </w:r>
      <w:r w:rsidRPr="00A27341">
        <w:t xml:space="preserve">schizophrenia with comorbid </w:t>
      </w:r>
      <w:r w:rsidRPr="00C92C3F">
        <w:t xml:space="preserve">other </w:t>
      </w:r>
      <w:r w:rsidRPr="00A27341">
        <w:t xml:space="preserve">drug </w:t>
      </w:r>
      <w:r>
        <w:t>use</w:t>
      </w:r>
      <w:r w:rsidRPr="00A27341">
        <w:t xml:space="preserve"> are likely to have an alcohol use disorder. </w:t>
      </w:r>
    </w:p>
    <w:p w14:paraId="6A691039" w14:textId="77777777" w:rsidR="00A44C40" w:rsidRPr="00A27341" w:rsidRDefault="00A44C40" w:rsidP="00A44C40">
      <w:r w:rsidRPr="00A27341">
        <w:rPr>
          <w:b/>
          <w:bCs/>
        </w:rPr>
        <w:t>Step 3</w:t>
      </w:r>
      <w:r>
        <w:t>—</w:t>
      </w:r>
      <w:r w:rsidRPr="00A27341">
        <w:t>Remove comorbidity of alcohol use disorder from other drug use disorder</w:t>
      </w:r>
      <w:r>
        <w:t>s</w:t>
      </w:r>
      <w:r w:rsidRPr="00A27341">
        <w:t xml:space="preserve"> (within </w:t>
      </w:r>
      <w:r>
        <w:t xml:space="preserve">individuals with </w:t>
      </w:r>
      <w:r w:rsidRPr="00A27341">
        <w:t>schizophrenia).</w:t>
      </w:r>
    </w:p>
    <w:p w14:paraId="5BA04C12" w14:textId="77777777" w:rsidR="00A44C40" w:rsidRPr="00A27341" w:rsidRDefault="00A44C40" w:rsidP="00A44C40">
      <w:pPr>
        <w:pStyle w:val="ListParagraph"/>
        <w:numPr>
          <w:ilvl w:val="0"/>
          <w:numId w:val="1"/>
        </w:numPr>
      </w:pPr>
      <w:r w:rsidRPr="00A27341">
        <w:t xml:space="preserve">This 10.1 percent is removed from the </w:t>
      </w:r>
      <w:r>
        <w:t xml:space="preserve">individuals with </w:t>
      </w:r>
      <w:r w:rsidRPr="00A27341">
        <w:t>schizophreni</w:t>
      </w:r>
      <w:r>
        <w:t>a</w:t>
      </w:r>
      <w:r w:rsidRPr="00A27341">
        <w:t xml:space="preserve"> with comorbid alcohol </w:t>
      </w:r>
      <w:r>
        <w:t>use</w:t>
      </w:r>
      <w:r w:rsidRPr="00A27341">
        <w:t xml:space="preserve"> population and assigned to </w:t>
      </w:r>
      <w:r>
        <w:t xml:space="preserve">individuals with </w:t>
      </w:r>
      <w:r w:rsidRPr="00A27341">
        <w:t>schizophreni</w:t>
      </w:r>
      <w:r>
        <w:t>a</w:t>
      </w:r>
      <w:r w:rsidRPr="00A27341">
        <w:t xml:space="preserve"> with comorbid </w:t>
      </w:r>
      <w:r w:rsidRPr="00C92C3F">
        <w:t xml:space="preserve">other </w:t>
      </w:r>
      <w:r w:rsidRPr="00A27341">
        <w:t xml:space="preserve">drug </w:t>
      </w:r>
      <w:r>
        <w:t>use</w:t>
      </w:r>
      <w:r w:rsidRPr="00A27341">
        <w:t xml:space="preserve"> to avoid double count.</w:t>
      </w:r>
    </w:p>
    <w:p w14:paraId="2F9347ED" w14:textId="77777777" w:rsidR="00A44C40" w:rsidRDefault="00A44C40" w:rsidP="00A44C40">
      <w:pPr>
        <w:pStyle w:val="Caption"/>
      </w:pPr>
      <w:bookmarkStart w:id="35" w:name="_Hlk127744723"/>
      <w:bookmarkEnd w:id="34"/>
      <w:r w:rsidRPr="00A27341">
        <w:t xml:space="preserve">Figure </w:t>
      </w:r>
      <w:r>
        <w:t>C2</w:t>
      </w:r>
      <w:r w:rsidRPr="00A27341">
        <w:t>: Example of Comorbidity Adjustment and Positive Predictive Value for Schizophrenia, Alcohol Use</w:t>
      </w:r>
      <w:r>
        <w:t xml:space="preserve"> Disorder</w:t>
      </w:r>
      <w:r w:rsidRPr="00A27341">
        <w:t xml:space="preserve">, and </w:t>
      </w:r>
      <w:r>
        <w:t>O</w:t>
      </w:r>
      <w:r w:rsidRPr="00C92C3F">
        <w:t xml:space="preserve">ther </w:t>
      </w:r>
      <w:r w:rsidRPr="00A27341">
        <w:t>Drug Use</w:t>
      </w:r>
      <w:r>
        <w:t xml:space="preserve"> Disorders</w:t>
      </w:r>
    </w:p>
    <w:bookmarkEnd w:id="35"/>
    <w:p w14:paraId="403B0C77" w14:textId="77777777" w:rsidR="00A44C40" w:rsidRPr="00C02637" w:rsidRDefault="00A44C40" w:rsidP="00A44C40">
      <w:r>
        <w:rPr>
          <w:noProof/>
        </w:rPr>
        <w:drawing>
          <wp:inline distT="0" distB="0" distL="0" distR="0" wp14:anchorId="1D599A6B" wp14:editId="1185CABF">
            <wp:extent cx="5980430" cy="2982595"/>
            <wp:effectExtent l="0" t="0" r="1270" b="8255"/>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6"/>
                    <a:stretch>
                      <a:fillRect/>
                    </a:stretch>
                  </pic:blipFill>
                  <pic:spPr>
                    <a:xfrm>
                      <a:off x="0" y="0"/>
                      <a:ext cx="5980430" cy="2982595"/>
                    </a:xfrm>
                    <a:prstGeom prst="rect">
                      <a:avLst/>
                    </a:prstGeom>
                  </pic:spPr>
                </pic:pic>
              </a:graphicData>
            </a:graphic>
          </wp:inline>
        </w:drawing>
      </w:r>
    </w:p>
    <w:p w14:paraId="7FFC24C7" w14:textId="2B089BD6" w:rsidR="00755780" w:rsidRDefault="00A44C40" w:rsidP="00A44C40">
      <w:r w:rsidRPr="005A6CF7">
        <w:rPr>
          <w:i/>
          <w:iCs/>
        </w:rPr>
        <w:t xml:space="preserve">Source: </w:t>
      </w:r>
      <w:r w:rsidRPr="005A6CF7">
        <w:t xml:space="preserve">Original figure for this publication. </w:t>
      </w:r>
    </w:p>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6933E1"/>
    <w:multiLevelType w:val="hybridMultilevel"/>
    <w:tmpl w:val="95AC6232"/>
    <w:lvl w:ilvl="0" w:tplc="ECA8A118">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6342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C40"/>
    <w:rsid w:val="00755780"/>
    <w:rsid w:val="00857596"/>
    <w:rsid w:val="00A44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E7AA3"/>
  <w15:chartTrackingRefBased/>
  <w15:docId w15:val="{E289893C-BF7A-4355-80D2-916123E29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C40"/>
    <w:rPr>
      <w:kern w:val="0"/>
      <w14:ligatures w14:val="none"/>
    </w:rPr>
  </w:style>
  <w:style w:type="paragraph" w:styleId="Heading1">
    <w:name w:val="heading 1"/>
    <w:basedOn w:val="Normal"/>
    <w:next w:val="Normal"/>
    <w:link w:val="Heading1Char"/>
    <w:uiPriority w:val="9"/>
    <w:qFormat/>
    <w:rsid w:val="00A44C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44C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C40"/>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A44C40"/>
    <w:rPr>
      <w:rFonts w:asciiTheme="majorHAnsi" w:eastAsiaTheme="majorEastAsia" w:hAnsiTheme="majorHAnsi" w:cstheme="majorBidi"/>
      <w:color w:val="2F5496" w:themeColor="accent1" w:themeShade="BF"/>
      <w:kern w:val="0"/>
      <w:sz w:val="26"/>
      <w:szCs w:val="26"/>
      <w14:ligatures w14:val="none"/>
    </w:rPr>
  </w:style>
  <w:style w:type="paragraph" w:styleId="ListParagraph">
    <w:name w:val="List Paragraph"/>
    <w:basedOn w:val="Normal"/>
    <w:uiPriority w:val="34"/>
    <w:qFormat/>
    <w:rsid w:val="00A44C40"/>
    <w:pPr>
      <w:ind w:left="720"/>
      <w:contextualSpacing/>
    </w:pPr>
  </w:style>
  <w:style w:type="paragraph" w:styleId="NoSpacing">
    <w:name w:val="No Spacing"/>
    <w:uiPriority w:val="1"/>
    <w:qFormat/>
    <w:rsid w:val="00A44C40"/>
    <w:pPr>
      <w:spacing w:after="0" w:line="240" w:lineRule="auto"/>
    </w:pPr>
    <w:rPr>
      <w:kern w:val="0"/>
      <w14:ligatures w14:val="none"/>
    </w:rPr>
  </w:style>
  <w:style w:type="paragraph" w:styleId="BodyText3">
    <w:name w:val="Body Text 3"/>
    <w:basedOn w:val="Normal"/>
    <w:link w:val="BodyText3Char"/>
    <w:uiPriority w:val="99"/>
    <w:unhideWhenUsed/>
    <w:rsid w:val="00A44C40"/>
    <w:pPr>
      <w:spacing w:after="0" w:line="240" w:lineRule="auto"/>
    </w:pPr>
    <w:rPr>
      <w:sz w:val="16"/>
      <w:szCs w:val="16"/>
    </w:rPr>
  </w:style>
  <w:style w:type="character" w:customStyle="1" w:styleId="BodyText3Char">
    <w:name w:val="Body Text 3 Char"/>
    <w:basedOn w:val="DefaultParagraphFont"/>
    <w:link w:val="BodyText3"/>
    <w:uiPriority w:val="99"/>
    <w:rsid w:val="00A44C40"/>
    <w:rPr>
      <w:kern w:val="0"/>
      <w:sz w:val="16"/>
      <w:szCs w:val="16"/>
      <w14:ligatures w14:val="none"/>
    </w:rPr>
  </w:style>
  <w:style w:type="paragraph" w:styleId="Caption">
    <w:name w:val="caption"/>
    <w:basedOn w:val="Normal"/>
    <w:next w:val="Normal"/>
    <w:uiPriority w:val="35"/>
    <w:unhideWhenUsed/>
    <w:qFormat/>
    <w:rsid w:val="00A44C40"/>
    <w:pPr>
      <w:keepNext/>
      <w:spacing w:after="120" w:line="240" w:lineRule="auto"/>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2122</Words>
  <Characters>12100</Characters>
  <Application>Microsoft Office Word</Application>
  <DocSecurity>0</DocSecurity>
  <Lines>100</Lines>
  <Paragraphs>28</Paragraphs>
  <ScaleCrop>false</ScaleCrop>
  <Company>Springer Nature</Company>
  <LinksUpToDate>false</LinksUpToDate>
  <CharactersWithSpaces>14194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2023-12-05T14:13:00Z</dcterms:created>
  <dcterms:modified xsi:type="dcterms:W3CDTF">2023-12-05T14:13:00Z</dcterms:modified>
</cp:coreProperties>
</file>