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2693"/>
        <w:gridCol w:w="2552"/>
        <w:gridCol w:w="1133"/>
      </w:tblGrid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EP + Atezolizumab (n=41)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EP+ Durvalumab (n=59)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 sex (%)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(75.6)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(72.9)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at diagnosis (mean [SD])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66.54 (8.70)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67.02 (10.00)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0.628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(%)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0.454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&lt; 70 years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(63)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(56)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≥ 70 years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(37)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(44)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BMI (mean (SD))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28.73 (4.30)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27.2 (5.01)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0.039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Smoking_status (%)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0.318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Current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(83.3)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(70.6)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Former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(13.9)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(27.5)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(2.8)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(2.0)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Histotype</w:t>
            </w:r>
          </w:p>
        </w:tc>
        <w:tc>
          <w:tcPr>
            <w:tcW w:w="269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0.032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SCLC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35 (85.4)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55 (93.2)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LCNEC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6 (14.6)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 (0)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Combined SCLC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 (0)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4 (6.8)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ECOG Performance status</w:t>
            </w:r>
          </w:p>
        </w:tc>
        <w:tc>
          <w:tcPr>
            <w:tcW w:w="269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10 (24.4)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11 (18.6)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23 (56.1)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29 (49.2)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7 (17.1)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18 (30.5)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 (2.4)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 (1.7)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Stage at diagnosis (%)</w:t>
            </w:r>
          </w:p>
        </w:tc>
        <w:tc>
          <w:tcPr>
            <w:tcW w:w="2693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0.353     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IIIB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(2.4)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IIIC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(2.4)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IVA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(24.4)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(23.7)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IVB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(70.7)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(76.3)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Brain metastases (%)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0.617</w:t>
            </w: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(19.5)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14 (22.0)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97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(80.5)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45 (78.0)</w:t>
            </w:r>
          </w:p>
        </w:tc>
        <w:tc>
          <w:tcPr>
            <w:tcW w:w="1133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Table 1.</w:t>
      </w:r>
      <w:r>
        <w:rPr>
          <w:rFonts w:ascii="Times New Roman" w:hAnsi="Times New Roman" w:cs="Times New Roman"/>
        </w:rPr>
        <w:t xml:space="preserve"> Patient demographics and disease characteristics according to programmed death-ligand 1 inhibitor.</w:t>
      </w:r>
    </w:p>
    <w:p>
      <w:r>
        <w:br w:type="page"/>
      </w:r>
    </w:p>
    <w:tbl>
      <w:tblPr>
        <w:tblStyle w:val="4"/>
        <w:tblW w:w="936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7"/>
        <w:gridCol w:w="1875"/>
        <w:gridCol w:w="1424"/>
        <w:gridCol w:w="1875"/>
        <w:gridCol w:w="1329"/>
      </w:tblGrid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rwPFS (n=72)</w:t>
            </w:r>
          </w:p>
        </w:tc>
        <w:tc>
          <w:tcPr>
            <w:tcW w:w="1424" w:type="dxa"/>
            <w:vMerge w:val="restart"/>
            <w:shd w:val="clear" w:color="auto" w:fill="auto"/>
          </w:tcPr>
          <w:p>
            <w:pP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p-value (Bonferroni correction)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rwOS (n=52)</w:t>
            </w:r>
          </w:p>
        </w:tc>
        <w:tc>
          <w:tcPr>
            <w:tcW w:w="1329" w:type="dxa"/>
            <w:vMerge w:val="restart"/>
            <w:shd w:val="clear" w:color="auto" w:fill="auto"/>
          </w:tcPr>
          <w:p>
            <w:pP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p-value (Bonferroni correction)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Pearson Correlation Coefficient </w:t>
            </w:r>
          </w:p>
        </w:tc>
        <w:tc>
          <w:tcPr>
            <w:tcW w:w="1424" w:type="dxa"/>
            <w:vMerge w:val="continue"/>
            <w:shd w:val="clear" w:color="auto" w:fill="auto"/>
          </w:tcPr>
          <w:p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Pearson Correlation Coefficient </w:t>
            </w:r>
          </w:p>
        </w:tc>
        <w:tc>
          <w:tcPr>
            <w:tcW w:w="1329" w:type="dxa"/>
            <w:vMerge w:val="continue"/>
            <w:shd w:val="clear" w:color="auto" w:fill="auto"/>
          </w:tcPr>
          <w:p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red blood cell count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-0.11 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hemoglobin level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white blood cell count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neutrophil count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lymphocyte count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Baseline platelet count 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 (0.80)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LDH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LDH_ULN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NLR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dNLR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424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 (1.00)</w:t>
            </w:r>
          </w:p>
        </w:tc>
        <w:tc>
          <w:tcPr>
            <w:tcW w:w="1875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 blood cell count at progression</w:t>
            </w:r>
          </w:p>
        </w:tc>
        <w:tc>
          <w:tcPr>
            <w:tcW w:w="18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42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 (1.00)</w:t>
            </w:r>
          </w:p>
        </w:tc>
        <w:tc>
          <w:tcPr>
            <w:tcW w:w="18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Hemoglobin level at progression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 (1.00)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White blood cell count at progression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-0.59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 (0.00)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-0.71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 (0.00)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Neutrophil count at progression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-0.60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 (0.00)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-0.72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 (0.00)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Lymphocyte count at progression</w:t>
            </w:r>
          </w:p>
        </w:tc>
        <w:tc>
          <w:tcPr>
            <w:tcW w:w="18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142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0.59 (1.00)</w:t>
            </w:r>
          </w:p>
        </w:tc>
        <w:tc>
          <w:tcPr>
            <w:tcW w:w="18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Platelet count at progression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 (1.00)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LDH at progression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 (1.00)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LDH_ULN at progression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 (1.00)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0.36 (1.00)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NLR at progression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-0.42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 (0.02)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-0.70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 (0.00)</w:t>
            </w:r>
          </w:p>
        </w:tc>
      </w:tr>
      <w:tr>
        <w:tc>
          <w:tcPr>
            <w:tcW w:w="2857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dNLR at progression</w:t>
            </w:r>
          </w:p>
        </w:tc>
        <w:tc>
          <w:tcPr>
            <w:tcW w:w="1875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-0.57</w:t>
            </w:r>
          </w:p>
        </w:tc>
        <w:tc>
          <w:tcPr>
            <w:tcW w:w="1424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 (0.00)</w:t>
            </w:r>
          </w:p>
        </w:tc>
        <w:tc>
          <w:tcPr>
            <w:tcW w:w="1875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-0.74</w:t>
            </w:r>
          </w:p>
        </w:tc>
        <w:tc>
          <w:tcPr>
            <w:tcW w:w="1329" w:type="dxa"/>
            <w:shd w:val="clear" w:color="auto" w:fill="auto"/>
          </w:tcPr>
          <w:p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 (0.00)</w:t>
            </w:r>
          </w:p>
        </w:tc>
      </w:tr>
    </w:tbl>
    <w:p>
      <w:pPr>
        <w:jc w:val="both"/>
        <w:rPr>
          <w:rFonts w:ascii="Times New Roman" w:hAnsi="Times New Roman" w:cs="Times New Roman"/>
        </w:rPr>
      </w:pPr>
    </w:p>
    <w:p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Table 2.</w:t>
      </w:r>
      <w:r>
        <w:rPr>
          <w:rFonts w:ascii="Times New Roman" w:hAnsi="Times New Roman" w:cs="Times New Roman"/>
        </w:rPr>
        <w:t xml:space="preserve"> Associations of blood cell counts at baseline and at disease progression with rwPFS and rwOS.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4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>
          <w:gridAfter w:val="2"/>
          <w:wAfter w:w="3744" w:type="dxa"/>
        </w:trPr>
        <w:tc>
          <w:tcPr>
            <w:tcW w:w="1872" w:type="dxa"/>
            <w:vMerge w:val="restart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Prognostic score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PFS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OS</w:t>
            </w:r>
          </w:p>
        </w:tc>
      </w:tr>
      <w:tr>
        <w:tc>
          <w:tcPr>
            <w:tcW w:w="1872" w:type="dxa"/>
            <w:vMerge w:val="continue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F-value*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F-value*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RMH</w:t>
            </w:r>
          </w:p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139.89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262.63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</w:tr>
      <w:tr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GRIm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192.87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310.55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</w:tr>
      <w:tr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LIPI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5.79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0.007</w:t>
            </w:r>
          </w:p>
        </w:tc>
      </w:tr>
      <w:tr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EPSILON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3.45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5.02</w:t>
            </w:r>
          </w:p>
        </w:tc>
        <w:tc>
          <w:tcPr>
            <w:tcW w:w="1872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</w:tr>
    </w:tbl>
    <w:p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3. </w:t>
      </w:r>
      <w:r>
        <w:rPr>
          <w:rFonts w:ascii="Times New Roman" w:hAnsi="Times New Roman" w:cs="Times New Roman"/>
        </w:rPr>
        <w:t>Associations of lung immunotherapy prognostic scores with survival outcomes</w:t>
      </w:r>
    </w:p>
    <w:p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*T-value if score is binary</w:t>
      </w:r>
      <w:bookmarkStart w:id="0" w:name="_GoBack"/>
      <w:bookmarkEnd w:id="0"/>
    </w:p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E75"/>
    <w:rsid w:val="000327FB"/>
    <w:rsid w:val="00087E75"/>
    <w:rsid w:val="000A2490"/>
    <w:rsid w:val="001511CD"/>
    <w:rsid w:val="00171710"/>
    <w:rsid w:val="00450C29"/>
    <w:rsid w:val="007D54C1"/>
    <w:rsid w:val="00815960"/>
    <w:rsid w:val="00850A11"/>
    <w:rsid w:val="00B450B0"/>
    <w:rsid w:val="00E02990"/>
    <w:rsid w:val="00E3774C"/>
    <w:rsid w:val="00E73EA9"/>
    <w:rsid w:val="7D6FB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445</Words>
  <Characters>2543</Characters>
  <Lines>21</Lines>
  <Paragraphs>5</Paragraphs>
  <TotalTime>31</TotalTime>
  <ScaleCrop>false</ScaleCrop>
  <LinksUpToDate>false</LinksUpToDate>
  <CharactersWithSpaces>2983</CharactersWithSpaces>
  <Application>WPS Office_4.8.1.7842_F1E327BC-269C-435d-A152-05C5408002CA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2023-09-05T18:40:00Z</dcterms:created>
  <dc:creator>Emmanouil Panagiotou</dc:creator>
  <cp:lastModifiedBy>mirsini</cp:lastModifiedBy>
  <dcterms:modified xsi:type="dcterms:W3CDTF">2023-11-02T13:38:26Z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b728be889bb8e36bfc520d79f335ceb5aee040b650eb3fad835237c6c503a6d1</vt:lpwstr>
  </property>
  <property fmtid="{D5CDD505-2E9C-101B-9397-08002B2CF9AE}" pid="3" name="KSOProductBuildVer">
    <vt:lpwstr>1033-4.8.1.7842</vt:lpwstr>
  </property>
</Properties>
</file>