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>1</w:t>
      </w:r>
      <w:r>
        <w:rPr>
          <w:rFonts w:hint="default"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Intrathecal injection of </w:t>
      </w:r>
      <w:r>
        <w:rPr>
          <w:rFonts w:hint="eastAsia" w:ascii="Times New Roman" w:hAnsi="Times New Roman" w:cs="Times New Roman"/>
          <w:szCs w:val="21"/>
        </w:rPr>
        <w:t>AAV2/9-r-C3ar1 shRNA-GFAP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knocked down t</w:t>
      </w:r>
      <w:r>
        <w:rPr>
          <w:rFonts w:hint="default" w:ascii="Times New Roman" w:hAnsi="Times New Roman" w:cs="Times New Roman"/>
        </w:rPr>
        <w:t xml:space="preserve">he mRNA levels of </w:t>
      </w:r>
      <w:r>
        <w:rPr>
          <w:rFonts w:hint="eastAsia" w:ascii="Times New Roman" w:hAnsi="Times New Roman" w:cs="Times New Roman"/>
          <w:lang w:val="en-US" w:eastAsia="zh-CN"/>
        </w:rPr>
        <w:t>C3aR</w:t>
      </w:r>
      <w:r>
        <w:rPr>
          <w:rFonts w:hint="default" w:ascii="Times New Roman" w:hAnsi="Times New Roman" w:cs="Times New Roman"/>
        </w:rPr>
        <w:t xml:space="preserve"> in the </w:t>
      </w:r>
      <w:r>
        <w:rPr>
          <w:rFonts w:hint="eastAsia" w:ascii="Times New Roman" w:hAnsi="Times New Roman" w:cs="Times New Roman"/>
          <w:lang w:val="en-US" w:eastAsia="zh-CN"/>
        </w:rPr>
        <w:t>spinal cord</w:t>
      </w:r>
      <w:r>
        <w:rPr>
          <w:rFonts w:hint="default" w:ascii="Times New Roman" w:hAnsi="Times New Roman" w:cs="Times New Roman"/>
        </w:rPr>
        <w:t xml:space="preserve">. RT-PCR data showing the mRNA levels of </w:t>
      </w:r>
      <w:r>
        <w:rPr>
          <w:rFonts w:hint="eastAsia" w:ascii="Times New Roman" w:hAnsi="Times New Roman" w:cs="Times New Roman"/>
          <w:lang w:val="en-US" w:eastAsia="zh-CN"/>
        </w:rPr>
        <w:t xml:space="preserve">C3aR in the </w:t>
      </w:r>
      <w:r>
        <w:rPr>
          <w:rFonts w:hint="eastAsia" w:ascii="Times New Roman" w:hAnsi="Times New Roman" w:cs="Times New Roman"/>
          <w:szCs w:val="21"/>
        </w:rPr>
        <w:t>AAV2/9-r-C3ar1 shRNA-GFAP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group (AAV) and </w:t>
      </w:r>
      <w:r>
        <w:rPr>
          <w:rFonts w:hint="eastAsia" w:ascii="Times New Roman" w:hAnsi="Times New Roman" w:cs="Times New Roman"/>
          <w:szCs w:val="21"/>
        </w:rPr>
        <w:t>AAV2/9-GFAP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group (Control) 21 days after </w:t>
      </w:r>
      <w:r>
        <w:rPr>
          <w:rFonts w:hint="eastAsia" w:ascii="Times New Roman" w:hAnsi="Times New Roman" w:cs="Times New Roman"/>
          <w:lang w:val="en-US" w:eastAsia="zh-CN"/>
        </w:rPr>
        <w:t>intrathecal injection</w:t>
      </w:r>
      <w:r>
        <w:rPr>
          <w:rFonts w:hint="default" w:ascii="Times New Roman" w:hAnsi="Times New Roman" w:cs="Times New Roman"/>
        </w:rPr>
        <w:t xml:space="preserve">. </w:t>
      </w:r>
      <w:r>
        <w:rPr>
          <w:rFonts w:hint="eastAsia" w:ascii="Times New Roman" w:hAnsi="Times New Roman" w:cs="Times New Roman"/>
          <w:i/>
          <w:iCs/>
          <w:lang w:val="en-US" w:eastAsia="zh-CN"/>
        </w:rPr>
        <w:t>n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4, </w:t>
      </w:r>
      <w:r>
        <w:rPr>
          <w:rFonts w:hint="default" w:ascii="Times New Roman" w:hAnsi="Times New Roman" w:cs="Times New Roman"/>
        </w:rPr>
        <w:t xml:space="preserve">Student’s </w:t>
      </w:r>
      <w:r>
        <w:rPr>
          <w:rFonts w:hint="default" w:ascii="Times New Roman" w:hAnsi="Times New Roman" w:cs="Times New Roman"/>
          <w:i/>
          <w:iCs/>
        </w:rPr>
        <w:t>t</w:t>
      </w:r>
      <w:r>
        <w:rPr>
          <w:rFonts w:hint="default" w:ascii="Times New Roman" w:hAnsi="Times New Roman" w:cs="Times New Roman"/>
        </w:rPr>
        <w:t xml:space="preserve"> test,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vertAlign w:val="superscript"/>
        </w:rPr>
        <w:t>⁎</w:t>
      </w:r>
      <w:r>
        <w:rPr>
          <w:rFonts w:hint="default" w:ascii="Times New Roman" w:hAnsi="Times New Roman" w:cs="Times New Roman"/>
          <w:i/>
          <w:iCs/>
        </w:rPr>
        <w:t>P</w:t>
      </w:r>
      <w:r>
        <w:rPr>
          <w:rFonts w:hint="default" w:ascii="Times New Roman" w:hAnsi="Times New Roman" w:cs="Times New Roman"/>
        </w:rPr>
        <w:t xml:space="preserve"> &lt; .05 </w:t>
      </w:r>
      <w:r>
        <w:rPr>
          <w:rFonts w:hint="default" w:ascii="Times New Roman" w:hAnsi="Times New Roman" w:cs="Times New Roman"/>
          <w:i w:val="0"/>
          <w:iCs w:val="0"/>
        </w:rPr>
        <w:t xml:space="preserve">versus </w:t>
      </w:r>
      <w:r>
        <w:rPr>
          <w:rFonts w:hint="default" w:ascii="Times New Roman" w:hAnsi="Times New Roman" w:cs="Times New Roman"/>
        </w:rPr>
        <w:t xml:space="preserve">the </w:t>
      </w:r>
      <w:r>
        <w:rPr>
          <w:rFonts w:hint="eastAsia" w:ascii="Times New Roman" w:hAnsi="Times New Roman" w:cs="Times New Roman"/>
          <w:lang w:val="en-US" w:eastAsia="zh-CN"/>
        </w:rPr>
        <w:t>Control</w:t>
      </w:r>
      <w:r>
        <w:rPr>
          <w:rFonts w:hint="default" w:ascii="Times New Roman" w:hAnsi="Times New Roman" w:cs="Times New Roman"/>
        </w:rPr>
        <w:t xml:space="preserve"> group</w:t>
      </w:r>
      <w:r>
        <w:rPr>
          <w:rFonts w:hint="eastAsia" w:ascii="Times New Roman" w:hAnsi="Times New Roman" w:cs="Times New Roman"/>
          <w:lang w:val="en-US" w:eastAsia="zh-CN"/>
        </w:rPr>
        <w:t>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</w:rPr>
        <w:t xml:space="preserve">Fig. 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2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Large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>LPS</w:t>
      </w:r>
      <w:r>
        <w:rPr>
          <w:rFonts w:hint="eastAsia" w:ascii="Times New Roman" w:hAnsi="Times New Roman" w:cs="Times New Roman"/>
          <w:b/>
          <w:bCs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 w:val="0"/>
          <w:bCs w:val="0"/>
          <w:lang w:val="en-US" w:eastAsia="zh-CN"/>
        </w:rPr>
        <w:t xml:space="preserve">dose decreased the survival rate of rats. Rats weighting </w:t>
      </w:r>
      <w:r>
        <w:rPr>
          <w:rFonts w:hint="eastAsia" w:ascii="Times New Roman" w:hAnsi="Times New Roman" w:cs="Times New Roman"/>
          <w:szCs w:val="21"/>
        </w:rPr>
        <w:t>250~300 g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received </w:t>
      </w:r>
      <w:r>
        <w:rPr>
          <w:rFonts w:hint="eastAsia" w:ascii="Times New Roman" w:hAnsi="Times New Roman" w:cs="Times New Roman"/>
          <w:szCs w:val="21"/>
        </w:rPr>
        <w:t>i</w:t>
      </w:r>
      <w:r>
        <w:rPr>
          <w:rFonts w:ascii="Times New Roman" w:hAnsi="Times New Roman" w:cs="Times New Roman"/>
          <w:szCs w:val="21"/>
        </w:rPr>
        <w:t>ntraperitoneal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injection of different doses of LPS (0—equal volume of PBS, 0.1, 0.33, 1, 3, 5 mg/kg). The survival rate was caculated 24 hours after LPS administration.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Supplementary Table 1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List of primer sequences for RT-PCR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Supplementary</w:t>
      </w:r>
      <w:bookmarkStart w:id="0" w:name="_GoBack"/>
      <w:bookmarkEnd w:id="0"/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/>
          <w:bCs/>
          <w:szCs w:val="21"/>
          <w:lang w:val="en-US" w:eastAsia="zh-CN"/>
        </w:rPr>
        <w:t>Table 2</w:t>
      </w:r>
      <w:r>
        <w:rPr>
          <w:rFonts w:hint="default" w:ascii="Times New Roman" w:hAnsi="Times New Roman" w:cs="Times New Roman"/>
          <w:szCs w:val="21"/>
          <w:lang w:val="en-US" w:eastAsia="zh-CN"/>
        </w:rPr>
        <w:t xml:space="preserve"> List of primary and secondary antibodies used for immunofluorescence staining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F6548B"/>
    <w:rsid w:val="09810ED5"/>
    <w:rsid w:val="09F6548B"/>
    <w:rsid w:val="23886CE8"/>
    <w:rsid w:val="473226E6"/>
    <w:rsid w:val="496A05BD"/>
    <w:rsid w:val="4A924925"/>
    <w:rsid w:val="4C43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2021-03-21T07:04:00Z</dcterms:created>
  <dc:creator>挺拔的小白杨</dc:creator>
  <cp:lastModifiedBy>挺拔的小白杨</cp:lastModifiedBy>
  <dcterms:modified xsi:type="dcterms:W3CDTF">2021-03-21T08:58:07Z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