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Additional File 5.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Table illustrating the barriers reported in the included studies and health system specifications</w:t>
      </w:r>
      <w:r w:rsidDel="00000000" w:rsidR="00000000" w:rsidRPr="00000000">
        <w:rPr>
          <w:rtl w:val="0"/>
        </w:rPr>
      </w:r>
    </w:p>
    <w:tbl>
      <w:tblPr>
        <w:tblStyle w:val="Table1"/>
        <w:tblW w:w="11370.0" w:type="dxa"/>
        <w:jc w:val="left"/>
        <w:tblLayout w:type="fixed"/>
        <w:tblLook w:val="06A0"/>
      </w:tblPr>
      <w:tblGrid>
        <w:gridCol w:w="1590"/>
        <w:gridCol w:w="1695"/>
        <w:gridCol w:w="1935"/>
        <w:gridCol w:w="1470"/>
        <w:gridCol w:w="2085"/>
        <w:gridCol w:w="2595"/>
        <w:tblGridChange w:id="0">
          <w:tblGrid>
            <w:gridCol w:w="1590"/>
            <w:gridCol w:w="1695"/>
            <w:gridCol w:w="1935"/>
            <w:gridCol w:w="1470"/>
            <w:gridCol w:w="2085"/>
            <w:gridCol w:w="2595"/>
          </w:tblGrid>
        </w:tblGridChange>
      </w:tblGrid>
      <w:tr>
        <w:trPr>
          <w:cantSplit w:val="0"/>
          <w:trHeight w:val="638" w:hRule="atLeast"/>
          <w:tblHeader w:val="0"/>
        </w:trPr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</w:tcBorders>
          </w:tcPr>
          <w:p w:rsidR="00000000" w:rsidDel="00000000" w:rsidP="00000000" w:rsidRDefault="00000000" w:rsidRPr="00000000" w14:paraId="00000002">
            <w:pPr>
              <w:spacing w:befor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03">
            <w:pPr>
              <w:spacing w:befor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Ref.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04">
            <w:pPr>
              <w:spacing w:after="200" w:befor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Legal status of migrants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05">
            <w:pPr>
              <w:spacing w:befor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Home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06">
            <w:pPr>
              <w:spacing w:befor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Reported barriers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07">
            <w:pPr>
              <w:spacing w:befor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Health system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08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US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09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Abdulla et al. (2020)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0A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Migrants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0B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Caribbean, Latin America, Asia and Oceania, Africa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0C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Language barriers</w:t>
            </w:r>
          </w:p>
        </w:tc>
        <w:tc>
          <w:tcPr>
            <w:vMerge w:val="restart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0D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The U.S. healthcare system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works based on four different patterns: the Beveridge Model, the Bismarck Model, the National Health Insurance Model and the Out of Pocket Model, depending on the population in question.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Ornelas et al. (2021)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Immigrants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Latin America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Public charge (fear of being denied a green card/visa due to use of certain services)</w:t>
              <w:br w:type="textWrapping"/>
              <w:t xml:space="preserve">Fear of discovery</w:t>
              <w:br w:type="textWrapping"/>
              <w:t xml:space="preserve">Communication issues with providers</w:t>
              <w:br w:type="textWrapping"/>
              <w:t xml:space="preserve">Lack of insurance</w:t>
              <w:br w:type="textWrapping"/>
              <w:t xml:space="preserve">Safety concerns</w:t>
            </w:r>
          </w:p>
        </w:tc>
        <w:tc>
          <w:tcPr>
            <w:vMerge w:val="continue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Rodriguez et al. (2019)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Immigrants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Latin America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Public charge (fear of being denied a green card/visa due to use of certain services)</w:t>
            </w:r>
          </w:p>
        </w:tc>
        <w:tc>
          <w:tcPr>
            <w:vMerge w:val="continue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A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Italy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Di Napoli et al. (2022)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Immigrants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Difficulties with GP office hours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F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Italy’s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healthcare system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follows the Beveridge model.</w:t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Di Napoli et al. (2020)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Immigrants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Language barriers</w:t>
              <w:br w:type="textWrapping"/>
              <w:t xml:space="preserve">Lack of knowledge of the local system</w:t>
              <w:br w:type="textWrapping"/>
              <w:t xml:space="preserve">Precarious working conditions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Del Favero et al. (2023)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Migrants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Language barriers</w:t>
              <w:br w:type="textWrapping"/>
              <w:t xml:space="preserve">Lack of knowledge of the local system</w:t>
              <w:br w:type="textWrapping"/>
              <w:t xml:space="preserve">Differences in the perception of mental illnesses/racial discrimination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Switzerland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Klingberg et al. (2020)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Asylum seekers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Eastern Africa, Western Asia, Southern Asia, Northern Africa, Western Africa, Southern Europe.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Language barriers</w:t>
              <w:br w:type="textWrapping"/>
              <w:t xml:space="preserve">Not having a GP</w:t>
              <w:br w:type="textWrapping"/>
              <w:t xml:space="preserve">Difficulties with GP office hours</w:t>
              <w:br w:type="textWrapping"/>
              <w:t xml:space="preserve">Lack of knowledge of the local system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Switzerland’s healthcare system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follows the Bismarck Model.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2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Germany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Schwachenwalde et al. (2020)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Migrants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Lack of knowledge of the local system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7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Germany’s healthcare system follows the Bismarck Model.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Lichtl et al. (2017)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Asylum seekers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Lack of knowledge of the local system</w:t>
              <w:br w:type="textWrapping"/>
              <w:t xml:space="preserve">Language barriers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China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Xi et al. (2020)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Migrants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Lack of insurance </w:t>
              <w:br w:type="textWrapping"/>
              <w:t xml:space="preserve">Lack of family support </w:t>
              <w:br w:type="textWrapping"/>
              <w:t xml:space="preserve">Low socio-economic status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China’s healthcare system follows, for its urban population, the National Health Insurance Model. For the rural population, it can also follow the Out of Pocket Model.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France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Zunino et al. (2021)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Migrants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Western Europe, Eastern Europe, North Africa, Middle East, Africa (outside of North Africa), America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Language barriers</w:t>
              <w:br w:type="textWrapping"/>
              <w:t xml:space="preserve">Low availability of interpreter services</w:t>
              <w:br w:type="textWrapping"/>
              <w:t xml:space="preserve">Low socio-economic status</w:t>
              <w:br w:type="textWrapping"/>
              <w:t xml:space="preserve">Loss of previous social networks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France’s healthcare system is a blend between the Bismarck and Beveridge Models.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Canada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Etowa et al. (2021)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Immigrants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Long waiting times</w:t>
              <w:br w:type="textWrapping"/>
              <w:t xml:space="preserve">Difficulty in obtaining a referral</w:t>
              <w:br w:type="textWrapping"/>
              <w:t xml:space="preserve">Difficulty in obtaining information</w:t>
              <w:br w:type="textWrapping"/>
              <w:t xml:space="preserve">Transportation problems</w:t>
              <w:br w:type="textWrapping"/>
              <w:t xml:space="preserve">Language barriers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Canada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’s healthcare system follows the National Health Insurance Model.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5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Australia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Mahmoud et al. (2015)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Immigrants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United Kingdom, New Zealand, Republic of Ireland, South Africa, the United States, Canada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Lack of knowledge of the local system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befor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Australia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’s healthcare system follows the Beveridge Model.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Grigliatabellachiara">
    <w:name w:val="Grid Table Light"/>
    <w:basedOn w:val="Tabellanormale"/>
    <w:uiPriority w:val="40"/>
    <w:rsid w:val="007965A8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Tabellasemplice4">
    <w:name w:val="Plain Table 4"/>
    <w:basedOn w:val="Tabellanormale"/>
    <w:uiPriority w:val="44"/>
    <w:rsid w:val="007965A8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</w:tblStylePr>
    <w:tblStylePr w:type="lastRow">
      <w:rPr>
        <w:b w:val="1"/>
      </w:r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f2f2f2" w:val="clear"/>
      </w:tcPr>
    </w:tblStylePr>
    <w:tblStylePr w:type="band1Horz">
      <w:tblPr/>
      <w:tcPr>
        <w:shd w:color="auto" w:fill="f2f2f2" w:val="clear"/>
      </w:tcPr>
    </w:tblStyle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01538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01538E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IjeAmyj5kSTPKdjDaTQhe1Jj5g==">CgMxLjA4AHIhMXp3THNTOEQ2eWdlTFdDaW53T0ctSkZ0alVIRGtGYkxr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2023-06-21T09:43:00Z</dcterms:created>
  <dc:creator>GIULIA ACQUADRO PACERA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c4f2caad8ed2c5e60573648532a06715f9434ca3423ee73856f4bd210120aae8</vt:lpwstr>
  </property>
  <property fmtid="{D5CDD505-2E9C-101B-9397-08002B2CF9AE}" pid="3" name="GrammarlyDocumentId">
    <vt:lpwstr>c4f2caad8ed2c5e60573648532a06715f9434ca3423ee73856f4bd210120aae8</vt:lpwstr>
  </property>
</Properties>
</file>