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0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Additional file 4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Table illustrating the demographic characteristics of the samples</w:t>
      </w:r>
    </w:p>
    <w:tbl>
      <w:tblPr>
        <w:tblStyle w:val="Table1"/>
        <w:tblW w:w="14235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33"/>
        <w:gridCol w:w="2033"/>
        <w:gridCol w:w="2033"/>
        <w:gridCol w:w="2034"/>
        <w:gridCol w:w="2034"/>
        <w:gridCol w:w="2034"/>
        <w:gridCol w:w="2034"/>
        <w:tblGridChange w:id="0">
          <w:tblGrid>
            <w:gridCol w:w="2033"/>
            <w:gridCol w:w="2033"/>
            <w:gridCol w:w="2033"/>
            <w:gridCol w:w="2034"/>
            <w:gridCol w:w="2034"/>
            <w:gridCol w:w="2034"/>
            <w:gridCol w:w="2034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ffffff" w:space="0" w:sz="4" w:val="single"/>
              <w:bottom w:color="000000" w:space="0" w:sz="12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Reference</w:t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000000" w:space="0" w:sz="12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Legal status</w:t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000000" w:space="0" w:sz="12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Mean age, years (dispersion)</w:t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000000" w:space="0" w:sz="12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Home country </w:t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000000" w:space="0" w:sz="12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Host Country </w:t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000000" w:space="0" w:sz="12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Length of stay in the host country (% of the sample)</w:t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000000" w:space="0" w:sz="12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Knowledge of the local language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Abdulla et al., 2020 </w:t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Migrant</w:t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30,6 (± 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Africa</w:t>
              <w:br w:type="textWrapping"/>
              <w:t xml:space="preserve">Asia and Oceania</w:t>
              <w:br w:type="textWrapping"/>
              <w:t xml:space="preserve">Caribbean</w:t>
              <w:br w:type="textWrapping"/>
              <w:t xml:space="preserve">Latin America</w:t>
            </w:r>
          </w:p>
          <w:p w:rsidR="00000000" w:rsidDel="00000000" w:rsidP="00000000" w:rsidRDefault="00000000" w:rsidRPr="00000000" w14:paraId="0000000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USA</w:t>
            </w:r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8"/>
                    <w:szCs w:val="18"/>
                    <w:rtl w:val="0"/>
                  </w:rPr>
                  <w:t xml:space="preserve">&lt;5 years: 22%</w:t>
                  <w:br w:type="textWrapping"/>
                  <w:t xml:space="preserve">5-9 years: 26%</w:t>
                  <w:br w:type="textWrapping"/>
                  <w:t xml:space="preserve">10-14 years: 19%</w:t>
                  <w:br w:type="textWrapping"/>
                  <w:t xml:space="preserve">≥ 15 years: 33%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The language of the host country was not the primary one in 60% of the sample</w:t>
            </w:r>
          </w:p>
        </w:tc>
      </w:tr>
      <w:tr>
        <w:trPr>
          <w:cantSplit w:val="0"/>
          <w:trHeight w:val="74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Al-Hajj et al., 2021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Refugee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35.1 (±23.9)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Syria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Lebanon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Brandenberger et al., 2020</w:t>
            </w:r>
          </w:p>
          <w:p w:rsidR="00000000" w:rsidDel="00000000" w:rsidP="00000000" w:rsidRDefault="00000000" w:rsidRPr="00000000" w14:paraId="0000001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Asylum-seeker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Afghanistan </w:t>
              <w:br w:type="textWrapping"/>
              <w:t xml:space="preserve">Eritrea</w:t>
              <w:br w:type="textWrapping"/>
              <w:t xml:space="preserve">Syria</w:t>
            </w:r>
          </w:p>
          <w:p w:rsidR="00000000" w:rsidDel="00000000" w:rsidP="00000000" w:rsidRDefault="00000000" w:rsidRPr="00000000" w14:paraId="0000001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Switzerland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Branderberger et al., 2021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Asylum-seeker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Afghanistan </w:t>
              <w:br w:type="textWrapping"/>
              <w:t xml:space="preserve">Eritrea</w:t>
              <w:br w:type="textWrapping"/>
              <w:t xml:space="preserve">Iraq</w:t>
              <w:br w:type="textWrapping"/>
              <w:t xml:space="preserve">Syria </w:t>
              <w:br w:type="textWrapping"/>
              <w:t xml:space="preserve">Somalia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Switzerland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Chan et al., 2021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Foreign worker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Voluntary admission migrants: 36.78 (SD 10.61)</w:t>
              <w:br w:type="textWrapping"/>
              <w:t xml:space="preserve">Compulsory admission migrants: 36.78 (SD 10.61)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Bangladesh</w:t>
              <w:br w:type="textWrapping"/>
              <w:t xml:space="preserve">Malaysia</w:t>
              <w:br w:type="textWrapping"/>
              <w:t xml:space="preserve">China</w:t>
              <w:br w:type="textWrapping"/>
              <w:t xml:space="preserve">India</w:t>
              <w:br w:type="textWrapping"/>
              <w:t xml:space="preserve">the Philippines</w:t>
              <w:br w:type="textWrapping"/>
              <w:t xml:space="preserve">Indonesia</w:t>
              <w:br w:type="textWrapping"/>
              <w:t xml:space="preserve">Myanmar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Singapore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Del Favero et al., 2023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30,3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Italy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Percentage of migrants with knowledge of the local language 20.54%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 Napoli et al., 2020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Immigrant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30,3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Italy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 Napoli et al., 2022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Immigrant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Italy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Etowa et al., 2021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Immigrant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Canada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Gulacti et al., 2017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Refugee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34.6 (± 15.2 )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Syria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Turkey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Henares-Montiel et al., 2018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Immigrant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Male: 41.40 (SD 13.97); Female: 41.49 (SD 14.35)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Huyn et al., 2023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Undocumented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 (21–37)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Hispanic/Latino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USA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Klingberg et al., 2020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Asylum-seeker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39.70 (SD= 15.87)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Eastern Africa</w:t>
              <w:br w:type="textWrapping"/>
              <w:t xml:space="preserve">Western Asia</w:t>
              <w:br w:type="textWrapping"/>
              <w:t xml:space="preserve">Southern Asia</w:t>
              <w:br w:type="textWrapping"/>
              <w:t xml:space="preserve">Northern Africa Western Africa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Switzerland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 knowledge of the languages spoken in the host country: 53.8% of the sample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Klukovska-Röetzler et al., 2018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Immigrant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39.70 (SD = 15.87)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Albania</w:t>
              <w:br w:type="textWrapping"/>
              <w:t xml:space="preserve">Bosnia and Herzegovina</w:t>
              <w:br w:type="textWrapping"/>
              <w:t xml:space="preserve">Bulgaria</w:t>
              <w:br w:type="textWrapping"/>
              <w:t xml:space="preserve">Croatia</w:t>
              <w:br w:type="textWrapping"/>
              <w:t xml:space="preserve">Greece</w:t>
              <w:br w:type="textWrapping"/>
              <w:t xml:space="preserve">Hungary</w:t>
              <w:br w:type="textWrapping"/>
              <w:t xml:space="preserve">Kosovo</w:t>
              <w:br w:type="textWrapping"/>
              <w:t xml:space="preserve">Macedonia</w:t>
              <w:br w:type="textWrapping"/>
              <w:t xml:space="preserve">Moldova</w:t>
              <w:br w:type="textWrapping"/>
              <w:t xml:space="preserve">Montenegro</w:t>
              <w:br w:type="textWrapping"/>
              <w:t xml:space="preserve">Romania</w:t>
              <w:br w:type="textWrapping"/>
              <w:t xml:space="preserve">Serbia</w:t>
              <w:br w:type="textWrapping"/>
              <w:t xml:space="preserve">Slovenia</w:t>
              <w:br w:type="textWrapping"/>
              <w:t xml:space="preserve">Turkey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Switzerland.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Lichtl et al., 2017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Asylum-seeker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  <w:p w:rsidR="00000000" w:rsidDel="00000000" w:rsidP="00000000" w:rsidRDefault="00000000" w:rsidRPr="00000000" w14:paraId="0000007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8"/>
                    <w:szCs w:val="18"/>
                    <w:rtl w:val="0"/>
                  </w:rPr>
                  <w:t xml:space="preserve">Average length of stay in 2016: ≥ 4 weeks</w:t>
                </w:r>
              </w:sdtContent>
            </w:sdt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Mahmoud et al., 2015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Immigrant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United Kingdom</w:t>
              <w:br w:type="textWrapping"/>
              <w:t xml:space="preserve">New Zealand</w:t>
              <w:br w:type="textWrapping"/>
              <w:t xml:space="preserve">Republic of Ireland</w:t>
              <w:br w:type="textWrapping"/>
              <w:t xml:space="preserve">South Africa</w:t>
              <w:br w:type="textWrapping"/>
              <w:t xml:space="preserve">United States</w:t>
              <w:br w:type="textWrapping"/>
              <w:t xml:space="preserve">Canada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Australia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Migrants speaking the local language (English): n=597; migrants not speaking the local language: n=231 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Ornelas et al., 2021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Immigrant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Latin America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USA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Local language (English) as migrants’ primary language: 32%; Language of the sending country (Spanish) as migrants’ primary language: 68%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Ro, Huyn et al., 2022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Undocumented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Hispanic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USA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Rodriguez RM et al., 2019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Immigrant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Latin America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USA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Migrants’ reporting little to no proficiency of the local language (English): 78%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Rodriguez-Alvarez et al., 2019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Immigrant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(range: 16-59)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Latina America </w:t>
              <w:br w:type="textWrapping"/>
              <w:t xml:space="preserve">Basque Country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Spain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5 years: 13.9%</w:t>
              <w:br w:type="textWrapping"/>
              <w:t xml:space="preserve">5-10 years: 49.4%  </w:t>
              <w:br w:type="textWrapping"/>
              <w:t xml:space="preserve">&gt;10 years: 36.7%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91.4% was fluent/had no difficulty understanding the local language; 8.96% had difficulty understanding the local language/understood very little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Sauzet et al., 2021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color w:val="98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1st generation: 42 years (SD: 16), 2nd generation 32 (SD:12)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European Union</w:t>
              <w:br w:type="textWrapping"/>
              <w:t xml:space="preserve">Turkey</w:t>
              <w:br w:type="textWrapping"/>
              <w:t xml:space="preserve">Russia</w:t>
              <w:br w:type="textWrapping"/>
              <w:t xml:space="preserve">non-EU eastern Europe Middle East</w:t>
              <w:br w:type="textWrapping"/>
              <w:t xml:space="preserve">North and South America</w:t>
              <w:br w:type="textWrapping"/>
              <w:t xml:space="preserve">Asia and Africa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Germany.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Schwachenwalde et al., 2020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33.5 (SD available by each category) *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Germany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Percentage of migrants not speaking the local language (German): 84.9% 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Xi et al., 2020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China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Zunino et al., 2021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Migrant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Most frequent: </w:t>
              <w:br w:type="textWrapping"/>
              <w:t xml:space="preserve">Albania</w:t>
              <w:br w:type="textWrapping"/>
              <w:t xml:space="preserve">Bulgaria</w:t>
              <w:br w:type="textWrapping"/>
              <w:t xml:space="preserve">Syrian</w:t>
            </w:r>
          </w:p>
          <w:p w:rsidR="00000000" w:rsidDel="00000000" w:rsidP="00000000" w:rsidRDefault="00000000" w:rsidRPr="00000000" w14:paraId="000000BA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Regions:</w:t>
              <w:br w:type="textWrapping"/>
              <w:t xml:space="preserve">Western Europe</w:t>
              <w:br w:type="textWrapping"/>
              <w:t xml:space="preserve">Eastern Europe</w:t>
              <w:br w:type="textWrapping"/>
              <w:t xml:space="preserve">North Africa Middle East</w:t>
              <w:br w:type="textWrapping"/>
              <w:t xml:space="preserve">Africa</w:t>
              <w:br w:type="textWrapping"/>
              <w:t xml:space="preserve">America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France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 than 1 month: 15.9%</w:t>
              <w:br w:type="textWrapping"/>
              <w:t xml:space="preserve">1 month to 1 year: 47.9% </w:t>
              <w:br w:type="textWrapping"/>
              <w:t xml:space="preserve">More than 1 year: 9.2%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spacing w:befor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n/a</w:t>
            </w:r>
          </w:p>
        </w:tc>
      </w:tr>
    </w:tbl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*Number calculated by the authors</w:t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GTkJgd9vyZaQeq3ddlr0S4XcnQ==">CgMxLjAaJQoBMBIgCh4IB0IaCg9UaW1lcyBOZXcgUm9tYW4SB0d1bmdzdWgaJQoBMRIgCh4IB0IaCg9UaW1lcyBOZXcgUm9tYW4SB0d1bmdzdWg4AHIhMU8zREtoTEFNejFBcC1HY1VuRHZycHJNY3V6V0pQTjM2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2023-06-21T09:21:00Z</dcterms:created>
  <dc:creator>Giulia Facci</dc:creator>
</cp:coreProperties>
</file>