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9"/>
          <w:b/>
          <w:bCs/>
          <w:sz w:val="24"/>
          <w:szCs w:val="24"/>
        </w:rPr>
      </w:pPr>
      <w:bookmarkStart w:id="0" w:name="OLE_LINK73"/>
      <w:bookmarkStart w:id="1" w:name="OLE_LINK74"/>
      <w:r>
        <w:rPr>
          <w:rFonts w:eastAsia="PingFang SC"/>
          <w:b/>
          <w:bCs/>
          <w:color w:val="101214"/>
          <w:sz w:val="24"/>
          <w:szCs w:val="24"/>
          <w:shd w:val="clear" w:color="auto" w:fill="FFFFFF"/>
        </w:rPr>
        <w:t>Supplementary Table 1 Comparison of retinal blood flow parameters in UWF-OCTA in patients with different stages of DR</w:t>
      </w:r>
      <w:bookmarkEnd w:id="0"/>
      <w:bookmarkEnd w:id="1"/>
    </w:p>
    <w:tbl>
      <w:tblPr>
        <w:tblStyle w:val="4"/>
        <w:tblW w:w="921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276"/>
        <w:gridCol w:w="1276"/>
        <w:gridCol w:w="1275"/>
        <w:gridCol w:w="993"/>
        <w:gridCol w:w="255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8D8D8"/>
          </w:tcPr>
          <w:p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Parameters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8D8D8"/>
          </w:tcPr>
          <w:p>
            <w:pPr>
              <w:ind w:firstLine="210" w:firstLineChars="10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NDR</w:t>
            </w:r>
          </w:p>
          <w:p>
            <w:pPr>
              <w:ind w:firstLine="210" w:firstLineChars="10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n=20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8D8D8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M-NPD</w:t>
            </w:r>
            <w:r>
              <w:rPr>
                <w:rFonts w:hint="eastAsia"/>
                <w:b/>
                <w:bCs/>
                <w:color w:val="000000"/>
              </w:rPr>
              <w:t>R</w:t>
            </w:r>
          </w:p>
          <w:p>
            <w:pPr>
              <w:ind w:firstLine="105" w:firstLineChars="5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n=32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8D8D8"/>
          </w:tcPr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S-NPDR/</w:t>
            </w:r>
          </w:p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PD</w:t>
            </w:r>
            <w:r>
              <w:rPr>
                <w:rFonts w:hint="eastAsia"/>
                <w:b/>
                <w:bCs/>
                <w:color w:val="000000"/>
              </w:rPr>
              <w:t>R</w:t>
            </w:r>
          </w:p>
          <w:p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n=22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8D8D8"/>
          </w:tcPr>
          <w:p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 value*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D8D8D8"/>
          </w:tcPr>
          <w:p>
            <w:pPr>
              <w:ind w:firstLine="210" w:firstLineChars="100"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P value</w:t>
            </w:r>
            <w:r>
              <w:rPr>
                <w:color w:val="000000"/>
              </w:rPr>
              <w:t>†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461" w:hRule="atLeast"/>
        </w:trPr>
        <w:tc>
          <w:tcPr>
            <w:tcW w:w="9214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1F1F1"/>
          </w:tcPr>
          <w:p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Superficial vascular density (SVD)/%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461" w:hRule="atLeast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12-15 mm// nasal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Times New Roman"/>
                <w:color w:val="000000"/>
                <w:kern w:val="0"/>
              </w:rPr>
            </w:pPr>
            <w:r>
              <w:rPr>
                <w:color w:val="000000"/>
              </w:rPr>
              <w:t>3</w:t>
            </w:r>
            <w:r>
              <w:rPr>
                <w:rFonts w:eastAsia="Times New Roman"/>
              </w:rPr>
              <w:t>2</w:t>
            </w:r>
            <w:r>
              <w:rPr>
                <w:color w:val="000000"/>
              </w:rPr>
              <w:t>.</w:t>
            </w:r>
            <w:r>
              <w:rPr>
                <w:rFonts w:eastAsia="Times New Roman"/>
              </w:rPr>
              <w:t>9</w:t>
            </w:r>
            <w:r>
              <w:rPr>
                <w:color w:val="000000"/>
                <w:kern w:val="0"/>
              </w:rPr>
              <w:t>±2.</w:t>
            </w:r>
            <w:r>
              <w:rPr>
                <w:rFonts w:eastAsia="Times New Roman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30.31±1.99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23</w:t>
            </w:r>
            <w:r>
              <w:rPr>
                <w:color w:val="000000"/>
                <w:kern w:val="0"/>
              </w:rPr>
              <w:t>.</w:t>
            </w:r>
            <w:r>
              <w:rPr>
                <w:rFonts w:eastAsia="Times New Roman"/>
              </w:rPr>
              <w:t>3</w:t>
            </w:r>
            <w:r>
              <w:rPr>
                <w:color w:val="000000"/>
                <w:kern w:val="0"/>
              </w:rPr>
              <w:t>±2.</w:t>
            </w:r>
            <w:r>
              <w:rPr>
                <w:rFonts w:eastAsia="Times New Roman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0.027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0.03(NDR-SNPDR/PDR)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92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Deep vascular density</w:t>
            </w:r>
            <w:r>
              <w:rPr>
                <w:rFonts w:eastAsia="微软雅黑"/>
                <w:b/>
                <w:bCs/>
                <w:color w:val="000000"/>
              </w:rPr>
              <w:t>（</w:t>
            </w:r>
            <w:r>
              <w:rPr>
                <w:b/>
                <w:bCs/>
                <w:color w:val="000000"/>
              </w:rPr>
              <w:t>DVD</w:t>
            </w:r>
            <w:r>
              <w:rPr>
                <w:rFonts w:eastAsia="微软雅黑"/>
                <w:b/>
                <w:bCs/>
                <w:color w:val="000000"/>
              </w:rPr>
              <w:t>）/</w:t>
            </w:r>
            <w:r>
              <w:rPr>
                <w:b/>
                <w:bCs/>
                <w:color w:val="000000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1 mm/circle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24.0</w:t>
            </w:r>
            <w:r>
              <w:rPr>
                <w:color w:val="000000"/>
                <w:kern w:val="0"/>
              </w:rPr>
              <w:t>±</w:t>
            </w:r>
            <w:r>
              <w:rPr>
                <w:rFonts w:eastAsia="Times New Roman"/>
              </w:rPr>
              <w:t>1</w:t>
            </w:r>
            <w:r>
              <w:rPr>
                <w:color w:val="000000"/>
                <w:kern w:val="0"/>
              </w:rPr>
              <w:t>.4</w:t>
            </w:r>
            <w:r>
              <w:rPr>
                <w:rFonts w:eastAsia="Times New Roman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22.81±1.35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17.0</w:t>
            </w:r>
            <w:r>
              <w:rPr>
                <w:color w:val="000000"/>
                <w:kern w:val="0"/>
              </w:rPr>
              <w:t>±</w:t>
            </w:r>
            <w:r>
              <w:rPr>
                <w:rFonts w:eastAsia="Times New Roman"/>
              </w:rPr>
              <w:t>2</w:t>
            </w:r>
            <w:r>
              <w:rPr>
                <w:color w:val="000000"/>
                <w:kern w:val="0"/>
              </w:rPr>
              <w:t>.</w:t>
            </w:r>
            <w:r>
              <w:rPr>
                <w:rFonts w:eastAsia="Times New Roman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0.019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0.027(NDR-SNPDR/PDR)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1-3 mm/nasal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29</w:t>
            </w:r>
            <w:r>
              <w:rPr>
                <w:color w:val="000000"/>
                <w:kern w:val="0"/>
              </w:rPr>
              <w:t>.</w:t>
            </w:r>
            <w:r>
              <w:rPr>
                <w:rFonts w:eastAsia="Times New Roman"/>
              </w:rPr>
              <w:t>45</w:t>
            </w:r>
            <w:r>
              <w:rPr>
                <w:color w:val="000000"/>
                <w:kern w:val="0"/>
              </w:rPr>
              <w:t>±</w:t>
            </w:r>
            <w:r>
              <w:rPr>
                <w:rFonts w:eastAsia="Times New Roman"/>
              </w:rPr>
              <w:t>0</w:t>
            </w:r>
            <w:r>
              <w:rPr>
                <w:color w:val="000000"/>
                <w:kern w:val="0"/>
              </w:rPr>
              <w:t>.</w:t>
            </w:r>
            <w:r>
              <w:rPr>
                <w:rFonts w:eastAsia="Times New Roman"/>
              </w:rPr>
              <w:t>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29.75±1.1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eastAsia="Times New Roman"/>
                <w:color w:val="000000"/>
              </w:rPr>
            </w:pPr>
            <w:r>
              <w:rPr>
                <w:color w:val="000000"/>
                <w:kern w:val="0"/>
              </w:rPr>
              <w:t>2</w:t>
            </w:r>
            <w:r>
              <w:rPr>
                <w:rFonts w:eastAsia="Times New Roman"/>
              </w:rPr>
              <w:t>2</w:t>
            </w:r>
            <w:r>
              <w:rPr>
                <w:color w:val="000000"/>
                <w:kern w:val="0"/>
              </w:rPr>
              <w:t>.</w:t>
            </w:r>
            <w:r>
              <w:rPr>
                <w:rFonts w:eastAsia="Times New Roman"/>
              </w:rPr>
              <w:t>3</w:t>
            </w:r>
            <w:r>
              <w:rPr>
                <w:color w:val="000000"/>
                <w:kern w:val="0"/>
              </w:rPr>
              <w:t>±</w:t>
            </w:r>
            <w:r>
              <w:rPr>
                <w:rFonts w:eastAsia="Times New Roman"/>
              </w:rPr>
              <w:t>2</w:t>
            </w:r>
            <w:r>
              <w:rPr>
                <w:color w:val="000000"/>
                <w:kern w:val="0"/>
              </w:rPr>
              <w:t>.</w:t>
            </w:r>
            <w:r>
              <w:rPr>
                <w:rFonts w:eastAsia="Times New Roman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0.009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0.005(NDR-M-NPDR)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0.13 </w:t>
            </w:r>
            <w:r>
              <w:rPr>
                <w:rFonts w:eastAsia="微软雅黑"/>
                <w:color w:val="000000"/>
              </w:rPr>
              <w:t>（</w:t>
            </w:r>
            <w:r>
              <w:rPr>
                <w:color w:val="000000"/>
              </w:rPr>
              <w:t>NDR-SNPDR/PDR)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1-3 mm/superior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27.73±1.57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28.25±1.24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</w:t>
            </w:r>
            <w:r>
              <w:rPr>
                <w:rFonts w:eastAsia="Times New Roman"/>
              </w:rPr>
              <w:t>2.0</w:t>
            </w:r>
            <w:r>
              <w:rPr>
                <w:color w:val="000000"/>
                <w:kern w:val="0"/>
              </w:rPr>
              <w:t>±2.78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0.045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1050" w:firstLineChars="500"/>
              <w:rPr>
                <w:color w:val="000000"/>
              </w:rPr>
            </w:pPr>
            <w:r>
              <w:rPr>
                <w:color w:val="000000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1-3 mm/temporal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28.73±1.47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28.56±0.94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21.8±2.53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0.008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0.013(NDR-M-NPDR)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0.020(NDR-SNPDR/PDR)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1-3 mm/inferior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27.73±1.45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28.13±1.16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21.</w:t>
            </w:r>
            <w:r>
              <w:rPr>
                <w:rFonts w:eastAsia="Times New Roman"/>
              </w:rPr>
              <w:t>8</w:t>
            </w:r>
            <w:r>
              <w:rPr>
                <w:color w:val="000000"/>
                <w:kern w:val="0"/>
              </w:rPr>
              <w:t>±2.60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0.026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0.033(NDR-M-NPDR)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3-6 mm/nasal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27.36±1.34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27.81±1.04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21.5±2.12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0.009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0.011(NDR-M-NPDR)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3-6 mm/temporal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27.91±1.48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28.13±0.92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22.2±2.22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0.015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0.021(NDR-M-NPDR)</w:t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0.046(NDR-SNPDR/PDR)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6-9 mm/inferior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24.45±1.72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26.38±0.77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22.22±1.59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0.040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1050" w:firstLineChars="500"/>
              <w:rPr>
                <w:color w:val="000000"/>
              </w:rPr>
            </w:pPr>
            <w:r>
              <w:rPr>
                <w:color w:val="000000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9-12 mm/inferior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25.27±1.99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27.13±0.89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21.3±2.43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0.038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1050" w:firstLineChars="500"/>
              <w:rPr>
                <w:color w:val="000000"/>
              </w:rPr>
            </w:pPr>
            <w:r>
              <w:rPr>
                <w:color w:val="000000"/>
              </w:rPr>
              <w:t>—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12-15 mm/inferior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eastAsia="Times New Roman"/>
                <w:color w:val="000000"/>
              </w:rPr>
            </w:pPr>
            <w:r>
              <w:rPr>
                <w:color w:val="000000"/>
                <w:kern w:val="0"/>
              </w:rPr>
              <w:t>28.55±1.8</w:t>
            </w:r>
            <w:r>
              <w:rPr>
                <w:rFonts w:eastAsia="Times New Roman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29.94±1.05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  <w:kern w:val="0"/>
              </w:rPr>
              <w:t>23.5±1.42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0.009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>0.008(NDR-MNPDR)</w:t>
            </w:r>
          </w:p>
        </w:tc>
      </w:tr>
    </w:tbl>
    <w:p>
      <w:pPr>
        <w:spacing w:line="315" w:lineRule="atLeast"/>
        <w:rPr>
          <w:rFonts w:eastAsia="PingFang SC"/>
          <w:color w:val="101214"/>
        </w:rPr>
      </w:pPr>
      <w:r>
        <w:rPr>
          <w:rFonts w:eastAsia="PingFang SC"/>
          <w:color w:val="101214"/>
        </w:rPr>
        <w:t>* indicat</w:t>
      </w:r>
      <w:r>
        <w:rPr>
          <w:rFonts w:hint="eastAsia" w:eastAsia="PingFang SC"/>
          <w:color w:val="101214"/>
        </w:rPr>
        <w:t xml:space="preserve">es </w:t>
      </w:r>
      <w:r>
        <w:rPr>
          <w:rFonts w:eastAsia="PingFang SC"/>
          <w:color w:val="101214"/>
        </w:rPr>
        <w:t>a significant difference among different groups;</w:t>
      </w:r>
    </w:p>
    <w:p>
      <w:pPr>
        <w:spacing w:line="315" w:lineRule="atLeast"/>
        <w:rPr>
          <w:rFonts w:eastAsia="PingFang SC"/>
          <w:color w:val="101214"/>
        </w:rPr>
      </w:pPr>
      <w:r>
        <w:rPr>
          <w:rFonts w:eastAsia="PingFang SC"/>
          <w:color w:val="101214"/>
        </w:rPr>
        <w:t>† indicat</w:t>
      </w:r>
      <w:r>
        <w:rPr>
          <w:rFonts w:hint="eastAsia" w:eastAsia="PingFang SC"/>
          <w:color w:val="101214"/>
        </w:rPr>
        <w:t>es</w:t>
      </w:r>
      <w:r>
        <w:rPr>
          <w:rFonts w:eastAsia="PingFang SC"/>
          <w:color w:val="101214"/>
        </w:rPr>
        <w:t xml:space="preserve"> a statistically significant difference between the groups, and P&lt;0.05 was considered statistically significant.</w:t>
      </w:r>
    </w:p>
    <w:p/>
    <w:p>
      <w:pPr>
        <w:rPr>
          <w:rStyle w:val="9"/>
          <w:b/>
          <w:bCs/>
          <w:sz w:val="24"/>
          <w:szCs w:val="24"/>
        </w:rPr>
      </w:pPr>
      <w:r>
        <w:rPr>
          <w:rFonts w:eastAsia="PingFang SC"/>
          <w:b/>
          <w:bCs/>
          <w:color w:val="101214"/>
          <w:sz w:val="24"/>
          <w:szCs w:val="24"/>
          <w:shd w:val="clear" w:color="auto" w:fill="FFFFFF"/>
        </w:rPr>
        <w:t>Supplementary Table 2 C</w:t>
      </w:r>
      <w:r>
        <w:rPr>
          <w:rFonts w:hint="eastAsia" w:eastAsia="PingFang SC"/>
          <w:b/>
          <w:bCs/>
          <w:color w:val="101214"/>
          <w:sz w:val="24"/>
          <w:szCs w:val="24"/>
          <w:shd w:val="clear" w:color="auto" w:fill="FFFFFF"/>
        </w:rPr>
        <w:t>h</w:t>
      </w:r>
      <w:r>
        <w:rPr>
          <w:rFonts w:eastAsia="PingFang SC"/>
          <w:b/>
          <w:bCs/>
          <w:color w:val="101214"/>
          <w:sz w:val="24"/>
          <w:szCs w:val="24"/>
          <w:shd w:val="clear" w:color="auto" w:fill="FFFFFF"/>
        </w:rPr>
        <w:t>oroidal blood flow parameters in UWF-OCTA in patients with different stages of DR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1552"/>
        <w:gridCol w:w="1582"/>
        <w:gridCol w:w="1701"/>
        <w:gridCol w:w="92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Parameters</w:t>
            </w:r>
          </w:p>
        </w:tc>
        <w:tc>
          <w:tcPr>
            <w:tcW w:w="155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>
            <w:pPr>
              <w:ind w:firstLine="105" w:firstLineChars="50"/>
              <w:rPr>
                <w:b/>
                <w:bCs/>
              </w:rPr>
            </w:pPr>
            <w:r>
              <w:rPr>
                <w:b/>
                <w:bCs/>
              </w:rPr>
              <w:t>NDR</w:t>
            </w:r>
          </w:p>
          <w:p>
            <w:pPr>
              <w:ind w:firstLine="105" w:firstLineChars="50"/>
              <w:rPr>
                <w:b/>
                <w:bCs/>
              </w:rPr>
            </w:pPr>
            <w:r>
              <w:rPr>
                <w:b/>
                <w:bCs/>
              </w:rPr>
              <w:t>n=20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M-NPDR</w:t>
            </w:r>
          </w:p>
          <w:p>
            <w:pPr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n=32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S-NPDR/PDR</w:t>
            </w:r>
          </w:p>
          <w:p>
            <w:pPr>
              <w:rPr>
                <w:b/>
                <w:bCs/>
              </w:rPr>
            </w:pPr>
            <w:r>
              <w:rPr>
                <w:b/>
                <w:bCs/>
                <w:color w:val="000000"/>
              </w:rPr>
              <w:t>n=22</w:t>
            </w: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P P-value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7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>
            <w:r>
              <w:rPr>
                <w:b/>
                <w:bCs/>
                <w:color w:val="000000"/>
              </w:rPr>
              <w:t>Vascular density</w:t>
            </w:r>
            <w:r>
              <w:rPr>
                <w:b/>
                <w:bCs/>
              </w:rPr>
              <w:t xml:space="preserve"> of ChC</w:t>
            </w:r>
            <w:r>
              <w:rPr>
                <w:rFonts w:eastAsia="微软雅黑"/>
                <w:b/>
                <w:bCs/>
              </w:rPr>
              <w:t>（</w:t>
            </w:r>
            <w:r>
              <w:rPr>
                <w:b/>
                <w:bCs/>
              </w:rPr>
              <w:t>ChCVD</w:t>
            </w:r>
            <w:r>
              <w:rPr>
                <w:rFonts w:eastAsia="微软雅黑"/>
                <w:b/>
                <w:bCs/>
              </w:rPr>
              <w:t>）</w:t>
            </w:r>
            <w:r>
              <w:rPr>
                <w:b/>
                <w:bCs/>
              </w:rPr>
              <w:t>/%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Supratemporal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53.5±3.30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51.13±2.54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56.36±3.18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0.442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Superior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55.0±3.68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51.44±2.73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56.82±3.79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0.480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Supranasal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53.5±3.78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51.69±2.60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55.82±3.58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0.649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49.60±3.72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49.13±2.98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54.36±3.55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0.499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Central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51.1±3.94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49.94±2.62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54.27±3.49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0.619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Nasal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50.0±4.38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50.31±3.35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54.55±3.57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0.654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Inferotemporal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51.4±4.97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72.63±11.99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58.73±6.19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0.298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Inferior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56.8±4.74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63.88±8.60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68.82±6.74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0.597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Inferonasal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57.0±6.42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67.50±8.84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67.18±6.73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0.619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7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>
            <w:r>
              <w:rPr>
                <w:b/>
                <w:bCs/>
                <w:color w:val="000000"/>
              </w:rPr>
              <w:t>Vascular density</w:t>
            </w:r>
            <w:r>
              <w:rPr>
                <w:b/>
                <w:bCs/>
              </w:rPr>
              <w:t xml:space="preserve"> of ChV</w:t>
            </w:r>
            <w:r>
              <w:rPr>
                <w:rFonts w:eastAsia="微软雅黑"/>
                <w:b/>
                <w:bCs/>
              </w:rPr>
              <w:t>（</w:t>
            </w:r>
            <w:r>
              <w:rPr>
                <w:b/>
                <w:bCs/>
              </w:rPr>
              <w:t>ChVVD</w:t>
            </w:r>
            <w:r>
              <w:rPr>
                <w:rFonts w:eastAsia="微软雅黑"/>
                <w:b/>
                <w:bCs/>
              </w:rPr>
              <w:t>）</w:t>
            </w:r>
            <w:r>
              <w:rPr>
                <w:b/>
                <w:bCs/>
              </w:rPr>
              <w:t>/%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Supratemporal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60.5±5.34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75±10.25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61.09±5.02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0.372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Superior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67.9±6.07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69.38±8.90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72.27±5.64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0.933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Supranasal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64±8.06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68±8.44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58.45±4.92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0.677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63.3±12.83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56.94±5.42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56.09±4.56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0.792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Central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70.1±14.52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58.0±6.38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59.73±5.77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0.606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Nasal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69.7±15.24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62.06±6.22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56.45±5.58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0.631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Inferotemporal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42.6±6.68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46.63±4.66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43.73±5.89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0.863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Inferior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41.1±5.73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46.19±4.52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45.09±5.39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0.777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Inferonasal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42±5.88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46.19±4.04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42.09±6.0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0.787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7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>
            <w:r>
              <w:rPr>
                <w:b/>
                <w:bCs/>
              </w:rPr>
              <w:t>Choroidal Vessel volume</w:t>
            </w:r>
            <w:r>
              <w:rPr>
                <w:rFonts w:eastAsia="微软雅黑"/>
                <w:b/>
                <w:bCs/>
              </w:rPr>
              <w:t>（</w:t>
            </w:r>
            <w:r>
              <w:rPr>
                <w:b/>
                <w:bCs/>
              </w:rPr>
              <w:t>CVV</w:t>
            </w:r>
            <w:r>
              <w:rPr>
                <w:rFonts w:eastAsia="微软雅黑"/>
                <w:b/>
                <w:bCs/>
              </w:rPr>
              <w:t>）</w:t>
            </w:r>
            <w:r>
              <w:rPr>
                <w:b/>
                <w:bCs/>
              </w:rPr>
              <w:t>/</w:t>
            </w:r>
            <w:r>
              <w:rPr>
                <w:b/>
                <w:bCs/>
                <w:color w:val="222222"/>
              </w:rPr>
              <w:t>μ</w:t>
            </w:r>
            <w:r>
              <w:rPr>
                <w:rFonts w:ascii="宋体" w:hAnsi="宋体" w:cs="Arial"/>
                <w:b/>
                <w:bCs/>
                <w:color w:val="222222"/>
              </w:rPr>
              <w:t>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Supratemporal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52.1±10.11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62.75±9.25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54.45±9.94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0.635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Superior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47.6±6.63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53.19±8.42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51.09±8.76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0.895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Supranasal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41.9±6.48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58.13±9.12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47.18±10.20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0.430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41.1±6.45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46.63±7.37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49.18±11.74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0.828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Central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39.5±6.03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53±11.40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49.18±9.11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0.646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Nasal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34.4±4.79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50.81±10.06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41.90±8.07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0.429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Inferotemporal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113.8±30.94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114.81±19.45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114.73±24.37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0.943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Inferior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116.2±31.08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111.81±19.84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122±24.70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0.955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Inferonasal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104.2±31.36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101.12±22.23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121.82±28.13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0.842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75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1F1F1"/>
          </w:tcPr>
          <w:p>
            <w:r>
              <w:rPr>
                <w:b/>
                <w:bCs/>
              </w:rPr>
              <w:t>Choroidal Vessel Volume Index</w:t>
            </w:r>
            <w:r>
              <w:rPr>
                <w:rFonts w:eastAsia="微软雅黑"/>
                <w:b/>
                <w:bCs/>
              </w:rPr>
              <w:t>（</w:t>
            </w:r>
            <w:r>
              <w:rPr>
                <w:b/>
                <w:bCs/>
              </w:rPr>
              <w:t>CVI</w:t>
            </w:r>
            <w:r>
              <w:rPr>
                <w:rFonts w:eastAsia="微软雅黑"/>
                <w:b/>
                <w:bCs/>
              </w:rPr>
              <w:t>）</w:t>
            </w:r>
            <w:r>
              <w:rPr>
                <w:b/>
                <w:bCs/>
              </w:rPr>
              <w:t>/%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Supratemporal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97.1±28.70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95.5±23.50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106.82±27.92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0.949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Superior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99.8±28.72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93.38±23.68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108.91±26.47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0.911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Supranasal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92.2±27.46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99.44±25.42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111±30.15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0.904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77.1±21.4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87.81±25.02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99.64±28.02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0.850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Central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79.3±21.45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88.75±24.42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102±28.69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0.844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Nasal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79.7±22.41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91.94±25.62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105.36±30.63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0.826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Inferotemporal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49.2±8.61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44.13±5.37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50.27±7.65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0.780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Inferior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47.3±8.63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45.06±5.90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48.09±7.13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</w:tcPr>
          <w:p>
            <w:r>
              <w:t>0.946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c>
          <w:tcPr>
            <w:tcW w:w="175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Inferonasal</w:t>
            </w:r>
          </w:p>
        </w:tc>
        <w:tc>
          <w:tcPr>
            <w:tcW w:w="155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44.8±9.02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40.94±6.14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b/>
                <w:bCs/>
              </w:rPr>
            </w:pPr>
            <w:r>
              <w:rPr>
                <w:color w:val="000000"/>
                <w:kern w:val="0"/>
              </w:rPr>
              <w:t>48.27±7.75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r>
              <w:t>0.770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FF9A55"/>
    <w:rsid w:val="3B7AA32E"/>
    <w:rsid w:val="6B18F558"/>
    <w:rsid w:val="6FF6E70E"/>
    <w:rsid w:val="F9FF9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GB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A二级标题"/>
    <w:basedOn w:val="1"/>
    <w:qFormat/>
    <w:uiPriority w:val="0"/>
    <w:pPr>
      <w:keepNext/>
      <w:keepLines/>
      <w:spacing w:before="480" w:after="120"/>
      <w:jc w:val="left"/>
      <w:outlineLvl w:val="1"/>
    </w:pPr>
    <w:rPr>
      <w:rFonts w:hint="eastAsia" w:ascii="黑体" w:hAnsi="黑体" w:eastAsia="黑体" w:cs="Times New Roman"/>
      <w:b/>
      <w:bCs/>
      <w:sz w:val="28"/>
      <w:szCs w:val="28"/>
    </w:rPr>
  </w:style>
  <w:style w:type="paragraph" w:customStyle="1" w:styleId="7">
    <w:name w:val="阅读文献"/>
    <w:basedOn w:val="1"/>
    <w:qFormat/>
    <w:uiPriority w:val="0"/>
    <w:pPr>
      <w:jc w:val="left"/>
    </w:pPr>
    <w:rPr>
      <w:rFonts w:ascii="Times New Roman Bold" w:hAnsi="Times New Roman Bold" w:cs="Times New Roman Bold"/>
      <w:sz w:val="24"/>
      <w:szCs w:val="30"/>
    </w:rPr>
  </w:style>
  <w:style w:type="paragraph" w:customStyle="1" w:styleId="8">
    <w:name w:val="文献标题"/>
    <w:basedOn w:val="2"/>
    <w:next w:val="1"/>
    <w:qFormat/>
    <w:uiPriority w:val="0"/>
    <w:rPr>
      <w:rFonts w:asciiTheme="majorAscii" w:hAnsiTheme="majorAscii" w:eastAsiaTheme="majorAscii"/>
      <w:sz w:val="30"/>
    </w:rPr>
  </w:style>
  <w:style w:type="character" w:customStyle="1" w:styleId="9">
    <w:name w:val="tg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2023-11-16T21:12:00Z</dcterms:created>
  <dc:creator>Tomorrow</dc:creator>
  <cp:lastModifiedBy>Tomorrow</cp:lastModifiedBy>
  <dcterms:modified xsi:type="dcterms:W3CDTF">2023-11-16T21:13:16Z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2BBE506369BA2CDA2015566527B66B6C_41</vt:lpwstr>
  </property>
</Properties>
</file>