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DDD7B" w14:textId="74679F13" w:rsidR="008821E9" w:rsidRPr="00D44FC3" w:rsidRDefault="008821E9" w:rsidP="008821E9">
      <w:pPr>
        <w:pStyle w:val="Heading1"/>
        <w:rPr>
          <w:rFonts w:ascii="Arial" w:hAnsi="Arial" w:cs="Arial"/>
          <w:b/>
          <w:bCs/>
          <w:color w:val="auto"/>
          <w:sz w:val="24"/>
          <w:szCs w:val="24"/>
        </w:rPr>
      </w:pPr>
      <w:bookmarkStart w:id="0" w:name="OLE_LINK142"/>
      <w:bookmarkStart w:id="1" w:name="OLE_LINK2"/>
      <w:r w:rsidRPr="00D44FC3">
        <w:rPr>
          <w:rFonts w:ascii="Arial" w:hAnsi="Arial" w:cs="Arial"/>
          <w:b/>
          <w:bCs/>
          <w:color w:val="auto"/>
          <w:sz w:val="24"/>
          <w:szCs w:val="24"/>
        </w:rPr>
        <w:t xml:space="preserve">Supplementary </w:t>
      </w:r>
      <w:bookmarkEnd w:id="0"/>
      <w:r w:rsidRPr="00D44FC3">
        <w:rPr>
          <w:rFonts w:ascii="Arial" w:hAnsi="Arial" w:cs="Arial"/>
          <w:b/>
          <w:bCs/>
          <w:color w:val="auto"/>
          <w:sz w:val="24"/>
          <w:szCs w:val="24"/>
        </w:rPr>
        <w:t xml:space="preserve">Notes </w:t>
      </w:r>
    </w:p>
    <w:p w14:paraId="725E3B35" w14:textId="77777777" w:rsidR="007B6FA4" w:rsidRPr="00D44FC3" w:rsidRDefault="007B6FA4" w:rsidP="007B6FA4">
      <w:pPr>
        <w:pStyle w:val="Heading2"/>
        <w:spacing w:line="240" w:lineRule="auto"/>
        <w:rPr>
          <w:rFonts w:ascii="Arial" w:hAnsi="Arial" w:cs="Arial"/>
          <w:b/>
          <w:bCs/>
          <w:color w:val="auto"/>
          <w:sz w:val="22"/>
          <w:szCs w:val="22"/>
        </w:rPr>
      </w:pPr>
      <w:r w:rsidRPr="00D44FC3">
        <w:rPr>
          <w:rFonts w:ascii="Arial" w:hAnsi="Arial" w:cs="Arial"/>
          <w:b/>
          <w:bCs/>
          <w:color w:val="auto"/>
          <w:sz w:val="22"/>
          <w:szCs w:val="22"/>
        </w:rPr>
        <w:t>Proteomics data QC</w:t>
      </w:r>
    </w:p>
    <w:p w14:paraId="24124436" w14:textId="2A126254" w:rsidR="007B6FA4" w:rsidRPr="00D44FC3" w:rsidRDefault="007B6FA4" w:rsidP="007B6FA4">
      <w:pPr>
        <w:spacing w:line="240" w:lineRule="auto"/>
        <w:rPr>
          <w:rFonts w:ascii="Arial" w:hAnsi="Arial" w:cs="Arial"/>
        </w:rPr>
      </w:pPr>
      <w:bookmarkStart w:id="2" w:name="OLE_LINK94"/>
      <w:r w:rsidRPr="00D44FC3">
        <w:rPr>
          <w:rFonts w:ascii="Arial" w:hAnsi="Arial" w:cs="Arial"/>
        </w:rPr>
        <w:t xml:space="preserve">In brief, 3,132 participants and 6,907 aptamers passed proteomics QC.  7,548 aptamers were measured before proteomics QC using the </w:t>
      </w:r>
      <w:bookmarkStart w:id="3" w:name="OLE_LINK226"/>
      <w:proofErr w:type="spellStart"/>
      <w:r w:rsidRPr="00D44FC3">
        <w:rPr>
          <w:rFonts w:ascii="Arial" w:hAnsi="Arial" w:cs="Arial"/>
        </w:rPr>
        <w:t>SOMAscan</w:t>
      </w:r>
      <w:proofErr w:type="spellEnd"/>
      <w:r w:rsidRPr="00D44FC3">
        <w:rPr>
          <w:rFonts w:ascii="Arial" w:hAnsi="Arial" w:cs="Arial"/>
        </w:rPr>
        <w:t xml:space="preserve"> 7k platform</w:t>
      </w:r>
      <w:bookmarkEnd w:id="3"/>
      <w:r w:rsidRPr="00D44FC3">
        <w:rPr>
          <w:rFonts w:ascii="Arial" w:hAnsi="Arial" w:cs="Arial"/>
        </w:rPr>
        <w:t>.</w:t>
      </w:r>
      <w:bookmarkStart w:id="4" w:name="OLE_LINK58"/>
      <w:r w:rsidRPr="00D44FC3">
        <w:rPr>
          <w:rFonts w:ascii="Arial" w:hAnsi="Arial" w:cs="Arial"/>
        </w:rPr>
        <w:t xml:space="preserve">  Plasma proteomics data from all genetic ancestries were </w:t>
      </w:r>
      <w:proofErr w:type="spellStart"/>
      <w:r w:rsidRPr="00D44FC3">
        <w:rPr>
          <w:rFonts w:ascii="Arial" w:hAnsi="Arial" w:cs="Arial"/>
        </w:rPr>
        <w:t>QCed</w:t>
      </w:r>
      <w:proofErr w:type="spellEnd"/>
      <w:r w:rsidRPr="00D44FC3">
        <w:rPr>
          <w:rFonts w:ascii="Arial" w:hAnsi="Arial" w:cs="Arial"/>
        </w:rPr>
        <w:t xml:space="preserve"> with the seven steps below:</w:t>
      </w:r>
      <w:bookmarkEnd w:id="4"/>
    </w:p>
    <w:p w14:paraId="6BCF8B14" w14:textId="77777777" w:rsidR="007B6FA4" w:rsidRPr="00D44FC3" w:rsidRDefault="007B6FA4" w:rsidP="007B6FA4">
      <w:pPr>
        <w:pStyle w:val="Heading3"/>
        <w:spacing w:line="240" w:lineRule="auto"/>
        <w:rPr>
          <w:rFonts w:ascii="Arial" w:hAnsi="Arial" w:cs="Arial"/>
          <w:b/>
          <w:bCs/>
          <w:color w:val="auto"/>
          <w:sz w:val="22"/>
          <w:szCs w:val="22"/>
        </w:rPr>
      </w:pPr>
      <w:bookmarkStart w:id="5" w:name="_Toc132099965"/>
      <w:bookmarkStart w:id="6" w:name="_Toc99581945"/>
      <w:r w:rsidRPr="00D44FC3">
        <w:rPr>
          <w:rFonts w:ascii="Arial" w:hAnsi="Arial" w:cs="Arial"/>
          <w:b/>
          <w:bCs/>
          <w:color w:val="auto"/>
          <w:sz w:val="22"/>
          <w:szCs w:val="22"/>
        </w:rPr>
        <w:t>1 Limit of detection, scale factor difference, and coefficient of variation</w:t>
      </w:r>
      <w:bookmarkEnd w:id="5"/>
      <w:bookmarkEnd w:id="6"/>
    </w:p>
    <w:p w14:paraId="141778B4" w14:textId="77777777" w:rsidR="007B6FA4" w:rsidRPr="00D44FC3" w:rsidRDefault="007B6FA4" w:rsidP="007B6FA4">
      <w:pPr>
        <w:spacing w:line="240" w:lineRule="auto"/>
        <w:rPr>
          <w:rFonts w:ascii="Arial" w:hAnsi="Arial" w:cs="Arial"/>
          <w:lang w:eastAsia="en-US"/>
        </w:rPr>
      </w:pPr>
      <w:r w:rsidRPr="00D44FC3">
        <w:rPr>
          <w:rFonts w:ascii="Arial" w:hAnsi="Arial" w:cs="Arial"/>
        </w:rPr>
        <w:t>Limit of Detection (LOD), Scale factor difference (SF), and Coefficient of Variation (CV) are calculated using the protein levels (RFU values provided by Somalogic post-internal normalization) before log10-based transformation (i.e., not the log10-based values).</w:t>
      </w:r>
    </w:p>
    <w:p w14:paraId="637E3D5F" w14:textId="77777777" w:rsidR="007B6FA4" w:rsidRPr="00D44FC3" w:rsidRDefault="007B6FA4" w:rsidP="007B6FA4">
      <w:pPr>
        <w:spacing w:line="240" w:lineRule="auto"/>
        <w:rPr>
          <w:rFonts w:ascii="Arial" w:hAnsi="Arial" w:cs="Arial"/>
          <w:b/>
          <w:bCs/>
        </w:rPr>
      </w:pPr>
      <w:bookmarkStart w:id="7" w:name="_Toc99581946"/>
      <w:bookmarkStart w:id="8" w:name="_Toc132099966"/>
      <w:r w:rsidRPr="00D44FC3">
        <w:rPr>
          <w:rFonts w:ascii="Arial" w:hAnsi="Arial" w:cs="Arial"/>
          <w:b/>
          <w:bCs/>
        </w:rPr>
        <w:t>1.1 Limit of Detection</w:t>
      </w:r>
      <w:bookmarkEnd w:id="7"/>
      <w:bookmarkEnd w:id="8"/>
    </w:p>
    <w:p w14:paraId="7D055740" w14:textId="77777777" w:rsidR="007B6FA4" w:rsidRPr="00D44FC3" w:rsidRDefault="007B6FA4" w:rsidP="007B6FA4">
      <w:pPr>
        <w:spacing w:line="240" w:lineRule="auto"/>
        <w:rPr>
          <w:rFonts w:ascii="Arial" w:hAnsi="Arial" w:cs="Arial"/>
        </w:rPr>
      </w:pPr>
      <w:r w:rsidRPr="00D44FC3">
        <w:rPr>
          <w:rFonts w:ascii="Arial" w:hAnsi="Arial" w:cs="Arial"/>
        </w:rPr>
        <w:t>The limit of detection for an analyte is calculated using the mean and SD of the analyte expression level in buffer [negative controls] non-sample such that:</w:t>
      </w:r>
    </w:p>
    <w:p w14:paraId="50F1281D" w14:textId="77777777" w:rsidR="007B6FA4" w:rsidRPr="00D44FC3" w:rsidRDefault="007B6FA4" w:rsidP="007B6FA4">
      <w:pPr>
        <w:spacing w:line="240" w:lineRule="auto"/>
        <w:jc w:val="center"/>
        <w:rPr>
          <w:rFonts w:ascii="Arial" w:hAnsi="Arial" w:cs="Arial"/>
        </w:rPr>
      </w:pPr>
      <m:oMathPara>
        <m:oMath>
          <m:r>
            <m:rPr>
              <m:sty m:val="p"/>
            </m:rPr>
            <w:rPr>
              <w:rFonts w:ascii="Cambria Math" w:hAnsi="Cambria Math" w:cs="Arial"/>
            </w:rPr>
            <m:t>LOD = Mean expression+ 2×Standard Deviation</m:t>
          </m:r>
        </m:oMath>
      </m:oMathPara>
    </w:p>
    <w:p w14:paraId="4E9CAFBC" w14:textId="77777777" w:rsidR="007B6FA4" w:rsidRPr="00D44FC3" w:rsidRDefault="007B6FA4" w:rsidP="007B6FA4">
      <w:pPr>
        <w:spacing w:line="240" w:lineRule="auto"/>
        <w:rPr>
          <w:rFonts w:ascii="Arial" w:hAnsi="Arial" w:cs="Arial"/>
        </w:rPr>
      </w:pPr>
      <w:r w:rsidRPr="00D44FC3">
        <w:rPr>
          <w:rFonts w:ascii="Arial" w:hAnsi="Arial" w:cs="Arial"/>
        </w:rPr>
        <w:t>If the average analyte expression value in a sample is higher than the LOD level, this sample is considered a pass sample. The total number of samples that pass for each analyte is calculated.</w:t>
      </w:r>
    </w:p>
    <w:p w14:paraId="6C0E98E9" w14:textId="77777777" w:rsidR="007B6FA4" w:rsidRPr="00D44FC3" w:rsidRDefault="007B6FA4" w:rsidP="007B6FA4">
      <w:pPr>
        <w:spacing w:line="240" w:lineRule="auto"/>
        <w:rPr>
          <w:rFonts w:ascii="Arial" w:hAnsi="Arial" w:cs="Arial"/>
        </w:rPr>
      </w:pPr>
      <w:r w:rsidRPr="00D44FC3">
        <w:rPr>
          <w:rFonts w:ascii="Arial" w:hAnsi="Arial" w:cs="Arial"/>
        </w:rPr>
        <w:t>For an analyte, if the total number of pass samples is &gt; = 85% of total samples, that analyte is considered to pass the LOD filter but if it is &lt; 85%, that analyte is removed.</w:t>
      </w:r>
    </w:p>
    <w:p w14:paraId="070D05C7" w14:textId="77777777" w:rsidR="007B6FA4" w:rsidRPr="00D44FC3" w:rsidRDefault="007B6FA4" w:rsidP="007B6FA4">
      <w:pPr>
        <w:spacing w:line="240" w:lineRule="auto"/>
        <w:rPr>
          <w:rFonts w:ascii="Arial" w:hAnsi="Arial" w:cs="Arial"/>
          <w:b/>
          <w:bCs/>
        </w:rPr>
      </w:pPr>
      <w:bookmarkStart w:id="9" w:name="_Toc99581947"/>
      <w:bookmarkStart w:id="10" w:name="_Toc132099967"/>
      <w:r w:rsidRPr="00D44FC3">
        <w:rPr>
          <w:rFonts w:ascii="Arial" w:hAnsi="Arial" w:cs="Arial"/>
          <w:b/>
          <w:bCs/>
        </w:rPr>
        <w:t>1.2 Scale factor</w:t>
      </w:r>
      <w:bookmarkEnd w:id="9"/>
      <w:bookmarkEnd w:id="10"/>
    </w:p>
    <w:p w14:paraId="19A362C3" w14:textId="77777777" w:rsidR="007B6FA4" w:rsidRPr="00D44FC3" w:rsidRDefault="007B6FA4" w:rsidP="007B6FA4">
      <w:pPr>
        <w:spacing w:line="240" w:lineRule="auto"/>
        <w:rPr>
          <w:rFonts w:ascii="Arial" w:hAnsi="Arial" w:cs="Arial"/>
          <w:b/>
          <w:bCs/>
        </w:rPr>
      </w:pPr>
      <w:r w:rsidRPr="00D44FC3">
        <w:rPr>
          <w:rFonts w:ascii="Arial" w:hAnsi="Arial" w:cs="Arial"/>
        </w:rPr>
        <w:t xml:space="preserve">Scale factor difference is calculated as the maximum absolute difference between the analyte scale factor and median scale factor of each plate. If the absolute value of the maximum difference is more than 0.5, the analyte is removed. </w:t>
      </w:r>
    </w:p>
    <w:p w14:paraId="2C10808C"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 xml:space="preserve">Mathematically, </w:t>
      </w:r>
    </w:p>
    <w:p w14:paraId="10204D0F"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Median Plate scale factor for plate</w:t>
      </w:r>
      <w:r w:rsidRPr="00D44FC3">
        <w:rPr>
          <w:rFonts w:ascii="Arial" w:hAnsi="Arial" w:cs="Arial"/>
          <w:b/>
          <w:bCs/>
        </w:rPr>
        <w:t xml:space="preserve"> </w:t>
      </w:r>
      <w:proofErr w:type="spellStart"/>
      <w:r w:rsidRPr="00D44FC3">
        <w:rPr>
          <w:rFonts w:ascii="Arial" w:hAnsi="Arial" w:cs="Arial"/>
        </w:rPr>
        <w:t>P</w:t>
      </w:r>
      <w:r w:rsidRPr="00D44FC3">
        <w:rPr>
          <w:rFonts w:ascii="Arial" w:hAnsi="Arial" w:cs="Arial"/>
          <w:vertAlign w:val="subscript"/>
        </w:rPr>
        <w:t>n</w:t>
      </w:r>
      <w:proofErr w:type="spellEnd"/>
      <w:r w:rsidRPr="00D44FC3">
        <w:rPr>
          <w:rFonts w:ascii="Arial" w:hAnsi="Arial" w:cs="Arial"/>
        </w:rPr>
        <w:t xml:space="preserve">= median (scale factor of all 7,548 aptamers in Plate </w:t>
      </w:r>
      <w:proofErr w:type="spellStart"/>
      <w:r w:rsidRPr="00D44FC3">
        <w:rPr>
          <w:rFonts w:ascii="Arial" w:hAnsi="Arial" w:cs="Arial"/>
        </w:rPr>
        <w:t>P</w:t>
      </w:r>
      <w:r w:rsidRPr="00D44FC3">
        <w:rPr>
          <w:rFonts w:ascii="Arial" w:hAnsi="Arial" w:cs="Arial"/>
          <w:vertAlign w:val="subscript"/>
        </w:rPr>
        <w:t>n</w:t>
      </w:r>
      <w:proofErr w:type="spellEnd"/>
      <w:r w:rsidRPr="00D44FC3">
        <w:rPr>
          <w:rFonts w:ascii="Arial" w:hAnsi="Arial" w:cs="Arial"/>
        </w:rPr>
        <w:t xml:space="preserve">) </w:t>
      </w:r>
    </w:p>
    <w:p w14:paraId="4238F5E4"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where, n = 1 to K</w:t>
      </w:r>
    </w:p>
    <w:p w14:paraId="1E3E0392" w14:textId="77777777" w:rsidR="007B6FA4" w:rsidRPr="00D44FC3" w:rsidRDefault="007B6FA4" w:rsidP="007B6FA4">
      <w:pPr>
        <w:pStyle w:val="ListParagraph"/>
        <w:spacing w:line="240" w:lineRule="auto"/>
        <w:ind w:left="0"/>
        <w:rPr>
          <w:rFonts w:ascii="Arial" w:hAnsi="Arial" w:cs="Arial"/>
        </w:rPr>
      </w:pPr>
    </w:p>
    <w:p w14:paraId="4C1BC66A"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Now, each analyte has K scale factors corresponding to each plate.</w:t>
      </w:r>
    </w:p>
    <w:p w14:paraId="6097AA32" w14:textId="77777777" w:rsidR="007B6FA4" w:rsidRPr="00D44FC3" w:rsidRDefault="007B6FA4" w:rsidP="007B6FA4">
      <w:pPr>
        <w:spacing w:line="240" w:lineRule="auto"/>
        <w:rPr>
          <w:rFonts w:ascii="Arial" w:hAnsi="Arial" w:cs="Arial"/>
        </w:rPr>
      </w:pPr>
      <w:r w:rsidRPr="00D44FC3">
        <w:rPr>
          <w:rFonts w:ascii="Arial" w:hAnsi="Arial" w:cs="Arial"/>
        </w:rPr>
        <w:t xml:space="preserve">So, the scale factor for our QC:  </w:t>
      </w:r>
      <m:oMath>
        <m:r>
          <m:rPr>
            <m:sty m:val="p"/>
          </m:rPr>
          <w:rPr>
            <w:rFonts w:ascii="Cambria Math" w:hAnsi="Cambria Math" w:cs="Arial"/>
          </w:rPr>
          <m:t>max⁡</m:t>
        </m:r>
        <m:r>
          <w:rPr>
            <w:rFonts w:ascii="Cambria Math" w:hAnsi="Cambria Math" w:cs="Arial"/>
          </w:rPr>
          <m:t>(</m:t>
        </m:r>
        <m:d>
          <m:dPr>
            <m:begChr m:val="|"/>
            <m:endChr m:val="|"/>
            <m:ctrlPr>
              <w:rPr>
                <w:rFonts w:ascii="Cambria Math" w:hAnsi="Cambria Math" w:cs="Arial"/>
                <w:i/>
              </w:rPr>
            </m:ctrlPr>
          </m:dPr>
          <m:e>
            <m:r>
              <m:rPr>
                <m:sty m:val="p"/>
              </m:rPr>
              <w:rPr>
                <w:rFonts w:ascii="Cambria Math" w:hAnsi="Cambria Math" w:cs="Arial"/>
              </w:rPr>
              <m:t>analyte scale factor in Plate P</m:t>
            </m:r>
            <m:r>
              <m:rPr>
                <m:sty m:val="p"/>
              </m:rPr>
              <w:rPr>
                <w:rFonts w:ascii="Cambria Math" w:hAnsi="Cambria Math" w:cs="Arial"/>
                <w:vertAlign w:val="subscript"/>
              </w:rPr>
              <m:t>n</m:t>
            </m:r>
            <m:r>
              <m:rPr>
                <m:sty m:val="p"/>
              </m:rPr>
              <w:rPr>
                <w:rFonts w:ascii="Cambria Math" w:hAnsi="Cambria Math" w:cs="Arial"/>
              </w:rPr>
              <m:t xml:space="preserve"> – Median Plate scale factor for plate P</m:t>
            </m:r>
            <m:r>
              <m:rPr>
                <m:sty m:val="p"/>
              </m:rPr>
              <w:rPr>
                <w:rFonts w:ascii="Cambria Math" w:hAnsi="Cambria Math" w:cs="Arial"/>
                <w:vertAlign w:val="subscript"/>
              </w:rPr>
              <m:t>n</m:t>
            </m:r>
          </m:e>
        </m:d>
        <m:r>
          <w:rPr>
            <w:rFonts w:ascii="Cambria Math" w:hAnsi="Cambria Math" w:cs="Arial"/>
          </w:rPr>
          <m:t>)</m:t>
        </m:r>
      </m:oMath>
    </w:p>
    <w:p w14:paraId="35692A43" w14:textId="77777777" w:rsidR="007B6FA4" w:rsidRPr="00D44FC3" w:rsidRDefault="007B6FA4" w:rsidP="007B6FA4">
      <w:pPr>
        <w:pStyle w:val="ListParagraph"/>
        <w:spacing w:line="240" w:lineRule="auto"/>
        <w:ind w:left="0"/>
        <w:rPr>
          <w:rFonts w:ascii="Arial" w:hAnsi="Arial" w:cs="Arial"/>
          <w:b/>
          <w:bCs/>
        </w:rPr>
      </w:pPr>
      <w:r w:rsidRPr="00D44FC3">
        <w:rPr>
          <w:rFonts w:ascii="Arial" w:hAnsi="Arial" w:cs="Arial"/>
        </w:rPr>
        <w:t>where, n = 1 to K</w:t>
      </w:r>
    </w:p>
    <w:p w14:paraId="1E872DF9" w14:textId="77777777" w:rsidR="007B6FA4" w:rsidRPr="00D44FC3" w:rsidRDefault="007B6FA4" w:rsidP="007B6FA4">
      <w:pPr>
        <w:spacing w:line="240" w:lineRule="auto"/>
        <w:jc w:val="both"/>
        <w:rPr>
          <w:rFonts w:ascii="Arial" w:hAnsi="Arial" w:cs="Arial"/>
        </w:rPr>
      </w:pPr>
      <w:r w:rsidRPr="00D44FC3">
        <w:rPr>
          <w:rFonts w:ascii="Arial" w:hAnsi="Arial" w:cs="Arial"/>
        </w:rPr>
        <w:t>In summary, if an analyte has a scale factor more than 0.5 points away from the median scale factor in any of the plates [on either end of the distribution since the absolute value is considered], it fails QC.</w:t>
      </w:r>
    </w:p>
    <w:p w14:paraId="42FB76EF" w14:textId="77777777" w:rsidR="007B6FA4" w:rsidRPr="00D44FC3" w:rsidRDefault="007B6FA4" w:rsidP="007B6FA4">
      <w:pPr>
        <w:spacing w:line="240" w:lineRule="auto"/>
        <w:rPr>
          <w:rFonts w:ascii="Arial" w:hAnsi="Arial" w:cs="Arial"/>
          <w:b/>
          <w:bCs/>
        </w:rPr>
      </w:pPr>
      <w:bookmarkStart w:id="11" w:name="_Toc132099968"/>
      <w:r w:rsidRPr="00D44FC3">
        <w:rPr>
          <w:rFonts w:ascii="Arial" w:hAnsi="Arial" w:cs="Arial"/>
          <w:b/>
          <w:bCs/>
        </w:rPr>
        <w:t xml:space="preserve">1.3 </w:t>
      </w:r>
      <w:bookmarkStart w:id="12" w:name="_Toc99581948"/>
      <w:r w:rsidRPr="00D44FC3">
        <w:rPr>
          <w:rFonts w:ascii="Arial" w:hAnsi="Arial" w:cs="Arial"/>
          <w:b/>
          <w:bCs/>
        </w:rPr>
        <w:t>Coefficient of Variation</w:t>
      </w:r>
      <w:bookmarkEnd w:id="11"/>
      <w:bookmarkEnd w:id="12"/>
    </w:p>
    <w:p w14:paraId="440E819F" w14:textId="77777777" w:rsidR="007B6FA4" w:rsidRPr="00D44FC3" w:rsidRDefault="007B6FA4" w:rsidP="007B6FA4">
      <w:pPr>
        <w:spacing w:line="240" w:lineRule="auto"/>
        <w:rPr>
          <w:rFonts w:ascii="Arial" w:hAnsi="Arial" w:cs="Arial"/>
          <w:b/>
          <w:bCs/>
        </w:rPr>
      </w:pPr>
      <w:r w:rsidRPr="00D44FC3">
        <w:rPr>
          <w:rFonts w:ascii="Arial" w:hAnsi="Arial" w:cs="Arial"/>
        </w:rPr>
        <w:t>The coefficient of variation for each analyte, within each plate, is calculated as the quotient of the standard deviation divided by the mean of the protein expression level in calibrators. If the median coefficient of variation for a given analyte is less than 0.15, that analyte is kept.</w:t>
      </w:r>
    </w:p>
    <w:p w14:paraId="7B8F7F95"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 xml:space="preserve">Each plate has either 4 or 5 Calibrator samples. The coefficient of variation for an analyte in Plate </w:t>
      </w:r>
      <w:proofErr w:type="spellStart"/>
      <w:r w:rsidRPr="00D44FC3">
        <w:rPr>
          <w:rFonts w:ascii="Arial" w:hAnsi="Arial" w:cs="Arial"/>
        </w:rPr>
        <w:t>P</w:t>
      </w:r>
      <w:r w:rsidRPr="00D44FC3">
        <w:rPr>
          <w:rFonts w:ascii="Arial" w:hAnsi="Arial" w:cs="Arial"/>
          <w:vertAlign w:val="subscript"/>
        </w:rPr>
        <w:t>n</w:t>
      </w:r>
      <w:proofErr w:type="spellEnd"/>
      <w:r w:rsidRPr="00D44FC3">
        <w:rPr>
          <w:rFonts w:ascii="Arial" w:hAnsi="Arial" w:cs="Arial"/>
        </w:rPr>
        <w:t xml:space="preserve"> is calculated as: </w:t>
      </w:r>
    </w:p>
    <w:p w14:paraId="4B1E7AA1" w14:textId="77777777" w:rsidR="007B6FA4" w:rsidRPr="00D44FC3" w:rsidRDefault="00214F56" w:rsidP="007B6FA4">
      <w:pPr>
        <w:pStyle w:val="ListParagraph"/>
        <w:spacing w:line="240" w:lineRule="auto"/>
        <w:ind w:left="0"/>
        <w:rPr>
          <w:rFonts w:ascii="Arial" w:hAnsi="Arial" w:cs="Arial"/>
        </w:rPr>
      </w:pPr>
      <m:oMathPara>
        <m:oMath>
          <m:f>
            <m:fPr>
              <m:ctrlPr>
                <w:rPr>
                  <w:rFonts w:ascii="Cambria Math" w:hAnsi="Cambria Math" w:cs="Arial"/>
                  <w:i/>
                </w:rPr>
              </m:ctrlPr>
            </m:fPr>
            <m:num>
              <m:r>
                <m:rPr>
                  <m:sty m:val="p"/>
                </m:rPr>
                <w:rPr>
                  <w:rFonts w:ascii="Cambria Math" w:hAnsi="Cambria Math" w:cs="Arial"/>
                </w:rPr>
                <m:t>SD</m:t>
              </m:r>
              <m:r>
                <m:rPr>
                  <m:sty m:val="p"/>
                </m:rPr>
                <w:rPr>
                  <w:rFonts w:ascii="Cambria Math" w:hAnsi="Arial" w:cs="Arial"/>
                </w:rPr>
                <m:t xml:space="preserve"> (</m:t>
              </m:r>
              <m:r>
                <m:rPr>
                  <m:sty m:val="p"/>
                </m:rPr>
                <w:rPr>
                  <w:rFonts w:ascii="Cambria Math" w:hAnsi="Cambria Math" w:cs="Arial"/>
                </w:rPr>
                <m:t>Expression level of the analytes in Calibrator non samples in Plate P</m:t>
              </m:r>
              <m:r>
                <m:rPr>
                  <m:sty m:val="p"/>
                </m:rPr>
                <w:rPr>
                  <w:rFonts w:ascii="Cambria Math" w:hAnsi="Cambria Math" w:cs="Arial"/>
                  <w:vertAlign w:val="subscript"/>
                </w:rPr>
                <m:t>k</m:t>
              </m:r>
              <m:r>
                <m:rPr>
                  <m:sty m:val="p"/>
                </m:rPr>
                <w:rPr>
                  <w:rFonts w:ascii="Cambria Math" w:hAnsi="Arial" w:cs="Arial"/>
                </w:rPr>
                <m:t>)</m:t>
              </m:r>
            </m:num>
            <m:den>
              <m:r>
                <m:rPr>
                  <m:sty m:val="p"/>
                </m:rPr>
                <w:rPr>
                  <w:rFonts w:ascii="Cambria Math" w:hAnsi="Cambria Math" w:cs="Arial"/>
                </w:rPr>
                <m:t xml:space="preserve">mean </m:t>
              </m:r>
              <m:r>
                <m:rPr>
                  <m:sty m:val="p"/>
                </m:rPr>
                <w:rPr>
                  <w:rFonts w:ascii="Cambria Math" w:hAnsi="Arial" w:cs="Arial"/>
                </w:rPr>
                <m:t>(</m:t>
              </m:r>
              <m:r>
                <m:rPr>
                  <m:sty m:val="p"/>
                </m:rPr>
                <w:rPr>
                  <w:rFonts w:ascii="Cambria Math" w:hAnsi="Cambria Math" w:cs="Arial"/>
                </w:rPr>
                <m:t>Expression level of analytes in Calibrator non samples in Plate P</m:t>
              </m:r>
              <m:r>
                <m:rPr>
                  <m:sty m:val="p"/>
                </m:rPr>
                <w:rPr>
                  <w:rFonts w:ascii="Cambria Math" w:hAnsi="Cambria Math" w:cs="Arial"/>
                  <w:vertAlign w:val="subscript"/>
                </w:rPr>
                <m:t>k</m:t>
              </m:r>
              <m:r>
                <m:rPr>
                  <m:sty m:val="p"/>
                </m:rPr>
                <w:rPr>
                  <w:rFonts w:ascii="Cambria Math" w:hAnsi="Arial" w:cs="Arial"/>
                </w:rPr>
                <m:t>)</m:t>
              </m:r>
            </m:den>
          </m:f>
        </m:oMath>
      </m:oMathPara>
    </w:p>
    <w:p w14:paraId="6B5343EF" w14:textId="77777777" w:rsidR="007B6FA4" w:rsidRPr="00D44FC3" w:rsidRDefault="007B6FA4" w:rsidP="007B6FA4">
      <w:pPr>
        <w:pStyle w:val="ListParagraph"/>
        <w:spacing w:line="240" w:lineRule="auto"/>
        <w:ind w:left="0"/>
        <w:rPr>
          <w:rFonts w:ascii="Arial" w:hAnsi="Arial" w:cs="Arial"/>
        </w:rPr>
      </w:pPr>
    </w:p>
    <w:p w14:paraId="746212AB" w14:textId="77777777" w:rsidR="007B6FA4" w:rsidRPr="00D44FC3" w:rsidRDefault="007B6FA4" w:rsidP="007B6FA4">
      <w:pPr>
        <w:pStyle w:val="ListParagraph"/>
        <w:spacing w:line="240" w:lineRule="auto"/>
        <w:ind w:left="0"/>
        <w:rPr>
          <w:rFonts w:ascii="Arial" w:hAnsi="Arial" w:cs="Arial"/>
          <w:b/>
          <w:bCs/>
        </w:rPr>
      </w:pPr>
      <w:r w:rsidRPr="00D44FC3">
        <w:rPr>
          <w:rFonts w:ascii="Arial" w:hAnsi="Arial" w:cs="Arial"/>
        </w:rPr>
        <w:t>where, n = 1 to K.</w:t>
      </w:r>
    </w:p>
    <w:p w14:paraId="71732B38" w14:textId="77777777" w:rsidR="007B6FA4" w:rsidRPr="00D44FC3" w:rsidRDefault="007B6FA4" w:rsidP="007B6FA4">
      <w:pPr>
        <w:pStyle w:val="ListParagraph"/>
        <w:spacing w:line="240" w:lineRule="auto"/>
        <w:ind w:left="0"/>
        <w:rPr>
          <w:rFonts w:ascii="Arial" w:hAnsi="Arial" w:cs="Arial"/>
        </w:rPr>
      </w:pPr>
    </w:p>
    <w:p w14:paraId="6A4E0258"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Since we have K plates, we will have K CV values for each analyte. We then take the median value of these CVs to assign the analyte’s CV i.e.,</w:t>
      </w:r>
    </w:p>
    <w:p w14:paraId="4DBCE5AD" w14:textId="77777777" w:rsidR="007B6FA4" w:rsidRPr="00D44FC3" w:rsidRDefault="007B6FA4" w:rsidP="007B6FA4">
      <w:pPr>
        <w:pStyle w:val="ListParagraph"/>
        <w:spacing w:line="240" w:lineRule="auto"/>
        <w:ind w:left="0"/>
        <w:rPr>
          <w:rFonts w:ascii="Arial" w:hAnsi="Arial" w:cs="Arial"/>
        </w:rPr>
      </w:pPr>
    </w:p>
    <w:p w14:paraId="62C3F36A"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CV for an analyte for QC:</w:t>
      </w:r>
    </w:p>
    <w:p w14:paraId="125E13FC" w14:textId="77777777" w:rsidR="007B6FA4" w:rsidRPr="00D44FC3" w:rsidRDefault="007B6FA4" w:rsidP="007B6FA4">
      <w:pPr>
        <w:pStyle w:val="ListParagraph"/>
        <w:spacing w:line="240" w:lineRule="auto"/>
        <w:ind w:left="0"/>
        <w:rPr>
          <w:rFonts w:ascii="Arial" w:hAnsi="Arial" w:cs="Arial"/>
        </w:rPr>
      </w:pPr>
    </w:p>
    <w:p w14:paraId="3E31624B" w14:textId="77777777" w:rsidR="007B6FA4" w:rsidRPr="00D44FC3" w:rsidRDefault="007B6FA4" w:rsidP="007B6FA4">
      <w:pPr>
        <w:pStyle w:val="ListParagraph"/>
        <w:spacing w:line="240" w:lineRule="auto"/>
        <w:ind w:left="0"/>
        <w:rPr>
          <w:rFonts w:ascii="Arial" w:hAnsi="Arial" w:cs="Arial"/>
        </w:rPr>
      </w:pPr>
      <w:r w:rsidRPr="00D44FC3">
        <w:rPr>
          <w:rFonts w:ascii="Arial" w:hAnsi="Arial" w:cs="Arial"/>
        </w:rPr>
        <w:t xml:space="preserve">                            Median (CV for analyte in Plate</w:t>
      </w:r>
      <w:r w:rsidRPr="00D44FC3">
        <w:rPr>
          <w:rFonts w:ascii="Arial" w:hAnsi="Arial" w:cs="Arial"/>
          <w:vertAlign w:val="subscript"/>
        </w:rPr>
        <w:t>1</w:t>
      </w:r>
      <w:r w:rsidRPr="00D44FC3">
        <w:rPr>
          <w:rFonts w:ascii="Arial" w:hAnsi="Arial" w:cs="Arial"/>
        </w:rPr>
        <w:t>, Plate</w:t>
      </w:r>
      <w:r w:rsidRPr="00D44FC3">
        <w:rPr>
          <w:rFonts w:ascii="Arial" w:hAnsi="Arial" w:cs="Arial"/>
          <w:vertAlign w:val="subscript"/>
        </w:rPr>
        <w:t>2</w:t>
      </w:r>
      <w:proofErr w:type="gramStart"/>
      <w:r w:rsidRPr="00D44FC3">
        <w:rPr>
          <w:rFonts w:ascii="Arial" w:hAnsi="Arial" w:cs="Arial"/>
        </w:rPr>
        <w:t>….Plate</w:t>
      </w:r>
      <w:r w:rsidRPr="00D44FC3">
        <w:rPr>
          <w:rFonts w:ascii="Arial" w:hAnsi="Arial" w:cs="Arial"/>
          <w:vertAlign w:val="subscript"/>
        </w:rPr>
        <w:t>k</w:t>
      </w:r>
      <w:proofErr w:type="gramEnd"/>
      <w:r w:rsidRPr="00D44FC3">
        <w:rPr>
          <w:rFonts w:ascii="Arial" w:hAnsi="Arial" w:cs="Arial"/>
        </w:rPr>
        <w:t>)</w:t>
      </w:r>
    </w:p>
    <w:p w14:paraId="0794B67C" w14:textId="77777777" w:rsidR="007B6FA4" w:rsidRPr="00D44FC3" w:rsidRDefault="007B6FA4" w:rsidP="007B6FA4">
      <w:pPr>
        <w:spacing w:line="240" w:lineRule="auto"/>
        <w:rPr>
          <w:rFonts w:ascii="Arial" w:hAnsi="Arial" w:cs="Arial"/>
        </w:rPr>
      </w:pPr>
      <w:r w:rsidRPr="00D44FC3">
        <w:rPr>
          <w:rFonts w:ascii="Arial" w:hAnsi="Arial" w:cs="Arial"/>
        </w:rPr>
        <w:t xml:space="preserve">                 If CV &gt; 0.15, that analyte is considered to have failed QC and is removed.</w:t>
      </w:r>
      <w:bookmarkStart w:id="13" w:name="_Toc94086033"/>
      <w:bookmarkEnd w:id="13"/>
      <w:r w:rsidRPr="00D44FC3">
        <w:rPr>
          <w:rFonts w:ascii="Arial" w:hAnsi="Arial" w:cs="Arial"/>
        </w:rPr>
        <w:t xml:space="preserve">             </w:t>
      </w:r>
    </w:p>
    <w:p w14:paraId="6F29615A" w14:textId="77777777" w:rsidR="007B6FA4" w:rsidRPr="00D44FC3" w:rsidRDefault="007B6FA4" w:rsidP="007B6FA4">
      <w:pPr>
        <w:pStyle w:val="Heading3"/>
        <w:spacing w:line="240" w:lineRule="auto"/>
        <w:rPr>
          <w:rFonts w:ascii="Arial" w:hAnsi="Arial" w:cs="Arial"/>
          <w:b/>
          <w:bCs/>
          <w:color w:val="auto"/>
          <w:sz w:val="22"/>
          <w:szCs w:val="22"/>
        </w:rPr>
      </w:pPr>
      <w:bookmarkStart w:id="14" w:name="_Toc132099969"/>
      <w:bookmarkStart w:id="15" w:name="_Toc99581949"/>
      <w:r w:rsidRPr="00D44FC3">
        <w:rPr>
          <w:rFonts w:ascii="Arial" w:hAnsi="Arial" w:cs="Arial"/>
          <w:b/>
          <w:bCs/>
          <w:color w:val="auto"/>
          <w:sz w:val="22"/>
          <w:szCs w:val="22"/>
        </w:rPr>
        <w:t>2 IQR-based outlier expression level detections</w:t>
      </w:r>
      <w:bookmarkEnd w:id="14"/>
      <w:bookmarkEnd w:id="15"/>
    </w:p>
    <w:p w14:paraId="21889D47" w14:textId="77777777" w:rsidR="007B6FA4" w:rsidRPr="00D44FC3" w:rsidRDefault="007B6FA4" w:rsidP="007B6FA4">
      <w:pPr>
        <w:spacing w:line="240" w:lineRule="auto"/>
        <w:rPr>
          <w:rFonts w:ascii="Arial" w:hAnsi="Arial" w:cs="Arial"/>
          <w:lang w:eastAsia="en-US"/>
        </w:rPr>
      </w:pPr>
      <w:r w:rsidRPr="00D44FC3">
        <w:rPr>
          <w:rFonts w:ascii="Arial" w:hAnsi="Arial" w:cs="Arial"/>
        </w:rPr>
        <w:t>Outliers were defined as any analyte with expression level outside:</w:t>
      </w:r>
    </w:p>
    <w:p w14:paraId="11066FB5" w14:textId="77777777" w:rsidR="007B6FA4" w:rsidRPr="00D44FC3" w:rsidRDefault="007B6FA4" w:rsidP="007B6FA4">
      <w:pPr>
        <w:spacing w:line="240" w:lineRule="auto"/>
        <w:rPr>
          <w:rFonts w:ascii="Arial" w:hAnsi="Arial" w:cs="Arial"/>
        </w:rPr>
      </w:pPr>
      <w:r w:rsidRPr="00D44FC3">
        <w:rPr>
          <w:rFonts w:ascii="Arial" w:hAnsi="Arial" w:cs="Arial"/>
        </w:rPr>
        <w:t xml:space="preserve">                        </w:t>
      </w:r>
      <m:oMath>
        <m:r>
          <m:rPr>
            <m:sty m:val="p"/>
          </m:rPr>
          <w:rPr>
            <w:rFonts w:ascii="Cambria Math" w:hAnsi="Cambria Math" w:cs="Arial"/>
          </w:rPr>
          <m:t xml:space="preserve">Q1-1.5 ×IQR ~ Q3+1.5×IQR </m:t>
        </m:r>
      </m:oMath>
    </w:p>
    <w:p w14:paraId="3EF82E19" w14:textId="77777777" w:rsidR="007B6FA4" w:rsidRPr="00D44FC3" w:rsidRDefault="007B6FA4" w:rsidP="007B6FA4">
      <w:pPr>
        <w:spacing w:line="240" w:lineRule="auto"/>
        <w:rPr>
          <w:rFonts w:ascii="Arial" w:hAnsi="Arial" w:cs="Arial"/>
        </w:rPr>
      </w:pPr>
      <w:r w:rsidRPr="00D44FC3">
        <w:rPr>
          <w:rFonts w:ascii="Arial" w:hAnsi="Arial" w:cs="Arial"/>
        </w:rPr>
        <w:t>where, Q3: Third Quantile, Q1: First Quantile and IQR: Inter Quartile Range</w:t>
      </w:r>
    </w:p>
    <w:p w14:paraId="520D4987" w14:textId="77777777" w:rsidR="007B6FA4" w:rsidRPr="00D44FC3" w:rsidRDefault="007B6FA4" w:rsidP="007B6FA4">
      <w:pPr>
        <w:spacing w:line="240" w:lineRule="auto"/>
        <w:rPr>
          <w:rFonts w:ascii="Arial" w:hAnsi="Arial" w:cs="Arial"/>
        </w:rPr>
      </w:pPr>
      <w:r w:rsidRPr="00D44FC3">
        <w:rPr>
          <w:rFonts w:ascii="Arial" w:hAnsi="Arial" w:cs="Arial"/>
        </w:rPr>
        <w:t>All analytes expression levels were log 10 transformed before IQR and quantiles calculation. Any values that were detected as outliers were replaced by NAs thereby introducing missingness into the expression matrix.  No analytes or samples were removed at this step.</w:t>
      </w:r>
    </w:p>
    <w:p w14:paraId="62CA8EB7" w14:textId="77777777" w:rsidR="007B6FA4" w:rsidRPr="00D44FC3" w:rsidRDefault="007B6FA4" w:rsidP="007B6FA4">
      <w:pPr>
        <w:pStyle w:val="Heading3"/>
        <w:spacing w:line="240" w:lineRule="auto"/>
        <w:rPr>
          <w:rFonts w:ascii="Arial" w:hAnsi="Arial" w:cs="Arial"/>
          <w:b/>
          <w:bCs/>
          <w:color w:val="auto"/>
          <w:sz w:val="22"/>
          <w:szCs w:val="22"/>
        </w:rPr>
      </w:pPr>
      <w:bookmarkStart w:id="16" w:name="_Toc132099970"/>
      <w:bookmarkStart w:id="17" w:name="_Toc99581950"/>
      <w:r w:rsidRPr="00D44FC3">
        <w:rPr>
          <w:rFonts w:ascii="Arial" w:hAnsi="Arial" w:cs="Arial"/>
          <w:b/>
          <w:bCs/>
          <w:color w:val="auto"/>
          <w:sz w:val="22"/>
          <w:szCs w:val="22"/>
        </w:rPr>
        <w:t xml:space="preserve">3 Remove Analytes and Samples with &lt;65% call </w:t>
      </w:r>
      <w:proofErr w:type="gramStart"/>
      <w:r w:rsidRPr="00D44FC3">
        <w:rPr>
          <w:rFonts w:ascii="Arial" w:hAnsi="Arial" w:cs="Arial"/>
          <w:b/>
          <w:bCs/>
          <w:color w:val="auto"/>
          <w:sz w:val="22"/>
          <w:szCs w:val="22"/>
        </w:rPr>
        <w:t>rate</w:t>
      </w:r>
      <w:bookmarkEnd w:id="16"/>
      <w:bookmarkEnd w:id="17"/>
      <w:proofErr w:type="gramEnd"/>
    </w:p>
    <w:p w14:paraId="0FD1F80C" w14:textId="77777777" w:rsidR="007B6FA4" w:rsidRPr="00D44FC3" w:rsidRDefault="007B6FA4" w:rsidP="007B6FA4">
      <w:pPr>
        <w:spacing w:line="240" w:lineRule="auto"/>
        <w:rPr>
          <w:rFonts w:ascii="Arial" w:hAnsi="Arial" w:cs="Arial"/>
          <w:shd w:val="clear" w:color="auto" w:fill="FFFFFF"/>
        </w:rPr>
      </w:pPr>
      <w:bookmarkStart w:id="18" w:name="OLE_LINK141"/>
      <w:r w:rsidRPr="00D44FC3">
        <w:rPr>
          <w:rFonts w:ascii="Arial" w:hAnsi="Arial" w:cs="Arial"/>
        </w:rPr>
        <w:t>The call rate was calculated for each analyte [row-wise] and each sample [column-wise]. Any analyte or sample with a call rate &lt;65% was removed at this step.  We first removed analytes and samples with &lt;65% call rate given the protein matrix with 7,161 analytes.  At the analyte level, none of the 7,161 analytes had a call rate lower than 65%, so no analytes were removed at this step (Figure S1A).  At the sample level, 16 samples had a call rate &lt; 65% and were thus removed (Figure S1B).</w:t>
      </w:r>
    </w:p>
    <w:p w14:paraId="0525979D" w14:textId="77777777" w:rsidR="007B6FA4" w:rsidRPr="00D44FC3" w:rsidRDefault="007B6FA4" w:rsidP="007B6FA4">
      <w:pPr>
        <w:pStyle w:val="Heading3"/>
        <w:spacing w:line="240" w:lineRule="auto"/>
        <w:rPr>
          <w:rFonts w:ascii="Arial" w:hAnsi="Arial" w:cs="Arial"/>
          <w:b/>
          <w:bCs/>
          <w:color w:val="auto"/>
          <w:sz w:val="22"/>
          <w:szCs w:val="22"/>
        </w:rPr>
      </w:pPr>
      <w:bookmarkStart w:id="19" w:name="_Toc132099971"/>
      <w:bookmarkStart w:id="20" w:name="_Toc99581951"/>
      <w:bookmarkStart w:id="21" w:name="_Toc94086036"/>
      <w:bookmarkEnd w:id="18"/>
      <w:r w:rsidRPr="00D44FC3">
        <w:rPr>
          <w:rFonts w:ascii="Arial" w:hAnsi="Arial" w:cs="Arial"/>
          <w:b/>
          <w:bCs/>
          <w:color w:val="auto"/>
          <w:sz w:val="22"/>
          <w:szCs w:val="22"/>
        </w:rPr>
        <w:t>4 Re-calculate call rate for analytes and remove analytes with call rate &lt;85%</w:t>
      </w:r>
      <w:bookmarkEnd w:id="19"/>
      <w:bookmarkEnd w:id="20"/>
      <w:bookmarkEnd w:id="21"/>
    </w:p>
    <w:p w14:paraId="0E361ECE" w14:textId="77777777" w:rsidR="007B6FA4" w:rsidRPr="00D44FC3" w:rsidRDefault="007B6FA4" w:rsidP="007B6FA4">
      <w:pPr>
        <w:rPr>
          <w:rFonts w:ascii="Arial" w:hAnsi="Arial" w:cs="Arial"/>
          <w:b/>
          <w:bCs/>
        </w:rPr>
      </w:pPr>
      <w:r w:rsidRPr="00D44FC3">
        <w:rPr>
          <w:rFonts w:ascii="Arial" w:hAnsi="Arial" w:cs="Arial"/>
        </w:rPr>
        <w:t xml:space="preserve">Once the analytes and samples from Step 3 were removed, the call rate for analytes was recalculated. A more stringent criterion, compared to the earlier step, was used to filter out analytes. </w:t>
      </w:r>
    </w:p>
    <w:p w14:paraId="4D48843A" w14:textId="77777777" w:rsidR="007B6FA4" w:rsidRPr="00D44FC3" w:rsidRDefault="007B6FA4" w:rsidP="007B6FA4">
      <w:pPr>
        <w:pStyle w:val="Heading3"/>
        <w:spacing w:line="240" w:lineRule="auto"/>
        <w:rPr>
          <w:rFonts w:ascii="Arial" w:hAnsi="Arial" w:cs="Arial"/>
          <w:b/>
          <w:bCs/>
          <w:color w:val="auto"/>
          <w:sz w:val="22"/>
          <w:szCs w:val="22"/>
        </w:rPr>
      </w:pPr>
      <w:bookmarkStart w:id="22" w:name="_Toc132099972"/>
      <w:bookmarkStart w:id="23" w:name="_Toc99581952"/>
      <w:bookmarkStart w:id="24" w:name="_Toc94086037"/>
      <w:r w:rsidRPr="00D44FC3">
        <w:rPr>
          <w:rFonts w:ascii="Arial" w:hAnsi="Arial" w:cs="Arial"/>
          <w:b/>
          <w:bCs/>
          <w:color w:val="auto"/>
          <w:sz w:val="22"/>
          <w:szCs w:val="22"/>
        </w:rPr>
        <w:t xml:space="preserve">5 Re-calculate missing rate for subjects and remove subjects with &lt; 85% call rate </w:t>
      </w:r>
      <w:proofErr w:type="gramStart"/>
      <w:r w:rsidRPr="00D44FC3">
        <w:rPr>
          <w:rFonts w:ascii="Arial" w:hAnsi="Arial" w:cs="Arial"/>
          <w:b/>
          <w:bCs/>
          <w:color w:val="auto"/>
          <w:sz w:val="22"/>
          <w:szCs w:val="22"/>
        </w:rPr>
        <w:t>cut-off</w:t>
      </w:r>
      <w:bookmarkEnd w:id="22"/>
      <w:bookmarkEnd w:id="23"/>
      <w:bookmarkEnd w:id="24"/>
      <w:proofErr w:type="gramEnd"/>
    </w:p>
    <w:p w14:paraId="7205722B" w14:textId="77777777" w:rsidR="007B6FA4" w:rsidRPr="00D44FC3" w:rsidRDefault="007B6FA4" w:rsidP="007B6FA4">
      <w:pPr>
        <w:rPr>
          <w:rFonts w:ascii="Arial" w:hAnsi="Arial" w:cs="Arial"/>
          <w:b/>
          <w:bCs/>
        </w:rPr>
      </w:pPr>
      <w:r w:rsidRPr="00D44FC3">
        <w:rPr>
          <w:rFonts w:ascii="Arial" w:hAnsi="Arial" w:cs="Arial"/>
        </w:rPr>
        <w:t>The call rate for each sample was calculated using the matrix obtained following the removal of analytes filtered at the 85% call rate cut-off.  Based on the new call rate of 85%, six analytes were marked as outliers (Figure S1C), thus 7,155 proteins remained in the matrix. At the sample level, 81 samples with a call rate &lt; 85% were identified as outliers (Figure S1D).</w:t>
      </w:r>
    </w:p>
    <w:p w14:paraId="55F9D84D" w14:textId="77777777" w:rsidR="007B6FA4" w:rsidRPr="00D44FC3" w:rsidRDefault="007B6FA4" w:rsidP="007B6FA4">
      <w:pPr>
        <w:pStyle w:val="Heading3"/>
        <w:spacing w:line="240" w:lineRule="auto"/>
        <w:rPr>
          <w:rFonts w:ascii="Arial" w:hAnsi="Arial" w:cs="Arial"/>
          <w:b/>
          <w:bCs/>
          <w:color w:val="auto"/>
          <w:sz w:val="22"/>
          <w:szCs w:val="22"/>
        </w:rPr>
      </w:pPr>
      <w:bookmarkStart w:id="25" w:name="_Toc94086038"/>
      <w:bookmarkStart w:id="26" w:name="_Toc99581953"/>
      <w:bookmarkStart w:id="27" w:name="_Toc132099973"/>
      <w:r w:rsidRPr="00D44FC3">
        <w:rPr>
          <w:rFonts w:ascii="Arial" w:hAnsi="Arial" w:cs="Arial"/>
          <w:b/>
          <w:bCs/>
          <w:color w:val="auto"/>
          <w:sz w:val="22"/>
          <w:szCs w:val="22"/>
        </w:rPr>
        <w:t>6 Back transformation into raw values</w:t>
      </w:r>
      <w:bookmarkEnd w:id="25"/>
      <w:bookmarkEnd w:id="26"/>
      <w:bookmarkEnd w:id="27"/>
    </w:p>
    <w:p w14:paraId="6CEBE566" w14:textId="77777777" w:rsidR="007B6FA4" w:rsidRPr="00D44FC3" w:rsidRDefault="007B6FA4" w:rsidP="007B6FA4">
      <w:pPr>
        <w:spacing w:line="240" w:lineRule="auto"/>
        <w:rPr>
          <w:rFonts w:ascii="Arial" w:hAnsi="Arial" w:cs="Arial"/>
        </w:rPr>
      </w:pPr>
      <w:r w:rsidRPr="00D44FC3">
        <w:rPr>
          <w:rFonts w:ascii="Arial" w:hAnsi="Arial" w:cs="Arial"/>
        </w:rPr>
        <w:t xml:space="preserve">The expression levels, which were </w:t>
      </w:r>
      <m:oMath>
        <m:func>
          <m:funcPr>
            <m:ctrlPr>
              <w:rPr>
                <w:rFonts w:ascii="Cambria Math" w:hAnsi="Cambria Math" w:cs="Arial"/>
                <w:i/>
                <w:lang w:eastAsia="en-US"/>
              </w:rPr>
            </m:ctrlPr>
          </m:funcPr>
          <m:fName>
            <m:r>
              <m:rPr>
                <m:sty m:val="p"/>
              </m:rPr>
              <w:rPr>
                <w:rFonts w:ascii="Cambria Math" w:hAnsi="Cambria Math" w:cs="Arial"/>
              </w:rPr>
              <m:t>log</m:t>
            </m:r>
          </m:fName>
          <m:e>
            <m:r>
              <w:rPr>
                <w:rFonts w:ascii="Cambria Math" w:hAnsi="Cambria Math" w:cs="Arial"/>
              </w:rPr>
              <m:t>10</m:t>
            </m:r>
          </m:e>
        </m:func>
      </m:oMath>
      <w:r w:rsidRPr="00D44FC3">
        <w:rPr>
          <w:rFonts w:ascii="Arial" w:hAnsi="Arial" w:cs="Arial"/>
        </w:rPr>
        <w:t xml:space="preserve"> transformed during the IQR step, were back transformed. The missing data points have not been imputed at this point and will need to be decided based on the nature of downstream analysis on a case-by-case basis. The call rate for the analytes and samples was re-calculated to visualize the overall missing rate at this step.           </w:t>
      </w:r>
    </w:p>
    <w:p w14:paraId="30CC7BAF" w14:textId="6B27C4FF" w:rsidR="007B6FA4" w:rsidRPr="00D44FC3" w:rsidRDefault="007B6FA4" w:rsidP="007B6FA4">
      <w:pPr>
        <w:pStyle w:val="Heading3"/>
        <w:spacing w:line="240" w:lineRule="auto"/>
        <w:rPr>
          <w:rFonts w:ascii="Arial" w:hAnsi="Arial" w:cs="Arial"/>
          <w:b/>
          <w:bCs/>
          <w:color w:val="auto"/>
          <w:sz w:val="22"/>
          <w:szCs w:val="22"/>
        </w:rPr>
      </w:pPr>
      <w:bookmarkStart w:id="28" w:name="_Toc132099974"/>
      <w:bookmarkStart w:id="29" w:name="_Toc99581954"/>
      <w:r w:rsidRPr="00D44FC3">
        <w:rPr>
          <w:rFonts w:ascii="Arial" w:hAnsi="Arial" w:cs="Arial"/>
          <w:b/>
          <w:bCs/>
          <w:color w:val="auto"/>
          <w:sz w:val="22"/>
          <w:szCs w:val="22"/>
        </w:rPr>
        <w:t>7 Removal of Non-Human and analytes without protein targets and F</w:t>
      </w:r>
      <w:r w:rsidR="00175AC4" w:rsidRPr="00D44FC3">
        <w:rPr>
          <w:rFonts w:ascii="Arial" w:hAnsi="Arial" w:cs="Arial"/>
          <w:b/>
          <w:bCs/>
          <w:color w:val="auto"/>
          <w:sz w:val="22"/>
          <w:szCs w:val="22"/>
        </w:rPr>
        <w:t>inal</w:t>
      </w:r>
      <w:r w:rsidRPr="00D44FC3">
        <w:rPr>
          <w:rFonts w:ascii="Arial" w:hAnsi="Arial" w:cs="Arial"/>
          <w:b/>
          <w:bCs/>
          <w:color w:val="auto"/>
          <w:sz w:val="22"/>
          <w:szCs w:val="22"/>
        </w:rPr>
        <w:t xml:space="preserve"> M</w:t>
      </w:r>
      <w:bookmarkEnd w:id="28"/>
      <w:bookmarkEnd w:id="29"/>
      <w:r w:rsidR="00175AC4" w:rsidRPr="00D44FC3">
        <w:rPr>
          <w:rFonts w:ascii="Arial" w:hAnsi="Arial" w:cs="Arial"/>
          <w:b/>
          <w:bCs/>
          <w:color w:val="auto"/>
          <w:sz w:val="22"/>
          <w:szCs w:val="22"/>
        </w:rPr>
        <w:t>atrix</w:t>
      </w:r>
    </w:p>
    <w:p w14:paraId="2FB1A558" w14:textId="77777777" w:rsidR="007B6FA4" w:rsidRPr="00D44FC3" w:rsidRDefault="007B6FA4" w:rsidP="007B6FA4">
      <w:pPr>
        <w:spacing w:line="240" w:lineRule="auto"/>
        <w:rPr>
          <w:rFonts w:ascii="Arial" w:hAnsi="Arial" w:cs="Arial"/>
        </w:rPr>
      </w:pPr>
      <w:r w:rsidRPr="00D44FC3">
        <w:rPr>
          <w:rFonts w:ascii="Arial" w:hAnsi="Arial" w:cs="Arial"/>
        </w:rPr>
        <w:t>After all QC steps, remove analytes with labels as “</w:t>
      </w:r>
      <w:proofErr w:type="gramStart"/>
      <w:r w:rsidRPr="00D44FC3">
        <w:rPr>
          <w:rFonts w:ascii="Arial" w:hAnsi="Arial" w:cs="Arial"/>
        </w:rPr>
        <w:t>Non-Human</w:t>
      </w:r>
      <w:proofErr w:type="gramEnd"/>
      <w:r w:rsidRPr="00D44FC3">
        <w:rPr>
          <w:rFonts w:ascii="Arial" w:hAnsi="Arial" w:cs="Arial"/>
        </w:rPr>
        <w:t xml:space="preserve">” proteins and as non-biotin type and </w:t>
      </w:r>
      <w:proofErr w:type="spellStart"/>
      <w:r w:rsidRPr="00D44FC3">
        <w:rPr>
          <w:rFonts w:ascii="Arial" w:hAnsi="Arial" w:cs="Arial"/>
        </w:rPr>
        <w:t>Spuriomers</w:t>
      </w:r>
      <w:proofErr w:type="spellEnd"/>
      <w:r w:rsidRPr="00D44FC3">
        <w:rPr>
          <w:rFonts w:ascii="Arial" w:hAnsi="Arial" w:cs="Arial"/>
        </w:rPr>
        <w:t xml:space="preserve">, which are random nucleic acid sequences that have a similar composition to </w:t>
      </w:r>
      <w:proofErr w:type="spellStart"/>
      <w:r w:rsidRPr="00D44FC3">
        <w:rPr>
          <w:rFonts w:ascii="Arial" w:hAnsi="Arial" w:cs="Arial"/>
        </w:rPr>
        <w:t>SOMAmer</w:t>
      </w:r>
      <w:proofErr w:type="spellEnd"/>
      <w:r w:rsidRPr="00D44FC3">
        <w:rPr>
          <w:rFonts w:ascii="Arial" w:hAnsi="Arial" w:cs="Arial"/>
        </w:rPr>
        <w:t xml:space="preserve"> reagents but have no known specific molecular target. </w:t>
      </w:r>
    </w:p>
    <w:bookmarkEnd w:id="2"/>
    <w:p w14:paraId="13268BEC" w14:textId="77777777" w:rsidR="00BA5904" w:rsidRPr="00D44FC3" w:rsidRDefault="00BA5904" w:rsidP="00BA5904">
      <w:pPr>
        <w:pStyle w:val="Heading2"/>
        <w:spacing w:line="240" w:lineRule="auto"/>
        <w:rPr>
          <w:rFonts w:ascii="Arial" w:hAnsi="Arial" w:cs="Arial"/>
          <w:b/>
          <w:bCs/>
          <w:color w:val="auto"/>
          <w:sz w:val="22"/>
          <w:szCs w:val="22"/>
        </w:rPr>
      </w:pPr>
      <w:r w:rsidRPr="00D44FC3">
        <w:rPr>
          <w:rFonts w:ascii="Arial" w:hAnsi="Arial" w:cs="Arial"/>
          <w:b/>
          <w:bCs/>
          <w:color w:val="auto"/>
          <w:sz w:val="22"/>
          <w:szCs w:val="22"/>
        </w:rPr>
        <w:lastRenderedPageBreak/>
        <w:t>Metabolomics data QC</w:t>
      </w:r>
    </w:p>
    <w:p w14:paraId="48D2AA36" w14:textId="1E52F9CC" w:rsidR="00BA5904" w:rsidRPr="00D44FC3" w:rsidRDefault="00BA5904" w:rsidP="00BA5904">
      <w:pPr>
        <w:spacing w:line="240" w:lineRule="auto"/>
        <w:rPr>
          <w:rFonts w:ascii="Arial" w:hAnsi="Arial" w:cs="Arial"/>
        </w:rPr>
      </w:pPr>
      <w:bookmarkStart w:id="30" w:name="OLE_LINK289"/>
      <w:r w:rsidRPr="00D44FC3">
        <w:rPr>
          <w:rFonts w:ascii="Arial" w:hAnsi="Arial" w:cs="Arial"/>
        </w:rPr>
        <w:t xml:space="preserve">Briefly, 3,169 participants and 1,508 metabolites passed metabolomics QC.  </w:t>
      </w:r>
      <w:bookmarkEnd w:id="30"/>
      <w:r w:rsidRPr="00D44FC3">
        <w:rPr>
          <w:rFonts w:ascii="Arial" w:hAnsi="Arial" w:cs="Arial"/>
        </w:rPr>
        <w:t xml:space="preserve">1,718 metabolites were measured before QC with </w:t>
      </w:r>
      <w:bookmarkStart w:id="31" w:name="OLE_LINK227"/>
      <w:r w:rsidRPr="00D44FC3">
        <w:rPr>
          <w:rFonts w:ascii="Arial" w:hAnsi="Arial" w:cs="Arial"/>
        </w:rPr>
        <w:t>Metabolon HD4 platform</w:t>
      </w:r>
      <w:bookmarkEnd w:id="31"/>
      <w:r w:rsidRPr="00D44FC3">
        <w:rPr>
          <w:rFonts w:ascii="Arial" w:hAnsi="Arial" w:cs="Arial"/>
        </w:rPr>
        <w:t xml:space="preserve">.  Plasma metabolomics data from all genetic ancestries were </w:t>
      </w:r>
      <w:proofErr w:type="spellStart"/>
      <w:r w:rsidRPr="00D44FC3">
        <w:rPr>
          <w:rFonts w:ascii="Arial" w:hAnsi="Arial" w:cs="Arial"/>
        </w:rPr>
        <w:t>QCed</w:t>
      </w:r>
      <w:proofErr w:type="spellEnd"/>
      <w:r w:rsidRPr="00D44FC3">
        <w:rPr>
          <w:rFonts w:ascii="Arial" w:hAnsi="Arial" w:cs="Arial"/>
        </w:rPr>
        <w:t xml:space="preserve"> with 11 steps below:</w:t>
      </w:r>
    </w:p>
    <w:p w14:paraId="54D8AC69" w14:textId="77777777" w:rsidR="00BA5904" w:rsidRPr="00D44FC3" w:rsidRDefault="00BA5904" w:rsidP="00BA5904">
      <w:pPr>
        <w:pStyle w:val="Heading3"/>
        <w:spacing w:line="240" w:lineRule="auto"/>
        <w:rPr>
          <w:rFonts w:ascii="Arial" w:hAnsi="Arial" w:cs="Arial"/>
          <w:b/>
          <w:bCs/>
          <w:color w:val="auto"/>
          <w:sz w:val="22"/>
          <w:szCs w:val="22"/>
        </w:rPr>
      </w:pPr>
      <w:bookmarkStart w:id="32" w:name="_Toc134091317"/>
      <w:bookmarkStart w:id="33" w:name="OLE_LINK98"/>
      <w:r w:rsidRPr="00D44FC3">
        <w:rPr>
          <w:rFonts w:ascii="Arial" w:hAnsi="Arial" w:cs="Arial"/>
          <w:b/>
          <w:bCs/>
          <w:color w:val="auto"/>
          <w:sz w:val="22"/>
          <w:szCs w:val="22"/>
        </w:rPr>
        <w:t>1 Volume Normalization</w:t>
      </w:r>
      <w:bookmarkEnd w:id="32"/>
    </w:p>
    <w:p w14:paraId="175B2D56" w14:textId="77777777" w:rsidR="00BA5904" w:rsidRPr="00D44FC3" w:rsidRDefault="00BA5904" w:rsidP="00BA5904">
      <w:pPr>
        <w:spacing w:line="240" w:lineRule="auto"/>
        <w:rPr>
          <w:rFonts w:ascii="Arial" w:hAnsi="Arial" w:cs="Arial"/>
        </w:rPr>
      </w:pPr>
      <w:r w:rsidRPr="00D44FC3">
        <w:rPr>
          <w:rFonts w:ascii="Arial" w:hAnsi="Arial" w:cs="Arial"/>
        </w:rPr>
        <w:t>Normally, 100 ml sample aliquots are used for metabolite measurements. However, for certain samples volume &lt;100 ml may have been used. In such circumstances, volume normalization of the batch-normalized metabolite expression level is required. For volume normalization, each data point is multiplied by a normalization factor and divided by its median i.e.,</w:t>
      </w:r>
    </w:p>
    <w:p w14:paraId="1FE6F304" w14:textId="77777777" w:rsidR="00BA5904" w:rsidRPr="00D44FC3" w:rsidRDefault="00BA5904" w:rsidP="00BA5904">
      <w:pPr>
        <w:spacing w:line="240" w:lineRule="auto"/>
        <w:rPr>
          <w:rFonts w:ascii="Arial" w:hAnsi="Arial" w:cs="Arial"/>
        </w:rPr>
      </w:pPr>
      <w:bookmarkStart w:id="34" w:name="OLE_LINK317"/>
      <m:oMathPara>
        <m:oMath>
          <m:r>
            <m:rPr>
              <m:sty m:val="p"/>
            </m:rPr>
            <w:rPr>
              <w:rFonts w:ascii="Cambria Math" w:hAnsi="Cambria Math" w:cs="Arial"/>
            </w:rPr>
            <m:t>Volume Normalization =</m:t>
          </m:r>
          <m:r>
            <m:rPr>
              <m:sty m:val="p"/>
            </m:rPr>
            <w:rPr>
              <w:rFonts w:ascii="Cambria Math" w:hAnsi="Arial" w:cs="Arial"/>
            </w:rPr>
            <m:t xml:space="preserve"> </m:t>
          </m:r>
          <w:bookmarkEnd w:id="34"/>
          <m:f>
            <m:fPr>
              <m:type m:val="lin"/>
              <m:ctrlPr>
                <w:rPr>
                  <w:rFonts w:ascii="Cambria Math" w:hAnsi="Arial" w:cs="Arial"/>
                </w:rPr>
              </m:ctrlPr>
            </m:fPr>
            <m:num>
              <m:r>
                <m:rPr>
                  <m:sty m:val="p"/>
                </m:rPr>
                <w:rPr>
                  <w:rFonts w:ascii="Cambria Math" w:hAnsi="Cambria Math" w:cs="Arial"/>
                  <w:u w:val="single"/>
                </w:rPr>
                <m:t>Data point×Normalization Factor</m:t>
              </m:r>
            </m:num>
            <m:den>
              <m:r>
                <m:rPr>
                  <m:sty m:val="p"/>
                </m:rPr>
                <w:rPr>
                  <w:rFonts w:ascii="Cambria Math" w:hAnsi="Cambria Math" w:cs="Arial"/>
                </w:rPr>
                <m:t xml:space="preserve">Median </m:t>
              </m:r>
              <m:r>
                <m:rPr>
                  <m:sty m:val="p"/>
                </m:rPr>
                <w:rPr>
                  <w:rFonts w:ascii="Cambria Math" w:hAnsi="Arial" w:cs="Arial"/>
                </w:rPr>
                <m:t>metabolite level</m:t>
              </m:r>
            </m:den>
          </m:f>
        </m:oMath>
      </m:oMathPara>
    </w:p>
    <w:p w14:paraId="7A05B1D2" w14:textId="77777777" w:rsidR="00BA5904" w:rsidRPr="00D44FC3" w:rsidRDefault="00BA5904" w:rsidP="00BA5904">
      <w:pPr>
        <w:spacing w:line="240" w:lineRule="auto"/>
        <w:rPr>
          <w:rFonts w:ascii="Arial" w:hAnsi="Arial" w:cs="Arial"/>
        </w:rPr>
      </w:pPr>
      <w:proofErr w:type="gramStart"/>
      <w:r w:rsidRPr="00D44FC3">
        <w:rPr>
          <w:rFonts w:ascii="Arial" w:hAnsi="Arial" w:cs="Arial"/>
        </w:rPr>
        <w:t>where</w:t>
      </w:r>
      <w:proofErr w:type="gramEnd"/>
      <w:r w:rsidRPr="00D44FC3">
        <w:rPr>
          <w:rFonts w:ascii="Arial" w:hAnsi="Arial" w:cs="Arial"/>
        </w:rPr>
        <w:t xml:space="preserve">, </w:t>
      </w:r>
      <m:oMath>
        <m:r>
          <m:rPr>
            <m:sty m:val="p"/>
          </m:rPr>
          <w:rPr>
            <w:rFonts w:ascii="Cambria Math" w:hAnsi="Cambria Math" w:cs="Arial"/>
          </w:rPr>
          <m:t>Normalization Factor=</m:t>
        </m:r>
      </m:oMath>
      <w:r w:rsidRPr="00D44FC3">
        <w:rPr>
          <w:rFonts w:ascii="Arial" w:hAnsi="Arial" w:cs="Arial"/>
        </w:rPr>
        <w:t xml:space="preserve"> </w:t>
      </w:r>
      <m:oMath>
        <m:f>
          <m:fPr>
            <m:type m:val="lin"/>
            <m:ctrlPr>
              <w:rPr>
                <w:rFonts w:ascii="Cambria Math" w:hAnsi="Cambria Math" w:cs="Arial"/>
                <w:i/>
              </w:rPr>
            </m:ctrlPr>
          </m:fPr>
          <m:num>
            <m:r>
              <w:rPr>
                <w:rFonts w:ascii="Cambria Math" w:hAnsi="Cambria Math" w:cs="Arial"/>
              </w:rPr>
              <m:t>100</m:t>
            </m:r>
          </m:num>
          <m:den>
            <m:r>
              <m:rPr>
                <m:sty m:val="p"/>
              </m:rPr>
              <w:rPr>
                <w:rFonts w:ascii="Cambria Math" w:hAnsi="Cambria Math" w:cs="Arial"/>
              </w:rPr>
              <m:t>The volume of samples extracted</m:t>
            </m:r>
          </m:den>
        </m:f>
      </m:oMath>
    </w:p>
    <w:p w14:paraId="4783CF88" w14:textId="77777777" w:rsidR="00BA5904" w:rsidRPr="00D44FC3" w:rsidRDefault="00BA5904" w:rsidP="00BA5904">
      <w:pPr>
        <w:spacing w:line="240" w:lineRule="auto"/>
        <w:rPr>
          <w:rFonts w:ascii="Arial" w:hAnsi="Arial" w:cs="Arial"/>
        </w:rPr>
      </w:pPr>
      <w:r w:rsidRPr="00D44FC3">
        <w:rPr>
          <w:rFonts w:ascii="Arial" w:hAnsi="Arial" w:cs="Arial"/>
        </w:rPr>
        <w:t>Note: Volume normalized metabolite levels are also provided by Metabolon, but these files are imputed and thus are not suitable for our QC purpose.</w:t>
      </w:r>
    </w:p>
    <w:p w14:paraId="26BD7331" w14:textId="77777777" w:rsidR="00BA5904" w:rsidRPr="00D44FC3" w:rsidRDefault="00BA5904" w:rsidP="00BA5904">
      <w:pPr>
        <w:pStyle w:val="Heading3"/>
        <w:spacing w:line="240" w:lineRule="auto"/>
        <w:rPr>
          <w:rFonts w:ascii="Arial" w:hAnsi="Arial" w:cs="Arial"/>
          <w:b/>
          <w:bCs/>
          <w:color w:val="auto"/>
          <w:sz w:val="22"/>
          <w:szCs w:val="22"/>
        </w:rPr>
      </w:pPr>
      <w:bookmarkStart w:id="35" w:name="_Toc134091318"/>
      <w:r w:rsidRPr="00D44FC3">
        <w:rPr>
          <w:rFonts w:ascii="Arial" w:hAnsi="Arial" w:cs="Arial"/>
          <w:b/>
          <w:bCs/>
          <w:color w:val="auto"/>
          <w:sz w:val="22"/>
          <w:szCs w:val="22"/>
        </w:rPr>
        <w:t>2 Sample Missingness</w:t>
      </w:r>
      <w:bookmarkEnd w:id="35"/>
    </w:p>
    <w:p w14:paraId="4CF8F006" w14:textId="77777777" w:rsidR="00BA5904" w:rsidRPr="00D44FC3" w:rsidRDefault="00BA5904" w:rsidP="00BA5904">
      <w:pPr>
        <w:spacing w:line="240" w:lineRule="auto"/>
        <w:rPr>
          <w:rFonts w:ascii="Arial" w:hAnsi="Arial" w:cs="Arial"/>
          <w:lang w:eastAsia="en-US"/>
        </w:rPr>
      </w:pPr>
      <w:r w:rsidRPr="00D44FC3">
        <w:rPr>
          <w:rFonts w:ascii="Arial" w:hAnsi="Arial" w:cs="Arial"/>
        </w:rPr>
        <w:t>Sample with more than 50% missingness were removed.</w:t>
      </w:r>
      <w:r w:rsidRPr="00D44FC3">
        <w:rPr>
          <w:rFonts w:ascii="Arial" w:hAnsi="Arial" w:cs="Arial"/>
          <w:vertAlign w:val="superscript"/>
        </w:rPr>
        <w:t xml:space="preserve"> </w:t>
      </w:r>
    </w:p>
    <w:p w14:paraId="051CEC20" w14:textId="77777777" w:rsidR="00BA5904" w:rsidRPr="00D44FC3" w:rsidRDefault="00BA5904" w:rsidP="00BA5904">
      <w:pPr>
        <w:pStyle w:val="Heading3"/>
        <w:spacing w:line="240" w:lineRule="auto"/>
        <w:rPr>
          <w:rFonts w:ascii="Arial" w:hAnsi="Arial" w:cs="Arial"/>
          <w:b/>
          <w:bCs/>
          <w:color w:val="auto"/>
          <w:sz w:val="22"/>
          <w:szCs w:val="22"/>
        </w:rPr>
      </w:pPr>
      <w:bookmarkStart w:id="36" w:name="_Toc134091319"/>
      <w:r w:rsidRPr="00D44FC3">
        <w:rPr>
          <w:rFonts w:ascii="Arial" w:hAnsi="Arial" w:cs="Arial"/>
          <w:b/>
          <w:bCs/>
          <w:color w:val="auto"/>
          <w:sz w:val="22"/>
          <w:szCs w:val="22"/>
        </w:rPr>
        <w:t>3 Metabolite Missingness</w:t>
      </w:r>
      <w:bookmarkEnd w:id="36"/>
    </w:p>
    <w:p w14:paraId="419B4837" w14:textId="77777777" w:rsidR="00BA5904" w:rsidRPr="00D44FC3" w:rsidRDefault="00BA5904" w:rsidP="00BA5904">
      <w:pPr>
        <w:spacing w:line="240" w:lineRule="auto"/>
        <w:rPr>
          <w:rFonts w:ascii="Arial" w:hAnsi="Arial" w:cs="Arial"/>
        </w:rPr>
      </w:pPr>
      <w:r w:rsidRPr="00D44FC3">
        <w:rPr>
          <w:rFonts w:ascii="Arial" w:hAnsi="Arial" w:cs="Arial"/>
        </w:rPr>
        <w:t xml:space="preserve">Metabolites with more than 80% missing rate are flagged. This criterion is not applied to metabolites under the Xenobiotics super pathway as these are expected to be missing under normal circumstances because they are not naturally produced within an organism [e.g., environmental chemicals, drugs, etc.]. Unidentified metabolites are grouped with regular metabolites and subjected to the 80% missing rate filter. </w:t>
      </w:r>
    </w:p>
    <w:p w14:paraId="7D2E2F7B" w14:textId="77777777" w:rsidR="00BA5904" w:rsidRPr="00D44FC3" w:rsidRDefault="00BA5904" w:rsidP="00BA5904">
      <w:pPr>
        <w:pStyle w:val="Heading3"/>
        <w:spacing w:line="240" w:lineRule="auto"/>
        <w:rPr>
          <w:rFonts w:ascii="Arial" w:hAnsi="Arial" w:cs="Arial"/>
          <w:b/>
          <w:bCs/>
          <w:color w:val="auto"/>
          <w:sz w:val="22"/>
          <w:szCs w:val="22"/>
        </w:rPr>
      </w:pPr>
      <w:bookmarkStart w:id="37" w:name="_Toc134091320"/>
      <w:r w:rsidRPr="00D44FC3">
        <w:rPr>
          <w:rFonts w:ascii="Arial" w:hAnsi="Arial" w:cs="Arial"/>
          <w:b/>
          <w:bCs/>
          <w:color w:val="auto"/>
          <w:sz w:val="22"/>
          <w:szCs w:val="22"/>
        </w:rPr>
        <w:t>4 Fischer’s Exact Test and Differential Expression Check</w:t>
      </w:r>
      <w:bookmarkEnd w:id="37"/>
    </w:p>
    <w:p w14:paraId="6FE08927" w14:textId="77777777" w:rsidR="00BA5904" w:rsidRPr="00D44FC3" w:rsidRDefault="00BA5904" w:rsidP="00BA5904">
      <w:pPr>
        <w:spacing w:line="240" w:lineRule="auto"/>
        <w:rPr>
          <w:rFonts w:ascii="Arial" w:hAnsi="Arial" w:cs="Arial"/>
        </w:rPr>
      </w:pPr>
      <w:r w:rsidRPr="00D44FC3">
        <w:rPr>
          <w:rFonts w:ascii="Arial" w:hAnsi="Arial" w:cs="Arial"/>
        </w:rPr>
        <w:t>Missingness in metabolites can be attributed to disease conditions and may not always be due to random technical issues. To confirm whether the high missingness detected in Step 3 of the QC process is true missingness or if the missingness pattern has some association with disease status, we perform Fischer’s Test. For those metabolites that pass FDR corrected p-value in Fischer’s Test, thus showing a higher frequency of missingness associated with either the cases or controls, differential expression is then performed. If the metabolite passes the nominal p-value threshold for differential expression and has the same direction of effect size in both Fischer’s Exact Test and differential expression, these metabolites are retained even if they have high missingness.</w:t>
      </w:r>
    </w:p>
    <w:p w14:paraId="13FA8698" w14:textId="77777777" w:rsidR="00BA5904" w:rsidRPr="00D44FC3" w:rsidRDefault="00BA5904" w:rsidP="00BA5904">
      <w:pPr>
        <w:pStyle w:val="Heading3"/>
        <w:spacing w:line="240" w:lineRule="auto"/>
        <w:rPr>
          <w:rFonts w:ascii="Arial" w:hAnsi="Arial" w:cs="Arial"/>
          <w:b/>
          <w:bCs/>
          <w:color w:val="auto"/>
          <w:sz w:val="22"/>
          <w:szCs w:val="22"/>
        </w:rPr>
      </w:pPr>
      <w:bookmarkStart w:id="38" w:name="_Toc134091321"/>
      <w:r w:rsidRPr="00D44FC3">
        <w:rPr>
          <w:rFonts w:ascii="Arial" w:hAnsi="Arial" w:cs="Arial"/>
          <w:b/>
          <w:bCs/>
          <w:color w:val="auto"/>
          <w:sz w:val="22"/>
          <w:szCs w:val="22"/>
        </w:rPr>
        <w:t>5 Minimum Value Imputatio</w:t>
      </w:r>
      <w:bookmarkEnd w:id="38"/>
      <w:r w:rsidRPr="00D44FC3">
        <w:rPr>
          <w:rFonts w:ascii="Arial" w:hAnsi="Arial" w:cs="Arial"/>
          <w:b/>
          <w:bCs/>
          <w:color w:val="auto"/>
          <w:sz w:val="22"/>
          <w:szCs w:val="22"/>
        </w:rPr>
        <w:t>n</w:t>
      </w:r>
    </w:p>
    <w:p w14:paraId="0D0A3E94" w14:textId="77777777" w:rsidR="00BA5904" w:rsidRPr="00D44FC3" w:rsidRDefault="00BA5904" w:rsidP="00BA5904">
      <w:pPr>
        <w:spacing w:line="240" w:lineRule="auto"/>
        <w:rPr>
          <w:rFonts w:ascii="Arial" w:eastAsia="Times New Roman" w:hAnsi="Arial" w:cs="Arial"/>
        </w:rPr>
      </w:pPr>
      <w:r w:rsidRPr="00D44FC3">
        <w:rPr>
          <w:rFonts w:ascii="Arial" w:eastAsia="Times New Roman" w:hAnsi="Arial" w:cs="Arial"/>
        </w:rPr>
        <w:t xml:space="preserve">Missing values can weaken the statistical power of any analysis. In metabolomics, these missing points may be a result of falling below the limit of detection and not missing at random due to processing errors. Thus, instead of treating them as non-informative blanks, Metabolon recommends imputing these data points and including them in downstream analysis. </w:t>
      </w:r>
      <w:bookmarkStart w:id="39" w:name="OLE_LINK298"/>
      <w:r w:rsidRPr="00D44FC3">
        <w:rPr>
          <w:rFonts w:ascii="Arial" w:eastAsia="Times New Roman" w:hAnsi="Arial" w:cs="Arial"/>
        </w:rPr>
        <w:t xml:space="preserve">However, as mentioned earlier Xenobiotics are indeed expected to be missing, and imputing their values could skew the results. So, imputation is performed only for the non-xenobiotic group of metabolites. </w:t>
      </w:r>
      <w:bookmarkEnd w:id="39"/>
    </w:p>
    <w:p w14:paraId="5D0F6092" w14:textId="77777777" w:rsidR="00BA5904" w:rsidRPr="00D44FC3" w:rsidRDefault="00BA5904" w:rsidP="00BA5904">
      <w:pPr>
        <w:spacing w:line="240" w:lineRule="auto"/>
        <w:rPr>
          <w:rFonts w:ascii="Arial" w:eastAsiaTheme="minorHAnsi" w:hAnsi="Arial" w:cs="Arial"/>
        </w:rPr>
      </w:pPr>
      <w:r w:rsidRPr="00D44FC3">
        <w:rPr>
          <w:rFonts w:ascii="Arial" w:eastAsia="Times New Roman" w:hAnsi="Arial" w:cs="Arial"/>
        </w:rPr>
        <w:t xml:space="preserve">The minimum observed value (following batch and volume normalization) for each metabolite was used for imputation based on the recommendation by Metabolon. This imputation method was recommended based on their internal simulation studies comparing this to other methods. </w:t>
      </w:r>
    </w:p>
    <w:p w14:paraId="31F8B2B5" w14:textId="77777777" w:rsidR="00BA5904" w:rsidRPr="00D44FC3" w:rsidRDefault="00BA5904" w:rsidP="00BA5904">
      <w:pPr>
        <w:pStyle w:val="Heading3"/>
        <w:spacing w:line="240" w:lineRule="auto"/>
        <w:rPr>
          <w:rFonts w:ascii="Arial" w:hAnsi="Arial" w:cs="Arial"/>
          <w:b/>
          <w:bCs/>
          <w:color w:val="auto"/>
          <w:sz w:val="22"/>
          <w:szCs w:val="22"/>
        </w:rPr>
      </w:pPr>
      <w:bookmarkStart w:id="40" w:name="_Toc134091322"/>
      <w:r w:rsidRPr="00D44FC3">
        <w:rPr>
          <w:rFonts w:ascii="Arial" w:hAnsi="Arial" w:cs="Arial"/>
          <w:b/>
          <w:bCs/>
          <w:color w:val="auto"/>
          <w:sz w:val="22"/>
          <w:szCs w:val="22"/>
        </w:rPr>
        <w:lastRenderedPageBreak/>
        <w:t xml:space="preserve">6 Remove non-informative </w:t>
      </w:r>
      <w:proofErr w:type="gramStart"/>
      <w:r w:rsidRPr="00D44FC3">
        <w:rPr>
          <w:rFonts w:ascii="Arial" w:hAnsi="Arial" w:cs="Arial"/>
          <w:b/>
          <w:bCs/>
          <w:color w:val="auto"/>
          <w:sz w:val="22"/>
          <w:szCs w:val="22"/>
        </w:rPr>
        <w:t>metabolites</w:t>
      </w:r>
      <w:bookmarkEnd w:id="40"/>
      <w:proofErr w:type="gramEnd"/>
    </w:p>
    <w:p w14:paraId="2CEC9249" w14:textId="77777777" w:rsidR="00BA5904" w:rsidRPr="00D44FC3" w:rsidRDefault="00BA5904" w:rsidP="00BA5904">
      <w:pPr>
        <w:spacing w:line="240" w:lineRule="auto"/>
        <w:rPr>
          <w:rFonts w:ascii="Arial" w:hAnsi="Arial" w:cs="Arial"/>
        </w:rPr>
      </w:pPr>
      <w:r w:rsidRPr="00D44FC3">
        <w:rPr>
          <w:rFonts w:ascii="Arial" w:hAnsi="Arial" w:cs="Arial"/>
        </w:rPr>
        <w:t>Following, minimum value imputation, metabolite levels are log 10 transformed, and non-informative metabolites are removed. Noninformative metabolites are defined as those showing little variation across samples. Two criteria are used for defining the non-informative analytes: IQR = 0; Variance &lt;= 0.001.</w:t>
      </w:r>
    </w:p>
    <w:p w14:paraId="0AB4CDC5" w14:textId="2756479A" w:rsidR="00BA5904" w:rsidRPr="00D44FC3" w:rsidRDefault="00BA5904" w:rsidP="00BA5904">
      <w:pPr>
        <w:spacing w:line="240" w:lineRule="auto"/>
        <w:rPr>
          <w:rFonts w:ascii="Arial" w:hAnsi="Arial" w:cs="Arial"/>
        </w:rPr>
      </w:pPr>
      <w:r w:rsidRPr="00D44FC3">
        <w:rPr>
          <w:rFonts w:ascii="Arial" w:hAnsi="Arial" w:cs="Arial"/>
        </w:rPr>
        <w:t xml:space="preserve">The cutoff for variance was based on a study by </w:t>
      </w:r>
      <w:bookmarkStart w:id="41" w:name="OLE_LINK123"/>
      <w:r w:rsidRPr="00D44FC3">
        <w:rPr>
          <w:rFonts w:ascii="Arial" w:hAnsi="Arial" w:cs="Arial"/>
        </w:rPr>
        <w:t xml:space="preserve">Schlosser </w:t>
      </w:r>
      <w:bookmarkEnd w:id="41"/>
      <w:r w:rsidRPr="00D44FC3">
        <w:rPr>
          <w:rFonts w:ascii="Arial" w:hAnsi="Arial" w:cs="Arial"/>
        </w:rPr>
        <w:t>et al.,</w:t>
      </w:r>
      <w:r w:rsidRPr="00D44FC3">
        <w:fldChar w:fldCharType="begin"/>
      </w:r>
      <w:r w:rsidR="00214F56">
        <w:rPr>
          <w:rFonts w:ascii="Arial" w:hAnsi="Arial" w:cs="Arial"/>
        </w:rPr>
        <w:instrText xml:space="preserve"> ADDIN ZOTERO_ITEM CSL_CITATION {"citationID":"ckGMCg8W","properties":{"formattedCitation":"\\super 1\\nosupersub{}","plainCitation":"1","noteIndex":0},"citationItems":[{"id":1152,"uris":["http://zotero.org/users/2526195/items/HGEKR2DN"],"itemData":{"id":1152,"type":"article-journal","abstract":"Genome-wide association analysis of 1,172 urinary metabolites identifies 240 metabolite–locus associations that when combined with UK Biobank data suggest novel metabolic mediators of disease and markers of disease risk.","container-title":"Nature Genetics","DOI":"10.1038/s41588-019-0567-8","ISSN":"1546-1718","journalAbbreviation":"Nat Genet","language":"en","license":"2020 The Author(s), under exclusive licence to Springer Nature America, Inc.","page":"1-10","source":"www.nature.com","title":"Genetic studies of urinary metabolites illuminate mechanisms of detoxification and excretion in humans","author":[{"family":"Schlosser","given":"Pascal"},{"family":"Li","given":"Yong"},{"family":"Sekula","given":"Peggy"},{"family":"Raffler","given":"Johannes"},{"family":"Grundner-Culemann","given":"Franziska"},{"family":"Pietzner","given":"Maik"},{"family":"Cheng","given":"Yurong"},{"family":"Wuttke","given":"Matthias"},{"family":"Steinbrenner","given":"Inga"},{"family":"Schultheiss","given":"Ulla T."},{"family":"Kotsis","given":"Fruzsina"},{"family":"Kacprowski","given":"Tim"},{"family":"Forer","given":"Lukas"},{"family":"Hausknecht","given":"Birgit"},{"family":"Ekici","given":"Arif B."},{"family":"Nauck","given":"Matthias"},{"family":"Völker","given":"Uwe"},{"family":"Walz","given":"Gerd"},{"family":"Oefner","given":"Peter J."},{"family":"Kronenberg","given":"Florian"},{"family":"Mohney","given":"Robert P."},{"family":"Köttgen","given":"Michael"},{"family":"Suhre","given":"Karsten"},{"family":"Eckardt","given":"Kai-Uwe"},{"family":"Kastenmüller","given":"Gabi"},{"family":"Köttgen","given":"Anna"}],"issued":{"date-parts":[["2020",1,20]]}}}],"schema":"https://github.com/citation-style-language/schema/raw/master/csl-citation.json"} </w:instrText>
      </w:r>
      <w:r w:rsidRPr="00D44FC3">
        <w:fldChar w:fldCharType="separate"/>
      </w:r>
      <w:r w:rsidR="00214F56" w:rsidRPr="00214F56">
        <w:rPr>
          <w:rFonts w:ascii="Arial" w:hAnsi="Arial" w:cs="Arial"/>
          <w:szCs w:val="24"/>
          <w:vertAlign w:val="superscript"/>
        </w:rPr>
        <w:t>1</w:t>
      </w:r>
      <w:r w:rsidRPr="00D44FC3">
        <w:fldChar w:fldCharType="end"/>
      </w:r>
      <w:r w:rsidRPr="00D44FC3">
        <w:rPr>
          <w:rFonts w:ascii="Arial" w:hAnsi="Arial" w:cs="Arial"/>
        </w:rPr>
        <w:t xml:space="preserve"> where the authors used variance &lt; 0.01 for their log2 transformed data. Since we use the log10 transformation, the cutoff becomes 0.001 when adjusted. </w:t>
      </w:r>
    </w:p>
    <w:p w14:paraId="5546AA79" w14:textId="77777777" w:rsidR="00BA5904" w:rsidRPr="00D44FC3" w:rsidRDefault="00BA5904" w:rsidP="00BA5904">
      <w:pPr>
        <w:spacing w:line="240" w:lineRule="auto"/>
        <w:rPr>
          <w:rFonts w:ascii="Arial" w:hAnsi="Arial" w:cs="Arial"/>
        </w:rPr>
      </w:pPr>
      <w:r w:rsidRPr="00D44FC3">
        <w:rPr>
          <w:rFonts w:ascii="Arial" w:hAnsi="Arial" w:cs="Arial"/>
        </w:rPr>
        <w:t>Mathematically,</w:t>
      </w:r>
    </w:p>
    <w:bookmarkStart w:id="42" w:name="OLE_LINK359"/>
    <w:bookmarkStart w:id="43" w:name="OLE_LINK363"/>
    <w:p w14:paraId="1306CEBC" w14:textId="77777777" w:rsidR="00BA5904" w:rsidRPr="00D44FC3" w:rsidRDefault="00214F56" w:rsidP="00BA5904">
      <w:pPr>
        <w:spacing w:line="240" w:lineRule="auto"/>
        <w:rPr>
          <w:rFonts w:ascii="Arial" w:hAnsi="Arial" w:cs="Arial"/>
        </w:rPr>
      </w:pPr>
      <m:oMathPara>
        <m:oMath>
          <m:func>
            <m:funcPr>
              <m:ctrlPr>
                <w:rPr>
                  <w:rFonts w:ascii="Cambria Math" w:hAnsi="Cambria Math" w:cs="Arial"/>
                  <w:i/>
                </w:rPr>
              </m:ctrlPr>
            </m:funcPr>
            <m:fName>
              <m:sSub>
                <m:sSubPr>
                  <m:ctrlPr>
                    <w:rPr>
                      <w:rFonts w:ascii="Cambria Math" w:hAnsi="Cambria Math" w:cs="Arial"/>
                      <w:i/>
                    </w:rPr>
                  </m:ctrlPr>
                </m:sSubPr>
                <m:e>
                  <m:r>
                    <m:rPr>
                      <m:sty m:val="p"/>
                    </m:rPr>
                    <w:rPr>
                      <w:rFonts w:ascii="Cambria Math" w:hAnsi="Cambria Math" w:cs="Arial"/>
                    </w:rPr>
                    <m:t>log</m:t>
                  </m:r>
                </m:e>
                <m:sub>
                  <m:r>
                    <w:rPr>
                      <w:rFonts w:ascii="Cambria Math" w:hAnsi="Cambria Math" w:cs="Arial"/>
                    </w:rPr>
                    <m:t>10</m:t>
                  </m:r>
                </m:sub>
              </m:sSub>
            </m:fName>
            <m:e>
              <m:r>
                <w:rPr>
                  <w:rFonts w:ascii="Cambria Math" w:hAnsi="Cambria Math" w:cs="Arial"/>
                </w:rPr>
                <m:t>x</m:t>
              </m:r>
            </m:e>
          </m:func>
          <w:bookmarkEnd w:id="42"/>
          <m:r>
            <w:rPr>
              <w:rFonts w:ascii="Cambria Math" w:hAnsi="Cambria Math" w:cs="Arial"/>
            </w:rPr>
            <m:t>=</m:t>
          </m:r>
          <w:bookmarkStart w:id="44" w:name="OLE_LINK360"/>
          <m:func>
            <m:funcPr>
              <m:ctrlPr>
                <w:rPr>
                  <w:rFonts w:ascii="Cambria Math" w:hAnsi="Cambria Math" w:cs="Arial"/>
                  <w:i/>
                  <w:sz w:val="24"/>
                  <w:szCs w:val="24"/>
                </w:rPr>
              </m:ctrlPr>
            </m:funcPr>
            <m:fName>
              <m:sSub>
                <m:sSubPr>
                  <m:ctrlPr>
                    <w:rPr>
                      <w:rFonts w:ascii="Cambria Math" w:hAnsi="Cambria Math" w:cs="Arial"/>
                      <w:i/>
                      <w:sz w:val="24"/>
                      <w:szCs w:val="24"/>
                    </w:rPr>
                  </m:ctrlPr>
                </m:sSubPr>
                <m:e>
                  <m:r>
                    <m:rPr>
                      <m:sty m:val="p"/>
                    </m:rPr>
                    <w:rPr>
                      <w:rFonts w:ascii="Cambria Math" w:hAnsi="Cambria Math" w:cs="Arial"/>
                    </w:rPr>
                    <m:t>log</m:t>
                  </m:r>
                </m:e>
                <m:sub>
                  <m:r>
                    <w:rPr>
                      <w:rFonts w:ascii="Cambria Math" w:hAnsi="Cambria Math" w:cs="Arial"/>
                    </w:rPr>
                    <m:t>2</m:t>
                  </m:r>
                </m:sub>
              </m:sSub>
            </m:fName>
            <m:e>
              <m:r>
                <w:rPr>
                  <w:rFonts w:ascii="Cambria Math" w:hAnsi="Cambria Math" w:cs="Arial"/>
                </w:rPr>
                <m:t>x</m:t>
              </m:r>
            </m:e>
          </m:func>
          <w:bookmarkEnd w:id="44"/>
          <m:r>
            <w:rPr>
              <w:rFonts w:ascii="Cambria Math" w:hAnsi="Cambria Math" w:cs="Arial"/>
              <w:sz w:val="24"/>
              <w:szCs w:val="24"/>
            </w:rPr>
            <m:t>×</m:t>
          </m:r>
          <m:func>
            <m:funcPr>
              <m:ctrlPr>
                <w:rPr>
                  <w:rFonts w:ascii="Cambria Math" w:hAnsi="Cambria Math" w:cs="Arial"/>
                  <w:i/>
                  <w:sz w:val="24"/>
                  <w:szCs w:val="24"/>
                </w:rPr>
              </m:ctrlPr>
            </m:funcPr>
            <m:fName>
              <m:sSub>
                <m:sSubPr>
                  <m:ctrlPr>
                    <w:rPr>
                      <w:rFonts w:ascii="Cambria Math" w:hAnsi="Cambria Math" w:cs="Arial"/>
                      <w:i/>
                      <w:sz w:val="24"/>
                      <w:szCs w:val="24"/>
                    </w:rPr>
                  </m:ctrlPr>
                </m:sSubPr>
                <m:e>
                  <m:r>
                    <m:rPr>
                      <m:sty m:val="p"/>
                    </m:rPr>
                    <w:rPr>
                      <w:rFonts w:ascii="Cambria Math" w:hAnsi="Cambria Math" w:cs="Arial"/>
                    </w:rPr>
                    <m:t>log</m:t>
                  </m:r>
                </m:e>
                <m:sub>
                  <m:r>
                    <w:rPr>
                      <w:rFonts w:ascii="Cambria Math" w:hAnsi="Cambria Math" w:cs="Arial"/>
                    </w:rPr>
                    <m:t>10</m:t>
                  </m:r>
                </m:sub>
              </m:sSub>
            </m:fName>
            <m:e>
              <m:r>
                <w:rPr>
                  <w:rFonts w:ascii="Cambria Math" w:hAnsi="Cambria Math" w:cs="Arial"/>
                </w:rPr>
                <m:t>2</m:t>
              </m:r>
            </m:e>
          </m:func>
          <m:r>
            <w:rPr>
              <w:rFonts w:ascii="Cambria Math" w:hAnsi="Cambria Math" w:cs="Arial"/>
              <w:sz w:val="24"/>
              <w:szCs w:val="24"/>
            </w:rPr>
            <m:t>=</m:t>
          </m:r>
          <m:func>
            <m:funcPr>
              <m:ctrlPr>
                <w:rPr>
                  <w:rFonts w:ascii="Cambria Math" w:hAnsi="Cambria Math" w:cs="Arial"/>
                  <w:i/>
                  <w:sz w:val="24"/>
                  <w:szCs w:val="24"/>
                </w:rPr>
              </m:ctrlPr>
            </m:funcPr>
            <m:fName>
              <m:sSub>
                <m:sSubPr>
                  <m:ctrlPr>
                    <w:rPr>
                      <w:rFonts w:ascii="Cambria Math" w:hAnsi="Cambria Math" w:cs="Arial"/>
                      <w:i/>
                      <w:sz w:val="24"/>
                      <w:szCs w:val="24"/>
                    </w:rPr>
                  </m:ctrlPr>
                </m:sSubPr>
                <m:e>
                  <m:r>
                    <m:rPr>
                      <m:sty m:val="p"/>
                    </m:rPr>
                    <w:rPr>
                      <w:rFonts w:ascii="Cambria Math" w:hAnsi="Cambria Math" w:cs="Arial"/>
                    </w:rPr>
                    <m:t>log</m:t>
                  </m:r>
                </m:e>
                <m:sub>
                  <m:r>
                    <w:rPr>
                      <w:rFonts w:ascii="Cambria Math" w:hAnsi="Cambria Math" w:cs="Arial"/>
                    </w:rPr>
                    <m:t>2</m:t>
                  </m:r>
                </m:sub>
              </m:sSub>
            </m:fName>
            <m:e>
              <m:r>
                <w:rPr>
                  <w:rFonts w:ascii="Cambria Math" w:hAnsi="Cambria Math" w:cs="Arial"/>
                </w:rPr>
                <m:t>x</m:t>
              </m:r>
            </m:e>
          </m:func>
          <m:r>
            <w:rPr>
              <w:rFonts w:ascii="Cambria Math" w:hAnsi="Cambria Math" w:cs="Arial"/>
              <w:sz w:val="24"/>
              <w:szCs w:val="24"/>
            </w:rPr>
            <m:t>×0.301</m:t>
          </m:r>
        </m:oMath>
      </m:oMathPara>
    </w:p>
    <w:bookmarkEnd w:id="43"/>
    <w:p w14:paraId="0735AF8F" w14:textId="77777777" w:rsidR="00BA5904" w:rsidRPr="00D44FC3" w:rsidRDefault="00BA5904" w:rsidP="00BA5904">
      <w:pPr>
        <w:spacing w:line="240" w:lineRule="auto"/>
        <w:rPr>
          <w:rFonts w:ascii="Arial" w:hAnsi="Arial" w:cs="Arial"/>
        </w:rPr>
      </w:pPr>
      <w:r w:rsidRPr="00D44FC3">
        <w:rPr>
          <w:rFonts w:ascii="Arial" w:hAnsi="Arial" w:cs="Arial"/>
        </w:rPr>
        <w:t>So, an adjusted variance would be,</w:t>
      </w:r>
    </w:p>
    <w:p w14:paraId="319CA956" w14:textId="77777777" w:rsidR="00BA5904" w:rsidRPr="00D44FC3" w:rsidRDefault="00BA5904" w:rsidP="00BA5904">
      <w:pPr>
        <w:spacing w:line="240" w:lineRule="auto"/>
        <w:rPr>
          <w:rFonts w:ascii="Arial" w:hAnsi="Arial" w:cs="Arial"/>
        </w:rPr>
      </w:pPr>
      <m:oMathPara>
        <m:oMath>
          <m:r>
            <w:rPr>
              <w:rFonts w:ascii="Cambria Math" w:hAnsi="Cambria Math" w:cs="Arial"/>
            </w:rPr>
            <m:t>(</m:t>
          </m:r>
          <m:sSup>
            <m:sSupPr>
              <m:ctrlPr>
                <w:rPr>
                  <w:rFonts w:ascii="Cambria Math" w:hAnsi="Cambria Math" w:cs="Arial"/>
                  <w:i/>
                </w:rPr>
              </m:ctrlPr>
            </m:sSupPr>
            <m:e>
              <m:func>
                <m:funcPr>
                  <m:ctrlPr>
                    <w:rPr>
                      <w:rFonts w:ascii="Cambria Math" w:hAnsi="Cambria Math" w:cs="Arial"/>
                      <w:i/>
                    </w:rPr>
                  </m:ctrlPr>
                </m:funcPr>
                <m:fName>
                  <m:sSub>
                    <m:sSubPr>
                      <m:ctrlPr>
                        <w:rPr>
                          <w:rFonts w:ascii="Cambria Math" w:hAnsi="Cambria Math" w:cs="Arial"/>
                          <w:i/>
                        </w:rPr>
                      </m:ctrlPr>
                    </m:sSubPr>
                    <m:e>
                      <m:r>
                        <m:rPr>
                          <m:sty m:val="p"/>
                        </m:rPr>
                        <w:rPr>
                          <w:rFonts w:ascii="Cambria Math" w:hAnsi="Cambria Math" w:cs="Arial"/>
                        </w:rPr>
                        <m:t>log</m:t>
                      </m:r>
                    </m:e>
                    <m:sub>
                      <m:r>
                        <w:rPr>
                          <w:rFonts w:ascii="Cambria Math" w:hAnsi="Cambria Math" w:cs="Arial"/>
                        </w:rPr>
                        <m:t>10</m:t>
                      </m:r>
                    </m:sub>
                  </m:sSub>
                </m:fName>
                <m:e>
                  <m:r>
                    <w:rPr>
                      <w:rFonts w:ascii="Cambria Math" w:hAnsi="Cambria Math" w:cs="Arial"/>
                    </w:rPr>
                    <m:t>x)</m:t>
                  </m:r>
                </m:e>
              </m:func>
            </m:e>
            <m:sup>
              <m:r>
                <w:rPr>
                  <w:rFonts w:ascii="Cambria Math" w:hAnsi="Cambria Math" w:cs="Arial"/>
                </w:rPr>
                <m:t>2</m:t>
              </m:r>
            </m:sup>
          </m:sSup>
          <m:r>
            <w:rPr>
              <w:rFonts w:ascii="Cambria Math" w:hAnsi="Cambria Math" w:cs="Arial"/>
            </w:rPr>
            <m:t>=</m:t>
          </m:r>
          <m:sSup>
            <m:sSupPr>
              <m:ctrlPr>
                <w:rPr>
                  <w:rFonts w:ascii="Cambria Math" w:hAnsi="Cambria Math" w:cs="Arial"/>
                  <w:i/>
                </w:rPr>
              </m:ctrlPr>
            </m:sSupPr>
            <m:e>
              <m:r>
                <w:rPr>
                  <w:rFonts w:ascii="Cambria Math" w:hAnsi="Cambria Math" w:cs="Arial"/>
                </w:rPr>
                <m:t>(</m:t>
              </m:r>
              <m:func>
                <m:funcPr>
                  <m:ctrlPr>
                    <w:rPr>
                      <w:rFonts w:ascii="Cambria Math" w:hAnsi="Cambria Math" w:cs="Arial"/>
                      <w:i/>
                      <w:sz w:val="24"/>
                      <w:szCs w:val="24"/>
                    </w:rPr>
                  </m:ctrlPr>
                </m:funcPr>
                <m:fName>
                  <m:sSub>
                    <m:sSubPr>
                      <m:ctrlPr>
                        <w:rPr>
                          <w:rFonts w:ascii="Cambria Math" w:hAnsi="Cambria Math" w:cs="Arial"/>
                          <w:i/>
                          <w:sz w:val="24"/>
                          <w:szCs w:val="24"/>
                        </w:rPr>
                      </m:ctrlPr>
                    </m:sSubPr>
                    <m:e>
                      <m:r>
                        <m:rPr>
                          <m:sty m:val="p"/>
                        </m:rPr>
                        <w:rPr>
                          <w:rFonts w:ascii="Cambria Math" w:hAnsi="Cambria Math" w:cs="Arial"/>
                        </w:rPr>
                        <m:t>log</m:t>
                      </m:r>
                    </m:e>
                    <m:sub>
                      <m:r>
                        <w:rPr>
                          <w:rFonts w:ascii="Cambria Math" w:hAnsi="Cambria Math" w:cs="Arial"/>
                        </w:rPr>
                        <m:t>2</m:t>
                      </m:r>
                    </m:sub>
                  </m:sSub>
                </m:fName>
                <m:e>
                  <m:r>
                    <w:rPr>
                      <w:rFonts w:ascii="Cambria Math" w:hAnsi="Cambria Math" w:cs="Arial"/>
                    </w:rPr>
                    <m:t>x)</m:t>
                  </m:r>
                </m:e>
              </m:func>
            </m:e>
            <m:sup>
              <m:r>
                <w:rPr>
                  <w:rFonts w:ascii="Cambria Math" w:hAnsi="Cambria Math" w:cs="Arial"/>
                </w:rPr>
                <m:t>2</m:t>
              </m:r>
            </m:sup>
          </m:sSup>
          <m:r>
            <w:rPr>
              <w:rFonts w:ascii="Cambria Math" w:hAnsi="Cambria Math" w:cs="Arial"/>
              <w:sz w:val="24"/>
              <w:szCs w:val="24"/>
            </w:rPr>
            <m:t>×</m:t>
          </m:r>
          <m:sSup>
            <m:sSupPr>
              <m:ctrlPr>
                <w:rPr>
                  <w:rFonts w:ascii="Cambria Math" w:hAnsi="Cambria Math" w:cs="Arial"/>
                  <w:i/>
                  <w:sz w:val="24"/>
                  <w:szCs w:val="24"/>
                </w:rPr>
              </m:ctrlPr>
            </m:sSupPr>
            <m:e>
              <m:r>
                <w:rPr>
                  <w:rFonts w:ascii="Cambria Math" w:hAnsi="Cambria Math" w:cs="Arial"/>
                  <w:sz w:val="24"/>
                  <w:szCs w:val="24"/>
                </w:rPr>
                <m:t>0.301</m:t>
              </m:r>
            </m:e>
            <m:sup>
              <m:r>
                <w:rPr>
                  <w:rFonts w:ascii="Cambria Math" w:hAnsi="Cambria Math" w:cs="Arial"/>
                  <w:sz w:val="24"/>
                  <w:szCs w:val="24"/>
                </w:rPr>
                <m:t>2</m:t>
              </m:r>
            </m:sup>
          </m:sSup>
        </m:oMath>
      </m:oMathPara>
    </w:p>
    <w:p w14:paraId="62191E68" w14:textId="77777777" w:rsidR="00BA5904" w:rsidRPr="00D44FC3" w:rsidRDefault="00BA5904" w:rsidP="00BA5904">
      <w:pPr>
        <w:spacing w:line="240" w:lineRule="auto"/>
        <w:jc w:val="center"/>
        <w:rPr>
          <w:rFonts w:ascii="Arial" w:hAnsi="Arial" w:cs="Arial"/>
        </w:rPr>
      </w:pPr>
      <m:oMathPara>
        <m:oMath>
          <m:r>
            <w:rPr>
              <w:rFonts w:ascii="Cambria Math" w:hAnsi="Cambria Math" w:cs="Arial"/>
            </w:rPr>
            <m:t>Variance in log10 scale = 0.01×0.09062=0.0009061 ≅ 0.001</m:t>
          </m:r>
        </m:oMath>
      </m:oMathPara>
    </w:p>
    <w:p w14:paraId="78B077A2" w14:textId="77777777" w:rsidR="00BA5904" w:rsidRPr="00D44FC3" w:rsidRDefault="00BA5904" w:rsidP="00BA5904">
      <w:pPr>
        <w:pStyle w:val="Heading3"/>
        <w:spacing w:line="240" w:lineRule="auto"/>
        <w:rPr>
          <w:rFonts w:ascii="Arial" w:hAnsi="Arial" w:cs="Arial"/>
          <w:b/>
          <w:bCs/>
          <w:color w:val="auto"/>
          <w:sz w:val="22"/>
          <w:szCs w:val="22"/>
        </w:rPr>
      </w:pPr>
      <w:bookmarkStart w:id="45" w:name="_Toc134091323"/>
      <w:bookmarkEnd w:id="33"/>
      <w:r w:rsidRPr="00D44FC3">
        <w:rPr>
          <w:rFonts w:ascii="Arial" w:hAnsi="Arial" w:cs="Arial"/>
          <w:b/>
          <w:bCs/>
          <w:color w:val="auto"/>
          <w:sz w:val="22"/>
          <w:szCs w:val="22"/>
        </w:rPr>
        <w:t>7 IQR-based outlier detection</w:t>
      </w:r>
      <w:bookmarkEnd w:id="45"/>
    </w:p>
    <w:p w14:paraId="24EA8BB9" w14:textId="77777777" w:rsidR="00BA5904" w:rsidRPr="00D44FC3" w:rsidRDefault="00BA5904" w:rsidP="00BA5904">
      <w:pPr>
        <w:spacing w:line="240" w:lineRule="auto"/>
        <w:rPr>
          <w:rFonts w:ascii="Arial" w:hAnsi="Arial" w:cs="Arial"/>
        </w:rPr>
      </w:pPr>
      <w:r w:rsidRPr="00D44FC3">
        <w:rPr>
          <w:rFonts w:ascii="Arial" w:hAnsi="Arial" w:cs="Arial"/>
        </w:rPr>
        <w:t>The next QC step included flagging outlier data points using an IQR-based approach and replacing those values with NA. Any values outside the 1.5 times the first and third quantiles were flagged as outlier data points. IQR-based outlier detection was applied to all metabolites, including Xenobiotics.</w:t>
      </w:r>
    </w:p>
    <w:p w14:paraId="54FEF413" w14:textId="77777777" w:rsidR="00BA5904" w:rsidRPr="00D44FC3" w:rsidRDefault="00BA5904" w:rsidP="00BA5904">
      <w:pPr>
        <w:pStyle w:val="Heading3"/>
        <w:spacing w:line="240" w:lineRule="auto"/>
        <w:rPr>
          <w:rFonts w:ascii="Arial" w:hAnsi="Arial" w:cs="Arial"/>
          <w:b/>
          <w:bCs/>
          <w:color w:val="auto"/>
          <w:sz w:val="22"/>
          <w:szCs w:val="22"/>
        </w:rPr>
      </w:pPr>
      <w:bookmarkStart w:id="46" w:name="_Toc134091324"/>
      <w:r w:rsidRPr="00D44FC3">
        <w:rPr>
          <w:rFonts w:ascii="Arial" w:hAnsi="Arial" w:cs="Arial"/>
          <w:b/>
          <w:bCs/>
          <w:color w:val="auto"/>
          <w:sz w:val="22"/>
          <w:szCs w:val="22"/>
        </w:rPr>
        <w:t>8 Metabolites with &lt;50 data points</w:t>
      </w:r>
      <w:bookmarkEnd w:id="46"/>
    </w:p>
    <w:p w14:paraId="53E65BC3" w14:textId="77777777" w:rsidR="00BA5904" w:rsidRPr="00D44FC3" w:rsidRDefault="00BA5904" w:rsidP="00BA5904">
      <w:pPr>
        <w:spacing w:line="240" w:lineRule="auto"/>
        <w:rPr>
          <w:rFonts w:ascii="Arial" w:eastAsiaTheme="minorHAnsi" w:hAnsi="Arial" w:cs="Arial"/>
          <w:lang w:eastAsia="en-US"/>
        </w:rPr>
      </w:pPr>
      <w:r w:rsidRPr="00D44FC3">
        <w:rPr>
          <w:rFonts w:ascii="Arial" w:hAnsi="Arial" w:cs="Arial"/>
        </w:rPr>
        <w:t xml:space="preserve">Following IQR-based outlier detection, any metabolite that had a reading for less than 50 samples was removed. These metabolites do not have enough statistical power to give meaningful results in downstream analysis and so need to be removed. </w:t>
      </w:r>
    </w:p>
    <w:p w14:paraId="475B2008" w14:textId="77777777" w:rsidR="00BA5904" w:rsidRPr="00D44FC3" w:rsidRDefault="00BA5904" w:rsidP="00BA5904">
      <w:pPr>
        <w:pStyle w:val="Heading3"/>
        <w:spacing w:line="240" w:lineRule="auto"/>
        <w:rPr>
          <w:rFonts w:ascii="Arial" w:hAnsi="Arial" w:cs="Arial"/>
          <w:b/>
          <w:bCs/>
          <w:color w:val="auto"/>
          <w:sz w:val="22"/>
          <w:szCs w:val="22"/>
        </w:rPr>
      </w:pPr>
      <w:bookmarkStart w:id="47" w:name="_Toc134091325"/>
      <w:r w:rsidRPr="00D44FC3">
        <w:rPr>
          <w:rFonts w:ascii="Arial" w:hAnsi="Arial" w:cs="Arial"/>
          <w:b/>
          <w:bCs/>
          <w:color w:val="auto"/>
          <w:sz w:val="22"/>
          <w:szCs w:val="22"/>
        </w:rPr>
        <w:t xml:space="preserve">9 Sample Outlier removal based on </w:t>
      </w:r>
      <w:proofErr w:type="gramStart"/>
      <w:r w:rsidRPr="00D44FC3">
        <w:rPr>
          <w:rFonts w:ascii="Arial" w:hAnsi="Arial" w:cs="Arial"/>
          <w:b/>
          <w:bCs/>
          <w:color w:val="auto"/>
          <w:sz w:val="22"/>
          <w:szCs w:val="22"/>
        </w:rPr>
        <w:t>PCA</w:t>
      </w:r>
      <w:bookmarkEnd w:id="47"/>
      <w:proofErr w:type="gramEnd"/>
    </w:p>
    <w:p w14:paraId="0DE8A4BB" w14:textId="77777777" w:rsidR="00BA5904" w:rsidRPr="00D44FC3" w:rsidRDefault="00BA5904" w:rsidP="00BA5904">
      <w:pPr>
        <w:spacing w:line="240" w:lineRule="auto"/>
        <w:rPr>
          <w:rFonts w:ascii="Arial" w:hAnsi="Arial" w:cs="Arial"/>
        </w:rPr>
      </w:pPr>
      <w:r w:rsidRPr="00D44FC3">
        <w:rPr>
          <w:rFonts w:ascii="Arial" w:hAnsi="Arial" w:cs="Arial"/>
        </w:rPr>
        <w:t xml:space="preserve">Subjects outside 5 standard deviations of PC1 and PC2 were flagged as outliers. 5SD cutoff was used to remain consistent with what was used for other metabolomics data. To calculate PCs, missing values were replaced with 0. This substitution was for PC calculation only.   </w:t>
      </w:r>
    </w:p>
    <w:p w14:paraId="31045AE6" w14:textId="77777777" w:rsidR="00BA5904" w:rsidRPr="00D44FC3" w:rsidRDefault="00BA5904" w:rsidP="00BA5904">
      <w:pPr>
        <w:spacing w:line="240" w:lineRule="auto"/>
        <w:rPr>
          <w:rFonts w:ascii="Arial" w:hAnsi="Arial" w:cs="Arial"/>
        </w:rPr>
      </w:pPr>
    </w:p>
    <w:p w14:paraId="0F1FEF8B" w14:textId="77777777" w:rsidR="00BA5904" w:rsidRPr="00D44FC3" w:rsidRDefault="00BA5904" w:rsidP="00BA5904">
      <w:pPr>
        <w:pStyle w:val="Heading3"/>
        <w:spacing w:line="240" w:lineRule="auto"/>
        <w:rPr>
          <w:rFonts w:ascii="Arial" w:hAnsi="Arial" w:cs="Arial"/>
          <w:b/>
          <w:bCs/>
          <w:color w:val="auto"/>
          <w:sz w:val="22"/>
          <w:szCs w:val="22"/>
        </w:rPr>
      </w:pPr>
      <w:bookmarkStart w:id="48" w:name="_Toc134091326"/>
      <w:r w:rsidRPr="00D44FC3">
        <w:rPr>
          <w:rFonts w:ascii="Arial" w:hAnsi="Arial" w:cs="Arial"/>
          <w:b/>
          <w:bCs/>
          <w:color w:val="auto"/>
          <w:sz w:val="22"/>
          <w:szCs w:val="22"/>
        </w:rPr>
        <w:t>10 Batch effects of metabolomics data</w:t>
      </w:r>
      <w:bookmarkEnd w:id="48"/>
    </w:p>
    <w:p w14:paraId="57354DA2" w14:textId="77777777" w:rsidR="00BA5904" w:rsidRPr="00D44FC3" w:rsidRDefault="00BA5904" w:rsidP="00BA5904">
      <w:pPr>
        <w:spacing w:line="240" w:lineRule="auto"/>
        <w:rPr>
          <w:rFonts w:ascii="Arial" w:hAnsi="Arial" w:cs="Arial"/>
          <w:bCs/>
          <w:iCs/>
        </w:rPr>
      </w:pPr>
      <w:r w:rsidRPr="00D44FC3">
        <w:rPr>
          <w:rFonts w:ascii="Arial" w:hAnsi="Arial" w:cs="Arial"/>
          <w:bCs/>
          <w:iCs/>
        </w:rPr>
        <w:t>Post QC, two different batches were identified. The batch effect was found to be by sample draw year such that samples drawn from 1998-2006 clustered together whereas those from other years were clustered into separate groups. But after adjusting the metabolite-PC1 and PC2, the batch effects can be corrected. Based on the model test, it was decided that PC1 and PC2 would be used as covariates in downstream analyses.</w:t>
      </w:r>
    </w:p>
    <w:p w14:paraId="32F02B26" w14:textId="77777777" w:rsidR="00BA5904" w:rsidRPr="00D44FC3" w:rsidRDefault="00BA5904" w:rsidP="00BA5904">
      <w:pPr>
        <w:pStyle w:val="Heading3"/>
        <w:spacing w:line="240" w:lineRule="auto"/>
        <w:rPr>
          <w:rFonts w:ascii="Arial" w:hAnsi="Arial" w:cs="Arial"/>
          <w:b/>
          <w:bCs/>
          <w:color w:val="auto"/>
          <w:sz w:val="22"/>
          <w:szCs w:val="22"/>
        </w:rPr>
      </w:pPr>
      <w:r w:rsidRPr="00D44FC3">
        <w:rPr>
          <w:rFonts w:ascii="Arial" w:hAnsi="Arial" w:cs="Arial"/>
          <w:b/>
          <w:bCs/>
          <w:color w:val="auto"/>
          <w:sz w:val="22"/>
          <w:szCs w:val="22"/>
        </w:rPr>
        <w:t xml:space="preserve">11 </w:t>
      </w:r>
      <w:bookmarkStart w:id="49" w:name="_Toc134091327"/>
      <w:r w:rsidRPr="00D44FC3">
        <w:rPr>
          <w:rFonts w:ascii="Arial" w:hAnsi="Arial" w:cs="Arial"/>
          <w:b/>
          <w:bCs/>
          <w:color w:val="auto"/>
          <w:sz w:val="22"/>
          <w:szCs w:val="22"/>
        </w:rPr>
        <w:t>Final Matrix and Back transformation of metabolite levels</w:t>
      </w:r>
      <w:bookmarkEnd w:id="49"/>
    </w:p>
    <w:p w14:paraId="780F6E7F" w14:textId="28EF9DE2" w:rsidR="007B6FA4" w:rsidRPr="00D44FC3" w:rsidRDefault="00BA5904" w:rsidP="004B3F00">
      <w:pPr>
        <w:spacing w:line="240" w:lineRule="auto"/>
        <w:rPr>
          <w:rFonts w:ascii="Arial" w:hAnsi="Arial" w:cs="Arial"/>
        </w:rPr>
      </w:pPr>
      <w:r w:rsidRPr="00D44FC3">
        <w:rPr>
          <w:rFonts w:ascii="Arial" w:hAnsi="Arial" w:cs="Arial"/>
        </w:rPr>
        <w:t xml:space="preserve">The log10 transformed metabolite levels [following minimum value imputation] were </w:t>
      </w:r>
      <w:proofErr w:type="gramStart"/>
      <w:r w:rsidRPr="00D44FC3">
        <w:rPr>
          <w:rFonts w:ascii="Arial" w:hAnsi="Arial" w:cs="Arial"/>
        </w:rPr>
        <w:t>back-transformed</w:t>
      </w:r>
      <w:proofErr w:type="gramEnd"/>
      <w:r w:rsidRPr="00D44FC3">
        <w:rPr>
          <w:rFonts w:ascii="Arial" w:hAnsi="Arial" w:cs="Arial"/>
        </w:rPr>
        <w:t xml:space="preserve"> to raw values at the end of QC. </w:t>
      </w:r>
    </w:p>
    <w:p w14:paraId="6D4D6E5E" w14:textId="4E78621D" w:rsidR="00E272B2" w:rsidRPr="00D44FC3" w:rsidRDefault="00E272B2" w:rsidP="00B54965">
      <w:pPr>
        <w:pStyle w:val="Heading2"/>
        <w:rPr>
          <w:rFonts w:ascii="Arial" w:hAnsi="Arial" w:cs="Arial"/>
          <w:b/>
          <w:bCs/>
          <w:color w:val="auto"/>
          <w:sz w:val="22"/>
          <w:szCs w:val="22"/>
        </w:rPr>
      </w:pPr>
      <w:bookmarkStart w:id="50" w:name="OLE_LINK356"/>
      <w:bookmarkStart w:id="51" w:name="OLE_LINK163"/>
      <w:bookmarkEnd w:id="1"/>
      <w:r w:rsidRPr="00D44FC3">
        <w:rPr>
          <w:rFonts w:ascii="Arial" w:hAnsi="Arial" w:cs="Arial"/>
          <w:b/>
          <w:bCs/>
          <w:color w:val="auto"/>
          <w:sz w:val="22"/>
          <w:szCs w:val="22"/>
        </w:rPr>
        <w:t>More details on</w:t>
      </w:r>
      <w:r w:rsidRPr="00D44FC3">
        <w:rPr>
          <w:rFonts w:ascii="Arial" w:hAnsi="Arial" w:cs="Arial"/>
          <w:color w:val="auto"/>
          <w:sz w:val="22"/>
          <w:szCs w:val="22"/>
        </w:rPr>
        <w:t xml:space="preserve"> </w:t>
      </w:r>
      <w:r w:rsidRPr="00D44FC3">
        <w:rPr>
          <w:rFonts w:ascii="Arial" w:hAnsi="Arial" w:cs="Arial"/>
          <w:b/>
          <w:bCs/>
          <w:color w:val="auto"/>
          <w:sz w:val="22"/>
          <w:szCs w:val="22"/>
        </w:rPr>
        <w:t>genotype data QC steps prior to imputation</w:t>
      </w:r>
    </w:p>
    <w:bookmarkEnd w:id="50"/>
    <w:p w14:paraId="19791686" w14:textId="77777777" w:rsidR="006F565E" w:rsidRPr="00D44FC3" w:rsidRDefault="006F565E" w:rsidP="006F565E">
      <w:pPr>
        <w:rPr>
          <w:rFonts w:ascii="Arial" w:hAnsi="Arial" w:cs="Arial"/>
        </w:rPr>
      </w:pPr>
      <w:r w:rsidRPr="00D44FC3">
        <w:rPr>
          <w:rFonts w:ascii="Arial" w:hAnsi="Arial" w:cs="Arial"/>
        </w:rPr>
        <w:t>These steps along with the downstream imputation were performed within each array-type.</w:t>
      </w:r>
    </w:p>
    <w:p w14:paraId="5561C747" w14:textId="77777777" w:rsidR="006F565E" w:rsidRPr="00D44FC3" w:rsidRDefault="006F565E" w:rsidP="006F565E">
      <w:pPr>
        <w:rPr>
          <w:rFonts w:ascii="Arial" w:hAnsi="Arial" w:cs="Arial"/>
        </w:rPr>
      </w:pPr>
      <w:r w:rsidRPr="00D44FC3">
        <w:rPr>
          <w:rFonts w:ascii="Arial" w:hAnsi="Arial" w:cs="Arial"/>
        </w:rPr>
        <w:t>Section01) Pre-QC:</w:t>
      </w:r>
    </w:p>
    <w:bookmarkEnd w:id="51"/>
    <w:p w14:paraId="284DCBE4" w14:textId="7BB19578" w:rsidR="006F565E" w:rsidRPr="00D44FC3" w:rsidRDefault="00C224A8" w:rsidP="00C224A8">
      <w:pPr>
        <w:rPr>
          <w:rFonts w:ascii="Arial" w:hAnsi="Arial" w:cs="Arial"/>
        </w:rPr>
      </w:pPr>
      <w:r w:rsidRPr="00D44FC3">
        <w:rPr>
          <w:rFonts w:ascii="Arial" w:hAnsi="Arial" w:cs="Arial"/>
        </w:rPr>
        <w:t>We used the s</w:t>
      </w:r>
      <w:r w:rsidR="006F565E" w:rsidRPr="00D44FC3">
        <w:rPr>
          <w:rFonts w:ascii="Arial" w:hAnsi="Arial" w:cs="Arial"/>
        </w:rPr>
        <w:t>tandard PLINK</w:t>
      </w:r>
      <w:r w:rsidRPr="00D44FC3">
        <w:rPr>
          <w:rFonts w:ascii="Arial" w:hAnsi="Arial" w:cs="Arial"/>
        </w:rPr>
        <w:t>-v1</w:t>
      </w:r>
      <w:r w:rsidR="006F565E" w:rsidRPr="00D44FC3">
        <w:rPr>
          <w:rFonts w:ascii="Arial" w:hAnsi="Arial" w:cs="Arial"/>
        </w:rPr>
        <w:t xml:space="preserve"> binary (BED/BIM/FAM) files are used as input</w:t>
      </w:r>
      <w:r w:rsidRPr="00D44FC3">
        <w:rPr>
          <w:rFonts w:ascii="Arial" w:hAnsi="Arial" w:cs="Arial"/>
        </w:rPr>
        <w:t xml:space="preserve">.  We performed some initial sample-level checks, e.g. sex code, sample ID duplications, etc.  We performed </w:t>
      </w:r>
      <w:r w:rsidRPr="00D44FC3">
        <w:rPr>
          <w:rFonts w:ascii="Arial" w:hAnsi="Arial" w:cs="Arial"/>
        </w:rPr>
        <w:lastRenderedPageBreak/>
        <w:t>variant-level check, e.g. variants with both alleles missing, chromosome/position missing, etc.  We retained the multiallelic variants.</w:t>
      </w:r>
    </w:p>
    <w:p w14:paraId="26774943" w14:textId="77777777" w:rsidR="006F565E" w:rsidRPr="00D44FC3" w:rsidRDefault="006F565E" w:rsidP="006F565E">
      <w:pPr>
        <w:rPr>
          <w:rFonts w:ascii="Arial" w:hAnsi="Arial" w:cs="Arial"/>
        </w:rPr>
      </w:pPr>
      <w:r w:rsidRPr="00D44FC3">
        <w:rPr>
          <w:rFonts w:ascii="Arial" w:hAnsi="Arial" w:cs="Arial"/>
        </w:rPr>
        <w:t>Section02) QC:</w:t>
      </w:r>
    </w:p>
    <w:p w14:paraId="315F2238" w14:textId="1B73517E" w:rsidR="006F565E" w:rsidRPr="00D44FC3" w:rsidRDefault="00C224A8" w:rsidP="00741B5F">
      <w:pPr>
        <w:rPr>
          <w:rFonts w:ascii="Arial" w:hAnsi="Arial" w:cs="Arial"/>
        </w:rPr>
      </w:pPr>
      <w:r w:rsidRPr="00D44FC3">
        <w:rPr>
          <w:rFonts w:ascii="Arial" w:hAnsi="Arial" w:cs="Arial"/>
        </w:rPr>
        <w:t xml:space="preserve">We used two different </w:t>
      </w:r>
      <w:r w:rsidR="00741B5F" w:rsidRPr="00D44FC3">
        <w:rPr>
          <w:rFonts w:ascii="Arial" w:hAnsi="Arial" w:cs="Arial"/>
        </w:rPr>
        <w:t>thresholds</w:t>
      </w:r>
      <w:r w:rsidRPr="00D44FC3">
        <w:rPr>
          <w:rFonts w:ascii="Arial" w:hAnsi="Arial" w:cs="Arial"/>
        </w:rPr>
        <w:t xml:space="preserve"> are used to filter the missingness of variant- and sample-level:  20% </w:t>
      </w:r>
      <w:r w:rsidR="00741B5F" w:rsidRPr="00D44FC3">
        <w:rPr>
          <w:rFonts w:ascii="Arial" w:hAnsi="Arial" w:cs="Arial"/>
        </w:rPr>
        <w:t xml:space="preserve">and </w:t>
      </w:r>
      <w:r w:rsidRPr="00D44FC3">
        <w:rPr>
          <w:rFonts w:ascii="Arial" w:hAnsi="Arial" w:cs="Arial"/>
        </w:rPr>
        <w:t>followed by &gt;2%</w:t>
      </w:r>
      <w:r w:rsidR="00741B5F" w:rsidRPr="00D44FC3">
        <w:rPr>
          <w:rFonts w:ascii="Arial" w:hAnsi="Arial" w:cs="Arial"/>
        </w:rPr>
        <w:t>.  We next performed the sex check using PLINK1.9 on X chromosome alone after pruning.  After removing the sex mismatch samples, we checked the Hardy-Weinberg Equilibrium (HWE) and filter out variants with a P-value &lt;10</w:t>
      </w:r>
      <w:r w:rsidR="00741B5F" w:rsidRPr="00D44FC3">
        <w:rPr>
          <w:rFonts w:ascii="Arial" w:hAnsi="Arial" w:cs="Arial"/>
          <w:vertAlign w:val="superscript"/>
        </w:rPr>
        <w:t xml:space="preserve">-6 </w:t>
      </w:r>
      <w:r w:rsidR="00741B5F" w:rsidRPr="00D44FC3">
        <w:rPr>
          <w:rFonts w:ascii="Arial" w:hAnsi="Arial" w:cs="Arial"/>
        </w:rPr>
        <w:t xml:space="preserve">using autosomal variants.  Finally, we </w:t>
      </w:r>
      <w:r w:rsidR="006F565E" w:rsidRPr="00D44FC3">
        <w:rPr>
          <w:rFonts w:ascii="Arial" w:hAnsi="Arial" w:cs="Arial"/>
        </w:rPr>
        <w:t>check</w:t>
      </w:r>
      <w:r w:rsidR="00741B5F" w:rsidRPr="00D44FC3">
        <w:rPr>
          <w:rFonts w:ascii="Arial" w:hAnsi="Arial" w:cs="Arial"/>
        </w:rPr>
        <w:t>ed</w:t>
      </w:r>
      <w:r w:rsidR="006F565E" w:rsidRPr="00D44FC3">
        <w:rPr>
          <w:rFonts w:ascii="Arial" w:hAnsi="Arial" w:cs="Arial"/>
        </w:rPr>
        <w:t xml:space="preserve"> for duplicate</w:t>
      </w:r>
      <w:r w:rsidR="00741B5F" w:rsidRPr="00D44FC3">
        <w:rPr>
          <w:rFonts w:ascii="Arial" w:hAnsi="Arial" w:cs="Arial"/>
        </w:rPr>
        <w:t>d</w:t>
      </w:r>
      <w:r w:rsidR="006F565E" w:rsidRPr="00D44FC3">
        <w:rPr>
          <w:rFonts w:ascii="Arial" w:hAnsi="Arial" w:cs="Arial"/>
        </w:rPr>
        <w:t xml:space="preserve"> variants by chr, pos, and alleles to take care of the same position warnings in the final merg</w:t>
      </w:r>
      <w:r w:rsidR="00995927" w:rsidRPr="00D44FC3">
        <w:rPr>
          <w:rFonts w:ascii="Arial" w:hAnsi="Arial" w:cs="Arial"/>
        </w:rPr>
        <w:t>ing</w:t>
      </w:r>
      <w:r w:rsidR="006F565E" w:rsidRPr="00D44FC3">
        <w:rPr>
          <w:rFonts w:ascii="Arial" w:hAnsi="Arial" w:cs="Arial"/>
        </w:rPr>
        <w:t xml:space="preserve"> step, </w:t>
      </w:r>
      <w:r w:rsidR="00995927" w:rsidRPr="00D44FC3">
        <w:rPr>
          <w:rFonts w:ascii="Arial" w:hAnsi="Arial" w:cs="Arial"/>
        </w:rPr>
        <w:t xml:space="preserve">and </w:t>
      </w:r>
      <w:r w:rsidR="006F565E" w:rsidRPr="00D44FC3">
        <w:rPr>
          <w:rFonts w:ascii="Arial" w:hAnsi="Arial" w:cs="Arial"/>
        </w:rPr>
        <w:t>filter</w:t>
      </w:r>
      <w:r w:rsidR="00995927" w:rsidRPr="00D44FC3">
        <w:rPr>
          <w:rFonts w:ascii="Arial" w:hAnsi="Arial" w:cs="Arial"/>
        </w:rPr>
        <w:t>ed</w:t>
      </w:r>
      <w:r w:rsidR="006F565E" w:rsidRPr="00D44FC3">
        <w:rPr>
          <w:rFonts w:ascii="Arial" w:hAnsi="Arial" w:cs="Arial"/>
        </w:rPr>
        <w:t xml:space="preserve"> variants as described in the Pre-QC</w:t>
      </w:r>
      <w:r w:rsidR="00995927" w:rsidRPr="00D44FC3">
        <w:rPr>
          <w:rFonts w:ascii="Arial" w:hAnsi="Arial" w:cs="Arial"/>
        </w:rPr>
        <w:t xml:space="preserve"> section</w:t>
      </w:r>
      <w:r w:rsidR="006F565E" w:rsidRPr="00D44FC3">
        <w:rPr>
          <w:rFonts w:ascii="Arial" w:hAnsi="Arial" w:cs="Arial"/>
        </w:rPr>
        <w:t>.</w:t>
      </w:r>
    </w:p>
    <w:p w14:paraId="29B09796" w14:textId="77777777" w:rsidR="006F565E" w:rsidRPr="00D44FC3" w:rsidRDefault="006F565E" w:rsidP="006F565E">
      <w:pPr>
        <w:rPr>
          <w:rFonts w:ascii="Arial" w:hAnsi="Arial" w:cs="Arial"/>
        </w:rPr>
      </w:pPr>
      <w:r w:rsidRPr="00D44FC3">
        <w:rPr>
          <w:rFonts w:ascii="Arial" w:hAnsi="Arial" w:cs="Arial"/>
        </w:rPr>
        <w:t xml:space="preserve">Section03) Pre-imputation: </w:t>
      </w:r>
    </w:p>
    <w:p w14:paraId="02AC7E65" w14:textId="35F55DDF" w:rsidR="00B54965" w:rsidRPr="00D44FC3" w:rsidRDefault="00995927" w:rsidP="00B54965">
      <w:pPr>
        <w:rPr>
          <w:rFonts w:ascii="Arial" w:hAnsi="Arial" w:cs="Arial"/>
        </w:rPr>
      </w:pPr>
      <w:r w:rsidRPr="00D44FC3">
        <w:rPr>
          <w:rFonts w:ascii="Arial" w:hAnsi="Arial" w:cs="Arial"/>
        </w:rPr>
        <w:t xml:space="preserve">We first performed </w:t>
      </w:r>
      <w:proofErr w:type="spellStart"/>
      <w:r w:rsidRPr="00D44FC3">
        <w:rPr>
          <w:rFonts w:ascii="Arial" w:hAnsi="Arial" w:cs="Arial"/>
        </w:rPr>
        <w:t>liftover</w:t>
      </w:r>
      <w:proofErr w:type="spellEnd"/>
      <w:r w:rsidRPr="00D44FC3">
        <w:rPr>
          <w:rFonts w:ascii="Arial" w:hAnsi="Arial" w:cs="Arial"/>
        </w:rPr>
        <w:t xml:space="preserve"> on t</w:t>
      </w:r>
      <w:r w:rsidR="006F565E" w:rsidRPr="00D44FC3">
        <w:rPr>
          <w:rFonts w:ascii="Arial" w:hAnsi="Arial" w:cs="Arial"/>
        </w:rPr>
        <w:t xml:space="preserve">he variants to </w:t>
      </w:r>
      <w:bookmarkStart w:id="52" w:name="OLE_LINK99"/>
      <w:r w:rsidR="009C19AB" w:rsidRPr="00D44FC3">
        <w:rPr>
          <w:rFonts w:ascii="Arial" w:hAnsi="Arial" w:cs="Arial"/>
        </w:rPr>
        <w:t xml:space="preserve">hg38 </w:t>
      </w:r>
      <w:bookmarkEnd w:id="52"/>
      <w:r w:rsidR="00A87BF9" w:rsidRPr="00D44FC3">
        <w:rPr>
          <w:rFonts w:ascii="Arial" w:hAnsi="Arial" w:cs="Arial"/>
        </w:rPr>
        <w:t xml:space="preserve">genome </w:t>
      </w:r>
      <w:r w:rsidR="006F565E" w:rsidRPr="00D44FC3">
        <w:rPr>
          <w:rFonts w:ascii="Arial" w:hAnsi="Arial" w:cs="Arial"/>
        </w:rPr>
        <w:t xml:space="preserve">build, </w:t>
      </w:r>
      <w:r w:rsidRPr="00D44FC3">
        <w:rPr>
          <w:rFonts w:ascii="Arial" w:hAnsi="Arial" w:cs="Arial"/>
        </w:rPr>
        <w:t xml:space="preserve">NOTE: </w:t>
      </w:r>
      <w:r w:rsidR="006F565E" w:rsidRPr="00D44FC3">
        <w:rPr>
          <w:rFonts w:ascii="Arial" w:hAnsi="Arial" w:cs="Arial"/>
        </w:rPr>
        <w:t xml:space="preserve">no need of this step if the data is on the </w:t>
      </w:r>
      <w:r w:rsidR="009C19AB" w:rsidRPr="00D44FC3">
        <w:rPr>
          <w:rFonts w:ascii="Arial" w:hAnsi="Arial" w:cs="Arial"/>
        </w:rPr>
        <w:t xml:space="preserve">hg38 </w:t>
      </w:r>
      <w:r w:rsidR="006F565E" w:rsidRPr="00D44FC3">
        <w:rPr>
          <w:rFonts w:ascii="Arial" w:hAnsi="Arial" w:cs="Arial"/>
        </w:rPr>
        <w:t>build.</w:t>
      </w:r>
      <w:r w:rsidRPr="00D44FC3">
        <w:rPr>
          <w:rFonts w:ascii="Arial" w:hAnsi="Arial" w:cs="Arial"/>
        </w:rPr>
        <w:t xml:space="preserve">  We next f</w:t>
      </w:r>
      <w:r w:rsidR="006F565E" w:rsidRPr="00D44FC3">
        <w:rPr>
          <w:rFonts w:ascii="Arial" w:hAnsi="Arial" w:cs="Arial"/>
        </w:rPr>
        <w:t>ilter</w:t>
      </w:r>
      <w:r w:rsidRPr="00D44FC3">
        <w:rPr>
          <w:rFonts w:ascii="Arial" w:hAnsi="Arial" w:cs="Arial"/>
        </w:rPr>
        <w:t>ed</w:t>
      </w:r>
      <w:r w:rsidR="006F565E" w:rsidRPr="00D44FC3">
        <w:rPr>
          <w:rFonts w:ascii="Arial" w:hAnsi="Arial" w:cs="Arial"/>
        </w:rPr>
        <w:t xml:space="preserve"> mitochondrial variants and all Indels</w:t>
      </w:r>
      <w:r w:rsidRPr="00D44FC3">
        <w:rPr>
          <w:rFonts w:ascii="Arial" w:hAnsi="Arial" w:cs="Arial"/>
        </w:rPr>
        <w:t>, u</w:t>
      </w:r>
      <w:r w:rsidR="006F565E" w:rsidRPr="00D44FC3">
        <w:rPr>
          <w:rFonts w:ascii="Arial" w:hAnsi="Arial" w:cs="Arial"/>
        </w:rPr>
        <w:t>pdate</w:t>
      </w:r>
      <w:r w:rsidRPr="00D44FC3">
        <w:rPr>
          <w:rFonts w:ascii="Arial" w:hAnsi="Arial" w:cs="Arial"/>
        </w:rPr>
        <w:t>d</w:t>
      </w:r>
      <w:r w:rsidR="006F565E" w:rsidRPr="00D44FC3">
        <w:rPr>
          <w:rFonts w:ascii="Arial" w:hAnsi="Arial" w:cs="Arial"/>
        </w:rPr>
        <w:t xml:space="preserve"> the variants strand, position, and reference allele assignment</w:t>
      </w:r>
      <w:r w:rsidRPr="00D44FC3">
        <w:rPr>
          <w:rFonts w:ascii="Arial" w:hAnsi="Arial" w:cs="Arial"/>
        </w:rPr>
        <w:t>, and changed</w:t>
      </w:r>
      <w:r w:rsidR="006F565E" w:rsidRPr="00D44FC3">
        <w:rPr>
          <w:rFonts w:ascii="Arial" w:hAnsi="Arial" w:cs="Arial"/>
        </w:rPr>
        <w:t xml:space="preserve"> the variant name</w:t>
      </w:r>
      <w:r w:rsidRPr="00D44FC3">
        <w:rPr>
          <w:rFonts w:ascii="Arial" w:hAnsi="Arial" w:cs="Arial"/>
        </w:rPr>
        <w:t>s</w:t>
      </w:r>
      <w:r w:rsidR="006F565E" w:rsidRPr="00D44FC3">
        <w:rPr>
          <w:rFonts w:ascii="Arial" w:hAnsi="Arial" w:cs="Arial"/>
        </w:rPr>
        <w:t xml:space="preserve"> to a standard format </w:t>
      </w:r>
      <w:r w:rsidRPr="00D44FC3">
        <w:rPr>
          <w:rFonts w:ascii="Arial" w:hAnsi="Arial" w:cs="Arial"/>
        </w:rPr>
        <w:t>as “</w:t>
      </w:r>
      <w:proofErr w:type="spellStart"/>
      <w:proofErr w:type="gramStart"/>
      <w:r w:rsidR="006F565E" w:rsidRPr="00D44FC3">
        <w:rPr>
          <w:rFonts w:ascii="Arial" w:hAnsi="Arial" w:cs="Arial"/>
        </w:rPr>
        <w:t>chr:pos</w:t>
      </w:r>
      <w:proofErr w:type="gramEnd"/>
      <w:r w:rsidR="006F565E" w:rsidRPr="00D44FC3">
        <w:rPr>
          <w:rFonts w:ascii="Arial" w:hAnsi="Arial" w:cs="Arial"/>
        </w:rPr>
        <w:t>:</w:t>
      </w:r>
      <w:r w:rsidR="00AF487B" w:rsidRPr="00D44FC3">
        <w:rPr>
          <w:rFonts w:ascii="Arial" w:hAnsi="Arial" w:cs="Arial"/>
        </w:rPr>
        <w:t>R</w:t>
      </w:r>
      <w:r w:rsidR="006F565E" w:rsidRPr="00D44FC3">
        <w:rPr>
          <w:rFonts w:ascii="Arial" w:hAnsi="Arial" w:cs="Arial"/>
        </w:rPr>
        <w:t>ef:</w:t>
      </w:r>
      <w:r w:rsidR="00AF487B" w:rsidRPr="00D44FC3">
        <w:rPr>
          <w:rFonts w:ascii="Arial" w:hAnsi="Arial" w:cs="Arial"/>
        </w:rPr>
        <w:t>A</w:t>
      </w:r>
      <w:r w:rsidR="006F565E" w:rsidRPr="00D44FC3">
        <w:rPr>
          <w:rFonts w:ascii="Arial" w:hAnsi="Arial" w:cs="Arial"/>
        </w:rPr>
        <w:t>lt</w:t>
      </w:r>
      <w:proofErr w:type="spellEnd"/>
      <w:r w:rsidRPr="00D44FC3">
        <w:rPr>
          <w:rFonts w:ascii="Arial" w:hAnsi="Arial" w:cs="Arial"/>
        </w:rPr>
        <w:t>”</w:t>
      </w:r>
      <w:r w:rsidR="006F565E" w:rsidRPr="00D44FC3">
        <w:rPr>
          <w:rFonts w:ascii="Arial" w:hAnsi="Arial" w:cs="Arial"/>
        </w:rPr>
        <w:t>.</w:t>
      </w:r>
      <w:r w:rsidRPr="00D44FC3">
        <w:rPr>
          <w:rFonts w:ascii="Arial" w:hAnsi="Arial" w:cs="Arial"/>
        </w:rPr>
        <w:t xml:space="preserve">  </w:t>
      </w:r>
      <w:r w:rsidR="006F565E" w:rsidRPr="00D44FC3">
        <w:rPr>
          <w:rFonts w:ascii="Arial" w:hAnsi="Arial" w:cs="Arial"/>
        </w:rPr>
        <w:t>Finally</w:t>
      </w:r>
      <w:r w:rsidRPr="00D44FC3">
        <w:rPr>
          <w:rFonts w:ascii="Arial" w:hAnsi="Arial" w:cs="Arial"/>
        </w:rPr>
        <w:t>, we</w:t>
      </w:r>
      <w:r w:rsidR="006F565E" w:rsidRPr="00D44FC3">
        <w:rPr>
          <w:rFonts w:ascii="Arial" w:hAnsi="Arial" w:cs="Arial"/>
        </w:rPr>
        <w:t xml:space="preserve"> split the file into separate chromosomes and sort based on the variant positions</w:t>
      </w:r>
      <w:r w:rsidRPr="00D44FC3">
        <w:rPr>
          <w:rFonts w:ascii="Arial" w:hAnsi="Arial" w:cs="Arial"/>
        </w:rPr>
        <w:t>, and o</w:t>
      </w:r>
      <w:r w:rsidR="006F565E" w:rsidRPr="00D44FC3">
        <w:rPr>
          <w:rFonts w:ascii="Arial" w:hAnsi="Arial" w:cs="Arial"/>
        </w:rPr>
        <w:t xml:space="preserve">nly </w:t>
      </w:r>
      <w:r w:rsidRPr="00D44FC3">
        <w:rPr>
          <w:rFonts w:ascii="Arial" w:hAnsi="Arial" w:cs="Arial"/>
        </w:rPr>
        <w:t xml:space="preserve">uploaded the </w:t>
      </w:r>
      <w:r w:rsidR="006F565E" w:rsidRPr="00D44FC3">
        <w:rPr>
          <w:rFonts w:ascii="Arial" w:hAnsi="Arial" w:cs="Arial"/>
        </w:rPr>
        <w:t xml:space="preserve">autosomal chromosomes to the </w:t>
      </w:r>
      <w:proofErr w:type="spellStart"/>
      <w:r w:rsidR="006F565E" w:rsidRPr="00D44FC3">
        <w:rPr>
          <w:rFonts w:ascii="Arial" w:hAnsi="Arial" w:cs="Arial"/>
        </w:rPr>
        <w:t>TOPMed</w:t>
      </w:r>
      <w:proofErr w:type="spellEnd"/>
      <w:r w:rsidR="006F565E" w:rsidRPr="00D44FC3">
        <w:rPr>
          <w:rFonts w:ascii="Arial" w:hAnsi="Arial" w:cs="Arial"/>
        </w:rPr>
        <w:t xml:space="preserve"> server for imputation.</w:t>
      </w:r>
    </w:p>
    <w:p w14:paraId="15477CE9" w14:textId="402CCF2E" w:rsidR="00B54965" w:rsidRPr="00D44FC3" w:rsidRDefault="00B54965" w:rsidP="00B54965">
      <w:pPr>
        <w:pStyle w:val="Heading2"/>
        <w:rPr>
          <w:rFonts w:ascii="Arial" w:hAnsi="Arial" w:cs="Arial"/>
          <w:b/>
          <w:bCs/>
          <w:color w:val="auto"/>
          <w:sz w:val="22"/>
          <w:szCs w:val="22"/>
        </w:rPr>
      </w:pPr>
      <w:bookmarkStart w:id="53" w:name="OLE_LINK362"/>
      <w:bookmarkStart w:id="54" w:name="OLE_LINK164"/>
      <w:r w:rsidRPr="00D44FC3">
        <w:rPr>
          <w:rFonts w:ascii="Arial" w:hAnsi="Arial" w:cs="Arial"/>
          <w:b/>
          <w:bCs/>
          <w:color w:val="auto"/>
          <w:sz w:val="22"/>
          <w:szCs w:val="22"/>
        </w:rPr>
        <w:t>More details o</w:t>
      </w:r>
      <w:r w:rsidR="00C7418D" w:rsidRPr="00D44FC3">
        <w:rPr>
          <w:rFonts w:ascii="Arial" w:hAnsi="Arial" w:cs="Arial"/>
          <w:b/>
          <w:bCs/>
          <w:color w:val="auto"/>
          <w:sz w:val="22"/>
          <w:szCs w:val="22"/>
        </w:rPr>
        <w:t>n merging differently genotyped cohort subsets</w:t>
      </w:r>
    </w:p>
    <w:p w14:paraId="0D9CBE1C" w14:textId="61A74727" w:rsidR="00783B7A" w:rsidRPr="00D44FC3" w:rsidRDefault="00AF487B" w:rsidP="00D94532">
      <w:pPr>
        <w:rPr>
          <w:rFonts w:ascii="Arial" w:hAnsi="Arial" w:cs="Arial"/>
        </w:rPr>
      </w:pPr>
      <w:bookmarkStart w:id="55" w:name="OLE_LINK358"/>
      <w:bookmarkEnd w:id="53"/>
      <w:r w:rsidRPr="00D44FC3">
        <w:rPr>
          <w:rFonts w:ascii="Arial" w:hAnsi="Arial" w:cs="Arial"/>
        </w:rPr>
        <w:t>To merge a</w:t>
      </w:r>
      <w:r w:rsidR="00B54965" w:rsidRPr="00D44FC3">
        <w:rPr>
          <w:rFonts w:ascii="Arial" w:hAnsi="Arial" w:cs="Arial"/>
        </w:rPr>
        <w:t>ll the individual datasets after QC</w:t>
      </w:r>
      <w:r w:rsidRPr="00D44FC3">
        <w:rPr>
          <w:rFonts w:ascii="Arial" w:hAnsi="Arial" w:cs="Arial"/>
        </w:rPr>
        <w:t xml:space="preserve">, </w:t>
      </w:r>
      <w:r w:rsidR="00B54965" w:rsidRPr="00D44FC3">
        <w:rPr>
          <w:rFonts w:ascii="Arial" w:hAnsi="Arial" w:cs="Arial"/>
        </w:rPr>
        <w:t>we first check</w:t>
      </w:r>
      <w:r w:rsidRPr="00D44FC3">
        <w:rPr>
          <w:rFonts w:ascii="Arial" w:hAnsi="Arial" w:cs="Arial"/>
        </w:rPr>
        <w:t>ed</w:t>
      </w:r>
      <w:r w:rsidR="00B54965" w:rsidRPr="00D44FC3">
        <w:rPr>
          <w:rFonts w:ascii="Arial" w:hAnsi="Arial" w:cs="Arial"/>
        </w:rPr>
        <w:t xml:space="preserve"> for the allele discrepancy in variant name</w:t>
      </w:r>
      <w:r w:rsidRPr="00D44FC3">
        <w:rPr>
          <w:rFonts w:ascii="Arial" w:hAnsi="Arial" w:cs="Arial"/>
        </w:rPr>
        <w:t>.  We m</w:t>
      </w:r>
      <w:r w:rsidR="00B54965" w:rsidRPr="00D44FC3">
        <w:rPr>
          <w:rFonts w:ascii="Arial" w:hAnsi="Arial" w:cs="Arial"/>
        </w:rPr>
        <w:t>erge</w:t>
      </w:r>
      <w:r w:rsidRPr="00D44FC3">
        <w:rPr>
          <w:rFonts w:ascii="Arial" w:hAnsi="Arial" w:cs="Arial"/>
        </w:rPr>
        <w:t>d</w:t>
      </w:r>
      <w:r w:rsidR="00B54965" w:rsidRPr="00D44FC3">
        <w:rPr>
          <w:rFonts w:ascii="Arial" w:hAnsi="Arial" w:cs="Arial"/>
        </w:rPr>
        <w:t xml:space="preserve"> new datasets one by one and create and new data merged file this will be later combined with the old data freeze. </w:t>
      </w:r>
      <w:r w:rsidRPr="00D44FC3">
        <w:rPr>
          <w:rFonts w:ascii="Arial" w:hAnsi="Arial" w:cs="Arial"/>
        </w:rPr>
        <w:t xml:space="preserve"> </w:t>
      </w:r>
      <w:bookmarkEnd w:id="54"/>
      <w:r w:rsidRPr="00D44FC3">
        <w:rPr>
          <w:rFonts w:ascii="Arial" w:hAnsi="Arial" w:cs="Arial"/>
        </w:rPr>
        <w:t xml:space="preserve">We next checked the merged file </w:t>
      </w:r>
      <w:r w:rsidR="00B54965" w:rsidRPr="00D44FC3">
        <w:rPr>
          <w:rFonts w:ascii="Arial" w:hAnsi="Arial" w:cs="Arial"/>
        </w:rPr>
        <w:t xml:space="preserve">for allele discrepancy in variant name, the quality of the data after each merge </w:t>
      </w:r>
      <w:r w:rsidRPr="00D44FC3">
        <w:rPr>
          <w:rFonts w:ascii="Arial" w:hAnsi="Arial" w:cs="Arial"/>
        </w:rPr>
        <w:t xml:space="preserve">with </w:t>
      </w:r>
      <w:r w:rsidR="00B54965" w:rsidRPr="00D44FC3">
        <w:rPr>
          <w:rFonts w:ascii="Arial" w:hAnsi="Arial" w:cs="Arial"/>
        </w:rPr>
        <w:t xml:space="preserve">multiple </w:t>
      </w:r>
      <w:proofErr w:type="spellStart"/>
      <w:r w:rsidR="00B54965" w:rsidRPr="00D44FC3">
        <w:rPr>
          <w:rFonts w:ascii="Arial" w:hAnsi="Arial" w:cs="Arial"/>
        </w:rPr>
        <w:t>geno</w:t>
      </w:r>
      <w:proofErr w:type="spellEnd"/>
      <w:r w:rsidR="00B54965" w:rsidRPr="00D44FC3">
        <w:rPr>
          <w:rFonts w:ascii="Arial" w:hAnsi="Arial" w:cs="Arial"/>
        </w:rPr>
        <w:t xml:space="preserve"> and </w:t>
      </w:r>
      <w:proofErr w:type="spellStart"/>
      <w:r w:rsidR="00B54965" w:rsidRPr="00D44FC3">
        <w:rPr>
          <w:rFonts w:ascii="Arial" w:hAnsi="Arial" w:cs="Arial"/>
        </w:rPr>
        <w:t>maf</w:t>
      </w:r>
      <w:proofErr w:type="spellEnd"/>
      <w:r w:rsidR="00B54965" w:rsidRPr="00D44FC3">
        <w:rPr>
          <w:rFonts w:ascii="Arial" w:hAnsi="Arial" w:cs="Arial"/>
        </w:rPr>
        <w:t xml:space="preserve"> filters </w:t>
      </w:r>
      <w:r w:rsidRPr="00D44FC3">
        <w:rPr>
          <w:rFonts w:ascii="Arial" w:hAnsi="Arial" w:cs="Arial"/>
        </w:rPr>
        <w:t xml:space="preserve">ranging from 0.01, 0.02, 0.05 to 0.1.  This can evaluate </w:t>
      </w:r>
      <w:r w:rsidR="00B54965" w:rsidRPr="00D44FC3">
        <w:rPr>
          <w:rFonts w:ascii="Arial" w:hAnsi="Arial" w:cs="Arial"/>
        </w:rPr>
        <w:t xml:space="preserve">how many variants passed QC after all these filters and whether they </w:t>
      </w:r>
      <w:r w:rsidRPr="00D44FC3">
        <w:rPr>
          <w:rFonts w:ascii="Arial" w:hAnsi="Arial" w:cs="Arial"/>
        </w:rPr>
        <w:t>were</w:t>
      </w:r>
      <w:r w:rsidR="00B54965" w:rsidRPr="00D44FC3">
        <w:rPr>
          <w:rFonts w:ascii="Arial" w:hAnsi="Arial" w:cs="Arial"/>
        </w:rPr>
        <w:t xml:space="preserve"> in the range of common variants or not.</w:t>
      </w:r>
      <w:r w:rsidR="00D615E7" w:rsidRPr="00D44FC3">
        <w:rPr>
          <w:rFonts w:ascii="Arial" w:hAnsi="Arial" w:cs="Arial"/>
        </w:rPr>
        <w:t xml:space="preserve">  We d</w:t>
      </w:r>
      <w:r w:rsidR="00B54965" w:rsidRPr="00D44FC3">
        <w:rPr>
          <w:rFonts w:ascii="Arial" w:hAnsi="Arial" w:cs="Arial"/>
        </w:rPr>
        <w:t>ouble check</w:t>
      </w:r>
      <w:r w:rsidR="00D615E7" w:rsidRPr="00D44FC3">
        <w:rPr>
          <w:rFonts w:ascii="Arial" w:hAnsi="Arial" w:cs="Arial"/>
        </w:rPr>
        <w:t>ed</w:t>
      </w:r>
      <w:r w:rsidR="00B54965" w:rsidRPr="00D44FC3">
        <w:rPr>
          <w:rFonts w:ascii="Arial" w:hAnsi="Arial" w:cs="Arial"/>
        </w:rPr>
        <w:t xml:space="preserve"> for the presence of duplicate variants with </w:t>
      </w:r>
      <w:r w:rsidR="00D615E7" w:rsidRPr="00D44FC3">
        <w:rPr>
          <w:rFonts w:ascii="Arial" w:hAnsi="Arial" w:cs="Arial"/>
        </w:rPr>
        <w:t>PLINK1.9</w:t>
      </w:r>
      <w:r w:rsidR="00B54965" w:rsidRPr="00D44FC3">
        <w:rPr>
          <w:rFonts w:ascii="Arial" w:hAnsi="Arial" w:cs="Arial"/>
        </w:rPr>
        <w:t xml:space="preserve"> –list-dup-var.</w:t>
      </w:r>
      <w:r w:rsidR="00D94532" w:rsidRPr="00D44FC3">
        <w:rPr>
          <w:rFonts w:ascii="Arial" w:hAnsi="Arial" w:cs="Arial"/>
        </w:rPr>
        <w:t xml:space="preserve">  In the final merged genotype data, t</w:t>
      </w:r>
      <w:r w:rsidR="00B54965" w:rsidRPr="00D44FC3">
        <w:rPr>
          <w:rFonts w:ascii="Arial" w:hAnsi="Arial" w:cs="Arial"/>
        </w:rPr>
        <w:t>he Ref allele is assigned to A2</w:t>
      </w:r>
      <w:r w:rsidR="00D94532" w:rsidRPr="00D44FC3">
        <w:rPr>
          <w:rFonts w:ascii="Arial" w:hAnsi="Arial" w:cs="Arial"/>
        </w:rPr>
        <w:t>.</w:t>
      </w:r>
    </w:p>
    <w:p w14:paraId="5F1A7EA2" w14:textId="390E5570" w:rsidR="00DA7EF5" w:rsidRDefault="00DA7EF5" w:rsidP="00DA7EF5">
      <w:pPr>
        <w:pStyle w:val="Heading2"/>
        <w:rPr>
          <w:rFonts w:ascii="Arial" w:hAnsi="Arial" w:cs="Arial"/>
          <w:b/>
          <w:bCs/>
          <w:color w:val="auto"/>
          <w:sz w:val="22"/>
          <w:szCs w:val="22"/>
        </w:rPr>
      </w:pPr>
      <w:bookmarkStart w:id="56" w:name="OLE_LINK384"/>
      <w:r>
        <w:rPr>
          <w:rFonts w:ascii="Arial" w:hAnsi="Arial" w:cs="Arial"/>
          <w:b/>
          <w:bCs/>
          <w:color w:val="auto"/>
          <w:sz w:val="22"/>
          <w:szCs w:val="22"/>
        </w:rPr>
        <w:t>V</w:t>
      </w:r>
      <w:r w:rsidRPr="00DA7EF5">
        <w:rPr>
          <w:rFonts w:ascii="Arial" w:hAnsi="Arial" w:cs="Arial"/>
          <w:b/>
          <w:bCs/>
          <w:color w:val="auto"/>
          <w:sz w:val="22"/>
          <w:szCs w:val="22"/>
        </w:rPr>
        <w:t>alidat</w:t>
      </w:r>
      <w:r>
        <w:rPr>
          <w:rFonts w:ascii="Arial" w:hAnsi="Arial" w:cs="Arial"/>
          <w:b/>
          <w:bCs/>
          <w:color w:val="auto"/>
          <w:sz w:val="22"/>
          <w:szCs w:val="22"/>
        </w:rPr>
        <w:t>ions of</w:t>
      </w:r>
      <w:r w:rsidRPr="00DA7EF5">
        <w:rPr>
          <w:rFonts w:ascii="Arial" w:hAnsi="Arial" w:cs="Arial"/>
          <w:b/>
          <w:bCs/>
          <w:color w:val="auto"/>
          <w:sz w:val="22"/>
          <w:szCs w:val="22"/>
        </w:rPr>
        <w:t xml:space="preserve"> our PWAS findings</w:t>
      </w:r>
      <w:r w:rsidRPr="00DA7EF5">
        <w:rPr>
          <w:rFonts w:ascii="Arial" w:hAnsi="Arial" w:cs="Arial"/>
          <w:b/>
          <w:bCs/>
          <w:color w:val="auto"/>
          <w:sz w:val="22"/>
          <w:szCs w:val="22"/>
        </w:rPr>
        <w:t xml:space="preserve"> </w:t>
      </w:r>
    </w:p>
    <w:p w14:paraId="13C4BC0C" w14:textId="586CA143" w:rsidR="00DA7EF5" w:rsidRDefault="00DA7EF5" w:rsidP="00DA7EF5">
      <w:pPr>
        <w:spacing w:after="0" w:line="240" w:lineRule="auto"/>
        <w:rPr>
          <w:rFonts w:ascii="Times New Roman" w:hAnsi="Times New Roman" w:cs="Times New Roman"/>
          <w:sz w:val="24"/>
          <w:szCs w:val="24"/>
        </w:rPr>
      </w:pPr>
      <w:bookmarkStart w:id="57" w:name="OLE_LINK379"/>
      <w:r>
        <w:rPr>
          <w:rFonts w:ascii="Arial" w:hAnsi="Arial" w:cs="Arial"/>
          <w:color w:val="000000" w:themeColor="text1"/>
        </w:rPr>
        <w:t>T</w:t>
      </w:r>
      <w:r>
        <w:rPr>
          <w:rFonts w:ascii="Arial" w:hAnsi="Arial" w:cs="Arial"/>
          <w:color w:val="000000" w:themeColor="text1"/>
        </w:rPr>
        <w:t>o validate our PWAS findings</w:t>
      </w:r>
      <w:bookmarkEnd w:id="57"/>
      <w:r>
        <w:rPr>
          <w:rFonts w:ascii="Arial" w:hAnsi="Arial" w:cs="Arial"/>
          <w:color w:val="000000" w:themeColor="text1"/>
        </w:rPr>
        <w:t xml:space="preserve">, </w:t>
      </w:r>
      <w:bookmarkEnd w:id="56"/>
      <w:r>
        <w:rPr>
          <w:rFonts w:ascii="Arial" w:hAnsi="Arial" w:cs="Arial"/>
          <w:color w:val="000000" w:themeColor="text1"/>
        </w:rPr>
        <w:t xml:space="preserve">we referred to other studies that directly measured protein levels in individuals with and without T2D. Out of the 74 proteins identified from EUR PWAS analysis, 50 were also examined in two external studies.  Of those, 18 proteins were reported to have significantly different levels between T2D cases and controls, including </w:t>
      </w:r>
      <w:proofErr w:type="spellStart"/>
      <w:r>
        <w:rPr>
          <w:rFonts w:ascii="Arial" w:hAnsi="Arial" w:cs="Arial"/>
          <w:color w:val="000000" w:themeColor="text1"/>
        </w:rPr>
        <w:t>ApoM</w:t>
      </w:r>
      <w:proofErr w:type="spellEnd"/>
      <w:r>
        <w:rPr>
          <w:rFonts w:ascii="Arial" w:hAnsi="Arial" w:cs="Arial"/>
          <w:color w:val="000000" w:themeColor="text1"/>
        </w:rPr>
        <w:t xml:space="preserve">, TBCA, FAM3D, and </w:t>
      </w:r>
      <w:proofErr w:type="spellStart"/>
      <w:r>
        <w:rPr>
          <w:rFonts w:ascii="Arial" w:hAnsi="Arial" w:cs="Arial"/>
          <w:color w:val="000000" w:themeColor="text1"/>
        </w:rPr>
        <w:t>sE</w:t>
      </w:r>
      <w:proofErr w:type="spellEnd"/>
      <w:r>
        <w:rPr>
          <w:rFonts w:ascii="Arial" w:hAnsi="Arial" w:cs="Arial"/>
          <w:color w:val="000000" w:themeColor="text1"/>
        </w:rPr>
        <w:t>-Selectin. Among the eight proteins per AFR PWAS results, four were tested in the study by Gudmundsdottir et al</w:t>
      </w:r>
      <w:r>
        <w:rPr>
          <w:rFonts w:ascii="Arial" w:hAnsi="Arial" w:cs="Arial"/>
          <w:color w:val="000000" w:themeColor="text1"/>
        </w:rPr>
        <w:fldChar w:fldCharType="begin"/>
      </w:r>
      <w:r w:rsidR="00214F56">
        <w:rPr>
          <w:rFonts w:ascii="Arial" w:hAnsi="Arial" w:cs="Arial"/>
          <w:color w:val="000000" w:themeColor="text1"/>
        </w:rPr>
        <w:instrText xml:space="preserve"> ADDIN ZOTERO_ITEM CSL_CITATION {"citationID":"A2iL8gis","properties":{"formattedCitation":"\\super 2\\nosupersub{}","plainCitation":"2","noteIndex":0},"citationItems":[{"id":6385,"uris":["http://zotero.org/users/2526195/items/CVJ54NIG","http://zotero.org/users/2526195/items/B692RTSP"],"itemData":{"id":6385,"type":"article-journal","abstract":"The increasing prevalence of type 2 diabetes poses a major challenge to societies worldwide. Blood-based factors like serum proteins are in contact with every organ in the body to mediate global homeostasis and may thus directly regulate complex processes such as aging and the development of common chronic diseases. We applied a data-driven proteomics approach, measuring serum levels of 4,137 proteins in 5,438 elderly Icelanders, and identified 536 proteins associated with prevalent and/or incident type 2 diabetes. We validated a subset of the observed associations in an independent case-control study of type 2 diabetes. These protein associations provide novel biological insights into the molecular mechanisms that are dysregulated prior to and following the onset of type 2 diabetes and can be detected in serum. A bidirectional two-sample Mendelian randomization analysis indicated that serum changes of at least 23 proteins are downstream of the disease or its genetic liability, while 15 proteins were supported as having a causal role in type 2 diabetes.","container-title":"Diabetes","DOI":"10.2337/db19-1070","ISSN":"0012-1797","issue":"8","journalAbbreviation":"Diabetes","page":"1843-1853","source":"Silverchair","title":"Circulating Protein Signatures and Causal Candidates for Type 2 Diabetes","volume":"69","author":[{"family":"Gudmundsdottir","given":"Valborg"},{"family":"Zaghlool","given":"Shaza B."},{"family":"Emilsson","given":"Valur"},{"family":"Aspelund","given":"Thor"},{"family":"Ilkov","given":"Marjan"},{"family":"Gudmundsson","given":"Elias F."},{"family":"Jonsson","given":"Stefan M."},{"family":"Zilhão","given":"Nuno R."},{"family":"Lamb","given":"John R."},{"family":"Suhre","given":"Karsten"},{"family":"Jennings","given":"Lori L."},{"family":"Gudnason","given":"Vilmundur"}],"issued":{"date-parts":[["2020",5,8]]}}}],"schema":"https://github.com/citation-style-language/schema/raw/master/csl-citation.json"} </w:instrText>
      </w:r>
      <w:r>
        <w:rPr>
          <w:rFonts w:ascii="Arial" w:hAnsi="Arial" w:cs="Arial"/>
          <w:color w:val="000000" w:themeColor="text1"/>
        </w:rPr>
        <w:fldChar w:fldCharType="separate"/>
      </w:r>
      <w:r w:rsidR="00214F56" w:rsidRPr="00214F56">
        <w:rPr>
          <w:rFonts w:ascii="Arial" w:hAnsi="Arial" w:cs="Arial"/>
          <w:szCs w:val="24"/>
          <w:vertAlign w:val="superscript"/>
        </w:rPr>
        <w:t>2</w:t>
      </w:r>
      <w:r>
        <w:rPr>
          <w:rFonts w:ascii="Arial" w:hAnsi="Arial" w:cs="Arial"/>
          <w:color w:val="000000" w:themeColor="text1"/>
        </w:rPr>
        <w:fldChar w:fldCharType="end"/>
      </w:r>
      <w:r>
        <w:rPr>
          <w:rFonts w:ascii="Arial" w:hAnsi="Arial" w:cs="Arial"/>
          <w:color w:val="000000" w:themeColor="text1"/>
        </w:rPr>
        <w:t>., and only FAM3D was reported to have differential expression in T2D.</w:t>
      </w:r>
      <w:r>
        <w:rPr>
          <w:rFonts w:ascii="Times New Roman" w:hAnsi="Times New Roman" w:cs="Times New Roman"/>
          <w:sz w:val="24"/>
          <w:szCs w:val="24"/>
        </w:rPr>
        <w:t xml:space="preserve"> </w:t>
      </w:r>
    </w:p>
    <w:p w14:paraId="12989183" w14:textId="7D6EE0A9" w:rsidR="0015236A" w:rsidRPr="00DA7EF5" w:rsidRDefault="0015236A" w:rsidP="00DA7EF5">
      <w:pPr>
        <w:rPr>
          <w:rFonts w:ascii="Arial" w:hAnsi="Arial" w:cs="Arial"/>
        </w:rPr>
      </w:pPr>
    </w:p>
    <w:bookmarkEnd w:id="55"/>
    <w:p w14:paraId="3A2EA5BD" w14:textId="78B73EB8" w:rsidR="00214F56" w:rsidRDefault="00214F56" w:rsidP="00214F56">
      <w:pPr>
        <w:pStyle w:val="Heading2"/>
        <w:rPr>
          <w:rFonts w:ascii="Arial" w:hAnsi="Arial" w:cs="Arial"/>
          <w:b/>
          <w:bCs/>
          <w:color w:val="auto"/>
          <w:sz w:val="22"/>
          <w:szCs w:val="22"/>
        </w:rPr>
      </w:pPr>
      <w:r>
        <w:rPr>
          <w:rFonts w:ascii="Arial" w:hAnsi="Arial" w:cs="Arial"/>
          <w:b/>
          <w:bCs/>
          <w:color w:val="auto"/>
          <w:sz w:val="22"/>
          <w:szCs w:val="22"/>
        </w:rPr>
        <w:t>References</w:t>
      </w:r>
    </w:p>
    <w:p w14:paraId="658EC790" w14:textId="77777777" w:rsidR="00214F56" w:rsidRPr="00214F56" w:rsidRDefault="00214F56" w:rsidP="00214F56"/>
    <w:p w14:paraId="0E4F6A96" w14:textId="6F9ED11C" w:rsidR="0022052D" w:rsidRPr="00D44FC3" w:rsidRDefault="00214F56" w:rsidP="00214F56">
      <w:pPr>
        <w:rPr>
          <w:rFonts w:ascii="Arial" w:eastAsiaTheme="majorEastAsia" w:hAnsi="Arial" w:cs="Arial"/>
        </w:rPr>
      </w:pPr>
      <w:r w:rsidRPr="00214F56">
        <w:rPr>
          <w:rFonts w:ascii="Arial" w:hAnsi="Arial" w:cs="Arial"/>
        </w:rPr>
        <w:drawing>
          <wp:inline distT="0" distB="0" distL="0" distR="0" wp14:anchorId="3AC9091F" wp14:editId="7C254FE2">
            <wp:extent cx="5943600" cy="683895"/>
            <wp:effectExtent l="0" t="0" r="0" b="1905"/>
            <wp:docPr id="9150916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91606" name=""/>
                    <pic:cNvPicPr/>
                  </pic:nvPicPr>
                  <pic:blipFill>
                    <a:blip r:embed="rId5"/>
                    <a:stretch>
                      <a:fillRect/>
                    </a:stretch>
                  </pic:blipFill>
                  <pic:spPr>
                    <a:xfrm>
                      <a:off x="0" y="0"/>
                      <a:ext cx="5943600" cy="683895"/>
                    </a:xfrm>
                    <a:prstGeom prst="rect">
                      <a:avLst/>
                    </a:prstGeom>
                  </pic:spPr>
                </pic:pic>
              </a:graphicData>
            </a:graphic>
          </wp:inline>
        </w:drawing>
      </w:r>
      <w:r w:rsidR="0022052D" w:rsidRPr="00D44FC3">
        <w:rPr>
          <w:rFonts w:ascii="Arial" w:hAnsi="Arial" w:cs="Arial"/>
        </w:rPr>
        <w:br w:type="page"/>
      </w:r>
    </w:p>
    <w:p w14:paraId="4AE7AB91" w14:textId="77777777" w:rsidR="00D92778" w:rsidRPr="00D44FC3" w:rsidRDefault="005D0F26" w:rsidP="0022052D">
      <w:pPr>
        <w:pStyle w:val="Heading1"/>
        <w:rPr>
          <w:rFonts w:ascii="Arial" w:hAnsi="Arial" w:cs="Arial"/>
          <w:b/>
          <w:bCs/>
          <w:color w:val="auto"/>
          <w:sz w:val="24"/>
          <w:szCs w:val="24"/>
        </w:rPr>
      </w:pPr>
      <w:r w:rsidRPr="00D44FC3">
        <w:rPr>
          <w:rFonts w:ascii="Arial" w:hAnsi="Arial" w:cs="Arial"/>
          <w:b/>
          <w:bCs/>
          <w:color w:val="auto"/>
          <w:sz w:val="24"/>
          <w:szCs w:val="24"/>
        </w:rPr>
        <w:lastRenderedPageBreak/>
        <w:t>Supplementary Figures</w:t>
      </w:r>
    </w:p>
    <w:p w14:paraId="3F424677" w14:textId="65DFB628" w:rsidR="00D92778" w:rsidRPr="00D44FC3" w:rsidRDefault="00F353E9" w:rsidP="00D92778">
      <w:pPr>
        <w:rPr>
          <w:rFonts w:ascii="Arial" w:hAnsi="Arial" w:cs="Arial"/>
        </w:rPr>
      </w:pPr>
      <w:r w:rsidRPr="00D44FC3">
        <w:rPr>
          <w:rFonts w:ascii="Arial" w:hAnsi="Arial" w:cs="Arial"/>
          <w:noProof/>
        </w:rPr>
        <w:drawing>
          <wp:inline distT="0" distB="0" distL="0" distR="0" wp14:anchorId="525C146A" wp14:editId="22DA063A">
            <wp:extent cx="5943600" cy="5718175"/>
            <wp:effectExtent l="0" t="0" r="0" b="0"/>
            <wp:docPr id="84576198"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6198" name="Picture 1" descr="A collage of graphs&#10;&#10;Description automatically generated"/>
                    <pic:cNvPicPr/>
                  </pic:nvPicPr>
                  <pic:blipFill>
                    <a:blip r:embed="rId6"/>
                    <a:stretch>
                      <a:fillRect/>
                    </a:stretch>
                  </pic:blipFill>
                  <pic:spPr>
                    <a:xfrm>
                      <a:off x="0" y="0"/>
                      <a:ext cx="5943600" cy="5718175"/>
                    </a:xfrm>
                    <a:prstGeom prst="rect">
                      <a:avLst/>
                    </a:prstGeom>
                  </pic:spPr>
                </pic:pic>
              </a:graphicData>
            </a:graphic>
          </wp:inline>
        </w:drawing>
      </w:r>
    </w:p>
    <w:p w14:paraId="1F614CD0" w14:textId="2E28DB9D" w:rsidR="00842382" w:rsidRPr="00D44FC3" w:rsidRDefault="00D92778" w:rsidP="00842382">
      <w:pPr>
        <w:pStyle w:val="Heading2"/>
        <w:rPr>
          <w:rFonts w:ascii="Arial" w:hAnsi="Arial" w:cs="Arial"/>
          <w:b/>
          <w:bCs/>
          <w:color w:val="auto"/>
          <w:sz w:val="22"/>
          <w:szCs w:val="22"/>
        </w:rPr>
      </w:pPr>
      <w:bookmarkStart w:id="58" w:name="OLE_LINK365"/>
      <w:r w:rsidRPr="00D44FC3">
        <w:rPr>
          <w:rFonts w:ascii="Arial" w:hAnsi="Arial" w:cs="Arial"/>
          <w:b/>
          <w:bCs/>
          <w:color w:val="auto"/>
          <w:sz w:val="22"/>
          <w:szCs w:val="22"/>
        </w:rPr>
        <w:t xml:space="preserve">Figure S1 </w:t>
      </w:r>
      <w:bookmarkStart w:id="59" w:name="OLE_LINK361"/>
      <w:r w:rsidR="00F353E9" w:rsidRPr="00D44FC3">
        <w:rPr>
          <w:rFonts w:ascii="Arial" w:hAnsi="Arial" w:cs="Arial"/>
          <w:b/>
          <w:bCs/>
          <w:color w:val="auto"/>
          <w:sz w:val="22"/>
          <w:szCs w:val="22"/>
        </w:rPr>
        <w:t>Investigations of multiple</w:t>
      </w:r>
      <w:r w:rsidRPr="00D44FC3">
        <w:rPr>
          <w:rFonts w:ascii="Arial" w:hAnsi="Arial" w:cs="Arial"/>
          <w:b/>
          <w:bCs/>
          <w:color w:val="auto"/>
          <w:sz w:val="22"/>
          <w:szCs w:val="22"/>
        </w:rPr>
        <w:t xml:space="preserve"> proteomics QC steps</w:t>
      </w:r>
      <w:bookmarkEnd w:id="59"/>
      <w:r w:rsidRPr="00D44FC3">
        <w:rPr>
          <w:rFonts w:ascii="Arial" w:hAnsi="Arial" w:cs="Arial"/>
          <w:b/>
          <w:bCs/>
          <w:color w:val="auto"/>
          <w:sz w:val="22"/>
          <w:szCs w:val="22"/>
        </w:rPr>
        <w:t xml:space="preserve">. </w:t>
      </w:r>
    </w:p>
    <w:p w14:paraId="6C962276" w14:textId="76387F55" w:rsidR="00D92778" w:rsidRPr="00D44FC3" w:rsidRDefault="00F353E9" w:rsidP="00D92778">
      <w:pPr>
        <w:spacing w:line="240" w:lineRule="auto"/>
        <w:rPr>
          <w:rFonts w:ascii="Arial" w:hAnsi="Arial" w:cs="Arial"/>
        </w:rPr>
      </w:pPr>
      <w:r w:rsidRPr="00D44FC3">
        <w:rPr>
          <w:rFonts w:ascii="Arial" w:hAnsi="Arial" w:cs="Arial"/>
        </w:rPr>
        <w:t xml:space="preserve">Histograms of call rate distribution on different proteomics QC steps: </w:t>
      </w:r>
      <w:r w:rsidR="00D92778" w:rsidRPr="00D44FC3">
        <w:rPr>
          <w:rFonts w:ascii="Arial" w:hAnsi="Arial" w:cs="Arial"/>
        </w:rPr>
        <w:t xml:space="preserve">A) </w:t>
      </w:r>
      <w:bookmarkStart w:id="60" w:name="OLE_LINK3"/>
      <w:r w:rsidR="00D92778" w:rsidRPr="00D44FC3">
        <w:rPr>
          <w:rFonts w:ascii="Arial" w:hAnsi="Arial" w:cs="Arial"/>
        </w:rPr>
        <w:t xml:space="preserve">65% call rate </w:t>
      </w:r>
      <w:bookmarkStart w:id="61" w:name="OLE_LINK5"/>
      <w:r w:rsidR="00D92778" w:rsidRPr="00D44FC3">
        <w:rPr>
          <w:rFonts w:ascii="Arial" w:hAnsi="Arial" w:cs="Arial"/>
        </w:rPr>
        <w:t xml:space="preserve">(red vertical line) </w:t>
      </w:r>
      <w:bookmarkEnd w:id="61"/>
      <w:r w:rsidR="00D92778" w:rsidRPr="00D44FC3">
        <w:rPr>
          <w:rFonts w:ascii="Arial" w:hAnsi="Arial" w:cs="Arial"/>
        </w:rPr>
        <w:t>by protein</w:t>
      </w:r>
      <w:bookmarkEnd w:id="60"/>
      <w:r w:rsidR="00D92778" w:rsidRPr="00D44FC3">
        <w:rPr>
          <w:rFonts w:ascii="Arial" w:hAnsi="Arial" w:cs="Arial"/>
        </w:rPr>
        <w:t xml:space="preserve">s, B) </w:t>
      </w:r>
      <w:bookmarkStart w:id="62" w:name="OLE_LINK4"/>
      <w:r w:rsidR="00D92778" w:rsidRPr="00D44FC3">
        <w:rPr>
          <w:rFonts w:ascii="Arial" w:hAnsi="Arial" w:cs="Arial"/>
        </w:rPr>
        <w:t>65% call rate (red vertical line) by participants</w:t>
      </w:r>
      <w:bookmarkEnd w:id="62"/>
      <w:r w:rsidR="00D92778" w:rsidRPr="00D44FC3">
        <w:rPr>
          <w:rFonts w:ascii="Arial" w:hAnsi="Arial" w:cs="Arial"/>
        </w:rPr>
        <w:t xml:space="preserve">, C) 85% call rate (red vertical line) by proteins, and D) 85% call rate (red vertical line) by participants. </w:t>
      </w:r>
      <w:r w:rsidRPr="00D44FC3">
        <w:rPr>
          <w:rFonts w:ascii="Arial" w:hAnsi="Arial" w:cs="Arial"/>
        </w:rPr>
        <w:t xml:space="preserve">scatterplots of </w:t>
      </w:r>
      <w:bookmarkStart w:id="63" w:name="OLE_LINK367"/>
      <w:r w:rsidRPr="00D44FC3">
        <w:rPr>
          <w:rFonts w:ascii="Arial" w:hAnsi="Arial" w:cs="Arial"/>
        </w:rPr>
        <w:t xml:space="preserve">proteomic PC1 and PC2 </w:t>
      </w:r>
      <w:bookmarkEnd w:id="63"/>
      <w:r w:rsidRPr="00D44FC3">
        <w:rPr>
          <w:rFonts w:ascii="Arial" w:hAnsi="Arial" w:cs="Arial"/>
        </w:rPr>
        <w:t>before (E) and after (F) adjusting proteomic PC1 and PC2. The color coded was by “sample draw year” such that samples drawn from 1998-2006 clustered together in red, whereas those from other years were clustered in blue.</w:t>
      </w:r>
    </w:p>
    <w:bookmarkEnd w:id="58"/>
    <w:p w14:paraId="56B503E6" w14:textId="77777777" w:rsidR="00D92778" w:rsidRPr="00D44FC3" w:rsidRDefault="00D92778" w:rsidP="00D92778">
      <w:pPr>
        <w:rPr>
          <w:rFonts w:ascii="Arial" w:hAnsi="Arial" w:cs="Arial"/>
        </w:rPr>
      </w:pPr>
      <w:r w:rsidRPr="00D44FC3">
        <w:rPr>
          <w:rFonts w:ascii="Arial" w:hAnsi="Arial" w:cs="Arial"/>
        </w:rPr>
        <w:br w:type="page"/>
      </w:r>
    </w:p>
    <w:p w14:paraId="79637248" w14:textId="0DB15355" w:rsidR="00D92778" w:rsidRPr="00D44FC3" w:rsidRDefault="00D92778" w:rsidP="00D92778">
      <w:pPr>
        <w:rPr>
          <w:rFonts w:ascii="Arial" w:hAnsi="Arial" w:cs="Arial"/>
        </w:rPr>
      </w:pPr>
      <w:r w:rsidRPr="00D44FC3">
        <w:rPr>
          <w:rFonts w:ascii="Arial" w:hAnsi="Arial" w:cs="Arial"/>
          <w:noProof/>
        </w:rPr>
        <w:lastRenderedPageBreak/>
        <w:drawing>
          <wp:inline distT="0" distB="0" distL="0" distR="0" wp14:anchorId="66D694CE" wp14:editId="2BEEE272">
            <wp:extent cx="5943600" cy="6552565"/>
            <wp:effectExtent l="0" t="0" r="0" b="635"/>
            <wp:docPr id="980589696"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89696" name="Picture 1" descr="A screenshot of a computer screen&#10;&#10;Description automatically generated"/>
                    <pic:cNvPicPr/>
                  </pic:nvPicPr>
                  <pic:blipFill>
                    <a:blip r:embed="rId7"/>
                    <a:stretch>
                      <a:fillRect/>
                    </a:stretch>
                  </pic:blipFill>
                  <pic:spPr>
                    <a:xfrm>
                      <a:off x="0" y="0"/>
                      <a:ext cx="5943600" cy="6552565"/>
                    </a:xfrm>
                    <a:prstGeom prst="rect">
                      <a:avLst/>
                    </a:prstGeom>
                  </pic:spPr>
                </pic:pic>
              </a:graphicData>
            </a:graphic>
          </wp:inline>
        </w:drawing>
      </w:r>
    </w:p>
    <w:p w14:paraId="251C6163" w14:textId="77777777" w:rsidR="00842382" w:rsidRPr="00D44FC3" w:rsidRDefault="00D92778" w:rsidP="00842382">
      <w:pPr>
        <w:pStyle w:val="Heading2"/>
        <w:rPr>
          <w:rFonts w:ascii="Arial" w:hAnsi="Arial" w:cs="Arial"/>
          <w:b/>
          <w:bCs/>
          <w:color w:val="auto"/>
          <w:sz w:val="22"/>
          <w:szCs w:val="22"/>
        </w:rPr>
      </w:pPr>
      <w:r w:rsidRPr="00D44FC3">
        <w:rPr>
          <w:rFonts w:ascii="Arial" w:hAnsi="Arial" w:cs="Arial"/>
          <w:b/>
          <w:bCs/>
          <w:color w:val="auto"/>
          <w:sz w:val="22"/>
          <w:szCs w:val="22"/>
        </w:rPr>
        <w:t xml:space="preserve">Figure S2 Definition of the AFR and EUR genetic ancestry in this study per genotype PCA. </w:t>
      </w:r>
    </w:p>
    <w:p w14:paraId="29137229" w14:textId="7470C401" w:rsidR="0022052D" w:rsidRPr="00D44FC3" w:rsidRDefault="00D92778" w:rsidP="00D92778">
      <w:pPr>
        <w:spacing w:line="240" w:lineRule="auto"/>
        <w:rPr>
          <w:rFonts w:ascii="Arial" w:hAnsi="Arial" w:cs="Arial"/>
          <w:b/>
          <w:bCs/>
        </w:rPr>
      </w:pPr>
      <w:r w:rsidRPr="00D44FC3">
        <w:rPr>
          <w:rFonts w:ascii="Arial" w:hAnsi="Arial" w:cs="Arial"/>
        </w:rPr>
        <w:t xml:space="preserve">A) </w:t>
      </w:r>
      <w:bookmarkStart w:id="64" w:name="OLE_LINK368"/>
      <w:r w:rsidRPr="00D44FC3">
        <w:rPr>
          <w:rFonts w:ascii="Arial" w:hAnsi="Arial" w:cs="Arial"/>
        </w:rPr>
        <w:t xml:space="preserve">AFR participants were defined </w:t>
      </w:r>
      <w:bookmarkStart w:id="65" w:name="OLE_LINK370"/>
      <w:r w:rsidRPr="00D44FC3">
        <w:rPr>
          <w:rFonts w:ascii="Arial" w:hAnsi="Arial" w:cs="Arial"/>
        </w:rPr>
        <w:t>within the black window defined per mean +/- 3 times of the standard deviation of PC1 and PC2.</w:t>
      </w:r>
      <w:bookmarkEnd w:id="65"/>
      <w:r w:rsidRPr="00D44FC3">
        <w:rPr>
          <w:rFonts w:ascii="Arial" w:hAnsi="Arial" w:cs="Arial"/>
        </w:rPr>
        <w:t xml:space="preserve"> (our samples were coded as the black points; AFR samples from 1000 Genome Project were cyan); </w:t>
      </w:r>
      <w:bookmarkEnd w:id="64"/>
      <w:r w:rsidRPr="00D44FC3">
        <w:rPr>
          <w:rFonts w:ascii="Arial" w:hAnsi="Arial" w:cs="Arial"/>
        </w:rPr>
        <w:t xml:space="preserve">B) EUR participants were defined within the black window defined per mean +/- 3 times of the standard deviation of PC1 and PC2. (our samples were coded as the black points; EUR samples from 1000 Genome Project were gold); C) </w:t>
      </w:r>
      <w:bookmarkStart w:id="66" w:name="OLE_LINK369"/>
      <w:r w:rsidRPr="00D44FC3">
        <w:rPr>
          <w:rFonts w:ascii="Arial" w:hAnsi="Arial" w:cs="Arial"/>
        </w:rPr>
        <w:t>Summary of the participants numbers defined as AFR used in downstream multi-</w:t>
      </w:r>
      <w:proofErr w:type="spellStart"/>
      <w:r w:rsidRPr="00D44FC3">
        <w:rPr>
          <w:rFonts w:ascii="Arial" w:hAnsi="Arial" w:cs="Arial"/>
        </w:rPr>
        <w:t>omic</w:t>
      </w:r>
      <w:proofErr w:type="spellEnd"/>
      <w:r w:rsidRPr="00D44FC3">
        <w:rPr>
          <w:rFonts w:ascii="Arial" w:hAnsi="Arial" w:cs="Arial"/>
        </w:rPr>
        <w:t xml:space="preserve"> </w:t>
      </w:r>
      <w:r w:rsidRPr="00D44FC3">
        <w:rPr>
          <w:rFonts w:ascii="Arial" w:hAnsi="Arial" w:cs="Arial"/>
        </w:rPr>
        <w:lastRenderedPageBreak/>
        <w:t>integration</w:t>
      </w:r>
      <w:bookmarkEnd w:id="66"/>
      <w:r w:rsidRPr="00D44FC3">
        <w:rPr>
          <w:rFonts w:ascii="Arial" w:hAnsi="Arial" w:cs="Arial"/>
        </w:rPr>
        <w:t>; and D) Summary of the participants numbers defined as EUR used in downstream multi-</w:t>
      </w:r>
      <w:proofErr w:type="spellStart"/>
      <w:r w:rsidRPr="00D44FC3">
        <w:rPr>
          <w:rFonts w:ascii="Arial" w:hAnsi="Arial" w:cs="Arial"/>
        </w:rPr>
        <w:t>omic</w:t>
      </w:r>
      <w:proofErr w:type="spellEnd"/>
      <w:r w:rsidRPr="00D44FC3">
        <w:rPr>
          <w:rFonts w:ascii="Arial" w:hAnsi="Arial" w:cs="Arial"/>
        </w:rPr>
        <w:t xml:space="preserve"> integration.</w:t>
      </w:r>
    </w:p>
    <w:p w14:paraId="6910BB1B" w14:textId="77777777" w:rsidR="00D92778" w:rsidRPr="00D44FC3" w:rsidRDefault="00D92778">
      <w:pPr>
        <w:rPr>
          <w:rFonts w:ascii="Arial" w:hAnsi="Arial" w:cs="Arial"/>
          <w:noProof/>
        </w:rPr>
      </w:pPr>
      <w:r w:rsidRPr="00D44FC3">
        <w:rPr>
          <w:rFonts w:ascii="Arial" w:hAnsi="Arial" w:cs="Arial"/>
          <w:noProof/>
        </w:rPr>
        <w:br w:type="page"/>
      </w:r>
    </w:p>
    <w:p w14:paraId="1EB798CC" w14:textId="457AF757" w:rsidR="00783B7A" w:rsidRPr="00D44FC3" w:rsidRDefault="001D2786">
      <w:pPr>
        <w:rPr>
          <w:rFonts w:ascii="Arial" w:hAnsi="Arial" w:cs="Arial"/>
        </w:rPr>
      </w:pPr>
      <w:r w:rsidRPr="00D44FC3">
        <w:rPr>
          <w:rFonts w:ascii="Arial" w:hAnsi="Arial" w:cs="Arial"/>
          <w:noProof/>
        </w:rPr>
        <w:lastRenderedPageBreak/>
        <w:drawing>
          <wp:inline distT="0" distB="0" distL="0" distR="0" wp14:anchorId="196F905C" wp14:editId="26565E66">
            <wp:extent cx="5943600" cy="4575175"/>
            <wp:effectExtent l="0" t="0" r="0" b="0"/>
            <wp:docPr id="111194382" name="Picture 1" descr="A diagram of different colored circles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4382" name="Picture 1" descr="A diagram of different colored circles and a graph&#10;&#10;Description automatically generated with medium confidence"/>
                    <pic:cNvPicPr/>
                  </pic:nvPicPr>
                  <pic:blipFill>
                    <a:blip r:embed="rId8"/>
                    <a:stretch>
                      <a:fillRect/>
                    </a:stretch>
                  </pic:blipFill>
                  <pic:spPr>
                    <a:xfrm>
                      <a:off x="0" y="0"/>
                      <a:ext cx="5943600" cy="4575175"/>
                    </a:xfrm>
                    <a:prstGeom prst="rect">
                      <a:avLst/>
                    </a:prstGeom>
                  </pic:spPr>
                </pic:pic>
              </a:graphicData>
            </a:graphic>
          </wp:inline>
        </w:drawing>
      </w:r>
    </w:p>
    <w:p w14:paraId="1BAEE12F" w14:textId="4AAAB57C" w:rsidR="006737CC" w:rsidRPr="00D44FC3" w:rsidRDefault="002C2FF0" w:rsidP="00842382">
      <w:pPr>
        <w:pStyle w:val="Heading2"/>
        <w:rPr>
          <w:rFonts w:ascii="Arial" w:hAnsi="Arial" w:cs="Arial"/>
          <w:color w:val="auto"/>
          <w:sz w:val="22"/>
          <w:szCs w:val="22"/>
        </w:rPr>
      </w:pPr>
      <w:bookmarkStart w:id="67" w:name="OLE_LINK91"/>
      <w:r w:rsidRPr="00D44FC3">
        <w:rPr>
          <w:rFonts w:ascii="Arial" w:hAnsi="Arial" w:cs="Arial"/>
          <w:b/>
          <w:bCs/>
          <w:color w:val="auto"/>
          <w:sz w:val="22"/>
          <w:szCs w:val="22"/>
        </w:rPr>
        <w:t>Figure S</w:t>
      </w:r>
      <w:r w:rsidR="00D92778" w:rsidRPr="00D44FC3">
        <w:rPr>
          <w:rFonts w:ascii="Arial" w:hAnsi="Arial" w:cs="Arial"/>
          <w:b/>
          <w:bCs/>
          <w:color w:val="auto"/>
          <w:sz w:val="22"/>
          <w:szCs w:val="22"/>
        </w:rPr>
        <w:t>3</w:t>
      </w:r>
      <w:r w:rsidR="0022052D" w:rsidRPr="00D44FC3">
        <w:rPr>
          <w:rFonts w:ascii="Arial" w:hAnsi="Arial" w:cs="Arial"/>
          <w:b/>
          <w:bCs/>
          <w:color w:val="auto"/>
          <w:sz w:val="22"/>
          <w:szCs w:val="22"/>
        </w:rPr>
        <w:t xml:space="preserve"> Sample size and demographics of the participants of the plasma proteome and metabolome in participants of African and European ancestry. </w:t>
      </w:r>
      <w:r w:rsidR="0022052D" w:rsidRPr="00D44FC3">
        <w:rPr>
          <w:rFonts w:ascii="Arial" w:hAnsi="Arial" w:cs="Arial"/>
          <w:color w:val="auto"/>
          <w:sz w:val="22"/>
          <w:szCs w:val="22"/>
        </w:rPr>
        <w:t xml:space="preserve"> </w:t>
      </w:r>
      <w:bookmarkStart w:id="68" w:name="OLE_LINK149"/>
    </w:p>
    <w:p w14:paraId="650E54EA" w14:textId="0CFE87DD" w:rsidR="0022052D" w:rsidRPr="00D44FC3" w:rsidRDefault="002C2FF0" w:rsidP="0022052D">
      <w:pPr>
        <w:spacing w:line="240" w:lineRule="auto"/>
        <w:rPr>
          <w:rFonts w:ascii="Arial" w:hAnsi="Arial" w:cs="Arial"/>
          <w:b/>
          <w:bCs/>
        </w:rPr>
      </w:pPr>
      <w:r w:rsidRPr="00D44FC3">
        <w:rPr>
          <w:rFonts w:ascii="Arial" w:hAnsi="Arial" w:cs="Arial"/>
        </w:rPr>
        <w:t>A</w:t>
      </w:r>
      <w:r w:rsidR="0022052D" w:rsidRPr="00D44FC3">
        <w:rPr>
          <w:rFonts w:ascii="Arial" w:hAnsi="Arial" w:cs="Arial"/>
        </w:rPr>
        <w:t xml:space="preserve">) Bar plot </w:t>
      </w:r>
      <w:bookmarkEnd w:id="68"/>
      <w:r w:rsidR="0022052D" w:rsidRPr="00D44FC3">
        <w:rPr>
          <w:rFonts w:ascii="Arial" w:hAnsi="Arial" w:cs="Arial"/>
        </w:rPr>
        <w:t xml:space="preserve">of sample size of each dataset.  </w:t>
      </w:r>
      <w:r w:rsidRPr="00D44FC3">
        <w:rPr>
          <w:rFonts w:ascii="Arial" w:hAnsi="Arial" w:cs="Arial"/>
        </w:rPr>
        <w:t>B</w:t>
      </w:r>
      <w:r w:rsidR="0022052D" w:rsidRPr="00D44FC3">
        <w:rPr>
          <w:rFonts w:ascii="Arial" w:hAnsi="Arial" w:cs="Arial"/>
        </w:rPr>
        <w:t xml:space="preserve">) Bar plot of the feature numbers of each dataset.  </w:t>
      </w:r>
      <w:bookmarkStart w:id="69" w:name="OLE_LINK148"/>
      <w:r w:rsidRPr="00D44FC3">
        <w:rPr>
          <w:rFonts w:ascii="Arial" w:hAnsi="Arial" w:cs="Arial"/>
        </w:rPr>
        <w:t>C</w:t>
      </w:r>
      <w:r w:rsidR="0022052D" w:rsidRPr="00D44FC3">
        <w:rPr>
          <w:rFonts w:ascii="Arial" w:hAnsi="Arial" w:cs="Arial"/>
        </w:rPr>
        <w:t>) Venn diagram of the cross-omics datasets after QC for participants from the African ancestry.</w:t>
      </w:r>
      <w:bookmarkEnd w:id="69"/>
      <w:r w:rsidR="0022052D" w:rsidRPr="00D44FC3">
        <w:rPr>
          <w:rFonts w:ascii="Arial" w:hAnsi="Arial" w:cs="Arial"/>
        </w:rPr>
        <w:t xml:space="preserve">  </w:t>
      </w:r>
      <w:r w:rsidRPr="00D44FC3">
        <w:rPr>
          <w:rFonts w:ascii="Arial" w:hAnsi="Arial" w:cs="Arial"/>
        </w:rPr>
        <w:t>D</w:t>
      </w:r>
      <w:r w:rsidR="0022052D" w:rsidRPr="00D44FC3">
        <w:rPr>
          <w:rFonts w:ascii="Arial" w:hAnsi="Arial" w:cs="Arial"/>
        </w:rPr>
        <w:t xml:space="preserve">) Venn diagram of the cross-omics datasets after QC for participants from the European ancestry.  </w:t>
      </w:r>
      <w:r w:rsidRPr="00D44FC3">
        <w:rPr>
          <w:rFonts w:ascii="Arial" w:hAnsi="Arial" w:cs="Arial"/>
        </w:rPr>
        <w:t>E</w:t>
      </w:r>
      <w:r w:rsidR="0022052D" w:rsidRPr="00D44FC3">
        <w:rPr>
          <w:rFonts w:ascii="Arial" w:hAnsi="Arial" w:cs="Arial"/>
        </w:rPr>
        <w:t xml:space="preserve">) Bar plot of the sex proportions of each dataset.  </w:t>
      </w:r>
      <w:r w:rsidRPr="00D44FC3">
        <w:rPr>
          <w:rFonts w:ascii="Arial" w:hAnsi="Arial" w:cs="Arial"/>
        </w:rPr>
        <w:t>F</w:t>
      </w:r>
      <w:r w:rsidR="0022052D" w:rsidRPr="00D44FC3">
        <w:rPr>
          <w:rFonts w:ascii="Arial" w:hAnsi="Arial" w:cs="Arial"/>
        </w:rPr>
        <w:t>) Bar plot of the average age distribution of each dataset (error bar is the standard deviation).</w:t>
      </w:r>
    </w:p>
    <w:p w14:paraId="56B97486" w14:textId="77777777" w:rsidR="00E358A0" w:rsidRPr="00D44FC3" w:rsidRDefault="00E358A0">
      <w:pPr>
        <w:rPr>
          <w:rFonts w:ascii="Arial" w:hAnsi="Arial" w:cs="Arial"/>
          <w:b/>
          <w:bCs/>
        </w:rPr>
      </w:pPr>
      <w:bookmarkStart w:id="70" w:name="OLE_LINK92"/>
      <w:bookmarkEnd w:id="67"/>
      <w:r w:rsidRPr="00D44FC3">
        <w:rPr>
          <w:rFonts w:ascii="Arial" w:hAnsi="Arial" w:cs="Arial"/>
          <w:b/>
          <w:bCs/>
        </w:rPr>
        <w:br w:type="page"/>
      </w:r>
    </w:p>
    <w:p w14:paraId="587146E3" w14:textId="34AC8AD6" w:rsidR="002C2FF0" w:rsidRPr="00D44FC3" w:rsidRDefault="001D2786"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5A57118D" wp14:editId="3C49EEE6">
            <wp:extent cx="5943600" cy="6282055"/>
            <wp:effectExtent l="0" t="0" r="0" b="4445"/>
            <wp:docPr id="724535689" name="Picture 1" descr="A graph of data on a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535689" name="Picture 1" descr="A graph of data on a screen&#10;&#10;Description automatically generated with medium confidence"/>
                    <pic:cNvPicPr/>
                  </pic:nvPicPr>
                  <pic:blipFill>
                    <a:blip r:embed="rId9"/>
                    <a:stretch>
                      <a:fillRect/>
                    </a:stretch>
                  </pic:blipFill>
                  <pic:spPr>
                    <a:xfrm>
                      <a:off x="0" y="0"/>
                      <a:ext cx="5943600" cy="6282055"/>
                    </a:xfrm>
                    <a:prstGeom prst="rect">
                      <a:avLst/>
                    </a:prstGeom>
                  </pic:spPr>
                </pic:pic>
              </a:graphicData>
            </a:graphic>
          </wp:inline>
        </w:drawing>
      </w:r>
    </w:p>
    <w:p w14:paraId="02311984" w14:textId="77777777" w:rsidR="00842382" w:rsidRPr="00D44FC3" w:rsidRDefault="002C2FF0" w:rsidP="00842382">
      <w:pPr>
        <w:pStyle w:val="Heading2"/>
        <w:rPr>
          <w:rFonts w:ascii="Arial" w:hAnsi="Arial" w:cs="Arial"/>
          <w:b/>
          <w:bCs/>
          <w:color w:val="auto"/>
          <w:sz w:val="22"/>
          <w:szCs w:val="22"/>
        </w:rPr>
      </w:pPr>
      <w:r w:rsidRPr="00D44FC3">
        <w:rPr>
          <w:rFonts w:ascii="Arial" w:hAnsi="Arial" w:cs="Arial"/>
          <w:b/>
          <w:bCs/>
          <w:color w:val="auto"/>
          <w:sz w:val="22"/>
          <w:szCs w:val="22"/>
        </w:rPr>
        <w:t>Figure S</w:t>
      </w:r>
      <w:r w:rsidR="001D2786" w:rsidRPr="00D44FC3">
        <w:rPr>
          <w:rFonts w:ascii="Arial" w:hAnsi="Arial" w:cs="Arial"/>
          <w:b/>
          <w:bCs/>
          <w:color w:val="auto"/>
          <w:sz w:val="22"/>
          <w:szCs w:val="22"/>
        </w:rPr>
        <w:t>4</w:t>
      </w:r>
      <w:r w:rsidR="0022052D" w:rsidRPr="00D44FC3">
        <w:rPr>
          <w:rFonts w:ascii="Arial" w:hAnsi="Arial" w:cs="Arial"/>
          <w:b/>
          <w:bCs/>
          <w:color w:val="auto"/>
          <w:sz w:val="22"/>
          <w:szCs w:val="22"/>
        </w:rPr>
        <w:t xml:space="preserve"> Properties of QTLs [MAF vs abs(beta)].  </w:t>
      </w:r>
      <w:bookmarkStart w:id="71" w:name="OLE_LINK151"/>
      <w:bookmarkStart w:id="72" w:name="OLE_LINK152"/>
      <w:bookmarkStart w:id="73" w:name="OLE_LINK153"/>
    </w:p>
    <w:p w14:paraId="71DC7630" w14:textId="4CD0D2BA" w:rsidR="0022052D" w:rsidRPr="00D44FC3" w:rsidRDefault="002C2FF0" w:rsidP="0022052D">
      <w:pPr>
        <w:spacing w:line="240" w:lineRule="auto"/>
        <w:rPr>
          <w:rFonts w:ascii="Arial" w:hAnsi="Arial" w:cs="Arial"/>
          <w:b/>
          <w:bCs/>
        </w:rPr>
      </w:pPr>
      <w:r w:rsidRPr="00D44FC3">
        <w:rPr>
          <w:rFonts w:ascii="Arial" w:hAnsi="Arial" w:cs="Arial"/>
        </w:rPr>
        <w:t>A</w:t>
      </w:r>
      <w:r w:rsidR="0022052D" w:rsidRPr="00D44FC3">
        <w:rPr>
          <w:rFonts w:ascii="Arial" w:hAnsi="Arial" w:cs="Arial"/>
        </w:rPr>
        <w:t xml:space="preserve">) Negative correlation between the absolute value of the effect size of the </w:t>
      </w:r>
      <w:bookmarkStart w:id="74" w:name="OLE_LINK150"/>
      <w:r w:rsidR="0022052D" w:rsidRPr="00D44FC3">
        <w:rPr>
          <w:rFonts w:ascii="Arial" w:hAnsi="Arial" w:cs="Arial"/>
        </w:rPr>
        <w:t xml:space="preserve">AFR </w:t>
      </w:r>
      <w:proofErr w:type="spellStart"/>
      <w:r w:rsidR="0022052D" w:rsidRPr="00D44FC3">
        <w:rPr>
          <w:rFonts w:ascii="Arial" w:hAnsi="Arial" w:cs="Arial"/>
        </w:rPr>
        <w:t>pQTL</w:t>
      </w:r>
      <w:proofErr w:type="spellEnd"/>
      <w:r w:rsidR="0022052D" w:rsidRPr="00D44FC3">
        <w:rPr>
          <w:rFonts w:ascii="Arial" w:hAnsi="Arial" w:cs="Arial"/>
        </w:rPr>
        <w:t xml:space="preserve"> </w:t>
      </w:r>
      <w:bookmarkEnd w:id="74"/>
      <w:r w:rsidR="0022052D" w:rsidRPr="00D44FC3">
        <w:rPr>
          <w:rFonts w:ascii="Arial" w:hAnsi="Arial" w:cs="Arial"/>
        </w:rPr>
        <w:t xml:space="preserve">and the minor allele frequency of these </w:t>
      </w:r>
      <w:proofErr w:type="spellStart"/>
      <w:r w:rsidR="0022052D" w:rsidRPr="00D44FC3">
        <w:rPr>
          <w:rFonts w:ascii="Arial" w:hAnsi="Arial" w:cs="Arial"/>
        </w:rPr>
        <w:t>pQTL</w:t>
      </w:r>
      <w:proofErr w:type="spellEnd"/>
      <w:r w:rsidR="0022052D" w:rsidRPr="00D44FC3">
        <w:rPr>
          <w:rFonts w:ascii="Arial" w:hAnsi="Arial" w:cs="Arial"/>
        </w:rPr>
        <w:t xml:space="preserve"> in AFR.</w:t>
      </w:r>
      <w:bookmarkEnd w:id="71"/>
      <w:r w:rsidR="0022052D" w:rsidRPr="00D44FC3">
        <w:rPr>
          <w:rFonts w:ascii="Arial" w:hAnsi="Arial" w:cs="Arial"/>
        </w:rPr>
        <w:t xml:space="preserve">  </w:t>
      </w:r>
      <w:r w:rsidRPr="00D44FC3">
        <w:rPr>
          <w:rFonts w:ascii="Arial" w:hAnsi="Arial" w:cs="Arial"/>
        </w:rPr>
        <w:t>B</w:t>
      </w:r>
      <w:r w:rsidR="0022052D" w:rsidRPr="00D44FC3">
        <w:rPr>
          <w:rFonts w:ascii="Arial" w:hAnsi="Arial" w:cs="Arial"/>
        </w:rPr>
        <w:t xml:space="preserve">) Negative correlation between the absolute value of the effect size of the EUR </w:t>
      </w:r>
      <w:proofErr w:type="spellStart"/>
      <w:r w:rsidR="0022052D" w:rsidRPr="00D44FC3">
        <w:rPr>
          <w:rFonts w:ascii="Arial" w:hAnsi="Arial" w:cs="Arial"/>
        </w:rPr>
        <w:t>pQTL</w:t>
      </w:r>
      <w:proofErr w:type="spellEnd"/>
      <w:r w:rsidR="0022052D" w:rsidRPr="00D44FC3">
        <w:rPr>
          <w:rFonts w:ascii="Arial" w:hAnsi="Arial" w:cs="Arial"/>
        </w:rPr>
        <w:t xml:space="preserve"> and the minor allele frequency of these </w:t>
      </w:r>
      <w:proofErr w:type="spellStart"/>
      <w:r w:rsidR="0022052D" w:rsidRPr="00D44FC3">
        <w:rPr>
          <w:rFonts w:ascii="Arial" w:hAnsi="Arial" w:cs="Arial"/>
        </w:rPr>
        <w:t>pQTL</w:t>
      </w:r>
      <w:proofErr w:type="spellEnd"/>
      <w:r w:rsidR="0022052D" w:rsidRPr="00D44FC3">
        <w:rPr>
          <w:rFonts w:ascii="Arial" w:hAnsi="Arial" w:cs="Arial"/>
        </w:rPr>
        <w:t xml:space="preserve"> in EUR.</w:t>
      </w:r>
      <w:bookmarkEnd w:id="72"/>
      <w:r w:rsidR="0022052D" w:rsidRPr="00D44FC3">
        <w:rPr>
          <w:rFonts w:ascii="Arial" w:hAnsi="Arial" w:cs="Arial"/>
        </w:rPr>
        <w:t xml:space="preserve">  </w:t>
      </w:r>
      <w:r w:rsidRPr="00D44FC3">
        <w:rPr>
          <w:rFonts w:ascii="Arial" w:hAnsi="Arial" w:cs="Arial"/>
        </w:rPr>
        <w:t>C</w:t>
      </w:r>
      <w:r w:rsidR="0022052D" w:rsidRPr="00D44FC3">
        <w:rPr>
          <w:rFonts w:ascii="Arial" w:hAnsi="Arial" w:cs="Arial"/>
        </w:rPr>
        <w:t xml:space="preserve">) Negative correlation between the absolute value of the effect size of the AFR </w:t>
      </w:r>
      <w:proofErr w:type="spellStart"/>
      <w:r w:rsidR="0022052D" w:rsidRPr="00D44FC3">
        <w:rPr>
          <w:rFonts w:ascii="Arial" w:hAnsi="Arial" w:cs="Arial"/>
        </w:rPr>
        <w:t>mQTL</w:t>
      </w:r>
      <w:proofErr w:type="spellEnd"/>
      <w:r w:rsidR="0022052D" w:rsidRPr="00D44FC3">
        <w:rPr>
          <w:rFonts w:ascii="Arial" w:hAnsi="Arial" w:cs="Arial"/>
        </w:rPr>
        <w:t xml:space="preserve"> and the minor allele frequency of these </w:t>
      </w:r>
      <w:proofErr w:type="spellStart"/>
      <w:r w:rsidR="0022052D" w:rsidRPr="00D44FC3">
        <w:rPr>
          <w:rFonts w:ascii="Arial" w:hAnsi="Arial" w:cs="Arial"/>
        </w:rPr>
        <w:t>mQTL</w:t>
      </w:r>
      <w:proofErr w:type="spellEnd"/>
      <w:r w:rsidR="0022052D" w:rsidRPr="00D44FC3">
        <w:rPr>
          <w:rFonts w:ascii="Arial" w:hAnsi="Arial" w:cs="Arial"/>
        </w:rPr>
        <w:t xml:space="preserve"> in AFR.  </w:t>
      </w:r>
      <w:r w:rsidRPr="00D44FC3">
        <w:rPr>
          <w:rFonts w:ascii="Arial" w:hAnsi="Arial" w:cs="Arial"/>
        </w:rPr>
        <w:t>D</w:t>
      </w:r>
      <w:r w:rsidR="0022052D" w:rsidRPr="00D44FC3">
        <w:rPr>
          <w:rFonts w:ascii="Arial" w:hAnsi="Arial" w:cs="Arial"/>
        </w:rPr>
        <w:t xml:space="preserve">) Negative correlation between the absolute value of the effect size of the EUR </w:t>
      </w:r>
      <w:proofErr w:type="spellStart"/>
      <w:r w:rsidR="0022052D" w:rsidRPr="00D44FC3">
        <w:rPr>
          <w:rFonts w:ascii="Arial" w:hAnsi="Arial" w:cs="Arial"/>
        </w:rPr>
        <w:t>mQTL</w:t>
      </w:r>
      <w:proofErr w:type="spellEnd"/>
      <w:r w:rsidR="0022052D" w:rsidRPr="00D44FC3">
        <w:rPr>
          <w:rFonts w:ascii="Arial" w:hAnsi="Arial" w:cs="Arial"/>
        </w:rPr>
        <w:t xml:space="preserve"> and the minor allele frequency of these </w:t>
      </w:r>
      <w:proofErr w:type="spellStart"/>
      <w:r w:rsidR="0022052D" w:rsidRPr="00D44FC3">
        <w:rPr>
          <w:rFonts w:ascii="Arial" w:hAnsi="Arial" w:cs="Arial"/>
        </w:rPr>
        <w:t>mQTL</w:t>
      </w:r>
      <w:proofErr w:type="spellEnd"/>
      <w:r w:rsidR="0022052D" w:rsidRPr="00D44FC3">
        <w:rPr>
          <w:rFonts w:ascii="Arial" w:hAnsi="Arial" w:cs="Arial"/>
        </w:rPr>
        <w:t xml:space="preserve"> in EUR.</w:t>
      </w:r>
    </w:p>
    <w:bookmarkEnd w:id="70"/>
    <w:bookmarkEnd w:id="73"/>
    <w:p w14:paraId="00FE631A" w14:textId="77777777" w:rsidR="00E358A0" w:rsidRPr="00D44FC3" w:rsidRDefault="00E358A0">
      <w:pPr>
        <w:rPr>
          <w:rFonts w:ascii="Arial" w:hAnsi="Arial" w:cs="Arial"/>
          <w:b/>
          <w:bCs/>
        </w:rPr>
      </w:pPr>
      <w:r w:rsidRPr="00D44FC3">
        <w:rPr>
          <w:rFonts w:ascii="Arial" w:hAnsi="Arial" w:cs="Arial"/>
          <w:b/>
          <w:bCs/>
        </w:rPr>
        <w:br w:type="page"/>
      </w:r>
    </w:p>
    <w:p w14:paraId="26B3AB2C" w14:textId="5260AD31" w:rsidR="00D85FA9" w:rsidRPr="00D44FC3" w:rsidRDefault="001D2786"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61E11760" wp14:editId="01A4FF52">
            <wp:extent cx="5943600" cy="6778625"/>
            <wp:effectExtent l="0" t="0" r="0" b="3175"/>
            <wp:docPr id="1738158236"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158236" name="Picture 1" descr="A close-up of a graph&#10;&#10;Description automatically generated"/>
                    <pic:cNvPicPr/>
                  </pic:nvPicPr>
                  <pic:blipFill>
                    <a:blip r:embed="rId10"/>
                    <a:stretch>
                      <a:fillRect/>
                    </a:stretch>
                  </pic:blipFill>
                  <pic:spPr>
                    <a:xfrm>
                      <a:off x="0" y="0"/>
                      <a:ext cx="5943600" cy="6778625"/>
                    </a:xfrm>
                    <a:prstGeom prst="rect">
                      <a:avLst/>
                    </a:prstGeom>
                  </pic:spPr>
                </pic:pic>
              </a:graphicData>
            </a:graphic>
          </wp:inline>
        </w:drawing>
      </w:r>
    </w:p>
    <w:p w14:paraId="694FC510" w14:textId="77777777" w:rsidR="00842382" w:rsidRPr="00D44FC3" w:rsidRDefault="002C2FF0" w:rsidP="00842382">
      <w:pPr>
        <w:pStyle w:val="Heading2"/>
        <w:rPr>
          <w:rFonts w:ascii="Arial" w:hAnsi="Arial" w:cs="Arial"/>
          <w:b/>
          <w:bCs/>
          <w:color w:val="auto"/>
          <w:sz w:val="22"/>
          <w:szCs w:val="22"/>
        </w:rPr>
      </w:pPr>
      <w:r w:rsidRPr="00D44FC3">
        <w:rPr>
          <w:rFonts w:ascii="Arial" w:hAnsi="Arial" w:cs="Arial"/>
          <w:b/>
          <w:bCs/>
          <w:color w:val="auto"/>
          <w:sz w:val="22"/>
          <w:szCs w:val="22"/>
        </w:rPr>
        <w:t>Figure S</w:t>
      </w:r>
      <w:r w:rsidR="001D2786" w:rsidRPr="00D44FC3">
        <w:rPr>
          <w:rFonts w:ascii="Arial" w:hAnsi="Arial" w:cs="Arial"/>
          <w:b/>
          <w:bCs/>
          <w:color w:val="auto"/>
          <w:sz w:val="22"/>
          <w:szCs w:val="22"/>
        </w:rPr>
        <w:t>5</w:t>
      </w:r>
      <w:r w:rsidR="0022052D" w:rsidRPr="00D44FC3">
        <w:rPr>
          <w:rFonts w:ascii="Arial" w:hAnsi="Arial" w:cs="Arial"/>
          <w:b/>
          <w:bCs/>
          <w:color w:val="auto"/>
          <w:sz w:val="22"/>
          <w:szCs w:val="22"/>
        </w:rPr>
        <w:t xml:space="preserve"> Examples of highly pleiotropic regions from the plasma proteome and metabolome in participants of African and European ancestry.  </w:t>
      </w:r>
    </w:p>
    <w:p w14:paraId="67F2382F" w14:textId="79A238CD" w:rsidR="00E358A0" w:rsidRPr="00D44FC3" w:rsidRDefault="00D85FA9" w:rsidP="00B432E4">
      <w:pPr>
        <w:spacing w:line="240" w:lineRule="auto"/>
        <w:rPr>
          <w:rFonts w:ascii="Arial" w:hAnsi="Arial" w:cs="Arial"/>
          <w:b/>
          <w:bCs/>
        </w:rPr>
      </w:pPr>
      <w:r w:rsidRPr="00D44FC3">
        <w:rPr>
          <w:rFonts w:ascii="Arial" w:hAnsi="Arial" w:cs="Arial"/>
        </w:rPr>
        <w:t>A</w:t>
      </w:r>
      <w:r w:rsidR="0022052D" w:rsidRPr="00D44FC3">
        <w:rPr>
          <w:rFonts w:ascii="Arial" w:hAnsi="Arial" w:cs="Arial"/>
        </w:rPr>
        <w:t xml:space="preserve">) </w:t>
      </w:r>
      <w:bookmarkStart w:id="75" w:name="OLE_LINK155"/>
      <w:bookmarkStart w:id="76" w:name="OLE_LINK154"/>
      <w:r w:rsidR="0022052D" w:rsidRPr="00D44FC3">
        <w:rPr>
          <w:rFonts w:ascii="Arial" w:hAnsi="Arial" w:cs="Arial"/>
        </w:rPr>
        <w:t xml:space="preserve">Karyotype ideogram of the APOE-locus as the top AFR </w:t>
      </w:r>
      <w:proofErr w:type="spellStart"/>
      <w:r w:rsidR="0022052D" w:rsidRPr="00D44FC3">
        <w:rPr>
          <w:rFonts w:ascii="Arial" w:hAnsi="Arial" w:cs="Arial"/>
        </w:rPr>
        <w:t>pQTL</w:t>
      </w:r>
      <w:proofErr w:type="spellEnd"/>
      <w:r w:rsidR="0022052D" w:rsidRPr="00D44FC3">
        <w:rPr>
          <w:rFonts w:ascii="Arial" w:hAnsi="Arial" w:cs="Arial"/>
        </w:rPr>
        <w:t xml:space="preserve"> pleiotropic region and its associated proteins. </w:t>
      </w:r>
      <w:bookmarkEnd w:id="75"/>
      <w:r w:rsidR="0022052D" w:rsidRPr="00D44FC3">
        <w:rPr>
          <w:rFonts w:ascii="Arial" w:hAnsi="Arial" w:cs="Arial"/>
        </w:rPr>
        <w:t xml:space="preserve"> </w:t>
      </w:r>
      <w:bookmarkEnd w:id="76"/>
      <w:r w:rsidRPr="00D44FC3">
        <w:rPr>
          <w:rFonts w:ascii="Arial" w:hAnsi="Arial" w:cs="Arial"/>
        </w:rPr>
        <w:t>B</w:t>
      </w:r>
      <w:r w:rsidR="0022052D" w:rsidRPr="00D44FC3">
        <w:rPr>
          <w:rFonts w:ascii="Arial" w:hAnsi="Arial" w:cs="Arial"/>
        </w:rPr>
        <w:t xml:space="preserve">) Karyotype ideogram of the APOE-locus as the top EUR </w:t>
      </w:r>
      <w:proofErr w:type="spellStart"/>
      <w:r w:rsidR="0022052D" w:rsidRPr="00D44FC3">
        <w:rPr>
          <w:rFonts w:ascii="Arial" w:hAnsi="Arial" w:cs="Arial"/>
        </w:rPr>
        <w:t>pQTL</w:t>
      </w:r>
      <w:proofErr w:type="spellEnd"/>
      <w:r w:rsidR="0022052D" w:rsidRPr="00D44FC3">
        <w:rPr>
          <w:rFonts w:ascii="Arial" w:hAnsi="Arial" w:cs="Arial"/>
        </w:rPr>
        <w:t xml:space="preserve"> pleiotropic region and its associated proteins. </w:t>
      </w:r>
      <w:r w:rsidRPr="00D44FC3">
        <w:rPr>
          <w:rFonts w:ascii="Arial" w:hAnsi="Arial" w:cs="Arial"/>
        </w:rPr>
        <w:t>C</w:t>
      </w:r>
      <w:r w:rsidR="0022052D" w:rsidRPr="00D44FC3">
        <w:rPr>
          <w:rFonts w:ascii="Arial" w:hAnsi="Arial" w:cs="Arial"/>
        </w:rPr>
        <w:t xml:space="preserve">) </w:t>
      </w:r>
      <w:bookmarkStart w:id="77" w:name="OLE_LINK156"/>
      <w:r w:rsidR="0022052D" w:rsidRPr="00D44FC3">
        <w:rPr>
          <w:rFonts w:ascii="Arial" w:hAnsi="Arial" w:cs="Arial"/>
        </w:rPr>
        <w:t xml:space="preserve">Chord Diagram of the top-three loci as the AFR </w:t>
      </w:r>
      <w:proofErr w:type="spellStart"/>
      <w:r w:rsidR="0022052D" w:rsidRPr="00D44FC3">
        <w:rPr>
          <w:rFonts w:ascii="Arial" w:hAnsi="Arial" w:cs="Arial"/>
        </w:rPr>
        <w:t>mQTL</w:t>
      </w:r>
      <w:proofErr w:type="spellEnd"/>
      <w:r w:rsidR="0022052D" w:rsidRPr="00D44FC3">
        <w:rPr>
          <w:rFonts w:ascii="Arial" w:hAnsi="Arial" w:cs="Arial"/>
        </w:rPr>
        <w:t xml:space="preserve"> pleiotropic regions and their associated metabolites (grouped by the super pathways).  </w:t>
      </w:r>
      <w:bookmarkEnd w:id="77"/>
      <w:r w:rsidRPr="00D44FC3">
        <w:rPr>
          <w:rFonts w:ascii="Arial" w:hAnsi="Arial" w:cs="Arial"/>
        </w:rPr>
        <w:t>D</w:t>
      </w:r>
      <w:r w:rsidR="0022052D" w:rsidRPr="00D44FC3">
        <w:rPr>
          <w:rFonts w:ascii="Arial" w:hAnsi="Arial" w:cs="Arial"/>
        </w:rPr>
        <w:t xml:space="preserve">) Chord Diagram of the top-three loci as the EUR </w:t>
      </w:r>
      <w:proofErr w:type="spellStart"/>
      <w:r w:rsidR="0022052D" w:rsidRPr="00D44FC3">
        <w:rPr>
          <w:rFonts w:ascii="Arial" w:hAnsi="Arial" w:cs="Arial"/>
        </w:rPr>
        <w:t>mQTL</w:t>
      </w:r>
      <w:proofErr w:type="spellEnd"/>
      <w:r w:rsidR="0022052D" w:rsidRPr="00D44FC3">
        <w:rPr>
          <w:rFonts w:ascii="Arial" w:hAnsi="Arial" w:cs="Arial"/>
        </w:rPr>
        <w:t xml:space="preserve"> pleiotropic regions and their associated metabolites (grouped by the super pathways).  </w:t>
      </w:r>
      <w:r w:rsidR="00E358A0" w:rsidRPr="00D44FC3">
        <w:rPr>
          <w:rFonts w:ascii="Arial" w:hAnsi="Arial" w:cs="Arial"/>
          <w:b/>
          <w:bCs/>
        </w:rPr>
        <w:br w:type="page"/>
      </w:r>
    </w:p>
    <w:p w14:paraId="54A9B400" w14:textId="56DC3CAF" w:rsidR="00D85FA9" w:rsidRPr="00D44FC3" w:rsidRDefault="007F4EE8"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5A10FC69" wp14:editId="3D5F7968">
            <wp:extent cx="5291445" cy="7063740"/>
            <wp:effectExtent l="0" t="0" r="5080" b="3810"/>
            <wp:docPr id="159910387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103877" name="Picture 1" descr="A screenshot of a graph&#10;&#10;Description automatically generated"/>
                    <pic:cNvPicPr/>
                  </pic:nvPicPr>
                  <pic:blipFill>
                    <a:blip r:embed="rId11"/>
                    <a:stretch>
                      <a:fillRect/>
                    </a:stretch>
                  </pic:blipFill>
                  <pic:spPr>
                    <a:xfrm>
                      <a:off x="0" y="0"/>
                      <a:ext cx="5295818" cy="7069577"/>
                    </a:xfrm>
                    <a:prstGeom prst="rect">
                      <a:avLst/>
                    </a:prstGeom>
                  </pic:spPr>
                </pic:pic>
              </a:graphicData>
            </a:graphic>
          </wp:inline>
        </w:drawing>
      </w:r>
    </w:p>
    <w:p w14:paraId="4321FC92" w14:textId="77777777" w:rsidR="00842382" w:rsidRPr="00D44FC3" w:rsidRDefault="002C2FF0" w:rsidP="00842382">
      <w:pPr>
        <w:pStyle w:val="Heading2"/>
        <w:rPr>
          <w:rFonts w:ascii="Arial" w:hAnsi="Arial" w:cs="Arial"/>
          <w:b/>
          <w:bCs/>
          <w:color w:val="auto"/>
          <w:sz w:val="22"/>
          <w:szCs w:val="22"/>
        </w:rPr>
      </w:pPr>
      <w:r w:rsidRPr="00D44FC3">
        <w:rPr>
          <w:rFonts w:ascii="Arial" w:hAnsi="Arial" w:cs="Arial"/>
          <w:b/>
          <w:bCs/>
          <w:color w:val="auto"/>
          <w:sz w:val="22"/>
          <w:szCs w:val="22"/>
        </w:rPr>
        <w:t>Figure S</w:t>
      </w:r>
      <w:r w:rsidR="007F4EE8" w:rsidRPr="00D44FC3">
        <w:rPr>
          <w:rFonts w:ascii="Arial" w:hAnsi="Arial" w:cs="Arial"/>
          <w:b/>
          <w:bCs/>
          <w:color w:val="auto"/>
          <w:sz w:val="22"/>
          <w:szCs w:val="22"/>
        </w:rPr>
        <w:t>6</w:t>
      </w:r>
      <w:r w:rsidR="0022052D" w:rsidRPr="00D44FC3">
        <w:rPr>
          <w:rFonts w:ascii="Arial" w:hAnsi="Arial" w:cs="Arial"/>
          <w:b/>
          <w:bCs/>
          <w:color w:val="auto"/>
          <w:sz w:val="22"/>
          <w:szCs w:val="22"/>
        </w:rPr>
        <w:t xml:space="preserve"> The proportions of ancestry-specific QTLs vary across MAF bins.  </w:t>
      </w:r>
      <w:bookmarkStart w:id="78" w:name="OLE_LINK157"/>
    </w:p>
    <w:p w14:paraId="2199538A" w14:textId="3447D779" w:rsidR="0022052D" w:rsidRPr="00D44FC3" w:rsidRDefault="00D85FA9" w:rsidP="0022052D">
      <w:pPr>
        <w:spacing w:line="240" w:lineRule="auto"/>
        <w:rPr>
          <w:rFonts w:ascii="Arial" w:hAnsi="Arial" w:cs="Arial"/>
        </w:rPr>
      </w:pPr>
      <w:r w:rsidRPr="00D44FC3">
        <w:rPr>
          <w:rFonts w:ascii="Arial" w:hAnsi="Arial" w:cs="Arial"/>
        </w:rPr>
        <w:t>A</w:t>
      </w:r>
      <w:r w:rsidR="0022052D" w:rsidRPr="00D44FC3">
        <w:rPr>
          <w:rFonts w:ascii="Arial" w:hAnsi="Arial" w:cs="Arial"/>
        </w:rPr>
        <w:t xml:space="preserve">) AFR-specific </w:t>
      </w:r>
      <w:proofErr w:type="spellStart"/>
      <w:r w:rsidR="0022052D" w:rsidRPr="00D44FC3">
        <w:rPr>
          <w:rFonts w:ascii="Arial" w:hAnsi="Arial" w:cs="Arial"/>
        </w:rPr>
        <w:t>pQTL</w:t>
      </w:r>
      <w:proofErr w:type="spellEnd"/>
      <w:r w:rsidR="0022052D" w:rsidRPr="00D44FC3">
        <w:rPr>
          <w:rFonts w:ascii="Arial" w:hAnsi="Arial" w:cs="Arial"/>
        </w:rPr>
        <w:t xml:space="preserve"> vs queried EUR.  </w:t>
      </w:r>
      <w:bookmarkStart w:id="79" w:name="OLE_LINK136"/>
      <w:r w:rsidR="0022052D" w:rsidRPr="00D44FC3">
        <w:rPr>
          <w:rFonts w:ascii="Arial" w:hAnsi="Arial" w:cs="Arial"/>
        </w:rPr>
        <w:t xml:space="preserve">The scatterplots of the standardized effect sizes between the two ancestries are stratified by three MAF bins (0-0.01; 0.01-0.05; 0.05-0.5) for the shared (green) and </w:t>
      </w:r>
      <w:bookmarkStart w:id="80" w:name="OLE_LINK137"/>
      <w:r w:rsidR="0022052D" w:rsidRPr="00D44FC3">
        <w:rPr>
          <w:rFonts w:ascii="Arial" w:hAnsi="Arial" w:cs="Arial"/>
        </w:rPr>
        <w:t xml:space="preserve">AFR-specific </w:t>
      </w:r>
      <w:bookmarkEnd w:id="80"/>
      <w:r w:rsidR="0022052D" w:rsidRPr="00D44FC3">
        <w:rPr>
          <w:rFonts w:ascii="Arial" w:hAnsi="Arial" w:cs="Arial"/>
        </w:rPr>
        <w:t xml:space="preserve">(red) </w:t>
      </w:r>
      <w:proofErr w:type="spellStart"/>
      <w:r w:rsidR="0022052D" w:rsidRPr="00D44FC3">
        <w:rPr>
          <w:rFonts w:ascii="Arial" w:hAnsi="Arial" w:cs="Arial"/>
        </w:rPr>
        <w:t>pQTLs</w:t>
      </w:r>
      <w:proofErr w:type="spellEnd"/>
      <w:r w:rsidR="0022052D" w:rsidRPr="00D44FC3">
        <w:rPr>
          <w:rFonts w:ascii="Arial" w:hAnsi="Arial" w:cs="Arial"/>
        </w:rPr>
        <w:t xml:space="preserve">. The lines are based on linear regression model. </w:t>
      </w:r>
      <w:r w:rsidRPr="00D44FC3">
        <w:rPr>
          <w:rFonts w:ascii="Arial" w:hAnsi="Arial" w:cs="Arial"/>
        </w:rPr>
        <w:t>B</w:t>
      </w:r>
      <w:r w:rsidR="0022052D" w:rsidRPr="00D44FC3">
        <w:rPr>
          <w:rFonts w:ascii="Arial" w:hAnsi="Arial" w:cs="Arial"/>
        </w:rPr>
        <w:t xml:space="preserve">) The bar plots summarizing the numbers of shared and AFR-specific </w:t>
      </w:r>
      <w:proofErr w:type="spellStart"/>
      <w:r w:rsidR="0022052D" w:rsidRPr="00D44FC3">
        <w:rPr>
          <w:rFonts w:ascii="Arial" w:hAnsi="Arial" w:cs="Arial"/>
        </w:rPr>
        <w:t>pQTLs</w:t>
      </w:r>
      <w:proofErr w:type="spellEnd"/>
      <w:r w:rsidR="0022052D" w:rsidRPr="00D44FC3">
        <w:rPr>
          <w:rFonts w:ascii="Arial" w:hAnsi="Arial" w:cs="Arial"/>
        </w:rPr>
        <w:t xml:space="preserve"> within each MAF bin.</w:t>
      </w:r>
      <w:bookmarkEnd w:id="79"/>
    </w:p>
    <w:p w14:paraId="1226A1B6" w14:textId="65835D39" w:rsidR="0022052D" w:rsidRPr="00D44FC3" w:rsidRDefault="00D85FA9" w:rsidP="0022052D">
      <w:pPr>
        <w:spacing w:line="240" w:lineRule="auto"/>
        <w:rPr>
          <w:rFonts w:ascii="Arial" w:hAnsi="Arial" w:cs="Arial"/>
        </w:rPr>
      </w:pPr>
      <w:r w:rsidRPr="00D44FC3">
        <w:rPr>
          <w:rFonts w:ascii="Arial" w:hAnsi="Arial" w:cs="Arial"/>
        </w:rPr>
        <w:lastRenderedPageBreak/>
        <w:t>C</w:t>
      </w:r>
      <w:r w:rsidR="0022052D" w:rsidRPr="00D44FC3">
        <w:rPr>
          <w:rFonts w:ascii="Arial" w:hAnsi="Arial" w:cs="Arial"/>
        </w:rPr>
        <w:t xml:space="preserve">) EUR-specific </w:t>
      </w:r>
      <w:proofErr w:type="spellStart"/>
      <w:r w:rsidR="0022052D" w:rsidRPr="00D44FC3">
        <w:rPr>
          <w:rFonts w:ascii="Arial" w:hAnsi="Arial" w:cs="Arial"/>
        </w:rPr>
        <w:t>pQTL</w:t>
      </w:r>
      <w:proofErr w:type="spellEnd"/>
      <w:r w:rsidR="0022052D" w:rsidRPr="00D44FC3">
        <w:rPr>
          <w:rFonts w:ascii="Arial" w:hAnsi="Arial" w:cs="Arial"/>
        </w:rPr>
        <w:t xml:space="preserve"> vs queried AFR.  </w:t>
      </w:r>
      <w:bookmarkStart w:id="81" w:name="OLE_LINK146"/>
      <w:r w:rsidR="0022052D" w:rsidRPr="00D44FC3">
        <w:rPr>
          <w:rFonts w:ascii="Arial" w:hAnsi="Arial" w:cs="Arial"/>
        </w:rPr>
        <w:t xml:space="preserve">The scatterplots of the standardized effect sizes between the two ancestries are stratified by the same three MAF bins for the shared (green) and EUR-specific (red) </w:t>
      </w:r>
      <w:proofErr w:type="spellStart"/>
      <w:r w:rsidR="0022052D" w:rsidRPr="00D44FC3">
        <w:rPr>
          <w:rFonts w:ascii="Arial" w:hAnsi="Arial" w:cs="Arial"/>
        </w:rPr>
        <w:t>pQTLs</w:t>
      </w:r>
      <w:proofErr w:type="spellEnd"/>
      <w:r w:rsidR="0022052D" w:rsidRPr="00D44FC3">
        <w:rPr>
          <w:rFonts w:ascii="Arial" w:hAnsi="Arial" w:cs="Arial"/>
        </w:rPr>
        <w:t xml:space="preserve">. The lines are based on linear regression model. </w:t>
      </w:r>
      <w:r w:rsidRPr="00D44FC3">
        <w:rPr>
          <w:rFonts w:ascii="Arial" w:hAnsi="Arial" w:cs="Arial"/>
        </w:rPr>
        <w:t>D</w:t>
      </w:r>
      <w:r w:rsidR="0022052D" w:rsidRPr="00D44FC3">
        <w:rPr>
          <w:rFonts w:ascii="Arial" w:hAnsi="Arial" w:cs="Arial"/>
        </w:rPr>
        <w:t xml:space="preserve">) The bar plots summarizing the numbers of shared and EUR-specific </w:t>
      </w:r>
      <w:proofErr w:type="spellStart"/>
      <w:r w:rsidR="0022052D" w:rsidRPr="00D44FC3">
        <w:rPr>
          <w:rFonts w:ascii="Arial" w:hAnsi="Arial" w:cs="Arial"/>
        </w:rPr>
        <w:t>pQTLs</w:t>
      </w:r>
      <w:proofErr w:type="spellEnd"/>
      <w:r w:rsidR="0022052D" w:rsidRPr="00D44FC3">
        <w:rPr>
          <w:rFonts w:ascii="Arial" w:hAnsi="Arial" w:cs="Arial"/>
        </w:rPr>
        <w:t xml:space="preserve"> within each MAF bin.</w:t>
      </w:r>
      <w:bookmarkEnd w:id="81"/>
    </w:p>
    <w:p w14:paraId="6F168F04" w14:textId="34E362D7" w:rsidR="0022052D" w:rsidRPr="00D44FC3" w:rsidRDefault="00D85FA9" w:rsidP="0022052D">
      <w:pPr>
        <w:spacing w:line="240" w:lineRule="auto"/>
        <w:rPr>
          <w:rFonts w:ascii="Arial" w:eastAsia="Times New Roman" w:hAnsi="Arial" w:cs="Arial"/>
        </w:rPr>
      </w:pPr>
      <w:r w:rsidRPr="00D44FC3">
        <w:rPr>
          <w:rFonts w:ascii="Arial" w:hAnsi="Arial" w:cs="Arial"/>
        </w:rPr>
        <w:t>E</w:t>
      </w:r>
      <w:r w:rsidR="0022052D" w:rsidRPr="00D44FC3">
        <w:rPr>
          <w:rFonts w:ascii="Arial" w:hAnsi="Arial" w:cs="Arial"/>
        </w:rPr>
        <w:t xml:space="preserve">) AFR-specific </w:t>
      </w:r>
      <w:proofErr w:type="spellStart"/>
      <w:r w:rsidR="0022052D" w:rsidRPr="00D44FC3">
        <w:rPr>
          <w:rFonts w:ascii="Arial" w:hAnsi="Arial" w:cs="Arial"/>
        </w:rPr>
        <w:t>mQTL</w:t>
      </w:r>
      <w:proofErr w:type="spellEnd"/>
      <w:r w:rsidR="0022052D" w:rsidRPr="00D44FC3">
        <w:rPr>
          <w:rFonts w:ascii="Arial" w:hAnsi="Arial" w:cs="Arial"/>
        </w:rPr>
        <w:t xml:space="preserve"> vs queried EUR.  The scatterplots of the standardized effect sizes between the two ancestries are stratified by three MAF bins (0-0.01; 0.01-0.05; 0.05-0.5) for the shared (green) and AFR-specific (red) </w:t>
      </w:r>
      <w:proofErr w:type="spellStart"/>
      <w:r w:rsidR="0022052D" w:rsidRPr="00D44FC3">
        <w:rPr>
          <w:rFonts w:ascii="Arial" w:hAnsi="Arial" w:cs="Arial"/>
        </w:rPr>
        <w:t>mQTLs</w:t>
      </w:r>
      <w:proofErr w:type="spellEnd"/>
      <w:r w:rsidR="0022052D" w:rsidRPr="00D44FC3">
        <w:rPr>
          <w:rFonts w:ascii="Arial" w:hAnsi="Arial" w:cs="Arial"/>
        </w:rPr>
        <w:t xml:space="preserve">. The lines are based on linear regression model. </w:t>
      </w:r>
      <w:r w:rsidRPr="00D44FC3">
        <w:rPr>
          <w:rFonts w:ascii="Arial" w:hAnsi="Arial" w:cs="Arial"/>
        </w:rPr>
        <w:t>F</w:t>
      </w:r>
      <w:r w:rsidR="0022052D" w:rsidRPr="00D44FC3">
        <w:rPr>
          <w:rFonts w:ascii="Arial" w:hAnsi="Arial" w:cs="Arial"/>
        </w:rPr>
        <w:t xml:space="preserve">) The bar plots summarizing the numbers of shared and AFR-specific </w:t>
      </w:r>
      <w:proofErr w:type="spellStart"/>
      <w:r w:rsidR="0022052D" w:rsidRPr="00D44FC3">
        <w:rPr>
          <w:rFonts w:ascii="Arial" w:hAnsi="Arial" w:cs="Arial"/>
        </w:rPr>
        <w:t>mQTLs</w:t>
      </w:r>
      <w:proofErr w:type="spellEnd"/>
      <w:r w:rsidR="0022052D" w:rsidRPr="00D44FC3">
        <w:rPr>
          <w:rFonts w:ascii="Arial" w:hAnsi="Arial" w:cs="Arial"/>
        </w:rPr>
        <w:t xml:space="preserve"> within each MAF bin.</w:t>
      </w:r>
    </w:p>
    <w:p w14:paraId="4F798CBB" w14:textId="34BAF9DF" w:rsidR="0022052D" w:rsidRPr="00D44FC3" w:rsidRDefault="00D85FA9" w:rsidP="0022052D">
      <w:pPr>
        <w:spacing w:line="240" w:lineRule="auto"/>
        <w:rPr>
          <w:rFonts w:ascii="Arial" w:hAnsi="Arial" w:cs="Arial"/>
        </w:rPr>
      </w:pPr>
      <w:r w:rsidRPr="00D44FC3">
        <w:rPr>
          <w:rFonts w:ascii="Arial" w:hAnsi="Arial" w:cs="Arial"/>
        </w:rPr>
        <w:t>G</w:t>
      </w:r>
      <w:r w:rsidR="0022052D" w:rsidRPr="00D44FC3">
        <w:rPr>
          <w:rFonts w:ascii="Arial" w:hAnsi="Arial" w:cs="Arial"/>
        </w:rPr>
        <w:t xml:space="preserve">) EUR-specific </w:t>
      </w:r>
      <w:proofErr w:type="spellStart"/>
      <w:r w:rsidR="0022052D" w:rsidRPr="00D44FC3">
        <w:rPr>
          <w:rFonts w:ascii="Arial" w:hAnsi="Arial" w:cs="Arial"/>
        </w:rPr>
        <w:t>mQTL</w:t>
      </w:r>
      <w:proofErr w:type="spellEnd"/>
      <w:r w:rsidR="0022052D" w:rsidRPr="00D44FC3">
        <w:rPr>
          <w:rFonts w:ascii="Arial" w:hAnsi="Arial" w:cs="Arial"/>
        </w:rPr>
        <w:t xml:space="preserve"> vs queried AFR.  The scatterplots of the standardized effect sizes between the two ancestries are stratified by the same three MAF bins for the shared (green) and EUR-specific (red) </w:t>
      </w:r>
      <w:proofErr w:type="spellStart"/>
      <w:r w:rsidR="0022052D" w:rsidRPr="00D44FC3">
        <w:rPr>
          <w:rFonts w:ascii="Arial" w:hAnsi="Arial" w:cs="Arial"/>
        </w:rPr>
        <w:t>mQTLs</w:t>
      </w:r>
      <w:proofErr w:type="spellEnd"/>
      <w:r w:rsidR="0022052D" w:rsidRPr="00D44FC3">
        <w:rPr>
          <w:rFonts w:ascii="Arial" w:hAnsi="Arial" w:cs="Arial"/>
        </w:rPr>
        <w:t xml:space="preserve">. The lines are based on linear regression model. </w:t>
      </w:r>
      <w:r w:rsidRPr="00D44FC3">
        <w:rPr>
          <w:rFonts w:ascii="Arial" w:hAnsi="Arial" w:cs="Arial"/>
        </w:rPr>
        <w:t>H</w:t>
      </w:r>
      <w:r w:rsidR="0022052D" w:rsidRPr="00D44FC3">
        <w:rPr>
          <w:rFonts w:ascii="Arial" w:hAnsi="Arial" w:cs="Arial"/>
        </w:rPr>
        <w:t xml:space="preserve">) The bar plots summarizing the numbers of shared and EUR-specific </w:t>
      </w:r>
      <w:proofErr w:type="spellStart"/>
      <w:r w:rsidR="0022052D" w:rsidRPr="00D44FC3">
        <w:rPr>
          <w:rFonts w:ascii="Arial" w:hAnsi="Arial" w:cs="Arial"/>
        </w:rPr>
        <w:t>mQTLs</w:t>
      </w:r>
      <w:proofErr w:type="spellEnd"/>
      <w:r w:rsidR="0022052D" w:rsidRPr="00D44FC3">
        <w:rPr>
          <w:rFonts w:ascii="Arial" w:hAnsi="Arial" w:cs="Arial"/>
        </w:rPr>
        <w:t xml:space="preserve"> within each MAF bin.</w:t>
      </w:r>
    </w:p>
    <w:bookmarkEnd w:id="78"/>
    <w:p w14:paraId="2A817667" w14:textId="77777777" w:rsidR="008816B2" w:rsidRPr="00D44FC3" w:rsidRDefault="008816B2">
      <w:pPr>
        <w:rPr>
          <w:rFonts w:ascii="Arial" w:hAnsi="Arial" w:cs="Arial"/>
          <w:b/>
          <w:bCs/>
        </w:rPr>
      </w:pPr>
      <w:r w:rsidRPr="00D44FC3">
        <w:rPr>
          <w:rFonts w:ascii="Arial" w:hAnsi="Arial" w:cs="Arial"/>
          <w:b/>
          <w:bCs/>
        </w:rPr>
        <w:br w:type="page"/>
      </w:r>
    </w:p>
    <w:p w14:paraId="705C4950" w14:textId="77777777" w:rsidR="00842382" w:rsidRPr="00D44FC3" w:rsidRDefault="0039794B" w:rsidP="00842382">
      <w:pPr>
        <w:pStyle w:val="Heading2"/>
        <w:rPr>
          <w:rFonts w:ascii="Arial" w:hAnsi="Arial" w:cs="Arial"/>
          <w:b/>
          <w:bCs/>
          <w:color w:val="auto"/>
          <w:sz w:val="22"/>
          <w:szCs w:val="22"/>
        </w:rPr>
      </w:pPr>
      <w:r w:rsidRPr="00D44FC3">
        <w:rPr>
          <w:rFonts w:ascii="Arial" w:hAnsi="Arial" w:cs="Arial"/>
          <w:b/>
          <w:bCs/>
          <w:noProof/>
          <w:color w:val="auto"/>
          <w:sz w:val="22"/>
          <w:szCs w:val="22"/>
        </w:rPr>
        <w:lastRenderedPageBreak/>
        <w:drawing>
          <wp:inline distT="0" distB="0" distL="0" distR="0" wp14:anchorId="5E587EA9" wp14:editId="1CAB2A64">
            <wp:extent cx="5943600" cy="7039610"/>
            <wp:effectExtent l="0" t="0" r="0" b="8890"/>
            <wp:docPr id="1669562220" name="Picture 1" descr="A chart of circle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562220" name="Picture 1" descr="A chart of circles and text&#10;&#10;Description automatically generated with medium confidence"/>
                    <pic:cNvPicPr/>
                  </pic:nvPicPr>
                  <pic:blipFill>
                    <a:blip r:embed="rId12"/>
                    <a:stretch>
                      <a:fillRect/>
                    </a:stretch>
                  </pic:blipFill>
                  <pic:spPr>
                    <a:xfrm>
                      <a:off x="0" y="0"/>
                      <a:ext cx="5943600" cy="7039610"/>
                    </a:xfrm>
                    <a:prstGeom prst="rect">
                      <a:avLst/>
                    </a:prstGeom>
                  </pic:spPr>
                </pic:pic>
              </a:graphicData>
            </a:graphic>
          </wp:inline>
        </w:drawing>
      </w:r>
      <w:r w:rsidR="002C2FF0" w:rsidRPr="00D44FC3">
        <w:rPr>
          <w:rFonts w:ascii="Arial" w:hAnsi="Arial" w:cs="Arial"/>
          <w:b/>
          <w:bCs/>
          <w:color w:val="auto"/>
          <w:sz w:val="22"/>
          <w:szCs w:val="22"/>
        </w:rPr>
        <w:t>Figure S</w:t>
      </w:r>
      <w:r w:rsidRPr="00D44FC3">
        <w:rPr>
          <w:rFonts w:ascii="Arial" w:hAnsi="Arial" w:cs="Arial"/>
          <w:b/>
          <w:bCs/>
          <w:color w:val="auto"/>
          <w:sz w:val="22"/>
          <w:szCs w:val="22"/>
        </w:rPr>
        <w:t>7</w:t>
      </w:r>
      <w:r w:rsidR="0022052D" w:rsidRPr="00D44FC3">
        <w:rPr>
          <w:rFonts w:ascii="Arial" w:hAnsi="Arial" w:cs="Arial"/>
          <w:b/>
          <w:bCs/>
          <w:color w:val="auto"/>
          <w:sz w:val="22"/>
          <w:szCs w:val="22"/>
        </w:rPr>
        <w:t xml:space="preserve"> Comparisons of </w:t>
      </w:r>
      <w:proofErr w:type="spellStart"/>
      <w:r w:rsidR="0022052D" w:rsidRPr="00D44FC3">
        <w:rPr>
          <w:rFonts w:ascii="Arial" w:hAnsi="Arial" w:cs="Arial"/>
          <w:b/>
          <w:bCs/>
          <w:color w:val="auto"/>
          <w:sz w:val="22"/>
          <w:szCs w:val="22"/>
        </w:rPr>
        <w:t>mashr</w:t>
      </w:r>
      <w:proofErr w:type="spellEnd"/>
      <w:r w:rsidR="0022052D" w:rsidRPr="00D44FC3">
        <w:rPr>
          <w:rFonts w:ascii="Arial" w:hAnsi="Arial" w:cs="Arial"/>
          <w:color w:val="auto"/>
          <w:sz w:val="22"/>
          <w:szCs w:val="22"/>
        </w:rPr>
        <w:t xml:space="preserve"> </w:t>
      </w:r>
      <w:r w:rsidR="0022052D" w:rsidRPr="00D44FC3">
        <w:rPr>
          <w:rFonts w:ascii="Arial" w:hAnsi="Arial" w:cs="Arial"/>
          <w:b/>
          <w:bCs/>
          <w:color w:val="auto"/>
          <w:sz w:val="22"/>
          <w:szCs w:val="22"/>
        </w:rPr>
        <w:t xml:space="preserve">and Z-value defined </w:t>
      </w:r>
      <w:bookmarkStart w:id="82" w:name="OLE_LINK158"/>
      <w:r w:rsidR="0022052D" w:rsidRPr="00D44FC3">
        <w:rPr>
          <w:rFonts w:ascii="Arial" w:hAnsi="Arial" w:cs="Arial"/>
          <w:b/>
          <w:bCs/>
          <w:color w:val="auto"/>
          <w:sz w:val="22"/>
          <w:szCs w:val="22"/>
        </w:rPr>
        <w:t>ancestry-shared QTLs</w:t>
      </w:r>
      <w:bookmarkEnd w:id="82"/>
      <w:r w:rsidR="0022052D" w:rsidRPr="00D44FC3">
        <w:rPr>
          <w:rFonts w:ascii="Arial" w:hAnsi="Arial" w:cs="Arial"/>
          <w:b/>
          <w:bCs/>
          <w:color w:val="auto"/>
          <w:sz w:val="22"/>
          <w:szCs w:val="22"/>
        </w:rPr>
        <w:t xml:space="preserve">.  </w:t>
      </w:r>
    </w:p>
    <w:p w14:paraId="0518BA94" w14:textId="09E34F0D" w:rsidR="0022052D" w:rsidRPr="00D44FC3" w:rsidRDefault="00D85FA9" w:rsidP="0022052D">
      <w:pPr>
        <w:spacing w:line="240" w:lineRule="auto"/>
        <w:rPr>
          <w:rFonts w:ascii="Arial" w:hAnsi="Arial" w:cs="Arial"/>
        </w:rPr>
      </w:pPr>
      <w:r w:rsidRPr="00D44FC3">
        <w:rPr>
          <w:rFonts w:ascii="Arial" w:hAnsi="Arial" w:cs="Arial"/>
        </w:rPr>
        <w:t>A</w:t>
      </w:r>
      <w:r w:rsidR="0022052D" w:rsidRPr="00D44FC3">
        <w:rPr>
          <w:rFonts w:ascii="Arial" w:hAnsi="Arial" w:cs="Arial"/>
        </w:rPr>
        <w:t xml:space="preserve">) AFR-specific </w:t>
      </w:r>
      <w:proofErr w:type="spellStart"/>
      <w:r w:rsidR="0022052D" w:rsidRPr="00D44FC3">
        <w:rPr>
          <w:rFonts w:ascii="Arial" w:hAnsi="Arial" w:cs="Arial"/>
        </w:rPr>
        <w:t>pQTL</w:t>
      </w:r>
      <w:proofErr w:type="spellEnd"/>
      <w:r w:rsidR="0022052D" w:rsidRPr="00D44FC3">
        <w:rPr>
          <w:rFonts w:ascii="Arial" w:hAnsi="Arial" w:cs="Arial"/>
        </w:rPr>
        <w:t xml:space="preserve"> vs queried EUR.  </w:t>
      </w:r>
      <w:bookmarkStart w:id="83" w:name="OLE_LINK160"/>
      <w:r w:rsidR="0022052D" w:rsidRPr="00D44FC3">
        <w:rPr>
          <w:rFonts w:ascii="Arial" w:hAnsi="Arial" w:cs="Arial"/>
        </w:rPr>
        <w:t xml:space="preserve">The </w:t>
      </w:r>
      <w:proofErr w:type="spellStart"/>
      <w:r w:rsidR="0022052D" w:rsidRPr="00D44FC3">
        <w:rPr>
          <w:rFonts w:ascii="Arial" w:hAnsi="Arial" w:cs="Arial"/>
        </w:rPr>
        <w:t>venn</w:t>
      </w:r>
      <w:proofErr w:type="spellEnd"/>
      <w:r w:rsidR="0022052D" w:rsidRPr="00D44FC3">
        <w:rPr>
          <w:rFonts w:ascii="Arial" w:hAnsi="Arial" w:cs="Arial"/>
        </w:rPr>
        <w:t xml:space="preserve"> diagram showed 83.1% overlapping using the two strategies (gray circle as </w:t>
      </w:r>
      <w:bookmarkStart w:id="84" w:name="OLE_LINK159"/>
      <w:proofErr w:type="spellStart"/>
      <w:r w:rsidR="0022052D" w:rsidRPr="00D44FC3">
        <w:rPr>
          <w:rFonts w:ascii="Arial" w:hAnsi="Arial" w:cs="Arial"/>
        </w:rPr>
        <w:t>mashr</w:t>
      </w:r>
      <w:proofErr w:type="spellEnd"/>
      <w:r w:rsidR="0022052D" w:rsidRPr="00D44FC3">
        <w:rPr>
          <w:rFonts w:ascii="Arial" w:hAnsi="Arial" w:cs="Arial"/>
        </w:rPr>
        <w:t xml:space="preserve"> </w:t>
      </w:r>
      <w:bookmarkEnd w:id="84"/>
      <w:r w:rsidR="0022052D" w:rsidRPr="00D44FC3">
        <w:rPr>
          <w:rFonts w:ascii="Arial" w:hAnsi="Arial" w:cs="Arial"/>
        </w:rPr>
        <w:t xml:space="preserve">output and purple as Z-value output) to classify ancestry-shared </w:t>
      </w:r>
      <w:proofErr w:type="spellStart"/>
      <w:r w:rsidR="0022052D" w:rsidRPr="00D44FC3">
        <w:rPr>
          <w:rFonts w:ascii="Arial" w:hAnsi="Arial" w:cs="Arial"/>
        </w:rPr>
        <w:t>pQTLs</w:t>
      </w:r>
      <w:proofErr w:type="spellEnd"/>
      <w:r w:rsidR="0022052D" w:rsidRPr="00D44FC3">
        <w:rPr>
          <w:rFonts w:ascii="Arial" w:hAnsi="Arial" w:cs="Arial"/>
        </w:rPr>
        <w:t xml:space="preserve"> in the AFR-</w:t>
      </w:r>
      <w:proofErr w:type="spellStart"/>
      <w:r w:rsidR="0022052D" w:rsidRPr="00D44FC3">
        <w:rPr>
          <w:rFonts w:ascii="Arial" w:hAnsi="Arial" w:cs="Arial"/>
        </w:rPr>
        <w:t>pQTL</w:t>
      </w:r>
      <w:proofErr w:type="spellEnd"/>
      <w:r w:rsidR="0022052D" w:rsidRPr="00D44FC3">
        <w:rPr>
          <w:rFonts w:ascii="Arial" w:hAnsi="Arial" w:cs="Arial"/>
        </w:rPr>
        <w:t xml:space="preserve"> set.</w:t>
      </w:r>
    </w:p>
    <w:bookmarkEnd w:id="83"/>
    <w:p w14:paraId="20BA6EAC" w14:textId="5CD0E63D" w:rsidR="0022052D" w:rsidRPr="00D44FC3" w:rsidRDefault="00D85FA9" w:rsidP="0022052D">
      <w:pPr>
        <w:spacing w:line="240" w:lineRule="auto"/>
        <w:rPr>
          <w:rFonts w:ascii="Arial" w:hAnsi="Arial" w:cs="Arial"/>
        </w:rPr>
      </w:pPr>
      <w:r w:rsidRPr="00D44FC3">
        <w:rPr>
          <w:rFonts w:ascii="Arial" w:hAnsi="Arial" w:cs="Arial"/>
        </w:rPr>
        <w:t>B</w:t>
      </w:r>
      <w:r w:rsidR="0022052D" w:rsidRPr="00D44FC3">
        <w:rPr>
          <w:rFonts w:ascii="Arial" w:hAnsi="Arial" w:cs="Arial"/>
        </w:rPr>
        <w:t xml:space="preserve">) EUR-specific </w:t>
      </w:r>
      <w:proofErr w:type="spellStart"/>
      <w:r w:rsidR="0022052D" w:rsidRPr="00D44FC3">
        <w:rPr>
          <w:rFonts w:ascii="Arial" w:hAnsi="Arial" w:cs="Arial"/>
        </w:rPr>
        <w:t>pQTL</w:t>
      </w:r>
      <w:proofErr w:type="spellEnd"/>
      <w:r w:rsidR="0022052D" w:rsidRPr="00D44FC3">
        <w:rPr>
          <w:rFonts w:ascii="Arial" w:hAnsi="Arial" w:cs="Arial"/>
        </w:rPr>
        <w:t xml:space="preserve"> vs queried AFR.  The </w:t>
      </w:r>
      <w:proofErr w:type="spellStart"/>
      <w:r w:rsidR="0022052D" w:rsidRPr="00D44FC3">
        <w:rPr>
          <w:rFonts w:ascii="Arial" w:hAnsi="Arial" w:cs="Arial"/>
        </w:rPr>
        <w:t>venn</w:t>
      </w:r>
      <w:proofErr w:type="spellEnd"/>
      <w:r w:rsidR="0022052D" w:rsidRPr="00D44FC3">
        <w:rPr>
          <w:rFonts w:ascii="Arial" w:hAnsi="Arial" w:cs="Arial"/>
        </w:rPr>
        <w:t xml:space="preserve"> diagram showed 82.5% overlapping using the two strategies to classify ancestry-shared </w:t>
      </w:r>
      <w:proofErr w:type="spellStart"/>
      <w:r w:rsidR="0022052D" w:rsidRPr="00D44FC3">
        <w:rPr>
          <w:rFonts w:ascii="Arial" w:hAnsi="Arial" w:cs="Arial"/>
        </w:rPr>
        <w:t>pQTLs</w:t>
      </w:r>
      <w:proofErr w:type="spellEnd"/>
      <w:r w:rsidR="0022052D" w:rsidRPr="00D44FC3">
        <w:rPr>
          <w:rFonts w:ascii="Arial" w:hAnsi="Arial" w:cs="Arial"/>
        </w:rPr>
        <w:t xml:space="preserve"> in the EUR-pQTL set.</w:t>
      </w:r>
    </w:p>
    <w:p w14:paraId="2B348B16" w14:textId="696B4F5A" w:rsidR="0022052D" w:rsidRPr="00D44FC3" w:rsidRDefault="00D85FA9" w:rsidP="0022052D">
      <w:pPr>
        <w:spacing w:line="240" w:lineRule="auto"/>
        <w:rPr>
          <w:rFonts w:ascii="Arial" w:hAnsi="Arial" w:cs="Arial"/>
        </w:rPr>
      </w:pPr>
      <w:r w:rsidRPr="00D44FC3">
        <w:rPr>
          <w:rFonts w:ascii="Arial" w:hAnsi="Arial" w:cs="Arial"/>
        </w:rPr>
        <w:lastRenderedPageBreak/>
        <w:t>C</w:t>
      </w:r>
      <w:r w:rsidR="0022052D" w:rsidRPr="00D44FC3">
        <w:rPr>
          <w:rFonts w:ascii="Arial" w:hAnsi="Arial" w:cs="Arial"/>
        </w:rPr>
        <w:t xml:space="preserve">) AFR-specific </w:t>
      </w:r>
      <w:proofErr w:type="spellStart"/>
      <w:r w:rsidR="0022052D" w:rsidRPr="00D44FC3">
        <w:rPr>
          <w:rFonts w:ascii="Arial" w:hAnsi="Arial" w:cs="Arial"/>
        </w:rPr>
        <w:t>mQTL</w:t>
      </w:r>
      <w:proofErr w:type="spellEnd"/>
      <w:r w:rsidR="0022052D" w:rsidRPr="00D44FC3">
        <w:rPr>
          <w:rFonts w:ascii="Arial" w:hAnsi="Arial" w:cs="Arial"/>
        </w:rPr>
        <w:t xml:space="preserve"> vs queried EUR.  </w:t>
      </w:r>
      <w:bookmarkStart w:id="85" w:name="OLE_LINK161"/>
      <w:r w:rsidR="0022052D" w:rsidRPr="00D44FC3">
        <w:rPr>
          <w:rFonts w:ascii="Arial" w:hAnsi="Arial" w:cs="Arial"/>
        </w:rPr>
        <w:t xml:space="preserve">The </w:t>
      </w:r>
      <w:proofErr w:type="spellStart"/>
      <w:r w:rsidR="0022052D" w:rsidRPr="00D44FC3">
        <w:rPr>
          <w:rFonts w:ascii="Arial" w:hAnsi="Arial" w:cs="Arial"/>
        </w:rPr>
        <w:t>venn</w:t>
      </w:r>
      <w:proofErr w:type="spellEnd"/>
      <w:r w:rsidR="0022052D" w:rsidRPr="00D44FC3">
        <w:rPr>
          <w:rFonts w:ascii="Arial" w:hAnsi="Arial" w:cs="Arial"/>
        </w:rPr>
        <w:t xml:space="preserve"> diagram showed 96.2% overlapping using the two strategies to classify ancestry-shared </w:t>
      </w:r>
      <w:proofErr w:type="spellStart"/>
      <w:r w:rsidR="0022052D" w:rsidRPr="00D44FC3">
        <w:rPr>
          <w:rFonts w:ascii="Arial" w:hAnsi="Arial" w:cs="Arial"/>
        </w:rPr>
        <w:t>mQTLs</w:t>
      </w:r>
      <w:proofErr w:type="spellEnd"/>
      <w:r w:rsidR="0022052D" w:rsidRPr="00D44FC3">
        <w:rPr>
          <w:rFonts w:ascii="Arial" w:hAnsi="Arial" w:cs="Arial"/>
        </w:rPr>
        <w:t xml:space="preserve"> in the AFR-</w:t>
      </w:r>
      <w:proofErr w:type="spellStart"/>
      <w:r w:rsidR="0022052D" w:rsidRPr="00D44FC3">
        <w:rPr>
          <w:rFonts w:ascii="Arial" w:hAnsi="Arial" w:cs="Arial"/>
        </w:rPr>
        <w:t>mQTL</w:t>
      </w:r>
      <w:proofErr w:type="spellEnd"/>
      <w:r w:rsidR="0022052D" w:rsidRPr="00D44FC3">
        <w:rPr>
          <w:rFonts w:ascii="Arial" w:hAnsi="Arial" w:cs="Arial"/>
        </w:rPr>
        <w:t xml:space="preserve"> set.</w:t>
      </w:r>
    </w:p>
    <w:bookmarkEnd w:id="85"/>
    <w:p w14:paraId="19C8933A" w14:textId="4E40E4F7" w:rsidR="0022052D" w:rsidRPr="00D44FC3" w:rsidRDefault="00D85FA9" w:rsidP="0022052D">
      <w:pPr>
        <w:spacing w:line="240" w:lineRule="auto"/>
        <w:rPr>
          <w:rFonts w:ascii="Arial" w:hAnsi="Arial" w:cs="Arial"/>
        </w:rPr>
      </w:pPr>
      <w:r w:rsidRPr="00D44FC3">
        <w:rPr>
          <w:rFonts w:ascii="Arial" w:hAnsi="Arial" w:cs="Arial"/>
        </w:rPr>
        <w:t>D</w:t>
      </w:r>
      <w:r w:rsidR="0022052D" w:rsidRPr="00D44FC3">
        <w:rPr>
          <w:rFonts w:ascii="Arial" w:hAnsi="Arial" w:cs="Arial"/>
        </w:rPr>
        <w:t xml:space="preserve">) EUR-specific </w:t>
      </w:r>
      <w:proofErr w:type="spellStart"/>
      <w:r w:rsidR="0022052D" w:rsidRPr="00D44FC3">
        <w:rPr>
          <w:rFonts w:ascii="Arial" w:hAnsi="Arial" w:cs="Arial"/>
        </w:rPr>
        <w:t>mQTL</w:t>
      </w:r>
      <w:proofErr w:type="spellEnd"/>
      <w:r w:rsidR="0022052D" w:rsidRPr="00D44FC3">
        <w:rPr>
          <w:rFonts w:ascii="Arial" w:hAnsi="Arial" w:cs="Arial"/>
        </w:rPr>
        <w:t xml:space="preserve"> vs queried AFR.  The </w:t>
      </w:r>
      <w:proofErr w:type="spellStart"/>
      <w:r w:rsidR="0022052D" w:rsidRPr="00D44FC3">
        <w:rPr>
          <w:rFonts w:ascii="Arial" w:hAnsi="Arial" w:cs="Arial"/>
        </w:rPr>
        <w:t>venn</w:t>
      </w:r>
      <w:proofErr w:type="spellEnd"/>
      <w:r w:rsidR="0022052D" w:rsidRPr="00D44FC3">
        <w:rPr>
          <w:rFonts w:ascii="Arial" w:hAnsi="Arial" w:cs="Arial"/>
        </w:rPr>
        <w:t xml:space="preserve"> diagram showed 82.3% overlapping using the two strategies to classify ancestry-shared </w:t>
      </w:r>
      <w:proofErr w:type="spellStart"/>
      <w:r w:rsidR="0022052D" w:rsidRPr="00D44FC3">
        <w:rPr>
          <w:rFonts w:ascii="Arial" w:hAnsi="Arial" w:cs="Arial"/>
        </w:rPr>
        <w:t>mQTLs</w:t>
      </w:r>
      <w:proofErr w:type="spellEnd"/>
      <w:r w:rsidR="0022052D" w:rsidRPr="00D44FC3">
        <w:rPr>
          <w:rFonts w:ascii="Arial" w:hAnsi="Arial" w:cs="Arial"/>
        </w:rPr>
        <w:t xml:space="preserve"> in the EUR-</w:t>
      </w:r>
      <w:proofErr w:type="spellStart"/>
      <w:r w:rsidR="0022052D" w:rsidRPr="00D44FC3">
        <w:rPr>
          <w:rFonts w:ascii="Arial" w:hAnsi="Arial" w:cs="Arial"/>
        </w:rPr>
        <w:t>mQTL</w:t>
      </w:r>
      <w:proofErr w:type="spellEnd"/>
      <w:r w:rsidR="0022052D" w:rsidRPr="00D44FC3">
        <w:rPr>
          <w:rFonts w:ascii="Arial" w:hAnsi="Arial" w:cs="Arial"/>
        </w:rPr>
        <w:t xml:space="preserve"> set.</w:t>
      </w:r>
    </w:p>
    <w:p w14:paraId="3EC4CF71" w14:textId="77777777" w:rsidR="0022052D" w:rsidRPr="00D44FC3" w:rsidRDefault="0022052D" w:rsidP="0022052D">
      <w:pPr>
        <w:spacing w:line="240" w:lineRule="auto"/>
        <w:rPr>
          <w:rFonts w:ascii="Arial" w:hAnsi="Arial" w:cs="Arial"/>
          <w:b/>
          <w:bCs/>
        </w:rPr>
      </w:pPr>
    </w:p>
    <w:p w14:paraId="19EF5DC0" w14:textId="77777777" w:rsidR="008816B2" w:rsidRPr="00D44FC3" w:rsidRDefault="008816B2">
      <w:pPr>
        <w:rPr>
          <w:rFonts w:ascii="Arial" w:hAnsi="Arial" w:cs="Arial"/>
          <w:b/>
          <w:bCs/>
        </w:rPr>
      </w:pPr>
      <w:r w:rsidRPr="00D44FC3">
        <w:rPr>
          <w:rFonts w:ascii="Arial" w:hAnsi="Arial" w:cs="Arial"/>
          <w:b/>
          <w:bCs/>
        </w:rPr>
        <w:br w:type="page"/>
      </w:r>
    </w:p>
    <w:p w14:paraId="43F9EDDA" w14:textId="77777777" w:rsidR="00D659F4" w:rsidRPr="00D44FC3" w:rsidRDefault="00096A09" w:rsidP="00D659F4">
      <w:pPr>
        <w:pStyle w:val="Heading2"/>
        <w:rPr>
          <w:rFonts w:ascii="Arial" w:hAnsi="Arial" w:cs="Arial"/>
          <w:b/>
          <w:bCs/>
          <w:color w:val="auto"/>
          <w:sz w:val="22"/>
          <w:szCs w:val="22"/>
        </w:rPr>
      </w:pPr>
      <w:r w:rsidRPr="00D44FC3">
        <w:rPr>
          <w:rFonts w:ascii="Arial" w:hAnsi="Arial" w:cs="Arial"/>
          <w:b/>
          <w:bCs/>
          <w:noProof/>
          <w:color w:val="auto"/>
          <w:sz w:val="22"/>
          <w:szCs w:val="22"/>
        </w:rPr>
        <w:lastRenderedPageBreak/>
        <w:drawing>
          <wp:inline distT="0" distB="0" distL="0" distR="0" wp14:anchorId="1E5C74C8" wp14:editId="5AC2C74A">
            <wp:extent cx="5943600" cy="6283325"/>
            <wp:effectExtent l="0" t="0" r="0" b="3175"/>
            <wp:docPr id="1269979603" name="Picture 1" descr="A circular chart with blue and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979603" name="Picture 1" descr="A circular chart with blue and black lines&#10;&#10;Description automatically generated"/>
                    <pic:cNvPicPr/>
                  </pic:nvPicPr>
                  <pic:blipFill>
                    <a:blip r:embed="rId13"/>
                    <a:stretch>
                      <a:fillRect/>
                    </a:stretch>
                  </pic:blipFill>
                  <pic:spPr>
                    <a:xfrm>
                      <a:off x="0" y="0"/>
                      <a:ext cx="5943600" cy="6283325"/>
                    </a:xfrm>
                    <a:prstGeom prst="rect">
                      <a:avLst/>
                    </a:prstGeom>
                  </pic:spPr>
                </pic:pic>
              </a:graphicData>
            </a:graphic>
          </wp:inline>
        </w:drawing>
      </w:r>
      <w:r w:rsidR="002C2FF0" w:rsidRPr="00D44FC3">
        <w:rPr>
          <w:rFonts w:ascii="Arial" w:hAnsi="Arial" w:cs="Arial"/>
          <w:b/>
          <w:bCs/>
          <w:color w:val="auto"/>
          <w:sz w:val="22"/>
          <w:szCs w:val="22"/>
        </w:rPr>
        <w:t>Figure S</w:t>
      </w:r>
      <w:r w:rsidRPr="00D44FC3">
        <w:rPr>
          <w:rFonts w:ascii="Arial" w:hAnsi="Arial" w:cs="Arial"/>
          <w:b/>
          <w:bCs/>
          <w:color w:val="auto"/>
          <w:sz w:val="22"/>
          <w:szCs w:val="22"/>
        </w:rPr>
        <w:t>8</w:t>
      </w:r>
      <w:r w:rsidR="0022052D" w:rsidRPr="00D44FC3">
        <w:rPr>
          <w:rFonts w:ascii="Arial" w:hAnsi="Arial" w:cs="Arial"/>
          <w:b/>
          <w:bCs/>
          <w:color w:val="auto"/>
          <w:sz w:val="22"/>
          <w:szCs w:val="22"/>
        </w:rPr>
        <w:t xml:space="preserve"> Circular Manhattan plot of the genetic associations of EUR proteomics, metabolomics, and T2D risk.  </w:t>
      </w:r>
      <w:bookmarkStart w:id="86" w:name="OLE_LINK162"/>
    </w:p>
    <w:p w14:paraId="1F5704CF" w14:textId="256F9027" w:rsidR="0022052D" w:rsidRPr="00D44FC3" w:rsidRDefault="0022052D" w:rsidP="0022052D">
      <w:pPr>
        <w:spacing w:line="240" w:lineRule="auto"/>
        <w:rPr>
          <w:rFonts w:ascii="Arial" w:hAnsi="Arial" w:cs="Arial"/>
          <w:b/>
          <w:bCs/>
        </w:rPr>
      </w:pPr>
      <w:r w:rsidRPr="00D44FC3">
        <w:rPr>
          <w:rFonts w:ascii="Arial" w:hAnsi="Arial" w:cs="Arial"/>
        </w:rPr>
        <w:t>Inner to outer layers are proteomics, metabolomics, and disease GWAS results.</w:t>
      </w:r>
    </w:p>
    <w:bookmarkEnd w:id="86"/>
    <w:p w14:paraId="1AF2A3B7" w14:textId="77777777" w:rsidR="008816B2" w:rsidRPr="00D44FC3" w:rsidRDefault="008816B2">
      <w:pPr>
        <w:rPr>
          <w:rFonts w:ascii="Arial" w:hAnsi="Arial" w:cs="Arial"/>
          <w:b/>
          <w:bCs/>
        </w:rPr>
      </w:pPr>
      <w:r w:rsidRPr="00D44FC3">
        <w:rPr>
          <w:rFonts w:ascii="Arial" w:hAnsi="Arial" w:cs="Arial"/>
          <w:b/>
          <w:bCs/>
        </w:rPr>
        <w:br w:type="page"/>
      </w:r>
    </w:p>
    <w:p w14:paraId="721C55DA" w14:textId="77777777" w:rsidR="00D659F4" w:rsidRPr="00D44FC3" w:rsidRDefault="009C1A38" w:rsidP="00D659F4">
      <w:pPr>
        <w:pStyle w:val="Heading2"/>
        <w:rPr>
          <w:rFonts w:ascii="Arial" w:hAnsi="Arial" w:cs="Arial"/>
          <w:b/>
          <w:bCs/>
          <w:color w:val="auto"/>
          <w:sz w:val="22"/>
          <w:szCs w:val="22"/>
        </w:rPr>
      </w:pPr>
      <w:r w:rsidRPr="00D44FC3">
        <w:rPr>
          <w:rFonts w:ascii="Arial" w:hAnsi="Arial" w:cs="Arial"/>
          <w:b/>
          <w:bCs/>
          <w:noProof/>
          <w:color w:val="auto"/>
          <w:sz w:val="22"/>
          <w:szCs w:val="22"/>
        </w:rPr>
        <w:lastRenderedPageBreak/>
        <w:drawing>
          <wp:inline distT="0" distB="0" distL="0" distR="0" wp14:anchorId="59E25588" wp14:editId="3D75B188">
            <wp:extent cx="5943600" cy="6000750"/>
            <wp:effectExtent l="0" t="0" r="0" b="0"/>
            <wp:docPr id="1424373071" name="Picture 1" descr="A circular chart with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73071" name="Picture 1" descr="A circular chart with different colored circles&#10;&#10;Description automatically generated"/>
                    <pic:cNvPicPr/>
                  </pic:nvPicPr>
                  <pic:blipFill>
                    <a:blip r:embed="rId14"/>
                    <a:stretch>
                      <a:fillRect/>
                    </a:stretch>
                  </pic:blipFill>
                  <pic:spPr>
                    <a:xfrm>
                      <a:off x="0" y="0"/>
                      <a:ext cx="5943600" cy="6000750"/>
                    </a:xfrm>
                    <a:prstGeom prst="rect">
                      <a:avLst/>
                    </a:prstGeom>
                  </pic:spPr>
                </pic:pic>
              </a:graphicData>
            </a:graphic>
          </wp:inline>
        </w:drawing>
      </w:r>
      <w:r w:rsidR="002C2FF0" w:rsidRPr="00D44FC3">
        <w:rPr>
          <w:rFonts w:ascii="Arial" w:hAnsi="Arial" w:cs="Arial"/>
          <w:b/>
          <w:bCs/>
          <w:color w:val="auto"/>
          <w:sz w:val="22"/>
          <w:szCs w:val="22"/>
        </w:rPr>
        <w:t>Figure S</w:t>
      </w:r>
      <w:r w:rsidRPr="00D44FC3">
        <w:rPr>
          <w:rFonts w:ascii="Arial" w:hAnsi="Arial" w:cs="Arial"/>
          <w:b/>
          <w:bCs/>
          <w:color w:val="auto"/>
          <w:sz w:val="22"/>
          <w:szCs w:val="22"/>
        </w:rPr>
        <w:t>9</w:t>
      </w:r>
      <w:r w:rsidR="0022052D" w:rsidRPr="00D44FC3">
        <w:rPr>
          <w:rFonts w:ascii="Arial" w:hAnsi="Arial" w:cs="Arial"/>
          <w:b/>
          <w:bCs/>
          <w:color w:val="auto"/>
          <w:sz w:val="22"/>
          <w:szCs w:val="22"/>
        </w:rPr>
        <w:t xml:space="preserve"> Circular Manhattan plot of the genetic associations of AFR proteomics, metabolomics, and T2D risk.  </w:t>
      </w:r>
    </w:p>
    <w:p w14:paraId="68603C1C" w14:textId="66269B2F" w:rsidR="0022052D" w:rsidRPr="00D44FC3" w:rsidRDefault="0022052D" w:rsidP="0022052D">
      <w:pPr>
        <w:spacing w:line="240" w:lineRule="auto"/>
        <w:rPr>
          <w:rFonts w:ascii="Arial" w:hAnsi="Arial" w:cs="Arial"/>
        </w:rPr>
      </w:pPr>
      <w:r w:rsidRPr="00D44FC3">
        <w:rPr>
          <w:rFonts w:ascii="Arial" w:hAnsi="Arial" w:cs="Arial"/>
        </w:rPr>
        <w:t>Inner to outer layers are proteomics, metabolomics, and disease GWAS results.</w:t>
      </w:r>
    </w:p>
    <w:p w14:paraId="77E0F670" w14:textId="77777777" w:rsidR="008816B2" w:rsidRPr="00D44FC3" w:rsidRDefault="008816B2">
      <w:pPr>
        <w:rPr>
          <w:rFonts w:ascii="Arial" w:hAnsi="Arial" w:cs="Arial"/>
          <w:b/>
          <w:bCs/>
        </w:rPr>
      </w:pPr>
      <w:r w:rsidRPr="00D44FC3">
        <w:rPr>
          <w:rFonts w:ascii="Arial" w:hAnsi="Arial" w:cs="Arial"/>
          <w:b/>
          <w:bCs/>
        </w:rPr>
        <w:br w:type="page"/>
      </w:r>
    </w:p>
    <w:p w14:paraId="0311F9F0" w14:textId="6D582413" w:rsidR="00C45307" w:rsidRPr="00D44FC3" w:rsidRDefault="007D4566"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696CDC65" wp14:editId="355F0593">
            <wp:extent cx="4908369" cy="7117080"/>
            <wp:effectExtent l="0" t="0" r="6985" b="7620"/>
            <wp:docPr id="20374799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47995" name="Picture 1" descr="A screenshot of a graph&#10;&#10;Description automatically generated"/>
                    <pic:cNvPicPr/>
                  </pic:nvPicPr>
                  <pic:blipFill>
                    <a:blip r:embed="rId15"/>
                    <a:stretch>
                      <a:fillRect/>
                    </a:stretch>
                  </pic:blipFill>
                  <pic:spPr>
                    <a:xfrm>
                      <a:off x="0" y="0"/>
                      <a:ext cx="4911519" cy="7121648"/>
                    </a:xfrm>
                    <a:prstGeom prst="rect">
                      <a:avLst/>
                    </a:prstGeom>
                  </pic:spPr>
                </pic:pic>
              </a:graphicData>
            </a:graphic>
          </wp:inline>
        </w:drawing>
      </w:r>
    </w:p>
    <w:p w14:paraId="307C7226" w14:textId="77777777" w:rsidR="00D659F4" w:rsidRPr="00D44FC3" w:rsidRDefault="002C2FF0" w:rsidP="00D659F4">
      <w:pPr>
        <w:pStyle w:val="Heading2"/>
        <w:rPr>
          <w:rFonts w:ascii="Arial" w:hAnsi="Arial" w:cs="Arial"/>
          <w:b/>
          <w:bCs/>
          <w:color w:val="auto"/>
          <w:sz w:val="22"/>
          <w:szCs w:val="22"/>
        </w:rPr>
      </w:pPr>
      <w:bookmarkStart w:id="87" w:name="OLE_LINK1"/>
      <w:r w:rsidRPr="00D44FC3">
        <w:rPr>
          <w:rFonts w:ascii="Arial" w:hAnsi="Arial" w:cs="Arial"/>
          <w:b/>
          <w:bCs/>
          <w:color w:val="auto"/>
          <w:sz w:val="22"/>
          <w:szCs w:val="22"/>
        </w:rPr>
        <w:t>Figure S</w:t>
      </w:r>
      <w:r w:rsidR="007D4566" w:rsidRPr="00D44FC3">
        <w:rPr>
          <w:rFonts w:ascii="Arial" w:hAnsi="Arial" w:cs="Arial"/>
          <w:b/>
          <w:bCs/>
          <w:color w:val="auto"/>
          <w:sz w:val="22"/>
          <w:szCs w:val="22"/>
        </w:rPr>
        <w:t>10</w:t>
      </w:r>
      <w:r w:rsidR="0022052D" w:rsidRPr="00D44FC3">
        <w:rPr>
          <w:rFonts w:ascii="Arial" w:hAnsi="Arial" w:cs="Arial"/>
          <w:b/>
          <w:bCs/>
          <w:color w:val="auto"/>
          <w:sz w:val="22"/>
          <w:szCs w:val="22"/>
        </w:rPr>
        <w:t xml:space="preserve"> Upset plots of the feature-overlap between each of the three-stage integrative analyses with ancestry-matched T2D risk. </w:t>
      </w:r>
    </w:p>
    <w:p w14:paraId="4EEEDFE1" w14:textId="44168F18" w:rsidR="0022052D" w:rsidRPr="00D44FC3" w:rsidRDefault="00C45307" w:rsidP="0022052D">
      <w:pPr>
        <w:spacing w:line="240" w:lineRule="auto"/>
        <w:rPr>
          <w:rFonts w:ascii="Arial" w:hAnsi="Arial" w:cs="Arial"/>
          <w:b/>
          <w:bCs/>
        </w:rPr>
      </w:pPr>
      <w:r w:rsidRPr="00D44FC3">
        <w:rPr>
          <w:rFonts w:ascii="Arial" w:hAnsi="Arial" w:cs="Arial"/>
        </w:rPr>
        <w:t>A</w:t>
      </w:r>
      <w:r w:rsidR="0022052D" w:rsidRPr="00D44FC3">
        <w:rPr>
          <w:rFonts w:ascii="Arial" w:hAnsi="Arial" w:cs="Arial"/>
        </w:rPr>
        <w:t xml:space="preserve">) EUR proteins, </w:t>
      </w:r>
      <w:r w:rsidRPr="00D44FC3">
        <w:rPr>
          <w:rFonts w:ascii="Arial" w:hAnsi="Arial" w:cs="Arial"/>
        </w:rPr>
        <w:t>B</w:t>
      </w:r>
      <w:r w:rsidR="0022052D" w:rsidRPr="00D44FC3">
        <w:rPr>
          <w:rFonts w:ascii="Arial" w:hAnsi="Arial" w:cs="Arial"/>
        </w:rPr>
        <w:t xml:space="preserve">) AFR proteins, </w:t>
      </w:r>
      <w:r w:rsidRPr="00D44FC3">
        <w:rPr>
          <w:rFonts w:ascii="Arial" w:hAnsi="Arial" w:cs="Arial"/>
        </w:rPr>
        <w:t>C</w:t>
      </w:r>
      <w:r w:rsidR="0022052D" w:rsidRPr="00D44FC3">
        <w:rPr>
          <w:rFonts w:ascii="Arial" w:hAnsi="Arial" w:cs="Arial"/>
        </w:rPr>
        <w:t xml:space="preserve">) EUR metabolites, and </w:t>
      </w:r>
      <w:r w:rsidRPr="00D44FC3">
        <w:rPr>
          <w:rFonts w:ascii="Arial" w:hAnsi="Arial" w:cs="Arial"/>
        </w:rPr>
        <w:t>D</w:t>
      </w:r>
      <w:r w:rsidR="0022052D" w:rsidRPr="00D44FC3">
        <w:rPr>
          <w:rFonts w:ascii="Arial" w:hAnsi="Arial" w:cs="Arial"/>
        </w:rPr>
        <w:t xml:space="preserve">) AFR metabolites.  </w:t>
      </w:r>
    </w:p>
    <w:bookmarkEnd w:id="87"/>
    <w:p w14:paraId="07CE5F09" w14:textId="77777777" w:rsidR="008816B2" w:rsidRPr="00D44FC3" w:rsidRDefault="008816B2">
      <w:pPr>
        <w:rPr>
          <w:rFonts w:ascii="Arial" w:hAnsi="Arial" w:cs="Arial"/>
          <w:b/>
          <w:bCs/>
        </w:rPr>
      </w:pPr>
      <w:r w:rsidRPr="00D44FC3">
        <w:rPr>
          <w:rFonts w:ascii="Arial" w:hAnsi="Arial" w:cs="Arial"/>
          <w:b/>
          <w:bCs/>
        </w:rPr>
        <w:br w:type="page"/>
      </w:r>
    </w:p>
    <w:p w14:paraId="26DD6754" w14:textId="0D69264B" w:rsidR="008816B2" w:rsidRPr="00D44FC3" w:rsidRDefault="007D4566"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15EEC086" wp14:editId="701D097F">
            <wp:extent cx="4716780" cy="7240255"/>
            <wp:effectExtent l="0" t="0" r="7620" b="0"/>
            <wp:docPr id="111655303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53034" name="Picture 1" descr="A screenshot of a computer screen&#10;&#10;Description automatically generated"/>
                    <pic:cNvPicPr/>
                  </pic:nvPicPr>
                  <pic:blipFill>
                    <a:blip r:embed="rId16"/>
                    <a:stretch>
                      <a:fillRect/>
                    </a:stretch>
                  </pic:blipFill>
                  <pic:spPr>
                    <a:xfrm>
                      <a:off x="0" y="0"/>
                      <a:ext cx="4720334" cy="7245710"/>
                    </a:xfrm>
                    <a:prstGeom prst="rect">
                      <a:avLst/>
                    </a:prstGeom>
                  </pic:spPr>
                </pic:pic>
              </a:graphicData>
            </a:graphic>
          </wp:inline>
        </w:drawing>
      </w:r>
    </w:p>
    <w:p w14:paraId="2D615AC9" w14:textId="77777777" w:rsidR="00D659F4" w:rsidRPr="00D44FC3" w:rsidRDefault="002C2FF0" w:rsidP="00D659F4">
      <w:pPr>
        <w:pStyle w:val="Heading2"/>
        <w:rPr>
          <w:rFonts w:ascii="Arial" w:hAnsi="Arial" w:cs="Arial"/>
          <w:b/>
          <w:bCs/>
          <w:color w:val="auto"/>
          <w:sz w:val="22"/>
          <w:szCs w:val="22"/>
        </w:rPr>
      </w:pPr>
      <w:r w:rsidRPr="00D44FC3">
        <w:rPr>
          <w:rFonts w:ascii="Arial" w:hAnsi="Arial" w:cs="Arial"/>
          <w:b/>
          <w:bCs/>
          <w:color w:val="auto"/>
          <w:sz w:val="22"/>
          <w:szCs w:val="22"/>
        </w:rPr>
        <w:t>Figure S</w:t>
      </w:r>
      <w:r w:rsidR="007D4566" w:rsidRPr="00D44FC3">
        <w:rPr>
          <w:rFonts w:ascii="Arial" w:hAnsi="Arial" w:cs="Arial"/>
          <w:b/>
          <w:bCs/>
          <w:color w:val="auto"/>
          <w:sz w:val="22"/>
          <w:szCs w:val="22"/>
        </w:rPr>
        <w:t>11</w:t>
      </w:r>
      <w:r w:rsidR="0022052D" w:rsidRPr="00D44FC3">
        <w:rPr>
          <w:rFonts w:ascii="Arial" w:hAnsi="Arial" w:cs="Arial"/>
          <w:b/>
          <w:bCs/>
          <w:color w:val="auto"/>
          <w:sz w:val="22"/>
          <w:szCs w:val="22"/>
        </w:rPr>
        <w:t xml:space="preserve"> </w:t>
      </w:r>
      <w:bookmarkStart w:id="88" w:name="OLE_LINK38"/>
      <w:r w:rsidR="0022052D" w:rsidRPr="00D44FC3">
        <w:rPr>
          <w:rFonts w:ascii="Arial" w:hAnsi="Arial" w:cs="Arial"/>
          <w:b/>
          <w:bCs/>
          <w:color w:val="auto"/>
          <w:sz w:val="22"/>
          <w:szCs w:val="22"/>
        </w:rPr>
        <w:t xml:space="preserve">Stacked regional plots of the genetic associations of proteins and ancestry matched T2D risk.  </w:t>
      </w:r>
    </w:p>
    <w:p w14:paraId="0A0D186D" w14:textId="3133DAE5" w:rsidR="008816B2" w:rsidRPr="00D44FC3" w:rsidRDefault="00565EE3" w:rsidP="009B2845">
      <w:pPr>
        <w:spacing w:line="240" w:lineRule="auto"/>
        <w:rPr>
          <w:rFonts w:ascii="Arial" w:hAnsi="Arial" w:cs="Arial"/>
          <w:b/>
          <w:bCs/>
        </w:rPr>
      </w:pPr>
      <w:r w:rsidRPr="00D44FC3">
        <w:rPr>
          <w:rFonts w:ascii="Arial" w:hAnsi="Arial" w:cs="Arial"/>
        </w:rPr>
        <w:t>A</w:t>
      </w:r>
      <w:r w:rsidR="0022052D" w:rsidRPr="00D44FC3">
        <w:rPr>
          <w:rFonts w:ascii="Arial" w:hAnsi="Arial" w:cs="Arial"/>
        </w:rPr>
        <w:t>-</w:t>
      </w:r>
      <w:r w:rsidRPr="00D44FC3">
        <w:rPr>
          <w:rFonts w:ascii="Arial" w:hAnsi="Arial" w:cs="Arial"/>
        </w:rPr>
        <w:t>E</w:t>
      </w:r>
      <w:r w:rsidR="0022052D" w:rsidRPr="00D44FC3">
        <w:rPr>
          <w:rFonts w:ascii="Arial" w:hAnsi="Arial" w:cs="Arial"/>
        </w:rPr>
        <w:t xml:space="preserve">) five EUR proteins on EUR T2D; </w:t>
      </w:r>
      <w:r w:rsidRPr="00D44FC3">
        <w:rPr>
          <w:rFonts w:ascii="Arial" w:hAnsi="Arial" w:cs="Arial"/>
        </w:rPr>
        <w:t>F</w:t>
      </w:r>
      <w:r w:rsidR="0022052D" w:rsidRPr="00D44FC3">
        <w:rPr>
          <w:rFonts w:ascii="Arial" w:hAnsi="Arial" w:cs="Arial"/>
        </w:rPr>
        <w:t>) one AFR protein on AFR T2D.</w:t>
      </w:r>
      <w:bookmarkStart w:id="89" w:name="OLE_LINK213"/>
      <w:bookmarkEnd w:id="88"/>
    </w:p>
    <w:p w14:paraId="0A2C4D6C" w14:textId="01C3F54F" w:rsidR="008E11FE" w:rsidRPr="00D44FC3" w:rsidRDefault="008E11FE" w:rsidP="0022052D">
      <w:pPr>
        <w:spacing w:line="240" w:lineRule="auto"/>
        <w:rPr>
          <w:rFonts w:ascii="Arial" w:hAnsi="Arial" w:cs="Arial"/>
          <w:b/>
          <w:bCs/>
        </w:rPr>
      </w:pPr>
    </w:p>
    <w:p w14:paraId="70AFCBEC" w14:textId="77777777" w:rsidR="007D4566" w:rsidRPr="00D44FC3" w:rsidRDefault="007D4566" w:rsidP="0022052D">
      <w:pPr>
        <w:spacing w:line="240" w:lineRule="auto"/>
        <w:rPr>
          <w:rFonts w:ascii="Arial" w:hAnsi="Arial" w:cs="Arial"/>
          <w:b/>
          <w:bCs/>
        </w:rPr>
      </w:pPr>
      <w:r w:rsidRPr="00D44FC3">
        <w:rPr>
          <w:rFonts w:ascii="Arial" w:hAnsi="Arial" w:cs="Arial"/>
          <w:b/>
          <w:bCs/>
          <w:noProof/>
        </w:rPr>
        <w:lastRenderedPageBreak/>
        <w:drawing>
          <wp:inline distT="0" distB="0" distL="0" distR="0" wp14:anchorId="0D0C9397" wp14:editId="4AC2D10B">
            <wp:extent cx="4888657" cy="7330440"/>
            <wp:effectExtent l="0" t="0" r="7620" b="3810"/>
            <wp:docPr id="151151828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518284" name="Picture 1" descr="A screenshot of a graph&#10;&#10;Description automatically generated"/>
                    <pic:cNvPicPr/>
                  </pic:nvPicPr>
                  <pic:blipFill>
                    <a:blip r:embed="rId17"/>
                    <a:stretch>
                      <a:fillRect/>
                    </a:stretch>
                  </pic:blipFill>
                  <pic:spPr>
                    <a:xfrm>
                      <a:off x="0" y="0"/>
                      <a:ext cx="4894532" cy="7339249"/>
                    </a:xfrm>
                    <a:prstGeom prst="rect">
                      <a:avLst/>
                    </a:prstGeom>
                  </pic:spPr>
                </pic:pic>
              </a:graphicData>
            </a:graphic>
          </wp:inline>
        </w:drawing>
      </w:r>
    </w:p>
    <w:p w14:paraId="7DAD176F" w14:textId="77777777" w:rsidR="00D659F4" w:rsidRPr="00D44FC3" w:rsidRDefault="002C2FF0" w:rsidP="00D659F4">
      <w:pPr>
        <w:pStyle w:val="Heading2"/>
        <w:rPr>
          <w:rFonts w:ascii="Arial" w:hAnsi="Arial" w:cs="Arial"/>
          <w:b/>
          <w:bCs/>
          <w:color w:val="auto"/>
          <w:sz w:val="22"/>
          <w:szCs w:val="22"/>
        </w:rPr>
      </w:pPr>
      <w:r w:rsidRPr="00D44FC3">
        <w:rPr>
          <w:rFonts w:ascii="Arial" w:hAnsi="Arial" w:cs="Arial"/>
          <w:b/>
          <w:bCs/>
          <w:color w:val="auto"/>
          <w:sz w:val="22"/>
          <w:szCs w:val="22"/>
        </w:rPr>
        <w:t>Figure S</w:t>
      </w:r>
      <w:r w:rsidR="0022052D" w:rsidRPr="00D44FC3">
        <w:rPr>
          <w:rFonts w:ascii="Arial" w:hAnsi="Arial" w:cs="Arial"/>
          <w:b/>
          <w:bCs/>
          <w:color w:val="auto"/>
          <w:sz w:val="22"/>
          <w:szCs w:val="22"/>
        </w:rPr>
        <w:t>1</w:t>
      </w:r>
      <w:r w:rsidR="007D4566" w:rsidRPr="00D44FC3">
        <w:rPr>
          <w:rFonts w:ascii="Arial" w:hAnsi="Arial" w:cs="Arial"/>
          <w:b/>
          <w:bCs/>
          <w:color w:val="auto"/>
          <w:sz w:val="22"/>
          <w:szCs w:val="22"/>
        </w:rPr>
        <w:t>2</w:t>
      </w:r>
      <w:r w:rsidR="0022052D" w:rsidRPr="00D44FC3">
        <w:rPr>
          <w:rFonts w:ascii="Arial" w:hAnsi="Arial" w:cs="Arial"/>
          <w:b/>
          <w:bCs/>
          <w:color w:val="auto"/>
          <w:sz w:val="22"/>
          <w:szCs w:val="22"/>
        </w:rPr>
        <w:t xml:space="preserve"> Stacked regional plots of the genetic associations of metabolites and ancestry matched T2D risk.  </w:t>
      </w:r>
    </w:p>
    <w:p w14:paraId="18F4CCC0" w14:textId="0AE49176" w:rsidR="0022052D" w:rsidRPr="00D44FC3" w:rsidRDefault="008E11FE" w:rsidP="0022052D">
      <w:pPr>
        <w:spacing w:line="240" w:lineRule="auto"/>
        <w:rPr>
          <w:rFonts w:ascii="Arial" w:hAnsi="Arial" w:cs="Arial"/>
          <w:b/>
          <w:bCs/>
        </w:rPr>
      </w:pPr>
      <w:r w:rsidRPr="00D44FC3">
        <w:rPr>
          <w:rFonts w:ascii="Arial" w:hAnsi="Arial" w:cs="Arial"/>
        </w:rPr>
        <w:t>A</w:t>
      </w:r>
      <w:r w:rsidR="0022052D" w:rsidRPr="00D44FC3">
        <w:rPr>
          <w:rFonts w:ascii="Arial" w:hAnsi="Arial" w:cs="Arial"/>
        </w:rPr>
        <w:t>-</w:t>
      </w:r>
      <w:r w:rsidRPr="00D44FC3">
        <w:rPr>
          <w:rFonts w:ascii="Arial" w:hAnsi="Arial" w:cs="Arial"/>
        </w:rPr>
        <w:t>D</w:t>
      </w:r>
      <w:r w:rsidR="0022052D" w:rsidRPr="00D44FC3">
        <w:rPr>
          <w:rFonts w:ascii="Arial" w:hAnsi="Arial" w:cs="Arial"/>
        </w:rPr>
        <w:t xml:space="preserve">) four EUR metabolites on EUR T2D; </w:t>
      </w:r>
      <w:r w:rsidRPr="00D44FC3">
        <w:rPr>
          <w:rFonts w:ascii="Arial" w:hAnsi="Arial" w:cs="Arial"/>
        </w:rPr>
        <w:t>E</w:t>
      </w:r>
      <w:r w:rsidR="0022052D" w:rsidRPr="00D44FC3">
        <w:rPr>
          <w:rFonts w:ascii="Arial" w:hAnsi="Arial" w:cs="Arial"/>
        </w:rPr>
        <w:t>) one AFR metabolite on AFR T2D.</w:t>
      </w:r>
    </w:p>
    <w:p w14:paraId="54AB9370" w14:textId="77777777" w:rsidR="008816B2" w:rsidRPr="00D44FC3" w:rsidRDefault="008816B2">
      <w:pPr>
        <w:rPr>
          <w:rFonts w:ascii="Arial" w:hAnsi="Arial" w:cs="Arial"/>
          <w:b/>
          <w:bCs/>
        </w:rPr>
      </w:pPr>
      <w:bookmarkStart w:id="90" w:name="OLE_LINK306"/>
      <w:bookmarkStart w:id="91" w:name="OLE_LINK300"/>
      <w:bookmarkEnd w:id="89"/>
      <w:r w:rsidRPr="00D44FC3">
        <w:rPr>
          <w:rFonts w:ascii="Arial" w:hAnsi="Arial" w:cs="Arial"/>
          <w:b/>
          <w:bCs/>
        </w:rPr>
        <w:br w:type="page"/>
      </w:r>
    </w:p>
    <w:bookmarkEnd w:id="90"/>
    <w:p w14:paraId="1A3538B5" w14:textId="77777777" w:rsidR="003413AD" w:rsidRPr="00D44FC3" w:rsidRDefault="007D4566" w:rsidP="003413AD">
      <w:pPr>
        <w:pStyle w:val="Heading2"/>
        <w:rPr>
          <w:rFonts w:ascii="Arial" w:hAnsi="Arial" w:cs="Arial"/>
          <w:b/>
          <w:bCs/>
          <w:color w:val="auto"/>
          <w:sz w:val="22"/>
          <w:szCs w:val="22"/>
        </w:rPr>
      </w:pPr>
      <w:r w:rsidRPr="00D44FC3">
        <w:rPr>
          <w:rFonts w:ascii="Arial" w:hAnsi="Arial" w:cs="Arial"/>
          <w:b/>
          <w:bCs/>
          <w:noProof/>
          <w:color w:val="auto"/>
          <w:sz w:val="22"/>
          <w:szCs w:val="22"/>
        </w:rPr>
        <w:lastRenderedPageBreak/>
        <w:drawing>
          <wp:inline distT="0" distB="0" distL="0" distR="0" wp14:anchorId="241E4F27" wp14:editId="1A2BB12D">
            <wp:extent cx="5943600" cy="2801620"/>
            <wp:effectExtent l="0" t="0" r="0" b="0"/>
            <wp:docPr id="177613084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130840" name="Picture 1" descr="A screenshot of a graph&#10;&#10;Description automatically generated"/>
                    <pic:cNvPicPr/>
                  </pic:nvPicPr>
                  <pic:blipFill>
                    <a:blip r:embed="rId18"/>
                    <a:stretch>
                      <a:fillRect/>
                    </a:stretch>
                  </pic:blipFill>
                  <pic:spPr>
                    <a:xfrm>
                      <a:off x="0" y="0"/>
                      <a:ext cx="5943600" cy="2801620"/>
                    </a:xfrm>
                    <a:prstGeom prst="rect">
                      <a:avLst/>
                    </a:prstGeom>
                  </pic:spPr>
                </pic:pic>
              </a:graphicData>
            </a:graphic>
          </wp:inline>
        </w:drawing>
      </w:r>
      <w:r w:rsidR="002C2FF0" w:rsidRPr="00D44FC3">
        <w:rPr>
          <w:rFonts w:ascii="Arial" w:hAnsi="Arial" w:cs="Arial"/>
          <w:b/>
          <w:bCs/>
          <w:color w:val="auto"/>
          <w:sz w:val="22"/>
          <w:szCs w:val="22"/>
        </w:rPr>
        <w:t>Figure S</w:t>
      </w:r>
      <w:r w:rsidR="0022052D" w:rsidRPr="00D44FC3">
        <w:rPr>
          <w:rFonts w:ascii="Arial" w:hAnsi="Arial" w:cs="Arial"/>
          <w:b/>
          <w:bCs/>
          <w:color w:val="auto"/>
          <w:sz w:val="22"/>
          <w:szCs w:val="22"/>
        </w:rPr>
        <w:t>1</w:t>
      </w:r>
      <w:r w:rsidRPr="00D44FC3">
        <w:rPr>
          <w:rFonts w:ascii="Arial" w:hAnsi="Arial" w:cs="Arial"/>
          <w:b/>
          <w:bCs/>
          <w:color w:val="auto"/>
          <w:sz w:val="22"/>
          <w:szCs w:val="22"/>
        </w:rPr>
        <w:t>3</w:t>
      </w:r>
      <w:r w:rsidR="0022052D" w:rsidRPr="00D44FC3">
        <w:rPr>
          <w:rFonts w:ascii="Arial" w:hAnsi="Arial" w:cs="Arial"/>
          <w:b/>
          <w:bCs/>
          <w:color w:val="auto"/>
          <w:sz w:val="22"/>
          <w:szCs w:val="22"/>
        </w:rPr>
        <w:t xml:space="preserve"> </w:t>
      </w:r>
      <w:proofErr w:type="spellStart"/>
      <w:r w:rsidR="0022052D" w:rsidRPr="00D44FC3">
        <w:rPr>
          <w:rFonts w:ascii="Arial" w:hAnsi="Arial" w:cs="Arial"/>
          <w:b/>
          <w:bCs/>
          <w:color w:val="auto"/>
          <w:sz w:val="22"/>
          <w:szCs w:val="22"/>
        </w:rPr>
        <w:t>Barplots</w:t>
      </w:r>
      <w:proofErr w:type="spellEnd"/>
      <w:r w:rsidR="0022052D" w:rsidRPr="00D44FC3">
        <w:rPr>
          <w:rFonts w:ascii="Arial" w:hAnsi="Arial" w:cs="Arial"/>
          <w:b/>
          <w:bCs/>
          <w:color w:val="auto"/>
          <w:sz w:val="22"/>
          <w:szCs w:val="22"/>
        </w:rPr>
        <w:t xml:space="preserve"> of the fold-change features [per INTACT plus MR result with ancestry-matched T2D risk over all features with a significant QTL] </w:t>
      </w:r>
      <w:proofErr w:type="spellStart"/>
      <w:r w:rsidR="0022052D" w:rsidRPr="00D44FC3">
        <w:rPr>
          <w:rFonts w:ascii="Arial" w:hAnsi="Arial" w:cs="Arial"/>
          <w:b/>
          <w:bCs/>
          <w:color w:val="auto"/>
          <w:sz w:val="22"/>
          <w:szCs w:val="22"/>
        </w:rPr>
        <w:t>acrss</w:t>
      </w:r>
      <w:proofErr w:type="spellEnd"/>
      <w:r w:rsidR="0022052D" w:rsidRPr="00D44FC3">
        <w:rPr>
          <w:rFonts w:ascii="Arial" w:hAnsi="Arial" w:cs="Arial"/>
          <w:b/>
          <w:bCs/>
          <w:color w:val="auto"/>
          <w:sz w:val="22"/>
          <w:szCs w:val="22"/>
        </w:rPr>
        <w:t xml:space="preserve"> the highest ranked cell-type (five major categories] curated by </w:t>
      </w:r>
      <w:proofErr w:type="spellStart"/>
      <w:r w:rsidR="0022052D" w:rsidRPr="00D44FC3">
        <w:rPr>
          <w:rFonts w:ascii="Arial" w:hAnsi="Arial" w:cs="Arial"/>
          <w:b/>
          <w:bCs/>
          <w:color w:val="auto"/>
          <w:sz w:val="22"/>
          <w:szCs w:val="22"/>
        </w:rPr>
        <w:t>ImmGen</w:t>
      </w:r>
      <w:proofErr w:type="spellEnd"/>
      <w:r w:rsidR="0022052D" w:rsidRPr="00D44FC3">
        <w:rPr>
          <w:rFonts w:ascii="Arial" w:hAnsi="Arial" w:cs="Arial"/>
          <w:b/>
          <w:bCs/>
          <w:color w:val="auto"/>
          <w:sz w:val="22"/>
          <w:szCs w:val="22"/>
        </w:rPr>
        <w:t xml:space="preserve">. </w:t>
      </w:r>
    </w:p>
    <w:p w14:paraId="025FB0F4" w14:textId="127E815B" w:rsidR="0022052D" w:rsidRPr="00D44FC3" w:rsidRDefault="0022052D" w:rsidP="0022052D">
      <w:pPr>
        <w:spacing w:line="240" w:lineRule="auto"/>
        <w:rPr>
          <w:rFonts w:ascii="Arial" w:hAnsi="Arial" w:cs="Arial"/>
          <w:b/>
          <w:bCs/>
        </w:rPr>
      </w:pPr>
      <w:r w:rsidRPr="00D44FC3">
        <w:rPr>
          <w:rFonts w:ascii="Arial" w:hAnsi="Arial" w:cs="Arial"/>
        </w:rPr>
        <w:t>The features are from EUR proteins, AFR proteins, EUR metabolites, and AFR metabolites.  The cell type was ranked by p-value of the S-LDSC results with the QTL summary statistics per feature.</w:t>
      </w:r>
      <w:bookmarkEnd w:id="91"/>
    </w:p>
    <w:p w14:paraId="76E51BC2" w14:textId="4E66CD39" w:rsidR="00783B7A" w:rsidRPr="00D44FC3" w:rsidRDefault="00783B7A">
      <w:pPr>
        <w:rPr>
          <w:rFonts w:ascii="Arial" w:hAnsi="Arial" w:cs="Arial"/>
        </w:rPr>
      </w:pPr>
    </w:p>
    <w:p w14:paraId="58DBE556" w14:textId="06FA0816" w:rsidR="00783B7A" w:rsidRPr="00D44FC3" w:rsidRDefault="00783B7A">
      <w:pPr>
        <w:rPr>
          <w:rFonts w:ascii="Arial" w:hAnsi="Arial" w:cs="Arial"/>
        </w:rPr>
      </w:pPr>
    </w:p>
    <w:p w14:paraId="4114E06D" w14:textId="58F2846C" w:rsidR="00783B7A" w:rsidRPr="00D44FC3" w:rsidRDefault="00783B7A">
      <w:pPr>
        <w:rPr>
          <w:rFonts w:ascii="Arial" w:hAnsi="Arial" w:cs="Arial"/>
        </w:rPr>
      </w:pPr>
    </w:p>
    <w:p w14:paraId="6ACF005E" w14:textId="224E0DE3" w:rsidR="00783B7A" w:rsidRPr="00D44FC3" w:rsidRDefault="00783B7A">
      <w:pPr>
        <w:rPr>
          <w:rFonts w:ascii="Arial" w:hAnsi="Arial" w:cs="Arial"/>
        </w:rPr>
      </w:pPr>
    </w:p>
    <w:p w14:paraId="27777B22" w14:textId="2DBB8DA3" w:rsidR="00783B7A" w:rsidRPr="00D44FC3" w:rsidRDefault="00783B7A">
      <w:pPr>
        <w:rPr>
          <w:rFonts w:ascii="Arial" w:hAnsi="Arial" w:cs="Arial"/>
        </w:rPr>
      </w:pPr>
    </w:p>
    <w:p w14:paraId="0F35683B" w14:textId="0EEC53E3" w:rsidR="00783B7A" w:rsidRPr="00D44FC3" w:rsidRDefault="00783B7A">
      <w:pPr>
        <w:rPr>
          <w:rFonts w:ascii="Arial" w:hAnsi="Arial" w:cs="Arial"/>
        </w:rPr>
      </w:pPr>
    </w:p>
    <w:p w14:paraId="1B5AE4A3" w14:textId="09020B66" w:rsidR="00783B7A" w:rsidRPr="00D44FC3" w:rsidRDefault="00783B7A">
      <w:pPr>
        <w:rPr>
          <w:rFonts w:ascii="Arial" w:hAnsi="Arial" w:cs="Arial"/>
        </w:rPr>
      </w:pPr>
    </w:p>
    <w:p w14:paraId="2E7BF4CA" w14:textId="646AADB7" w:rsidR="00783B7A" w:rsidRPr="00D44FC3" w:rsidRDefault="00783B7A">
      <w:pPr>
        <w:rPr>
          <w:rFonts w:ascii="Arial" w:hAnsi="Arial" w:cs="Arial"/>
        </w:rPr>
      </w:pPr>
    </w:p>
    <w:p w14:paraId="6B97387E" w14:textId="77777777" w:rsidR="00783B7A" w:rsidRPr="00D44FC3" w:rsidRDefault="00783B7A">
      <w:pPr>
        <w:rPr>
          <w:rFonts w:ascii="Arial" w:hAnsi="Arial" w:cs="Arial"/>
        </w:rPr>
      </w:pPr>
    </w:p>
    <w:p w14:paraId="3B8AE0B6" w14:textId="6819079D" w:rsidR="004A4FCA" w:rsidRPr="00D44FC3" w:rsidRDefault="004A4FCA">
      <w:pPr>
        <w:rPr>
          <w:rFonts w:ascii="Arial" w:hAnsi="Arial" w:cs="Arial"/>
        </w:rPr>
      </w:pPr>
      <w:r w:rsidRPr="00D44FC3">
        <w:rPr>
          <w:rFonts w:ascii="Arial" w:hAnsi="Arial" w:cs="Arial"/>
        </w:rPr>
        <w:br w:type="page"/>
      </w:r>
    </w:p>
    <w:p w14:paraId="64DCC98E" w14:textId="77777777" w:rsidR="00717CA3" w:rsidRPr="00D44FC3" w:rsidRDefault="00717CA3">
      <w:pPr>
        <w:rPr>
          <w:rFonts w:ascii="Arial" w:hAnsi="Arial" w:cs="Arial"/>
        </w:rPr>
      </w:pPr>
    </w:p>
    <w:sectPr w:rsidR="00717CA3" w:rsidRPr="00D44F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A3NTI3MzM2NrQwNTBX0lEKTi0uzszPAykwNqwFAA6bhYEtAAAA"/>
  </w:docVars>
  <w:rsids>
    <w:rsidRoot w:val="00C7494B"/>
    <w:rsid w:val="0004756F"/>
    <w:rsid w:val="000554D7"/>
    <w:rsid w:val="00096A09"/>
    <w:rsid w:val="000C00BE"/>
    <w:rsid w:val="0012315A"/>
    <w:rsid w:val="00144A5E"/>
    <w:rsid w:val="0015236A"/>
    <w:rsid w:val="00155BA1"/>
    <w:rsid w:val="00175AC4"/>
    <w:rsid w:val="001B455E"/>
    <w:rsid w:val="001D2786"/>
    <w:rsid w:val="00214F56"/>
    <w:rsid w:val="002165E3"/>
    <w:rsid w:val="0022052D"/>
    <w:rsid w:val="0023175C"/>
    <w:rsid w:val="00240B43"/>
    <w:rsid w:val="00283984"/>
    <w:rsid w:val="002C2FF0"/>
    <w:rsid w:val="00305CC6"/>
    <w:rsid w:val="003344FA"/>
    <w:rsid w:val="003413AD"/>
    <w:rsid w:val="00353DC8"/>
    <w:rsid w:val="0039794B"/>
    <w:rsid w:val="003A0300"/>
    <w:rsid w:val="003D5D5E"/>
    <w:rsid w:val="004A4FCA"/>
    <w:rsid w:val="004B3F00"/>
    <w:rsid w:val="004C3594"/>
    <w:rsid w:val="00506F9A"/>
    <w:rsid w:val="00565EE3"/>
    <w:rsid w:val="005A7047"/>
    <w:rsid w:val="005A7A79"/>
    <w:rsid w:val="005D0F26"/>
    <w:rsid w:val="00617094"/>
    <w:rsid w:val="00651643"/>
    <w:rsid w:val="006737CC"/>
    <w:rsid w:val="006912FD"/>
    <w:rsid w:val="006A5C95"/>
    <w:rsid w:val="006E06C9"/>
    <w:rsid w:val="006E29E1"/>
    <w:rsid w:val="006F565E"/>
    <w:rsid w:val="00717CA3"/>
    <w:rsid w:val="007216B4"/>
    <w:rsid w:val="00726D82"/>
    <w:rsid w:val="00741B5F"/>
    <w:rsid w:val="00773479"/>
    <w:rsid w:val="00783B7A"/>
    <w:rsid w:val="00790623"/>
    <w:rsid w:val="007941E6"/>
    <w:rsid w:val="007956B4"/>
    <w:rsid w:val="007B5DC2"/>
    <w:rsid w:val="007B6FA4"/>
    <w:rsid w:val="007D4566"/>
    <w:rsid w:val="007F4EE8"/>
    <w:rsid w:val="00842382"/>
    <w:rsid w:val="00845595"/>
    <w:rsid w:val="00873BEA"/>
    <w:rsid w:val="008816B2"/>
    <w:rsid w:val="008821E9"/>
    <w:rsid w:val="00883EFE"/>
    <w:rsid w:val="008D075E"/>
    <w:rsid w:val="008E11FE"/>
    <w:rsid w:val="0097283B"/>
    <w:rsid w:val="00982358"/>
    <w:rsid w:val="00995927"/>
    <w:rsid w:val="009B161E"/>
    <w:rsid w:val="009B2845"/>
    <w:rsid w:val="009C19AB"/>
    <w:rsid w:val="009C1A38"/>
    <w:rsid w:val="009D0F64"/>
    <w:rsid w:val="00A14385"/>
    <w:rsid w:val="00A40AC5"/>
    <w:rsid w:val="00A41C0F"/>
    <w:rsid w:val="00A87BF9"/>
    <w:rsid w:val="00AB284B"/>
    <w:rsid w:val="00AF487B"/>
    <w:rsid w:val="00B416B2"/>
    <w:rsid w:val="00B432E4"/>
    <w:rsid w:val="00B54965"/>
    <w:rsid w:val="00BA5904"/>
    <w:rsid w:val="00BB62E2"/>
    <w:rsid w:val="00C16B7D"/>
    <w:rsid w:val="00C224A8"/>
    <w:rsid w:val="00C45307"/>
    <w:rsid w:val="00C677E1"/>
    <w:rsid w:val="00C7418D"/>
    <w:rsid w:val="00C7494B"/>
    <w:rsid w:val="00CF0C4B"/>
    <w:rsid w:val="00D44FC3"/>
    <w:rsid w:val="00D615E7"/>
    <w:rsid w:val="00D659F4"/>
    <w:rsid w:val="00D85FA9"/>
    <w:rsid w:val="00D92778"/>
    <w:rsid w:val="00D94532"/>
    <w:rsid w:val="00D962E0"/>
    <w:rsid w:val="00DA7EF5"/>
    <w:rsid w:val="00DC68A6"/>
    <w:rsid w:val="00DD595C"/>
    <w:rsid w:val="00E272B2"/>
    <w:rsid w:val="00E358A0"/>
    <w:rsid w:val="00E647CA"/>
    <w:rsid w:val="00EB640F"/>
    <w:rsid w:val="00F353E9"/>
    <w:rsid w:val="00F47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13034"/>
  <w15:chartTrackingRefBased/>
  <w15:docId w15:val="{03F6F6CB-F1D5-4648-B9C8-2FE447ED8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1E9"/>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549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B6FA4"/>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1E9"/>
    <w:rPr>
      <w:rFonts w:asciiTheme="majorHAnsi" w:eastAsiaTheme="majorEastAsia" w:hAnsiTheme="majorHAnsi" w:cstheme="majorBidi"/>
      <w:color w:val="2F5496" w:themeColor="accent1" w:themeShade="BF"/>
      <w:sz w:val="32"/>
      <w:szCs w:val="32"/>
    </w:rPr>
  </w:style>
  <w:style w:type="paragraph" w:styleId="CommentText">
    <w:name w:val="annotation text"/>
    <w:basedOn w:val="Normal"/>
    <w:link w:val="CommentTextChar"/>
    <w:uiPriority w:val="99"/>
    <w:unhideWhenUsed/>
    <w:rsid w:val="008821E9"/>
    <w:pPr>
      <w:spacing w:line="240" w:lineRule="auto"/>
    </w:pPr>
    <w:rPr>
      <w:sz w:val="20"/>
      <w:szCs w:val="20"/>
    </w:rPr>
  </w:style>
  <w:style w:type="character" w:customStyle="1" w:styleId="CommentTextChar">
    <w:name w:val="Comment Text Char"/>
    <w:basedOn w:val="DefaultParagraphFont"/>
    <w:link w:val="CommentText"/>
    <w:uiPriority w:val="99"/>
    <w:rsid w:val="008821E9"/>
    <w:rPr>
      <w:sz w:val="20"/>
      <w:szCs w:val="20"/>
    </w:rPr>
  </w:style>
  <w:style w:type="character" w:styleId="CommentReference">
    <w:name w:val="annotation reference"/>
    <w:basedOn w:val="DefaultParagraphFont"/>
    <w:uiPriority w:val="99"/>
    <w:semiHidden/>
    <w:unhideWhenUsed/>
    <w:rsid w:val="008821E9"/>
    <w:rPr>
      <w:sz w:val="16"/>
      <w:szCs w:val="16"/>
    </w:rPr>
  </w:style>
  <w:style w:type="paragraph" w:styleId="CommentSubject">
    <w:name w:val="annotation subject"/>
    <w:basedOn w:val="CommentText"/>
    <w:next w:val="CommentText"/>
    <w:link w:val="CommentSubjectChar"/>
    <w:uiPriority w:val="99"/>
    <w:semiHidden/>
    <w:unhideWhenUsed/>
    <w:rsid w:val="00DC68A6"/>
    <w:rPr>
      <w:b/>
      <w:bCs/>
    </w:rPr>
  </w:style>
  <w:style w:type="character" w:customStyle="1" w:styleId="CommentSubjectChar">
    <w:name w:val="Comment Subject Char"/>
    <w:basedOn w:val="CommentTextChar"/>
    <w:link w:val="CommentSubject"/>
    <w:uiPriority w:val="99"/>
    <w:semiHidden/>
    <w:rsid w:val="00DC68A6"/>
    <w:rPr>
      <w:b/>
      <w:bCs/>
      <w:sz w:val="20"/>
      <w:szCs w:val="20"/>
    </w:rPr>
  </w:style>
  <w:style w:type="character" w:customStyle="1" w:styleId="Heading2Char">
    <w:name w:val="Heading 2 Char"/>
    <w:basedOn w:val="DefaultParagraphFont"/>
    <w:link w:val="Heading2"/>
    <w:uiPriority w:val="9"/>
    <w:rsid w:val="00B5496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B6FA4"/>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7B6FA4"/>
    <w:pPr>
      <w:spacing w:line="256" w:lineRule="auto"/>
      <w:ind w:left="720"/>
      <w:contextualSpacing/>
    </w:pPr>
  </w:style>
  <w:style w:type="paragraph" w:styleId="Revision">
    <w:name w:val="Revision"/>
    <w:hidden/>
    <w:uiPriority w:val="99"/>
    <w:semiHidden/>
    <w:rsid w:val="005A704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3752">
      <w:bodyDiv w:val="1"/>
      <w:marLeft w:val="0"/>
      <w:marRight w:val="0"/>
      <w:marTop w:val="0"/>
      <w:marBottom w:val="0"/>
      <w:divBdr>
        <w:top w:val="none" w:sz="0" w:space="0" w:color="auto"/>
        <w:left w:val="none" w:sz="0" w:space="0" w:color="auto"/>
        <w:bottom w:val="none" w:sz="0" w:space="0" w:color="auto"/>
        <w:right w:val="none" w:sz="0" w:space="0" w:color="auto"/>
      </w:divBdr>
    </w:div>
    <w:div w:id="391077221">
      <w:bodyDiv w:val="1"/>
      <w:marLeft w:val="0"/>
      <w:marRight w:val="0"/>
      <w:marTop w:val="0"/>
      <w:marBottom w:val="0"/>
      <w:divBdr>
        <w:top w:val="none" w:sz="0" w:space="0" w:color="auto"/>
        <w:left w:val="none" w:sz="0" w:space="0" w:color="auto"/>
        <w:bottom w:val="none" w:sz="0" w:space="0" w:color="auto"/>
        <w:right w:val="none" w:sz="0" w:space="0" w:color="auto"/>
      </w:divBdr>
    </w:div>
    <w:div w:id="411660851">
      <w:bodyDiv w:val="1"/>
      <w:marLeft w:val="0"/>
      <w:marRight w:val="0"/>
      <w:marTop w:val="0"/>
      <w:marBottom w:val="0"/>
      <w:divBdr>
        <w:top w:val="none" w:sz="0" w:space="0" w:color="auto"/>
        <w:left w:val="none" w:sz="0" w:space="0" w:color="auto"/>
        <w:bottom w:val="none" w:sz="0" w:space="0" w:color="auto"/>
        <w:right w:val="none" w:sz="0" w:space="0" w:color="auto"/>
      </w:divBdr>
    </w:div>
    <w:div w:id="428934752">
      <w:bodyDiv w:val="1"/>
      <w:marLeft w:val="0"/>
      <w:marRight w:val="0"/>
      <w:marTop w:val="0"/>
      <w:marBottom w:val="0"/>
      <w:divBdr>
        <w:top w:val="none" w:sz="0" w:space="0" w:color="auto"/>
        <w:left w:val="none" w:sz="0" w:space="0" w:color="auto"/>
        <w:bottom w:val="none" w:sz="0" w:space="0" w:color="auto"/>
        <w:right w:val="none" w:sz="0" w:space="0" w:color="auto"/>
      </w:divBdr>
    </w:div>
    <w:div w:id="531383797">
      <w:bodyDiv w:val="1"/>
      <w:marLeft w:val="0"/>
      <w:marRight w:val="0"/>
      <w:marTop w:val="0"/>
      <w:marBottom w:val="0"/>
      <w:divBdr>
        <w:top w:val="none" w:sz="0" w:space="0" w:color="auto"/>
        <w:left w:val="none" w:sz="0" w:space="0" w:color="auto"/>
        <w:bottom w:val="none" w:sz="0" w:space="0" w:color="auto"/>
        <w:right w:val="none" w:sz="0" w:space="0" w:color="auto"/>
      </w:divBdr>
    </w:div>
    <w:div w:id="675152953">
      <w:bodyDiv w:val="1"/>
      <w:marLeft w:val="0"/>
      <w:marRight w:val="0"/>
      <w:marTop w:val="0"/>
      <w:marBottom w:val="0"/>
      <w:divBdr>
        <w:top w:val="none" w:sz="0" w:space="0" w:color="auto"/>
        <w:left w:val="none" w:sz="0" w:space="0" w:color="auto"/>
        <w:bottom w:val="none" w:sz="0" w:space="0" w:color="auto"/>
        <w:right w:val="none" w:sz="0" w:space="0" w:color="auto"/>
      </w:divBdr>
    </w:div>
    <w:div w:id="806820922">
      <w:bodyDiv w:val="1"/>
      <w:marLeft w:val="0"/>
      <w:marRight w:val="0"/>
      <w:marTop w:val="0"/>
      <w:marBottom w:val="0"/>
      <w:divBdr>
        <w:top w:val="none" w:sz="0" w:space="0" w:color="auto"/>
        <w:left w:val="none" w:sz="0" w:space="0" w:color="auto"/>
        <w:bottom w:val="none" w:sz="0" w:space="0" w:color="auto"/>
        <w:right w:val="none" w:sz="0" w:space="0" w:color="auto"/>
      </w:divBdr>
    </w:div>
    <w:div w:id="839006079">
      <w:bodyDiv w:val="1"/>
      <w:marLeft w:val="0"/>
      <w:marRight w:val="0"/>
      <w:marTop w:val="0"/>
      <w:marBottom w:val="0"/>
      <w:divBdr>
        <w:top w:val="none" w:sz="0" w:space="0" w:color="auto"/>
        <w:left w:val="none" w:sz="0" w:space="0" w:color="auto"/>
        <w:bottom w:val="none" w:sz="0" w:space="0" w:color="auto"/>
        <w:right w:val="none" w:sz="0" w:space="0" w:color="auto"/>
      </w:divBdr>
    </w:div>
    <w:div w:id="974722760">
      <w:bodyDiv w:val="1"/>
      <w:marLeft w:val="0"/>
      <w:marRight w:val="0"/>
      <w:marTop w:val="0"/>
      <w:marBottom w:val="0"/>
      <w:divBdr>
        <w:top w:val="none" w:sz="0" w:space="0" w:color="auto"/>
        <w:left w:val="none" w:sz="0" w:space="0" w:color="auto"/>
        <w:bottom w:val="none" w:sz="0" w:space="0" w:color="auto"/>
        <w:right w:val="none" w:sz="0" w:space="0" w:color="auto"/>
      </w:divBdr>
    </w:div>
    <w:div w:id="1031800467">
      <w:bodyDiv w:val="1"/>
      <w:marLeft w:val="0"/>
      <w:marRight w:val="0"/>
      <w:marTop w:val="0"/>
      <w:marBottom w:val="0"/>
      <w:divBdr>
        <w:top w:val="none" w:sz="0" w:space="0" w:color="auto"/>
        <w:left w:val="none" w:sz="0" w:space="0" w:color="auto"/>
        <w:bottom w:val="none" w:sz="0" w:space="0" w:color="auto"/>
        <w:right w:val="none" w:sz="0" w:space="0" w:color="auto"/>
      </w:divBdr>
    </w:div>
    <w:div w:id="1082800847">
      <w:bodyDiv w:val="1"/>
      <w:marLeft w:val="0"/>
      <w:marRight w:val="0"/>
      <w:marTop w:val="0"/>
      <w:marBottom w:val="0"/>
      <w:divBdr>
        <w:top w:val="none" w:sz="0" w:space="0" w:color="auto"/>
        <w:left w:val="none" w:sz="0" w:space="0" w:color="auto"/>
        <w:bottom w:val="none" w:sz="0" w:space="0" w:color="auto"/>
        <w:right w:val="none" w:sz="0" w:space="0" w:color="auto"/>
      </w:divBdr>
    </w:div>
    <w:div w:id="1294872013">
      <w:bodyDiv w:val="1"/>
      <w:marLeft w:val="0"/>
      <w:marRight w:val="0"/>
      <w:marTop w:val="0"/>
      <w:marBottom w:val="0"/>
      <w:divBdr>
        <w:top w:val="none" w:sz="0" w:space="0" w:color="auto"/>
        <w:left w:val="none" w:sz="0" w:space="0" w:color="auto"/>
        <w:bottom w:val="none" w:sz="0" w:space="0" w:color="auto"/>
        <w:right w:val="none" w:sz="0" w:space="0" w:color="auto"/>
      </w:divBdr>
    </w:div>
    <w:div w:id="1329676865">
      <w:bodyDiv w:val="1"/>
      <w:marLeft w:val="0"/>
      <w:marRight w:val="0"/>
      <w:marTop w:val="0"/>
      <w:marBottom w:val="0"/>
      <w:divBdr>
        <w:top w:val="none" w:sz="0" w:space="0" w:color="auto"/>
        <w:left w:val="none" w:sz="0" w:space="0" w:color="auto"/>
        <w:bottom w:val="none" w:sz="0" w:space="0" w:color="auto"/>
        <w:right w:val="none" w:sz="0" w:space="0" w:color="auto"/>
      </w:divBdr>
    </w:div>
    <w:div w:id="1483277247">
      <w:bodyDiv w:val="1"/>
      <w:marLeft w:val="0"/>
      <w:marRight w:val="0"/>
      <w:marTop w:val="0"/>
      <w:marBottom w:val="0"/>
      <w:divBdr>
        <w:top w:val="none" w:sz="0" w:space="0" w:color="auto"/>
        <w:left w:val="none" w:sz="0" w:space="0" w:color="auto"/>
        <w:bottom w:val="none" w:sz="0" w:space="0" w:color="auto"/>
        <w:right w:val="none" w:sz="0" w:space="0" w:color="auto"/>
      </w:divBdr>
    </w:div>
    <w:div w:id="1636910133">
      <w:bodyDiv w:val="1"/>
      <w:marLeft w:val="0"/>
      <w:marRight w:val="0"/>
      <w:marTop w:val="0"/>
      <w:marBottom w:val="0"/>
      <w:divBdr>
        <w:top w:val="none" w:sz="0" w:space="0" w:color="auto"/>
        <w:left w:val="none" w:sz="0" w:space="0" w:color="auto"/>
        <w:bottom w:val="none" w:sz="0" w:space="0" w:color="auto"/>
        <w:right w:val="none" w:sz="0" w:space="0" w:color="auto"/>
      </w:divBdr>
    </w:div>
    <w:div w:id="1690136811">
      <w:bodyDiv w:val="1"/>
      <w:marLeft w:val="0"/>
      <w:marRight w:val="0"/>
      <w:marTop w:val="0"/>
      <w:marBottom w:val="0"/>
      <w:divBdr>
        <w:top w:val="none" w:sz="0" w:space="0" w:color="auto"/>
        <w:left w:val="none" w:sz="0" w:space="0" w:color="auto"/>
        <w:bottom w:val="none" w:sz="0" w:space="0" w:color="auto"/>
        <w:right w:val="none" w:sz="0" w:space="0" w:color="auto"/>
      </w:divBdr>
    </w:div>
    <w:div w:id="1691760547">
      <w:bodyDiv w:val="1"/>
      <w:marLeft w:val="0"/>
      <w:marRight w:val="0"/>
      <w:marTop w:val="0"/>
      <w:marBottom w:val="0"/>
      <w:divBdr>
        <w:top w:val="none" w:sz="0" w:space="0" w:color="auto"/>
        <w:left w:val="none" w:sz="0" w:space="0" w:color="auto"/>
        <w:bottom w:val="none" w:sz="0" w:space="0" w:color="auto"/>
        <w:right w:val="none" w:sz="0" w:space="0" w:color="auto"/>
      </w:divBdr>
    </w:div>
    <w:div w:id="1846285885">
      <w:bodyDiv w:val="1"/>
      <w:marLeft w:val="0"/>
      <w:marRight w:val="0"/>
      <w:marTop w:val="0"/>
      <w:marBottom w:val="0"/>
      <w:divBdr>
        <w:top w:val="none" w:sz="0" w:space="0" w:color="auto"/>
        <w:left w:val="none" w:sz="0" w:space="0" w:color="auto"/>
        <w:bottom w:val="none" w:sz="0" w:space="0" w:color="auto"/>
        <w:right w:val="none" w:sz="0" w:space="0" w:color="auto"/>
      </w:divBdr>
    </w:div>
    <w:div w:id="1861553666">
      <w:bodyDiv w:val="1"/>
      <w:marLeft w:val="0"/>
      <w:marRight w:val="0"/>
      <w:marTop w:val="0"/>
      <w:marBottom w:val="0"/>
      <w:divBdr>
        <w:top w:val="none" w:sz="0" w:space="0" w:color="auto"/>
        <w:left w:val="none" w:sz="0" w:space="0" w:color="auto"/>
        <w:bottom w:val="none" w:sz="0" w:space="0" w:color="auto"/>
        <w:right w:val="none" w:sz="0" w:space="0" w:color="auto"/>
      </w:divBdr>
    </w:div>
    <w:div w:id="1928806151">
      <w:bodyDiv w:val="1"/>
      <w:marLeft w:val="0"/>
      <w:marRight w:val="0"/>
      <w:marTop w:val="0"/>
      <w:marBottom w:val="0"/>
      <w:divBdr>
        <w:top w:val="none" w:sz="0" w:space="0" w:color="auto"/>
        <w:left w:val="none" w:sz="0" w:space="0" w:color="auto"/>
        <w:bottom w:val="none" w:sz="0" w:space="0" w:color="auto"/>
        <w:right w:val="none" w:sz="0" w:space="0" w:color="auto"/>
      </w:divBdr>
    </w:div>
    <w:div w:id="1965456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958B1-51E4-43F7-BD4B-CAC4C32BA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22</Pages>
  <Words>3774</Words>
  <Characters>21512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25236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Chengran</dc:creator>
  <cp:keywords/>
  <dc:description/>
  <cp:lastModifiedBy>Yang, Chengran</cp:lastModifiedBy>
  <cp:revision>87</cp:revision>
  <dcterms:created xsi:type="dcterms:W3CDTF">2023-10-02T20:39:00Z</dcterms:created>
  <dcterms:modified xsi:type="dcterms:W3CDTF">2024-03-21T13:53:00Z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id="gEZ103Tr"/&gt;&lt;style id="http://www.zotero.org/styles/nature" hasBibliography="1" bibliographyStyleHasBeenSet="0"/&gt;&lt;prefs&gt;&lt;pref name="fieldType" value="Field"/&gt;&lt;/prefs&gt;&lt;/data&gt;</vt:lpwstr>
  </property>
</Properties>
</file>