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2558E" w14:textId="77777777" w:rsidR="00C44394" w:rsidRPr="006E78DA" w:rsidRDefault="00C44394" w:rsidP="00C44394">
      <w:pPr>
        <w:pStyle w:val="Heading1"/>
      </w:pPr>
      <w:r w:rsidRPr="006E78DA">
        <w:t>Tables</w:t>
      </w:r>
    </w:p>
    <w:p w14:paraId="73391501" w14:textId="77777777" w:rsidR="00C44394" w:rsidRPr="006E78DA" w:rsidRDefault="00C44394" w:rsidP="00C44394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C44394" w:rsidRPr="006E78DA" w14:paraId="08325A75" w14:textId="77777777" w:rsidTr="008016E0">
        <w:tc>
          <w:tcPr>
            <w:tcW w:w="9026" w:type="dxa"/>
            <w:vAlign w:val="center"/>
          </w:tcPr>
          <w:p w14:paraId="6FE7C132" w14:textId="77777777" w:rsidR="00C44394" w:rsidRPr="006E78DA" w:rsidRDefault="00C44394" w:rsidP="008016E0">
            <w:pPr>
              <w:pStyle w:val="Caption"/>
              <w:keepNext/>
              <w:jc w:val="left"/>
            </w:pPr>
            <w:bookmarkStart w:id="0" w:name="_Ref142651462"/>
            <w:r w:rsidRPr="006E78DA">
              <w:rPr>
                <w:b/>
                <w:bCs/>
              </w:rPr>
              <w:t xml:space="preserve">Table </w:t>
            </w:r>
            <w:r w:rsidRPr="006E78DA">
              <w:rPr>
                <w:b/>
                <w:bCs/>
              </w:rPr>
              <w:fldChar w:fldCharType="begin"/>
            </w:r>
            <w:r w:rsidRPr="006E78DA">
              <w:rPr>
                <w:b/>
                <w:bCs/>
              </w:rPr>
              <w:instrText xml:space="preserve"> SEQ Table \* ARABIC </w:instrText>
            </w:r>
            <w:r w:rsidRPr="006E78DA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 w:rsidRPr="006E78DA">
              <w:rPr>
                <w:b/>
                <w:bCs/>
              </w:rPr>
              <w:fldChar w:fldCharType="end"/>
            </w:r>
            <w:bookmarkEnd w:id="0"/>
            <w:r w:rsidRPr="006E78DA">
              <w:t xml:space="preserve"> List of survey questions.</w:t>
            </w:r>
          </w:p>
          <w:p w14:paraId="28EB827E" w14:textId="77777777" w:rsidR="00C44394" w:rsidRPr="006E78DA" w:rsidRDefault="00C44394" w:rsidP="008016E0"/>
          <w:tbl>
            <w:tblPr>
              <w:tblStyle w:val="PlainTable2"/>
              <w:tblW w:w="8950" w:type="dxa"/>
              <w:tblLook w:val="04A0" w:firstRow="1" w:lastRow="0" w:firstColumn="1" w:lastColumn="0" w:noHBand="0" w:noVBand="1"/>
            </w:tblPr>
            <w:tblGrid>
              <w:gridCol w:w="1295"/>
              <w:gridCol w:w="7655"/>
            </w:tblGrid>
            <w:tr w:rsidR="00C44394" w:rsidRPr="006E78DA" w14:paraId="51F11B28" w14:textId="77777777" w:rsidTr="008016E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5" w:type="dxa"/>
                  <w:shd w:val="clear" w:color="auto" w:fill="D9D9D9" w:themeFill="background1" w:themeFillShade="D9"/>
                  <w:vAlign w:val="center"/>
                </w:tcPr>
                <w:p w14:paraId="6DF9E1D4" w14:textId="77777777" w:rsidR="00C44394" w:rsidRPr="006E78DA" w:rsidRDefault="00C44394" w:rsidP="008016E0">
                  <w:pPr>
                    <w:jc w:val="center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Question Reference</w:t>
                  </w:r>
                </w:p>
              </w:tc>
              <w:tc>
                <w:tcPr>
                  <w:tcW w:w="7655" w:type="dxa"/>
                  <w:shd w:val="clear" w:color="auto" w:fill="D9D9D9" w:themeFill="background1" w:themeFillShade="D9"/>
                  <w:vAlign w:val="center"/>
                </w:tcPr>
                <w:p w14:paraId="26597BDA" w14:textId="77777777" w:rsidR="00C44394" w:rsidRPr="006E78DA" w:rsidRDefault="00C44394" w:rsidP="008016E0">
                  <w:pPr>
                    <w:spacing w:after="0" w:line="360" w:lineRule="auto"/>
                    <w:jc w:val="lef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Survey Question(s)</w:t>
                  </w:r>
                </w:p>
              </w:tc>
            </w:tr>
            <w:tr w:rsidR="00C44394" w:rsidRPr="006E78DA" w14:paraId="68FD4475" w14:textId="77777777" w:rsidTr="008016E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5" w:type="dxa"/>
                  <w:vAlign w:val="center"/>
                </w:tcPr>
                <w:p w14:paraId="29ABB9E1" w14:textId="77777777" w:rsidR="00C44394" w:rsidRPr="006E78DA" w:rsidRDefault="00C44394" w:rsidP="008016E0">
                  <w:pPr>
                    <w:spacing w:after="0" w:line="276" w:lineRule="auto"/>
                    <w:jc w:val="center"/>
                    <w:rPr>
                      <w:bCs w:val="0"/>
                      <w:sz w:val="20"/>
                      <w:szCs w:val="20"/>
                    </w:rPr>
                  </w:pPr>
                  <w:r w:rsidRPr="006E78DA">
                    <w:rPr>
                      <w:bCs w:val="0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7655" w:type="dxa"/>
                  <w:vAlign w:val="center"/>
                </w:tcPr>
                <w:p w14:paraId="3C06B93E" w14:textId="77777777" w:rsidR="00C44394" w:rsidRPr="006E78DA" w:rsidRDefault="00C44394" w:rsidP="008016E0">
                  <w:pPr>
                    <w:spacing w:after="0" w:line="276" w:lineRule="auto"/>
                    <w:jc w:val="lef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How many gamma cameras and SPECT/CT systems do you have at your site?</w:t>
                  </w:r>
                </w:p>
              </w:tc>
            </w:tr>
            <w:tr w:rsidR="00C44394" w:rsidRPr="006E78DA" w14:paraId="1EF3F6AD" w14:textId="77777777" w:rsidTr="008016E0">
              <w:trPr>
                <w:trHeight w:val="9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5" w:type="dxa"/>
                  <w:vAlign w:val="center"/>
                </w:tcPr>
                <w:p w14:paraId="57381A8A" w14:textId="77777777" w:rsidR="00C44394" w:rsidRPr="006E78DA" w:rsidRDefault="00C44394" w:rsidP="008016E0">
                  <w:pPr>
                    <w:spacing w:after="0" w:line="276" w:lineRule="auto"/>
                    <w:jc w:val="center"/>
                    <w:rPr>
                      <w:bCs w:val="0"/>
                      <w:sz w:val="20"/>
                      <w:szCs w:val="20"/>
                    </w:rPr>
                  </w:pPr>
                  <w:r w:rsidRPr="006E78DA">
                    <w:rPr>
                      <w:bCs w:val="0"/>
                      <w:sz w:val="20"/>
                      <w:szCs w:val="20"/>
                    </w:rPr>
                    <w:t>B</w:t>
                  </w:r>
                </w:p>
              </w:tc>
              <w:tc>
                <w:tcPr>
                  <w:tcW w:w="7655" w:type="dxa"/>
                  <w:vAlign w:val="center"/>
                </w:tcPr>
                <w:p w14:paraId="1E5EF867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3"/>
                    </w:numPr>
                    <w:spacing w:after="0" w:line="276" w:lineRule="auto"/>
                    <w:ind w:left="312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 xml:space="preserve">Do you have a routine quality control program set up at your site? </w:t>
                  </w:r>
                </w:p>
                <w:p w14:paraId="3C6C39D8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3"/>
                    </w:numPr>
                    <w:spacing w:after="0" w:line="276" w:lineRule="auto"/>
                    <w:ind w:left="312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If yes, is it based on vendor recommendations, based on recommendations from a professional body or you designed your own?</w:t>
                  </w:r>
                </w:p>
              </w:tc>
            </w:tr>
            <w:tr w:rsidR="00C44394" w:rsidRPr="006E78DA" w14:paraId="7FDCFE51" w14:textId="77777777" w:rsidTr="008016E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5" w:type="dxa"/>
                  <w:vAlign w:val="center"/>
                </w:tcPr>
                <w:p w14:paraId="104B1135" w14:textId="77777777" w:rsidR="00C44394" w:rsidRPr="006E78DA" w:rsidRDefault="00C44394" w:rsidP="008016E0">
                  <w:pPr>
                    <w:spacing w:after="0" w:line="276" w:lineRule="auto"/>
                    <w:jc w:val="center"/>
                    <w:rPr>
                      <w:bCs w:val="0"/>
                      <w:sz w:val="20"/>
                      <w:szCs w:val="20"/>
                    </w:rPr>
                  </w:pPr>
                  <w:r w:rsidRPr="006E78DA">
                    <w:rPr>
                      <w:bCs w:val="0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7655" w:type="dxa"/>
                  <w:vAlign w:val="center"/>
                </w:tcPr>
                <w:p w14:paraId="2ADFE73C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4"/>
                    </w:numPr>
                    <w:spacing w:after="0" w:line="276" w:lineRule="auto"/>
                    <w:ind w:left="312"/>
                    <w:jc w:val="lef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What tests are performed, how frequently do you do them and who performs each test?</w:t>
                  </w:r>
                </w:p>
                <w:p w14:paraId="6AB6BF7D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4"/>
                    </w:numPr>
                    <w:spacing w:after="0" w:line="276" w:lineRule="auto"/>
                    <w:ind w:left="312"/>
                    <w:jc w:val="lef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Who has oversight of the testing program?</w:t>
                  </w:r>
                </w:p>
              </w:tc>
            </w:tr>
            <w:tr w:rsidR="00C44394" w:rsidRPr="006E78DA" w14:paraId="238CEA61" w14:textId="77777777" w:rsidTr="008016E0">
              <w:trPr>
                <w:trHeight w:val="9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5" w:type="dxa"/>
                  <w:vAlign w:val="center"/>
                </w:tcPr>
                <w:p w14:paraId="5C155672" w14:textId="77777777" w:rsidR="00C44394" w:rsidRPr="006E78DA" w:rsidRDefault="00C44394" w:rsidP="008016E0">
                  <w:pPr>
                    <w:spacing w:after="0" w:line="276" w:lineRule="auto"/>
                    <w:jc w:val="center"/>
                    <w:rPr>
                      <w:bCs w:val="0"/>
                      <w:sz w:val="20"/>
                      <w:szCs w:val="20"/>
                    </w:rPr>
                  </w:pPr>
                  <w:r w:rsidRPr="006E78DA">
                    <w:rPr>
                      <w:bCs w:val="0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7655" w:type="dxa"/>
                  <w:vAlign w:val="center"/>
                </w:tcPr>
                <w:p w14:paraId="39A23858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5"/>
                    </w:numPr>
                    <w:spacing w:after="0" w:line="276" w:lineRule="auto"/>
                    <w:ind w:left="312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How are the test results actioned in your practice?</w:t>
                  </w:r>
                </w:p>
                <w:p w14:paraId="1F585526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6"/>
                    </w:numPr>
                    <w:spacing w:after="0" w:line="276" w:lineRule="auto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Do you use the vendor-supplied software to analyse the data?</w:t>
                  </w:r>
                </w:p>
                <w:p w14:paraId="1AC749BB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6"/>
                    </w:numPr>
                    <w:spacing w:after="0" w:line="276" w:lineRule="auto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Do you check the result against the vendor's passing criteria or your own criteria?</w:t>
                  </w:r>
                </w:p>
                <w:p w14:paraId="6A6443E0" w14:textId="77777777" w:rsidR="00C44394" w:rsidRPr="006E78DA" w:rsidRDefault="00C44394" w:rsidP="008016E0">
                  <w:pPr>
                    <w:pStyle w:val="ListParagraph"/>
                    <w:numPr>
                      <w:ilvl w:val="0"/>
                      <w:numId w:val="35"/>
                    </w:numPr>
                    <w:spacing w:after="0" w:line="276" w:lineRule="auto"/>
                    <w:ind w:left="353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r w:rsidRPr="006E78DA">
                    <w:rPr>
                      <w:sz w:val="20"/>
                      <w:szCs w:val="20"/>
                    </w:rPr>
                    <w:t>Do you perform additional data analyses on the QC results?</w:t>
                  </w:r>
                </w:p>
              </w:tc>
            </w:tr>
          </w:tbl>
          <w:p w14:paraId="70084455" w14:textId="77777777" w:rsidR="00C44394" w:rsidRPr="006E78DA" w:rsidRDefault="00C44394" w:rsidP="008016E0">
            <w:pPr>
              <w:jc w:val="center"/>
            </w:pPr>
          </w:p>
        </w:tc>
      </w:tr>
    </w:tbl>
    <w:p w14:paraId="0EC4EB6F" w14:textId="77777777" w:rsidR="00C44394" w:rsidRPr="006E78DA" w:rsidRDefault="00C44394" w:rsidP="00C44394"/>
    <w:p w14:paraId="3388CC41" w14:textId="77777777" w:rsidR="00C44394" w:rsidRPr="006E78DA" w:rsidRDefault="00C44394" w:rsidP="00C44394"/>
    <w:p w14:paraId="2210A5AB" w14:textId="77777777" w:rsidR="00C44394" w:rsidRPr="006E78DA" w:rsidRDefault="00C44394" w:rsidP="00C44394">
      <w:pPr>
        <w:pStyle w:val="Caption"/>
      </w:pPr>
      <w:bookmarkStart w:id="1" w:name="_Ref144990620"/>
      <w:r w:rsidRPr="006E78DA">
        <w:rPr>
          <w:b/>
        </w:rPr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2</w:t>
      </w:r>
      <w:r w:rsidRPr="006E78DA">
        <w:rPr>
          <w:b/>
        </w:rPr>
        <w:fldChar w:fldCharType="end"/>
      </w:r>
      <w:bookmarkEnd w:id="1"/>
      <w:r w:rsidRPr="006E78DA">
        <w:t xml:space="preserve"> Information on participating sites and survey respondents.</w:t>
      </w:r>
    </w:p>
    <w:p w14:paraId="73B0529B" w14:textId="77777777" w:rsidR="00C44394" w:rsidRPr="006E78DA" w:rsidRDefault="00C44394" w:rsidP="00C44394"/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111"/>
        <w:gridCol w:w="1418"/>
      </w:tblGrid>
      <w:tr w:rsidR="00C44394" w:rsidRPr="006E78DA" w14:paraId="6D129060" w14:textId="77777777" w:rsidTr="008016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D9D9D9" w:themeFill="background1" w:themeFillShade="D9"/>
            <w:vAlign w:val="center"/>
          </w:tcPr>
          <w:p w14:paraId="4E5DFB12" w14:textId="77777777" w:rsidR="00C44394" w:rsidRPr="006E78DA" w:rsidRDefault="00C44394" w:rsidP="008016E0">
            <w:pPr>
              <w:jc w:val="left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Category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675B7A3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No. of Sites</w:t>
            </w:r>
          </w:p>
        </w:tc>
      </w:tr>
      <w:tr w:rsidR="00C44394" w:rsidRPr="006E78DA" w14:paraId="2E0F1F63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7C399A7F" w14:textId="77777777" w:rsidR="00C44394" w:rsidRPr="006E78DA" w:rsidRDefault="00C44394" w:rsidP="008016E0">
            <w:pPr>
              <w:jc w:val="left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Total</w:t>
            </w:r>
          </w:p>
        </w:tc>
        <w:tc>
          <w:tcPr>
            <w:tcW w:w="1418" w:type="dxa"/>
            <w:vAlign w:val="center"/>
          </w:tcPr>
          <w:p w14:paraId="48E9026E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8</w:t>
            </w:r>
          </w:p>
        </w:tc>
      </w:tr>
      <w:tr w:rsidR="00C44394" w:rsidRPr="006E78DA" w14:paraId="50C8DCC7" w14:textId="77777777" w:rsidTr="008016E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1533E23F" w14:textId="77777777" w:rsidR="00C44394" w:rsidRPr="006E78DA" w:rsidRDefault="00C44394" w:rsidP="008016E0">
            <w:pPr>
              <w:jc w:val="left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Type of Site:</w:t>
            </w:r>
          </w:p>
        </w:tc>
        <w:tc>
          <w:tcPr>
            <w:tcW w:w="1418" w:type="dxa"/>
            <w:vAlign w:val="center"/>
          </w:tcPr>
          <w:p w14:paraId="027B5718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44394" w:rsidRPr="006E78DA" w14:paraId="7DF1BBB0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44CAACD1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Public Hospitals</w:t>
            </w:r>
          </w:p>
        </w:tc>
        <w:tc>
          <w:tcPr>
            <w:tcW w:w="1418" w:type="dxa"/>
            <w:vAlign w:val="center"/>
          </w:tcPr>
          <w:p w14:paraId="2E549555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6</w:t>
            </w:r>
          </w:p>
        </w:tc>
      </w:tr>
      <w:tr w:rsidR="00C44394" w:rsidRPr="006E78DA" w14:paraId="5EE50CCF" w14:textId="77777777" w:rsidTr="008016E0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3DBA38A9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Part of Network of Public Hospitals</w:t>
            </w:r>
          </w:p>
        </w:tc>
        <w:tc>
          <w:tcPr>
            <w:tcW w:w="1418" w:type="dxa"/>
            <w:vAlign w:val="center"/>
          </w:tcPr>
          <w:p w14:paraId="2C1C90A0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2</w:t>
            </w:r>
          </w:p>
        </w:tc>
      </w:tr>
      <w:tr w:rsidR="00C44394" w:rsidRPr="006E78DA" w14:paraId="723818C4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1429545E" w14:textId="77777777" w:rsidR="00C44394" w:rsidRPr="006E78DA" w:rsidRDefault="00C44394" w:rsidP="008016E0">
            <w:pPr>
              <w:jc w:val="left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State/Territory:</w:t>
            </w:r>
          </w:p>
        </w:tc>
        <w:tc>
          <w:tcPr>
            <w:tcW w:w="1418" w:type="dxa"/>
            <w:vAlign w:val="center"/>
          </w:tcPr>
          <w:p w14:paraId="10965499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44394" w:rsidRPr="006E78DA" w14:paraId="10B90B75" w14:textId="77777777" w:rsidTr="008016E0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6D1B1754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Australian Capital Territory</w:t>
            </w:r>
          </w:p>
        </w:tc>
        <w:tc>
          <w:tcPr>
            <w:tcW w:w="1418" w:type="dxa"/>
            <w:vAlign w:val="center"/>
          </w:tcPr>
          <w:p w14:paraId="435AE2BB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  <w:tr w:rsidR="00C44394" w:rsidRPr="006E78DA" w14:paraId="5D78BC52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25F95415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New South Wales</w:t>
            </w:r>
          </w:p>
        </w:tc>
        <w:tc>
          <w:tcPr>
            <w:tcW w:w="1418" w:type="dxa"/>
            <w:vAlign w:val="center"/>
          </w:tcPr>
          <w:p w14:paraId="691B7587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  <w:tr w:rsidR="00C44394" w:rsidRPr="006E78DA" w14:paraId="1BD37130" w14:textId="77777777" w:rsidTr="008016E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7BDD6E6D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Queensland</w:t>
            </w:r>
          </w:p>
        </w:tc>
        <w:tc>
          <w:tcPr>
            <w:tcW w:w="1418" w:type="dxa"/>
            <w:vAlign w:val="center"/>
          </w:tcPr>
          <w:p w14:paraId="78E2473A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  <w:tr w:rsidR="00C44394" w:rsidRPr="006E78DA" w14:paraId="563F64D9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19A9EE52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South Australia</w:t>
            </w:r>
          </w:p>
        </w:tc>
        <w:tc>
          <w:tcPr>
            <w:tcW w:w="1418" w:type="dxa"/>
            <w:vAlign w:val="center"/>
          </w:tcPr>
          <w:p w14:paraId="272875E4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  <w:tr w:rsidR="00C44394" w:rsidRPr="006E78DA" w14:paraId="31383721" w14:textId="77777777" w:rsidTr="008016E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590CBB70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Victoria</w:t>
            </w:r>
          </w:p>
        </w:tc>
        <w:tc>
          <w:tcPr>
            <w:tcW w:w="1418" w:type="dxa"/>
            <w:vAlign w:val="center"/>
          </w:tcPr>
          <w:p w14:paraId="587F9306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3</w:t>
            </w:r>
          </w:p>
        </w:tc>
      </w:tr>
      <w:tr w:rsidR="00C44394" w:rsidRPr="006E78DA" w14:paraId="54F8424B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54A7C0AF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Western Australia</w:t>
            </w:r>
          </w:p>
        </w:tc>
        <w:tc>
          <w:tcPr>
            <w:tcW w:w="1418" w:type="dxa"/>
            <w:vAlign w:val="center"/>
          </w:tcPr>
          <w:p w14:paraId="4297CF4B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  <w:tr w:rsidR="00C44394" w:rsidRPr="006E78DA" w14:paraId="3A0948F1" w14:textId="77777777" w:rsidTr="008016E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53140D1D" w14:textId="77777777" w:rsidR="00C44394" w:rsidRPr="006E78DA" w:rsidRDefault="00C44394" w:rsidP="008016E0">
            <w:pPr>
              <w:jc w:val="left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Survey Respondent:</w:t>
            </w:r>
          </w:p>
        </w:tc>
        <w:tc>
          <w:tcPr>
            <w:tcW w:w="1418" w:type="dxa"/>
            <w:vAlign w:val="center"/>
          </w:tcPr>
          <w:p w14:paraId="4347F185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44394" w:rsidRPr="006E78DA" w14:paraId="39441455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11402649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Nuclear Medicine Physicist</w:t>
            </w:r>
          </w:p>
        </w:tc>
        <w:tc>
          <w:tcPr>
            <w:tcW w:w="1418" w:type="dxa"/>
            <w:vAlign w:val="center"/>
          </w:tcPr>
          <w:p w14:paraId="6509851A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7</w:t>
            </w:r>
          </w:p>
        </w:tc>
      </w:tr>
      <w:tr w:rsidR="00C44394" w:rsidRPr="006E78DA" w14:paraId="2B7E7FFA" w14:textId="77777777" w:rsidTr="008016E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03CCCB36" w14:textId="77777777" w:rsidR="00C44394" w:rsidRPr="006E78DA" w:rsidRDefault="00C44394" w:rsidP="008016E0">
            <w:pPr>
              <w:jc w:val="left"/>
              <w:rPr>
                <w:b w:val="0"/>
                <w:sz w:val="20"/>
                <w:szCs w:val="20"/>
              </w:rPr>
            </w:pPr>
            <w:r w:rsidRPr="006E78DA">
              <w:rPr>
                <w:b w:val="0"/>
                <w:sz w:val="20"/>
                <w:szCs w:val="20"/>
              </w:rPr>
              <w:tab/>
              <w:t>Radiology Physicist</w:t>
            </w:r>
          </w:p>
        </w:tc>
        <w:tc>
          <w:tcPr>
            <w:tcW w:w="1418" w:type="dxa"/>
            <w:vAlign w:val="center"/>
          </w:tcPr>
          <w:p w14:paraId="629C9149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78DA">
              <w:rPr>
                <w:sz w:val="20"/>
                <w:szCs w:val="20"/>
              </w:rPr>
              <w:t>1</w:t>
            </w:r>
          </w:p>
        </w:tc>
      </w:tr>
    </w:tbl>
    <w:p w14:paraId="2F006739" w14:textId="77777777" w:rsidR="00C44394" w:rsidRPr="006E78DA" w:rsidRDefault="00C44394" w:rsidP="00C44394"/>
    <w:p w14:paraId="3D84C189" w14:textId="77777777" w:rsidR="00C44394" w:rsidRPr="006E78DA" w:rsidRDefault="00C44394" w:rsidP="00C44394"/>
    <w:p w14:paraId="290177B8" w14:textId="77777777" w:rsidR="00C44394" w:rsidRPr="006E78DA" w:rsidRDefault="00C44394" w:rsidP="00C44394"/>
    <w:p w14:paraId="385A843E" w14:textId="77777777" w:rsidR="00C44394" w:rsidRPr="006E78DA" w:rsidRDefault="00C44394" w:rsidP="00C44394"/>
    <w:p w14:paraId="0390136C" w14:textId="77777777" w:rsidR="00C44394" w:rsidRPr="006E78DA" w:rsidRDefault="00C44394" w:rsidP="00C44394"/>
    <w:p w14:paraId="4945C1FE" w14:textId="77777777" w:rsidR="00C44394" w:rsidRPr="006E78DA" w:rsidRDefault="00C44394" w:rsidP="00C44394">
      <w:pPr>
        <w:pStyle w:val="Caption"/>
        <w:keepNext/>
      </w:pPr>
      <w:bookmarkStart w:id="2" w:name="_Ref143704377"/>
      <w:r w:rsidRPr="006E78DA">
        <w:rPr>
          <w:b/>
        </w:rPr>
        <w:lastRenderedPageBreak/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3</w:t>
      </w:r>
      <w:r w:rsidRPr="006E78DA">
        <w:rPr>
          <w:b/>
        </w:rPr>
        <w:fldChar w:fldCharType="end"/>
      </w:r>
      <w:bookmarkEnd w:id="2"/>
      <w:r w:rsidRPr="006E78DA">
        <w:t xml:space="preserve"> Summary of daily QC tests performed as part of the QC testing schedule for gamma cameras and SPECT/CT systems across the participating sites</w:t>
      </w:r>
    </w:p>
    <w:p w14:paraId="14300A1D" w14:textId="77777777" w:rsidR="00C44394" w:rsidRPr="006E78DA" w:rsidRDefault="00C44394" w:rsidP="00C44394"/>
    <w:tbl>
      <w:tblPr>
        <w:tblStyle w:val="PlainTable2"/>
        <w:tblW w:w="9072" w:type="dxa"/>
        <w:tblLook w:val="04A0" w:firstRow="1" w:lastRow="0" w:firstColumn="1" w:lastColumn="0" w:noHBand="0" w:noVBand="1"/>
      </w:tblPr>
      <w:tblGrid>
        <w:gridCol w:w="2665"/>
        <w:gridCol w:w="800"/>
        <w:gridCol w:w="801"/>
        <w:gridCol w:w="801"/>
        <w:gridCol w:w="801"/>
        <w:gridCol w:w="801"/>
        <w:gridCol w:w="801"/>
        <w:gridCol w:w="801"/>
        <w:gridCol w:w="801"/>
      </w:tblGrid>
      <w:tr w:rsidR="00C44394" w:rsidRPr="006E78DA" w14:paraId="17BAE7F6" w14:textId="77777777" w:rsidTr="008016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shd w:val="clear" w:color="auto" w:fill="A6A6A6" w:themeFill="background1" w:themeFillShade="A6"/>
            <w:vAlign w:val="center"/>
          </w:tcPr>
          <w:p w14:paraId="1200B009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Test</w:t>
            </w:r>
          </w:p>
        </w:tc>
        <w:tc>
          <w:tcPr>
            <w:tcW w:w="800" w:type="dxa"/>
            <w:shd w:val="clear" w:color="auto" w:fill="A6A6A6" w:themeFill="background1" w:themeFillShade="A6"/>
            <w:vAlign w:val="center"/>
          </w:tcPr>
          <w:p w14:paraId="3F6E1745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1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7D7F8F46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2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21A86F23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3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55BC4B2F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4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339D3021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5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304C249A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6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7424EDC7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7</w:t>
            </w:r>
          </w:p>
        </w:tc>
        <w:tc>
          <w:tcPr>
            <w:tcW w:w="801" w:type="dxa"/>
            <w:shd w:val="clear" w:color="auto" w:fill="A6A6A6" w:themeFill="background1" w:themeFillShade="A6"/>
            <w:vAlign w:val="center"/>
          </w:tcPr>
          <w:p w14:paraId="47C2D039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Site 8</w:t>
            </w:r>
          </w:p>
        </w:tc>
      </w:tr>
      <w:tr w:rsidR="00C44394" w:rsidRPr="006E78DA" w14:paraId="50686D2A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9"/>
            <w:shd w:val="clear" w:color="auto" w:fill="F2F2F2" w:themeFill="background1" w:themeFillShade="F2"/>
            <w:vAlign w:val="center"/>
          </w:tcPr>
          <w:p w14:paraId="78618641" w14:textId="77777777" w:rsidR="00C44394" w:rsidRPr="006E78DA" w:rsidRDefault="00C44394" w:rsidP="008016E0">
            <w:pPr>
              <w:spacing w:after="0"/>
              <w:jc w:val="center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A. GAMMA CAMERA - PLANAR</w:t>
            </w:r>
          </w:p>
        </w:tc>
      </w:tr>
      <w:tr w:rsidR="00C44394" w:rsidRPr="006E78DA" w14:paraId="465EF525" w14:textId="77777777" w:rsidTr="008016E0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vAlign w:val="center"/>
          </w:tcPr>
          <w:p w14:paraId="5130C058" w14:textId="77777777" w:rsidR="00C44394" w:rsidRPr="006E78DA" w:rsidRDefault="00C44394" w:rsidP="008016E0">
            <w:pPr>
              <w:spacing w:after="0"/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bCs w:val="0"/>
                <w:color w:val="000000"/>
                <w:sz w:val="18"/>
                <w:szCs w:val="18"/>
              </w:rPr>
              <w:t>Intrinsic uniformity verification</w:t>
            </w:r>
          </w:p>
        </w:tc>
        <w:tc>
          <w:tcPr>
            <w:tcW w:w="800" w:type="dxa"/>
            <w:vAlign w:val="center"/>
          </w:tcPr>
          <w:p w14:paraId="564FD2E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14:paraId="4F59AC3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3E30E02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7414CD2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14:paraId="5D102557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14:paraId="4F756D5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14:paraId="66EFC02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16AB581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C44394" w:rsidRPr="006E78DA" w14:paraId="44CC55C1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vAlign w:val="center"/>
          </w:tcPr>
          <w:p w14:paraId="43EF6C46" w14:textId="77777777" w:rsidR="00C44394" w:rsidRPr="006E78DA" w:rsidRDefault="00C44394" w:rsidP="008016E0">
            <w:pPr>
              <w:spacing w:after="0"/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bCs w:val="0"/>
                <w:color w:val="000000"/>
                <w:sz w:val="18"/>
                <w:szCs w:val="18"/>
              </w:rPr>
              <w:t>System uniformity verification</w:t>
            </w:r>
          </w:p>
        </w:tc>
        <w:tc>
          <w:tcPr>
            <w:tcW w:w="800" w:type="dxa"/>
            <w:vAlign w:val="center"/>
          </w:tcPr>
          <w:p w14:paraId="53199F7B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19081AA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1" w:type="dxa"/>
            <w:vAlign w:val="center"/>
          </w:tcPr>
          <w:p w14:paraId="66F38B3A" w14:textId="77777777" w:rsidR="00C44394" w:rsidRPr="006E78DA" w:rsidRDefault="00C44394" w:rsidP="008016E0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S Shell Dlg 2" w:hAnsi="MS Shell Dlg 2" w:cs="MS Shell Dlg 2"/>
                <w:sz w:val="17"/>
                <w:szCs w:val="17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1" w:type="dxa"/>
            <w:vAlign w:val="center"/>
          </w:tcPr>
          <w:p w14:paraId="28311500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7DFF6E2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4B3291A2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6E09D33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1" w:type="dxa"/>
            <w:vAlign w:val="center"/>
          </w:tcPr>
          <w:p w14:paraId="09F9876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color w:val="000000"/>
                <w:sz w:val="26"/>
                <w:szCs w:val="26"/>
              </w:rPr>
              <w:t>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C44394" w:rsidRPr="006E78DA" w14:paraId="7935B481" w14:textId="77777777" w:rsidTr="008016E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9"/>
            <w:shd w:val="clear" w:color="auto" w:fill="F2F2F2" w:themeFill="background1" w:themeFillShade="F2"/>
            <w:vAlign w:val="center"/>
          </w:tcPr>
          <w:p w14:paraId="6E02B70F" w14:textId="77777777" w:rsidR="00C44394" w:rsidRPr="006E78DA" w:rsidRDefault="00C44394" w:rsidP="008016E0">
            <w:pPr>
              <w:spacing w:after="0"/>
              <w:jc w:val="center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B. CT</w:t>
            </w:r>
          </w:p>
        </w:tc>
      </w:tr>
      <w:tr w:rsidR="00C44394" w:rsidRPr="006E78DA" w14:paraId="75C78E19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vAlign w:val="center"/>
          </w:tcPr>
          <w:p w14:paraId="1C5AB506" w14:textId="77777777" w:rsidR="00C44394" w:rsidRPr="006E78DA" w:rsidRDefault="00C44394" w:rsidP="008016E0">
            <w:pPr>
              <w:spacing w:after="0"/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sz w:val="18"/>
                <w:szCs w:val="18"/>
              </w:rPr>
              <w:t>Daily CT test</w:t>
            </w:r>
            <w:r w:rsidRPr="006E78DA">
              <w:rPr>
                <w:rFonts w:cs="Arial"/>
                <w:b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00" w:type="dxa"/>
            <w:vAlign w:val="center"/>
          </w:tcPr>
          <w:p w14:paraId="5EDF59E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3988F1F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55B89FD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26DA1EDB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18DE802B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2AE7A57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13C3E11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  <w:tc>
          <w:tcPr>
            <w:tcW w:w="801" w:type="dxa"/>
            <w:vAlign w:val="center"/>
          </w:tcPr>
          <w:p w14:paraId="5C9FB3F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ascii="Wingdings" w:hAnsi="Wingdings" w:cs="Wingdings"/>
                <w:sz w:val="26"/>
                <w:szCs w:val="26"/>
              </w:rPr>
              <w:t></w:t>
            </w:r>
          </w:p>
        </w:tc>
      </w:tr>
    </w:tbl>
    <w:p w14:paraId="03A35BF5" w14:textId="77777777" w:rsidR="00C44394" w:rsidRPr="006E78DA" w:rsidRDefault="00C44394" w:rsidP="00C44394">
      <w:pPr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a</w:t>
      </w:r>
      <w:r w:rsidRPr="006E78DA">
        <w:rPr>
          <w:sz w:val="18"/>
          <w:szCs w:val="18"/>
        </w:rPr>
        <w:t xml:space="preserve"> Intrinsic or extrinsic/system uniformity verification performed as per vendors' specification</w:t>
      </w:r>
    </w:p>
    <w:p w14:paraId="2D0B77AF" w14:textId="77777777" w:rsidR="00C44394" w:rsidRPr="006E78DA" w:rsidRDefault="00C44394" w:rsidP="00C44394">
      <w:r w:rsidRPr="006E78DA">
        <w:rPr>
          <w:sz w:val="18"/>
          <w:szCs w:val="18"/>
          <w:vertAlign w:val="superscript"/>
        </w:rPr>
        <w:t>b</w:t>
      </w:r>
      <w:r w:rsidRPr="006E78DA">
        <w:rPr>
          <w:sz w:val="18"/>
          <w:szCs w:val="18"/>
        </w:rPr>
        <w:t xml:space="preserve"> Vendor-specific CT test</w:t>
      </w:r>
    </w:p>
    <w:p w14:paraId="2BFB3876" w14:textId="77777777" w:rsidR="00C44394" w:rsidRPr="006E78DA" w:rsidRDefault="00C44394" w:rsidP="00C44394">
      <w:pPr>
        <w:sectPr w:rsidR="00C44394" w:rsidRPr="006E78DA" w:rsidSect="00A5045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FB1D012" w14:textId="77777777" w:rsidR="00C44394" w:rsidRPr="006E78DA" w:rsidRDefault="00C44394" w:rsidP="00C44394">
      <w:pPr>
        <w:pStyle w:val="Caption"/>
        <w:keepNext/>
      </w:pPr>
      <w:bookmarkStart w:id="3" w:name="_Ref147916611"/>
      <w:r w:rsidRPr="006E78DA">
        <w:rPr>
          <w:b/>
        </w:rPr>
        <w:lastRenderedPageBreak/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4</w:t>
      </w:r>
      <w:r w:rsidRPr="006E78DA">
        <w:rPr>
          <w:b/>
        </w:rPr>
        <w:fldChar w:fldCharType="end"/>
      </w:r>
      <w:bookmarkEnd w:id="3"/>
      <w:r w:rsidRPr="006E78DA">
        <w:t xml:space="preserve"> Summary of QC tests and profession(s) responsible for performing the tests in the QA programs for gamma cameras and SPECT/CT systems across the participating sites.</w:t>
      </w:r>
    </w:p>
    <w:p w14:paraId="43882E23" w14:textId="77777777" w:rsidR="00C44394" w:rsidRPr="006E78DA" w:rsidRDefault="00C44394" w:rsidP="00C44394"/>
    <w:tbl>
      <w:tblPr>
        <w:tblStyle w:val="PlainTable2"/>
        <w:tblW w:w="15309" w:type="dxa"/>
        <w:tblLook w:val="04A0" w:firstRow="1" w:lastRow="0" w:firstColumn="1" w:lastColumn="0" w:noHBand="0" w:noVBand="1"/>
      </w:tblPr>
      <w:tblGrid>
        <w:gridCol w:w="3828"/>
        <w:gridCol w:w="1452"/>
        <w:gridCol w:w="1453"/>
        <w:gridCol w:w="1453"/>
        <w:gridCol w:w="1453"/>
        <w:gridCol w:w="1453"/>
        <w:gridCol w:w="1453"/>
        <w:gridCol w:w="1453"/>
        <w:gridCol w:w="1311"/>
      </w:tblGrid>
      <w:tr w:rsidR="00C44394" w:rsidRPr="006E78DA" w14:paraId="51B05EE8" w14:textId="77777777" w:rsidTr="008016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shd w:val="clear" w:color="auto" w:fill="A6A6A6" w:themeFill="background1" w:themeFillShade="A6"/>
            <w:vAlign w:val="center"/>
            <w:hideMark/>
          </w:tcPr>
          <w:p w14:paraId="5A5EC842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Test</w:t>
            </w:r>
          </w:p>
        </w:tc>
        <w:tc>
          <w:tcPr>
            <w:tcW w:w="1452" w:type="dxa"/>
            <w:shd w:val="clear" w:color="auto" w:fill="A6A6A6" w:themeFill="background1" w:themeFillShade="A6"/>
            <w:vAlign w:val="center"/>
            <w:hideMark/>
          </w:tcPr>
          <w:p w14:paraId="01357A20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1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7B9AD18C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2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7D65E357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3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48CF732C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4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59822E7B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5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723E1A2B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6</w:t>
            </w:r>
          </w:p>
        </w:tc>
        <w:tc>
          <w:tcPr>
            <w:tcW w:w="1453" w:type="dxa"/>
            <w:shd w:val="clear" w:color="auto" w:fill="A6A6A6" w:themeFill="background1" w:themeFillShade="A6"/>
            <w:vAlign w:val="center"/>
            <w:hideMark/>
          </w:tcPr>
          <w:p w14:paraId="537EDCA1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7</w:t>
            </w:r>
          </w:p>
        </w:tc>
        <w:tc>
          <w:tcPr>
            <w:tcW w:w="1311" w:type="dxa"/>
            <w:shd w:val="clear" w:color="auto" w:fill="A6A6A6" w:themeFill="background1" w:themeFillShade="A6"/>
            <w:vAlign w:val="center"/>
            <w:hideMark/>
          </w:tcPr>
          <w:p w14:paraId="44E2F3D0" w14:textId="77777777" w:rsidR="00C44394" w:rsidRPr="006E78DA" w:rsidRDefault="00C44394" w:rsidP="008016E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Site 8</w:t>
            </w:r>
          </w:p>
        </w:tc>
      </w:tr>
      <w:tr w:rsidR="00C44394" w:rsidRPr="006E78DA" w14:paraId="0B71BFBE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9" w:type="dxa"/>
            <w:gridSpan w:val="9"/>
            <w:shd w:val="clear" w:color="auto" w:fill="D9D9D9" w:themeFill="background1" w:themeFillShade="D9"/>
            <w:vAlign w:val="center"/>
            <w:hideMark/>
          </w:tcPr>
          <w:p w14:paraId="7635DD25" w14:textId="77777777" w:rsidR="00C44394" w:rsidRPr="006E78DA" w:rsidRDefault="00C44394" w:rsidP="008016E0">
            <w:pPr>
              <w:spacing w:after="0"/>
              <w:jc w:val="center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A. GAMMA CAMERA – PLANAR</w:t>
            </w:r>
          </w:p>
        </w:tc>
      </w:tr>
      <w:tr w:rsidR="00C44394" w:rsidRPr="006E78DA" w14:paraId="0F7EDA9F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25D593B2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Intrinsic and/or system uniformity verification (no tuning)</w:t>
            </w:r>
          </w:p>
        </w:tc>
        <w:tc>
          <w:tcPr>
            <w:tcW w:w="1452" w:type="dxa"/>
            <w:vAlign w:val="center"/>
          </w:tcPr>
          <w:p w14:paraId="0D8FEBE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655AE24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6AA6947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139A12D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18D2714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5C50146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072B469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240489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72E20C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5FAD1EAE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6B94A97B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1095BE56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High-count intrinsic and/or system uniformity verification (no tuning)</w:t>
            </w:r>
          </w:p>
        </w:tc>
        <w:tc>
          <w:tcPr>
            <w:tcW w:w="1452" w:type="dxa"/>
            <w:vAlign w:val="center"/>
          </w:tcPr>
          <w:p w14:paraId="5BB3A20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155C275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0B5DCF9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8F1499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BA1041D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B27B9B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E0C212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261C60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2BF74FC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49BCD06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78876780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4136C341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Intrinsic uniformity verification (post-tuning)</w:t>
            </w:r>
          </w:p>
        </w:tc>
        <w:tc>
          <w:tcPr>
            <w:tcW w:w="1452" w:type="dxa"/>
            <w:vAlign w:val="center"/>
          </w:tcPr>
          <w:p w14:paraId="6CED59E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689F8D3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4BFA93E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67092C4E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65F5A44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1BACCA0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4ECF674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05B8F3F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237526C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605D490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5C870B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25999D3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311" w:type="dxa"/>
            <w:vAlign w:val="center"/>
          </w:tcPr>
          <w:p w14:paraId="112FF99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52D1A485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7D9AA28A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High-count intrinsic uniformity verification (post-tuning)</w:t>
            </w:r>
          </w:p>
        </w:tc>
        <w:tc>
          <w:tcPr>
            <w:tcW w:w="1452" w:type="dxa"/>
            <w:vAlign w:val="center"/>
          </w:tcPr>
          <w:p w14:paraId="305A90E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1D74CE40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25191DC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4F99364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43C46F2D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61E9F75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7C20D2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When required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53" w:type="dxa"/>
            <w:vAlign w:val="center"/>
          </w:tcPr>
          <w:p w14:paraId="1A7FA7D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2E57146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5DB5EAA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26F8474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(NMT/MP)</w:t>
            </w:r>
          </w:p>
        </w:tc>
        <w:tc>
          <w:tcPr>
            <w:tcW w:w="1453" w:type="dxa"/>
            <w:vAlign w:val="center"/>
          </w:tcPr>
          <w:p w14:paraId="1DD398F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599FB5E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311" w:type="dxa"/>
            <w:vAlign w:val="center"/>
          </w:tcPr>
          <w:p w14:paraId="5F1198D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4122102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39611956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4FA156AF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Intrinsic uniformity using off-peak PHA windows</w:t>
            </w:r>
          </w:p>
        </w:tc>
        <w:tc>
          <w:tcPr>
            <w:tcW w:w="1452" w:type="dxa"/>
            <w:vAlign w:val="center"/>
          </w:tcPr>
          <w:p w14:paraId="7B8765A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14533E4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5888699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447396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3B7291DE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3552BCE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224C54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7B1F25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0AAC58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5267ADC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6E832CF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637BBE75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5D15B9CE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Intrinsic energy resolution</w:t>
            </w:r>
          </w:p>
        </w:tc>
        <w:tc>
          <w:tcPr>
            <w:tcW w:w="1452" w:type="dxa"/>
            <w:vAlign w:val="center"/>
          </w:tcPr>
          <w:p w14:paraId="2585EB3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D9CFBC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A743C5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483AB14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0EB030C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84B6A4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038090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0BFC52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77FA96E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109F184C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1D4684AB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System spatial resolution</w:t>
            </w:r>
          </w:p>
        </w:tc>
        <w:tc>
          <w:tcPr>
            <w:tcW w:w="1452" w:type="dxa"/>
            <w:vAlign w:val="center"/>
          </w:tcPr>
          <w:p w14:paraId="355C58C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32C5CCA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94871F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B48E80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Monthly/</w:t>
            </w:r>
          </w:p>
          <w:p w14:paraId="56F9F91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  <w:vertAlign w:val="superscript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 xml:space="preserve"> b</w:t>
            </w:r>
          </w:p>
          <w:p w14:paraId="4ED6733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140F399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71FF35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FC7735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71A10B4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(NMT/MP)</w:t>
            </w:r>
          </w:p>
        </w:tc>
        <w:tc>
          <w:tcPr>
            <w:tcW w:w="1453" w:type="dxa"/>
            <w:vAlign w:val="center"/>
          </w:tcPr>
          <w:p w14:paraId="4A3981F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1B3CF54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311" w:type="dxa"/>
            <w:vAlign w:val="center"/>
          </w:tcPr>
          <w:p w14:paraId="0C9A258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3ED435F2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4273C412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System planar sensitivity</w:t>
            </w:r>
          </w:p>
        </w:tc>
        <w:tc>
          <w:tcPr>
            <w:tcW w:w="1452" w:type="dxa"/>
            <w:vAlign w:val="center"/>
          </w:tcPr>
          <w:p w14:paraId="6E35C3A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1FA0953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E89695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289C4E2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Yearly/</w:t>
            </w:r>
          </w:p>
          <w:p w14:paraId="0F6F3D0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Six-Monthly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c</w:t>
            </w:r>
          </w:p>
          <w:p w14:paraId="39862AD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B262B0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324DC33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453" w:type="dxa"/>
            <w:vAlign w:val="center"/>
          </w:tcPr>
          <w:p w14:paraId="6C46479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Ad-hoc</w:t>
            </w:r>
          </w:p>
          <w:p w14:paraId="5F34E09D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453" w:type="dxa"/>
            <w:vAlign w:val="center"/>
          </w:tcPr>
          <w:p w14:paraId="0A99DDF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4BE470D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(NMT/MP)</w:t>
            </w:r>
          </w:p>
        </w:tc>
        <w:tc>
          <w:tcPr>
            <w:tcW w:w="1453" w:type="dxa"/>
            <w:vAlign w:val="center"/>
          </w:tcPr>
          <w:p w14:paraId="15CADA5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Ad-hoc/</w:t>
            </w:r>
          </w:p>
          <w:p w14:paraId="22268EA7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After service</w:t>
            </w:r>
          </w:p>
          <w:p w14:paraId="3C3B50B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311" w:type="dxa"/>
            <w:vAlign w:val="center"/>
          </w:tcPr>
          <w:p w14:paraId="4A956C1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61601A0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329B5541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6E265ADB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Multiple window spatial resolution</w:t>
            </w:r>
          </w:p>
        </w:tc>
        <w:tc>
          <w:tcPr>
            <w:tcW w:w="1452" w:type="dxa"/>
            <w:vAlign w:val="center"/>
          </w:tcPr>
          <w:p w14:paraId="50786A8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369AED3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708C529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524865D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3E787307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2DE19FA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43B751F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453" w:type="dxa"/>
            <w:vAlign w:val="center"/>
          </w:tcPr>
          <w:p w14:paraId="6ACF56D3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  <w:tc>
          <w:tcPr>
            <w:tcW w:w="1311" w:type="dxa"/>
            <w:vAlign w:val="center"/>
          </w:tcPr>
          <w:p w14:paraId="2F42D96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-</w:t>
            </w:r>
          </w:p>
        </w:tc>
      </w:tr>
      <w:tr w:rsidR="00C44394" w:rsidRPr="006E78DA" w14:paraId="43EBB68D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0C227CBA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Collimator hole alignment</w:t>
            </w:r>
          </w:p>
        </w:tc>
        <w:tc>
          <w:tcPr>
            <w:tcW w:w="1452" w:type="dxa"/>
            <w:vAlign w:val="center"/>
          </w:tcPr>
          <w:p w14:paraId="2217A47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00C57B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48E116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093F4570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5B579BD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B02BC9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309776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5D37352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29FF5850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23AF1CC8" w14:textId="77777777" w:rsidTr="008016E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9" w:type="dxa"/>
            <w:gridSpan w:val="9"/>
            <w:shd w:val="clear" w:color="auto" w:fill="D9D9D9" w:themeFill="background1" w:themeFillShade="D9"/>
            <w:vAlign w:val="center"/>
            <w:hideMark/>
          </w:tcPr>
          <w:p w14:paraId="44C70F9F" w14:textId="77777777" w:rsidR="00C44394" w:rsidRPr="006E78DA" w:rsidRDefault="00C44394" w:rsidP="008016E0">
            <w:pPr>
              <w:spacing w:after="0"/>
              <w:jc w:val="center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B. GAMMA CAMERA - WHOLE-BODY</w:t>
            </w:r>
          </w:p>
        </w:tc>
      </w:tr>
      <w:tr w:rsidR="00C44394" w:rsidRPr="006E78DA" w14:paraId="55FED3D8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0FEFEC37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Whole-body spatial resolution</w:t>
            </w:r>
          </w:p>
        </w:tc>
        <w:tc>
          <w:tcPr>
            <w:tcW w:w="1452" w:type="dxa"/>
            <w:vAlign w:val="center"/>
          </w:tcPr>
          <w:p w14:paraId="0245BF5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8CB344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6A0FA9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58BAFE5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18BC87B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3AEE96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83C9BD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83339E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304158F7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741905F3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2C11F6B0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Whole-body count rate variability &amp; exposure time correction</w:t>
            </w:r>
          </w:p>
        </w:tc>
        <w:tc>
          <w:tcPr>
            <w:tcW w:w="1452" w:type="dxa"/>
            <w:vAlign w:val="center"/>
          </w:tcPr>
          <w:p w14:paraId="4831830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E7C42C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01B0F67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592AE25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5D39400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85A170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33209C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1AE3E4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349931D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5AB17A44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7F06321C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Whole-body exposure time correction</w:t>
            </w:r>
          </w:p>
        </w:tc>
        <w:tc>
          <w:tcPr>
            <w:tcW w:w="1452" w:type="dxa"/>
            <w:vAlign w:val="center"/>
          </w:tcPr>
          <w:p w14:paraId="2BBD5FA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1B0C1AE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A72074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438F3C4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908AD82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CF5512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3A36575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51C0DA0D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6E7A08D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21F98011" w14:textId="77777777" w:rsidTr="008016E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9" w:type="dxa"/>
            <w:gridSpan w:val="9"/>
            <w:shd w:val="clear" w:color="auto" w:fill="D9D9D9" w:themeFill="background1" w:themeFillShade="D9"/>
            <w:vAlign w:val="center"/>
            <w:hideMark/>
          </w:tcPr>
          <w:p w14:paraId="65AC6708" w14:textId="77777777" w:rsidR="00C44394" w:rsidRPr="006E78DA" w:rsidRDefault="00C44394" w:rsidP="008016E0">
            <w:pPr>
              <w:spacing w:after="0"/>
              <w:jc w:val="center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C. SPECT</w:t>
            </w:r>
          </w:p>
        </w:tc>
      </w:tr>
      <w:tr w:rsidR="00C44394" w:rsidRPr="006E78DA" w14:paraId="01B64B25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7BB2BDB3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Centre of rotation</w:t>
            </w:r>
          </w:p>
        </w:tc>
        <w:tc>
          <w:tcPr>
            <w:tcW w:w="1452" w:type="dxa"/>
            <w:vAlign w:val="center"/>
          </w:tcPr>
          <w:p w14:paraId="13247EB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Quarterly</w:t>
            </w:r>
          </w:p>
          <w:p w14:paraId="7A1D90D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5B4A4C97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4C69179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76BAFAC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7E33BF51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223F7F9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Weekly</w:t>
            </w:r>
          </w:p>
          <w:p w14:paraId="790E6C6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39611C6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5D8C9B9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(NMT)</w:t>
            </w:r>
          </w:p>
        </w:tc>
        <w:tc>
          <w:tcPr>
            <w:tcW w:w="1453" w:type="dxa"/>
            <w:vAlign w:val="center"/>
          </w:tcPr>
          <w:p w14:paraId="76393AA7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0C8C1A39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(NMT/MP)</w:t>
            </w:r>
          </w:p>
        </w:tc>
        <w:tc>
          <w:tcPr>
            <w:tcW w:w="1453" w:type="dxa"/>
            <w:vAlign w:val="center"/>
          </w:tcPr>
          <w:p w14:paraId="75D6B26D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488808DE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311" w:type="dxa"/>
            <w:vAlign w:val="center"/>
          </w:tcPr>
          <w:p w14:paraId="25C8FD7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Monthly</w:t>
            </w:r>
          </w:p>
          <w:p w14:paraId="2AB1CA9A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71FBC836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496D6BB6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SPECT image quality</w:t>
            </w:r>
          </w:p>
        </w:tc>
        <w:tc>
          <w:tcPr>
            <w:tcW w:w="1452" w:type="dxa"/>
            <w:vAlign w:val="center"/>
          </w:tcPr>
          <w:p w14:paraId="05C9F17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Six-Monthly</w:t>
            </w:r>
          </w:p>
          <w:p w14:paraId="2F417CF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7E63A03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4F06365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3C5EC79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1B1D04D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434E888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36D8DBF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387B77A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73AA5B9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6987CD53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19DCC88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4606126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</w:tr>
      <w:tr w:rsidR="00C44394" w:rsidRPr="006E78DA" w14:paraId="79E3C089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633CA990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SPECT spatial resolution</w:t>
            </w:r>
          </w:p>
        </w:tc>
        <w:tc>
          <w:tcPr>
            <w:tcW w:w="1452" w:type="dxa"/>
            <w:vAlign w:val="center"/>
          </w:tcPr>
          <w:p w14:paraId="2941F386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622818F8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3752D243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F592AF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1AD1D1F2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7E6FFBC4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91A79A7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77B9C16C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C3E508F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6DA54F65" w14:textId="77777777" w:rsidR="00C44394" w:rsidRPr="006E78DA" w:rsidRDefault="00C44394" w:rsidP="008016E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4ABAFB13" w14:textId="77777777" w:rsidTr="008016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315E48DF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SPECT uniformity &amp; sensitivity</w:t>
            </w:r>
          </w:p>
        </w:tc>
        <w:tc>
          <w:tcPr>
            <w:tcW w:w="1452" w:type="dxa"/>
            <w:vAlign w:val="center"/>
          </w:tcPr>
          <w:p w14:paraId="091E6BA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6F14BAE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095457C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03B8A8B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5E2C4CA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64850E3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5F7F174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29AC69E4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</w:tcPr>
          <w:p w14:paraId="56670FA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14:paraId="4AD0E3A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</w:tr>
      <w:tr w:rsidR="00C44394" w:rsidRPr="006E78DA" w14:paraId="432D3343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9" w:type="dxa"/>
            <w:gridSpan w:val="9"/>
            <w:shd w:val="clear" w:color="auto" w:fill="D9D9D9" w:themeFill="background1" w:themeFillShade="D9"/>
            <w:vAlign w:val="center"/>
            <w:hideMark/>
          </w:tcPr>
          <w:p w14:paraId="023EED96" w14:textId="77777777" w:rsidR="00C44394" w:rsidRPr="006E78DA" w:rsidRDefault="00C44394" w:rsidP="008016E0">
            <w:pPr>
              <w:spacing w:after="0"/>
              <w:jc w:val="center"/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Cs w:val="0"/>
                <w:color w:val="000000"/>
                <w:sz w:val="18"/>
                <w:szCs w:val="18"/>
                <w:lang w:eastAsia="en-AU"/>
              </w:rPr>
              <w:t>D. SPECT/CT</w:t>
            </w:r>
          </w:p>
        </w:tc>
      </w:tr>
      <w:tr w:rsidR="00C44394" w:rsidRPr="006E78DA" w14:paraId="5A98987B" w14:textId="77777777" w:rsidTr="008016E0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38146BC8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lastRenderedPageBreak/>
              <w:t>SPECT/CT alignment calibration/verification</w:t>
            </w:r>
          </w:p>
        </w:tc>
        <w:tc>
          <w:tcPr>
            <w:tcW w:w="1452" w:type="dxa"/>
            <w:vAlign w:val="center"/>
          </w:tcPr>
          <w:p w14:paraId="0277AB5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&amp; Yearly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e</w:t>
            </w:r>
          </w:p>
          <w:p w14:paraId="43F5716A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453" w:type="dxa"/>
            <w:vAlign w:val="center"/>
          </w:tcPr>
          <w:p w14:paraId="3A0CC18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&amp;</w:t>
            </w:r>
          </w:p>
          <w:p w14:paraId="166A5176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After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f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(MP)</w:t>
            </w:r>
          </w:p>
        </w:tc>
        <w:tc>
          <w:tcPr>
            <w:tcW w:w="1453" w:type="dxa"/>
            <w:vAlign w:val="center"/>
          </w:tcPr>
          <w:p w14:paraId="07C3CC6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&amp;</w:t>
            </w:r>
          </w:p>
          <w:p w14:paraId="7D8619AE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1C942F3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</w:tcPr>
          <w:p w14:paraId="7BE4D08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&amp;</w:t>
            </w:r>
          </w:p>
          <w:p w14:paraId="1421EDE5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74B02C0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453" w:type="dxa"/>
            <w:vAlign w:val="center"/>
          </w:tcPr>
          <w:p w14:paraId="2596E1F7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53" w:type="dxa"/>
            <w:vAlign w:val="center"/>
          </w:tcPr>
          <w:p w14:paraId="2867824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53" w:type="dxa"/>
            <w:vAlign w:val="center"/>
          </w:tcPr>
          <w:p w14:paraId="25FE4E9D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311" w:type="dxa"/>
            <w:vAlign w:val="center"/>
          </w:tcPr>
          <w:p w14:paraId="281AAEE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At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 &amp;</w:t>
            </w:r>
          </w:p>
          <w:p w14:paraId="22B5CEC2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Ad-hoc</w:t>
            </w:r>
          </w:p>
          <w:p w14:paraId="33C9AA57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</w:tr>
      <w:tr w:rsidR="00C44394" w:rsidRPr="006E78DA" w14:paraId="4E4C0E4C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9" w:type="dxa"/>
            <w:gridSpan w:val="9"/>
            <w:shd w:val="clear" w:color="auto" w:fill="D9D9D9" w:themeFill="background1" w:themeFillShade="D9"/>
            <w:vAlign w:val="center"/>
          </w:tcPr>
          <w:p w14:paraId="2B1E8E76" w14:textId="77777777" w:rsidR="00C44394" w:rsidRPr="006E78DA" w:rsidRDefault="00C44394" w:rsidP="008016E0">
            <w:pPr>
              <w:spacing w:after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E. CT</w:t>
            </w:r>
          </w:p>
        </w:tc>
      </w:tr>
      <w:tr w:rsidR="00C44394" w:rsidRPr="006E78DA" w14:paraId="759A7B49" w14:textId="77777777" w:rsidTr="008016E0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  <w:hideMark/>
          </w:tcPr>
          <w:p w14:paraId="56CD53BF" w14:textId="77777777" w:rsidR="00C44394" w:rsidRPr="006E78DA" w:rsidRDefault="00C44394" w:rsidP="008016E0">
            <w:pPr>
              <w:spacing w:after="0"/>
              <w:jc w:val="left"/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b w:val="0"/>
                <w:color w:val="000000"/>
                <w:sz w:val="18"/>
                <w:szCs w:val="18"/>
                <w:lang w:eastAsia="en-AU"/>
              </w:rPr>
              <w:t>CT compliance testing</w:t>
            </w:r>
          </w:p>
        </w:tc>
        <w:tc>
          <w:tcPr>
            <w:tcW w:w="1452" w:type="dxa"/>
            <w:vAlign w:val="center"/>
            <w:hideMark/>
          </w:tcPr>
          <w:p w14:paraId="1E12B3EF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  <w:hideMark/>
          </w:tcPr>
          <w:p w14:paraId="4E8DA0B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Yearly</w:t>
            </w:r>
          </w:p>
          <w:p w14:paraId="2A5BF5A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(MP)</w:t>
            </w:r>
          </w:p>
        </w:tc>
        <w:tc>
          <w:tcPr>
            <w:tcW w:w="1453" w:type="dxa"/>
            <w:vAlign w:val="center"/>
            <w:hideMark/>
          </w:tcPr>
          <w:p w14:paraId="24EC1210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  <w:hideMark/>
          </w:tcPr>
          <w:p w14:paraId="0F7DB61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  <w:hideMark/>
          </w:tcPr>
          <w:p w14:paraId="64BF9F1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2-Yearly</w:t>
            </w:r>
          </w:p>
          <w:p w14:paraId="26473689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453" w:type="dxa"/>
            <w:vAlign w:val="center"/>
            <w:hideMark/>
          </w:tcPr>
          <w:p w14:paraId="1503DEF1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  <w:vAlign w:val="center"/>
            <w:hideMark/>
          </w:tcPr>
          <w:p w14:paraId="508C8DBB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  <w:vertAlign w:val="superscript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Two-Yearly/ After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f</w:t>
            </w:r>
          </w:p>
          <w:p w14:paraId="3B26120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  <w:tc>
          <w:tcPr>
            <w:tcW w:w="1311" w:type="dxa"/>
            <w:vAlign w:val="center"/>
            <w:hideMark/>
          </w:tcPr>
          <w:p w14:paraId="3E8E813E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 xml:space="preserve">Yearly/ </w:t>
            </w:r>
          </w:p>
          <w:p w14:paraId="7C00F42C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8"/>
                <w:szCs w:val="18"/>
                <w:vertAlign w:val="superscript"/>
              </w:rPr>
            </w:pPr>
            <w:r w:rsidRPr="006E78DA">
              <w:rPr>
                <w:rFonts w:cs="Arial"/>
                <w:color w:val="000000"/>
                <w:sz w:val="18"/>
                <w:szCs w:val="18"/>
              </w:rPr>
              <w:t>After service</w:t>
            </w:r>
            <w:r w:rsidRPr="006E78DA">
              <w:rPr>
                <w:rFonts w:cs="Arial"/>
                <w:color w:val="000000"/>
                <w:sz w:val="18"/>
                <w:szCs w:val="18"/>
                <w:vertAlign w:val="superscript"/>
              </w:rPr>
              <w:t>f</w:t>
            </w:r>
          </w:p>
          <w:p w14:paraId="4BA43538" w14:textId="77777777" w:rsidR="00C44394" w:rsidRPr="006E78DA" w:rsidRDefault="00C44394" w:rsidP="008016E0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</w:pPr>
            <w:r w:rsidRPr="006E78DA">
              <w:rPr>
                <w:rFonts w:eastAsia="Times New Roman" w:cs="Arial"/>
                <w:color w:val="000000"/>
                <w:sz w:val="18"/>
                <w:szCs w:val="18"/>
                <w:lang w:eastAsia="en-AU"/>
              </w:rPr>
              <w:t>(MP)</w:t>
            </w:r>
          </w:p>
        </w:tc>
      </w:tr>
    </w:tbl>
    <w:p w14:paraId="42788679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</w:rPr>
        <w:t xml:space="preserve">MP = Medical Physicist(s); Tech = NMT = Nuclear Medicine Technologist(s); PHA = Pulse Height Analyser </w:t>
      </w:r>
    </w:p>
    <w:p w14:paraId="24CB999D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  <w:vertAlign w:val="superscript"/>
        </w:rPr>
        <w:t>a</w:t>
      </w:r>
      <w:r w:rsidRPr="006E78DA">
        <w:rPr>
          <w:sz w:val="16"/>
          <w:szCs w:val="16"/>
        </w:rPr>
        <w:t xml:space="preserve"> Performed by service engineers when required (based on daily and weekly uniformity results).</w:t>
      </w:r>
    </w:p>
    <w:p w14:paraId="31D0E4B7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  <w:vertAlign w:val="superscript"/>
        </w:rPr>
        <w:t>b</w:t>
      </w:r>
      <w:r w:rsidRPr="006E78DA">
        <w:rPr>
          <w:sz w:val="16"/>
          <w:szCs w:val="16"/>
        </w:rPr>
        <w:t xml:space="preserve"> Monthly qualitative and annual system spatial resolution tests.</w:t>
      </w:r>
    </w:p>
    <w:p w14:paraId="35E321AA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  <w:vertAlign w:val="superscript"/>
        </w:rPr>
        <w:t>c</w:t>
      </w:r>
      <w:r w:rsidRPr="006E78DA">
        <w:rPr>
          <w:sz w:val="16"/>
          <w:szCs w:val="16"/>
        </w:rPr>
        <w:t xml:space="preserve"> Six-monthly planar sensitivity tests performed if site is enrolled in clinical trials requiring quantitation.</w:t>
      </w:r>
    </w:p>
    <w:p w14:paraId="658F40C9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  <w:vertAlign w:val="superscript"/>
        </w:rPr>
        <w:t>d</w:t>
      </w:r>
      <w:r w:rsidRPr="006E78DA">
        <w:rPr>
          <w:sz w:val="16"/>
          <w:szCs w:val="16"/>
        </w:rPr>
        <w:t xml:space="preserve"> SPECT/CT alignment calibration and alignment check performed by service engineers during preventive maintenance service.</w:t>
      </w:r>
    </w:p>
    <w:p w14:paraId="43B54A8B" w14:textId="77777777" w:rsidR="00C44394" w:rsidRPr="006E78DA" w:rsidRDefault="00C44394" w:rsidP="00C44394">
      <w:pPr>
        <w:rPr>
          <w:sz w:val="16"/>
          <w:szCs w:val="16"/>
        </w:rPr>
      </w:pPr>
      <w:r w:rsidRPr="006E78DA">
        <w:rPr>
          <w:sz w:val="16"/>
          <w:szCs w:val="16"/>
          <w:vertAlign w:val="superscript"/>
        </w:rPr>
        <w:t>e</w:t>
      </w:r>
      <w:r w:rsidRPr="006E78DA">
        <w:rPr>
          <w:sz w:val="16"/>
          <w:szCs w:val="16"/>
        </w:rPr>
        <w:t xml:space="preserve"> Yearly SPECT/CT alignment check not performed by physicist(s) if test summary on review of service report from vendor engineer.</w:t>
      </w:r>
    </w:p>
    <w:p w14:paraId="1CF98313" w14:textId="77777777" w:rsidR="00C44394" w:rsidRPr="006E78DA" w:rsidRDefault="00C44394" w:rsidP="00C44394">
      <w:r w:rsidRPr="006E78DA">
        <w:rPr>
          <w:sz w:val="16"/>
          <w:szCs w:val="16"/>
          <w:vertAlign w:val="superscript"/>
        </w:rPr>
        <w:t>f</w:t>
      </w:r>
      <w:r w:rsidRPr="006E78DA">
        <w:rPr>
          <w:sz w:val="16"/>
          <w:szCs w:val="16"/>
        </w:rPr>
        <w:t xml:space="preserve"> After major service or repair.</w:t>
      </w:r>
    </w:p>
    <w:p w14:paraId="2B263BCE" w14:textId="77777777" w:rsidR="00C44394" w:rsidRPr="006E78DA" w:rsidRDefault="00C44394" w:rsidP="00C44394">
      <w:pPr>
        <w:sectPr w:rsidR="00C44394" w:rsidRPr="006E78DA" w:rsidSect="00A50459">
          <w:pgSz w:w="16838" w:h="11906" w:orient="landscape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</w:p>
    <w:p w14:paraId="74D127BF" w14:textId="77777777" w:rsidR="00C44394" w:rsidRPr="006E78DA" w:rsidRDefault="00C44394" w:rsidP="00C44394">
      <w:pPr>
        <w:pStyle w:val="Caption"/>
      </w:pPr>
      <w:bookmarkStart w:id="4" w:name="_Ref147937204"/>
      <w:r w:rsidRPr="006E78DA">
        <w:rPr>
          <w:b/>
        </w:rPr>
        <w:lastRenderedPageBreak/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5</w:t>
      </w:r>
      <w:r w:rsidRPr="006E78DA">
        <w:rPr>
          <w:b/>
        </w:rPr>
        <w:fldChar w:fldCharType="end"/>
      </w:r>
      <w:bookmarkEnd w:id="4"/>
      <w:r w:rsidRPr="006E78DA">
        <w:t xml:space="preserve"> List of tests for gamma cameras and SPECT/CT systems in the NEMA NU-1 2018 testing standard [</w:t>
      </w:r>
      <w:hyperlink w:anchor="_References" w:history="1">
        <w:r w:rsidRPr="006E78DA">
          <w:rPr>
            <w:rStyle w:val="Hyperlink"/>
          </w:rPr>
          <w:t>19</w:t>
        </w:r>
      </w:hyperlink>
      <w:r w:rsidRPr="006E78DA">
        <w:t>].</w:t>
      </w:r>
    </w:p>
    <w:p w14:paraId="16EEC965" w14:textId="77777777" w:rsidR="00C44394" w:rsidRPr="006E78DA" w:rsidRDefault="00C44394" w:rsidP="00C44394"/>
    <w:tbl>
      <w:tblPr>
        <w:tblStyle w:val="PlainTable2"/>
        <w:tblW w:w="8789" w:type="dxa"/>
        <w:tblLook w:val="04A0" w:firstRow="1" w:lastRow="0" w:firstColumn="1" w:lastColumn="0" w:noHBand="0" w:noVBand="1"/>
      </w:tblPr>
      <w:tblGrid>
        <w:gridCol w:w="1184"/>
        <w:gridCol w:w="7605"/>
      </w:tblGrid>
      <w:tr w:rsidR="00C44394" w:rsidRPr="006E78DA" w14:paraId="1F138F33" w14:textId="77777777" w:rsidTr="008016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B0D6AB" w14:textId="77777777" w:rsidR="00C44394" w:rsidRPr="006E78DA" w:rsidRDefault="00C44394" w:rsidP="008016E0">
            <w:pPr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</w:t>
            </w: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285A0D" w14:textId="77777777" w:rsidR="00C44394" w:rsidRPr="006E78DA" w:rsidRDefault="00C44394" w:rsidP="008016E0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Test</w:t>
            </w:r>
          </w:p>
        </w:tc>
      </w:tr>
      <w:tr w:rsidR="00C44394" w:rsidRPr="006E78DA" w14:paraId="194CC16E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tcBorders>
              <w:top w:val="single" w:sz="4" w:space="0" w:color="auto"/>
            </w:tcBorders>
            <w:vAlign w:val="center"/>
          </w:tcPr>
          <w:p w14:paraId="4C694F46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sz w:val="18"/>
                <w:szCs w:val="18"/>
              </w:rPr>
              <w:t>Gamma Camera</w:t>
            </w: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30FA9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Spatial Resolution</w:t>
            </w:r>
          </w:p>
        </w:tc>
      </w:tr>
      <w:tr w:rsidR="00C44394" w:rsidRPr="006E78DA" w14:paraId="24EADA61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30A55654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DA54A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Spatial Linearity</w:t>
            </w:r>
          </w:p>
        </w:tc>
      </w:tr>
      <w:tr w:rsidR="00C44394" w:rsidRPr="006E78DA" w14:paraId="03607859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60C8948D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7D2D9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Energy Resolution</w:t>
            </w:r>
          </w:p>
        </w:tc>
      </w:tr>
      <w:tr w:rsidR="00C44394" w:rsidRPr="006E78DA" w14:paraId="3154D42D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26F59393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B2C72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Flood Field Uniformity</w:t>
            </w:r>
          </w:p>
        </w:tc>
      </w:tr>
      <w:tr w:rsidR="00C44394" w:rsidRPr="006E78DA" w14:paraId="1F631D6C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1E5C961F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7D995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Multiple Window Spatial Registration</w:t>
            </w:r>
          </w:p>
        </w:tc>
      </w:tr>
      <w:tr w:rsidR="00C44394" w:rsidRPr="006E78DA" w14:paraId="6C10A205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386C681D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2FCFF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Count Rate Performance in Air</w:t>
            </w:r>
          </w:p>
        </w:tc>
      </w:tr>
      <w:tr w:rsidR="00C44394" w:rsidRPr="006E78DA" w14:paraId="115CC8FE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55247C6C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61692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Spatial Resolution at 75 000 counts per second (cps)</w:t>
            </w:r>
          </w:p>
        </w:tc>
      </w:tr>
      <w:tr w:rsidR="00C44394" w:rsidRPr="006E78DA" w14:paraId="2C83CF5F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2F9765C2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780C4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Intrinsic Flood Field Uniformity at 75 000 cps</w:t>
            </w:r>
          </w:p>
        </w:tc>
      </w:tr>
      <w:tr w:rsidR="00C44394" w:rsidRPr="006E78DA" w14:paraId="7C36CD3C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57B74621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A38EE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Spatial Resolution without Scatter</w:t>
            </w:r>
          </w:p>
        </w:tc>
      </w:tr>
      <w:tr w:rsidR="00C44394" w:rsidRPr="006E78DA" w14:paraId="37EA9838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5D6C81A3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63A62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Spatial Resolution with Scatter</w:t>
            </w:r>
          </w:p>
        </w:tc>
      </w:tr>
      <w:tr w:rsidR="00C44394" w:rsidRPr="006E78DA" w14:paraId="13841417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3DDE7549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63C4D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Planar Sensitivity and Collimator Penetration and Scatter</w:t>
            </w:r>
          </w:p>
        </w:tc>
      </w:tr>
      <w:tr w:rsidR="00C44394" w:rsidRPr="006E78DA" w14:paraId="6140BFA3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4D038016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59BA5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Detector Shielding</w:t>
            </w:r>
          </w:p>
        </w:tc>
      </w:tr>
      <w:tr w:rsidR="00C44394" w:rsidRPr="006E78DA" w14:paraId="2DA6FA69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vAlign w:val="center"/>
          </w:tcPr>
          <w:p w14:paraId="0C04C0FC" w14:textId="77777777" w:rsidR="00C44394" w:rsidRPr="006E78DA" w:rsidRDefault="00C44394" w:rsidP="008016E0">
            <w:pPr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C452F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Count Rate Performance with Scatter</w:t>
            </w:r>
          </w:p>
        </w:tc>
      </w:tr>
      <w:tr w:rsidR="00C44394" w:rsidRPr="006E78DA" w14:paraId="184FA56A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15BEB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sz w:val="18"/>
                <w:szCs w:val="18"/>
              </w:rPr>
              <w:t>Whole-Body</w:t>
            </w: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0350A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Whole-Body System Spatial Resolution without Scatter</w:t>
            </w:r>
          </w:p>
        </w:tc>
      </w:tr>
      <w:tr w:rsidR="00C44394" w:rsidRPr="006E78DA" w14:paraId="5FAA8591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tcBorders>
              <w:top w:val="single" w:sz="4" w:space="0" w:color="auto"/>
            </w:tcBorders>
            <w:vAlign w:val="center"/>
          </w:tcPr>
          <w:p w14:paraId="428992BF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sz w:val="18"/>
                <w:szCs w:val="18"/>
              </w:rPr>
              <w:t>SPECT</w:t>
            </w: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F8EEA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Alignment</w:t>
            </w:r>
          </w:p>
        </w:tc>
      </w:tr>
      <w:tr w:rsidR="00C44394" w:rsidRPr="006E78DA" w14:paraId="17CE049E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2BD2EE5C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EFB5D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SPECT Reconstructed Spatial Resolution without Scatter</w:t>
            </w:r>
          </w:p>
        </w:tc>
      </w:tr>
      <w:tr w:rsidR="00C44394" w:rsidRPr="006E78DA" w14:paraId="3302372B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5593CF1B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D1102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SPECT Reconstructed Spatial Resolution with Scatter</w:t>
            </w:r>
          </w:p>
        </w:tc>
      </w:tr>
      <w:tr w:rsidR="00C44394" w:rsidRPr="006E78DA" w14:paraId="710A68BB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770B445C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A722A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System Volume Sensitivity</w:t>
            </w:r>
          </w:p>
        </w:tc>
      </w:tr>
      <w:tr w:rsidR="00C44394" w:rsidRPr="006E78DA" w14:paraId="502DE703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</w:tcPr>
          <w:p w14:paraId="3760C5F8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794A3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Detector-Detector Sensitivity Variation</w:t>
            </w:r>
          </w:p>
        </w:tc>
      </w:tr>
      <w:tr w:rsidR="00C44394" w:rsidRPr="006E78DA" w14:paraId="71DDB157" w14:textId="77777777" w:rsidTr="008016E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vAlign w:val="center"/>
          </w:tcPr>
          <w:p w14:paraId="0C0447F8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99B76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Tomographic Contrast and Absolute Quantification Accuracy</w:t>
            </w:r>
          </w:p>
        </w:tc>
      </w:tr>
      <w:tr w:rsidR="00C44394" w:rsidRPr="006E78DA" w14:paraId="0D9C3210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94EA4" w14:textId="77777777" w:rsidR="00C44394" w:rsidRPr="006E78DA" w:rsidRDefault="00C44394" w:rsidP="008016E0">
            <w:pPr>
              <w:jc w:val="left"/>
              <w:rPr>
                <w:rFonts w:cs="Arial"/>
                <w:b w:val="0"/>
                <w:sz w:val="18"/>
                <w:szCs w:val="18"/>
              </w:rPr>
            </w:pPr>
            <w:r w:rsidRPr="006E78DA">
              <w:rPr>
                <w:rFonts w:cs="Arial"/>
                <w:b w:val="0"/>
                <w:sz w:val="18"/>
                <w:szCs w:val="18"/>
              </w:rPr>
              <w:t>SPECT/CT</w:t>
            </w:r>
          </w:p>
        </w:tc>
        <w:tc>
          <w:tcPr>
            <w:tcW w:w="7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AC31D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</w:rPr>
            </w:pPr>
            <w:r w:rsidRPr="006E78DA">
              <w:rPr>
                <w:rFonts w:cs="Arial"/>
                <w:sz w:val="18"/>
                <w:szCs w:val="18"/>
              </w:rPr>
              <w:t>SPECT/CT Co-Registration Accuracy</w:t>
            </w:r>
          </w:p>
        </w:tc>
      </w:tr>
    </w:tbl>
    <w:p w14:paraId="3C395379" w14:textId="77777777" w:rsidR="00C44394" w:rsidRPr="006E78DA" w:rsidRDefault="00C44394" w:rsidP="00C44394"/>
    <w:p w14:paraId="7E44239E" w14:textId="77777777" w:rsidR="00C44394" w:rsidRPr="006E78DA" w:rsidRDefault="00C44394" w:rsidP="00C44394"/>
    <w:p w14:paraId="17175C5D" w14:textId="77777777" w:rsidR="00C44394" w:rsidRPr="006E78DA" w:rsidRDefault="00C44394" w:rsidP="00C44394">
      <w:pPr>
        <w:pStyle w:val="Caption"/>
        <w:keepNext/>
      </w:pPr>
      <w:bookmarkStart w:id="5" w:name="_Ref132902750"/>
      <w:r w:rsidRPr="006E78DA">
        <w:rPr>
          <w:b/>
        </w:rPr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6</w:t>
      </w:r>
      <w:r w:rsidRPr="006E78DA">
        <w:rPr>
          <w:b/>
        </w:rPr>
        <w:fldChar w:fldCharType="end"/>
      </w:r>
      <w:bookmarkEnd w:id="5"/>
      <w:r w:rsidRPr="006E78DA">
        <w:t xml:space="preserve"> Version(s) of the NEMA NU-1 standard used in publications from sampled professional bodies.</w:t>
      </w:r>
    </w:p>
    <w:p w14:paraId="763F07EA" w14:textId="77777777" w:rsidR="00C44394" w:rsidRPr="006E78DA" w:rsidRDefault="00C44394" w:rsidP="00C44394"/>
    <w:tbl>
      <w:tblPr>
        <w:tblStyle w:val="PlainTable2"/>
        <w:tblW w:w="0" w:type="auto"/>
        <w:tblBorders>
          <w:top w:val="single" w:sz="4" w:space="0" w:color="000000" w:themeColor="text1"/>
          <w:bottom w:val="single" w:sz="4" w:space="0" w:color="000000" w:themeColor="text1"/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18"/>
        <w:gridCol w:w="4385"/>
        <w:gridCol w:w="1187"/>
        <w:gridCol w:w="1812"/>
      </w:tblGrid>
      <w:tr w:rsidR="00C44394" w:rsidRPr="006E78DA" w14:paraId="2B8BB6DB" w14:textId="77777777" w:rsidTr="008016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6B1F9BAF" w14:textId="77777777" w:rsidR="00C44394" w:rsidRPr="006E78DA" w:rsidRDefault="00C44394" w:rsidP="008016E0">
            <w:pPr>
              <w:jc w:val="left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Professional Body</w:t>
            </w:r>
          </w:p>
        </w:tc>
        <w:tc>
          <w:tcPr>
            <w:tcW w:w="4385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6A47632" w14:textId="77777777" w:rsidR="00C44394" w:rsidRPr="006E78DA" w:rsidRDefault="00C44394" w:rsidP="008016E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Publication</w:t>
            </w:r>
          </w:p>
        </w:tc>
        <w:tc>
          <w:tcPr>
            <w:tcW w:w="1185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E572C1C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Publication</w:t>
            </w:r>
          </w:p>
          <w:p w14:paraId="5144271B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Year</w:t>
            </w:r>
          </w:p>
        </w:tc>
        <w:tc>
          <w:tcPr>
            <w:tcW w:w="181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E9D1718" w14:textId="77777777" w:rsidR="00C44394" w:rsidRPr="006E78DA" w:rsidRDefault="00C44394" w:rsidP="008016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NU-1 Version(s)</w:t>
            </w:r>
          </w:p>
        </w:tc>
      </w:tr>
      <w:tr w:rsidR="00C44394" w:rsidRPr="006E78DA" w14:paraId="2DE715BE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000000" w:themeColor="text1"/>
            </w:tcBorders>
            <w:vAlign w:val="center"/>
          </w:tcPr>
          <w:p w14:paraId="29F2BFCF" w14:textId="77777777" w:rsidR="00C44394" w:rsidRPr="006E78DA" w:rsidRDefault="00C44394" w:rsidP="008016E0">
            <w:pPr>
              <w:jc w:val="left"/>
              <w:rPr>
                <w:b w:val="0"/>
                <w:sz w:val="18"/>
                <w:szCs w:val="18"/>
              </w:rPr>
            </w:pPr>
            <w:r w:rsidRPr="006E78DA">
              <w:rPr>
                <w:b w:val="0"/>
                <w:sz w:val="18"/>
                <w:szCs w:val="18"/>
              </w:rPr>
              <w:t>AAPM [</w:t>
            </w:r>
            <w:hyperlink w:anchor="_References" w:history="1">
              <w:r w:rsidRPr="006E78DA">
                <w:rPr>
                  <w:rStyle w:val="Hyperlink"/>
                  <w:b w:val="0"/>
                  <w:bCs w:val="0"/>
                  <w:sz w:val="18"/>
                  <w:szCs w:val="18"/>
                </w:rPr>
                <w:t>2</w:t>
              </w:r>
              <w:r w:rsidRPr="006E78DA">
                <w:rPr>
                  <w:rStyle w:val="Hyperlink"/>
                  <w:sz w:val="18"/>
                  <w:szCs w:val="18"/>
                </w:rPr>
                <w:t>2</w:t>
              </w:r>
            </w:hyperlink>
            <w:r w:rsidRPr="006E78DA">
              <w:rPr>
                <w:b w:val="0"/>
                <w:sz w:val="18"/>
                <w:szCs w:val="18"/>
              </w:rPr>
              <w:t>]</w:t>
            </w:r>
          </w:p>
        </w:tc>
        <w:tc>
          <w:tcPr>
            <w:tcW w:w="4385" w:type="dxa"/>
            <w:tcBorders>
              <w:top w:val="single" w:sz="4" w:space="0" w:color="000000" w:themeColor="text1"/>
            </w:tcBorders>
            <w:vAlign w:val="center"/>
          </w:tcPr>
          <w:p w14:paraId="60B53047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Report of AAPM Task Group 177</w:t>
            </w:r>
          </w:p>
        </w:tc>
        <w:tc>
          <w:tcPr>
            <w:tcW w:w="1185" w:type="dxa"/>
            <w:tcBorders>
              <w:top w:val="single" w:sz="4" w:space="0" w:color="000000" w:themeColor="text1"/>
            </w:tcBorders>
            <w:vAlign w:val="center"/>
          </w:tcPr>
          <w:p w14:paraId="220A09F5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2019</w:t>
            </w:r>
          </w:p>
        </w:tc>
        <w:tc>
          <w:tcPr>
            <w:tcW w:w="1812" w:type="dxa"/>
            <w:tcBorders>
              <w:top w:val="single" w:sz="4" w:space="0" w:color="000000" w:themeColor="text1"/>
            </w:tcBorders>
            <w:vAlign w:val="center"/>
          </w:tcPr>
          <w:p w14:paraId="762CC0A3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1-2012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27</w:t>
              </w:r>
            </w:hyperlink>
            <w:r w:rsidRPr="006E78DA">
              <w:rPr>
                <w:sz w:val="18"/>
                <w:szCs w:val="18"/>
              </w:rPr>
              <w:t>]</w:t>
            </w:r>
          </w:p>
        </w:tc>
      </w:tr>
      <w:tr w:rsidR="00C44394" w:rsidRPr="006E78DA" w14:paraId="53DBD5FF" w14:textId="77777777" w:rsidTr="008016E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1539DC7D" w14:textId="77777777" w:rsidR="00C44394" w:rsidRPr="006E78DA" w:rsidRDefault="00C44394" w:rsidP="008016E0">
            <w:pPr>
              <w:jc w:val="left"/>
              <w:rPr>
                <w:b w:val="0"/>
                <w:sz w:val="18"/>
                <w:szCs w:val="18"/>
              </w:rPr>
            </w:pPr>
            <w:r w:rsidRPr="006E78DA">
              <w:rPr>
                <w:b w:val="0"/>
                <w:sz w:val="18"/>
                <w:szCs w:val="18"/>
              </w:rPr>
              <w:t>ANZSNM [</w:t>
            </w:r>
            <w:hyperlink w:anchor="_References" w:history="1">
              <w:r w:rsidRPr="006E78DA">
                <w:rPr>
                  <w:rStyle w:val="Hyperlink"/>
                  <w:b w:val="0"/>
                  <w:bCs w:val="0"/>
                  <w:sz w:val="18"/>
                  <w:szCs w:val="18"/>
                </w:rPr>
                <w:t>2</w:t>
              </w:r>
              <w:r w:rsidRPr="006E78DA">
                <w:rPr>
                  <w:rStyle w:val="Hyperlink"/>
                  <w:sz w:val="18"/>
                  <w:szCs w:val="18"/>
                </w:rPr>
                <w:t>3</w:t>
              </w:r>
            </w:hyperlink>
            <w:r w:rsidRPr="006E78DA">
              <w:rPr>
                <w:b w:val="0"/>
                <w:sz w:val="18"/>
                <w:szCs w:val="18"/>
              </w:rPr>
              <w:t>]</w:t>
            </w:r>
          </w:p>
        </w:tc>
        <w:tc>
          <w:tcPr>
            <w:tcW w:w="4385" w:type="dxa"/>
            <w:vAlign w:val="center"/>
          </w:tcPr>
          <w:p w14:paraId="67CC5F4E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Minimum QC Schedule for Gamma Cameras</w:t>
            </w:r>
          </w:p>
        </w:tc>
        <w:tc>
          <w:tcPr>
            <w:tcW w:w="1185" w:type="dxa"/>
            <w:vAlign w:val="center"/>
          </w:tcPr>
          <w:p w14:paraId="26712082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2013</w:t>
            </w:r>
          </w:p>
        </w:tc>
        <w:tc>
          <w:tcPr>
            <w:tcW w:w="1812" w:type="dxa"/>
            <w:vAlign w:val="center"/>
          </w:tcPr>
          <w:p w14:paraId="5CF8E7A7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1-2007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28</w:t>
              </w:r>
            </w:hyperlink>
            <w:r w:rsidRPr="006E78DA">
              <w:rPr>
                <w:sz w:val="18"/>
                <w:szCs w:val="18"/>
              </w:rPr>
              <w:t>]</w:t>
            </w:r>
          </w:p>
        </w:tc>
      </w:tr>
      <w:tr w:rsidR="00C44394" w:rsidRPr="006E78DA" w14:paraId="13869D91" w14:textId="77777777" w:rsidTr="008016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000000" w:themeColor="text1"/>
            </w:tcBorders>
            <w:vAlign w:val="center"/>
          </w:tcPr>
          <w:p w14:paraId="33AD79CB" w14:textId="77777777" w:rsidR="00C44394" w:rsidRPr="006E78DA" w:rsidRDefault="00C44394" w:rsidP="008016E0">
            <w:pPr>
              <w:jc w:val="left"/>
              <w:rPr>
                <w:b w:val="0"/>
                <w:sz w:val="18"/>
                <w:szCs w:val="18"/>
              </w:rPr>
            </w:pPr>
            <w:r w:rsidRPr="006E78DA">
              <w:rPr>
                <w:b w:val="0"/>
                <w:sz w:val="18"/>
                <w:szCs w:val="18"/>
              </w:rPr>
              <w:t>EANM [</w:t>
            </w:r>
            <w:hyperlink w:anchor="_References" w:history="1">
              <w:r w:rsidRPr="006E78DA">
                <w:rPr>
                  <w:rStyle w:val="Hyperlink"/>
                  <w:b w:val="0"/>
                  <w:bCs w:val="0"/>
                  <w:sz w:val="18"/>
                  <w:szCs w:val="18"/>
                </w:rPr>
                <w:t>24</w:t>
              </w:r>
            </w:hyperlink>
            <w:r w:rsidRPr="006E78DA">
              <w:rPr>
                <w:b w:val="0"/>
                <w:sz w:val="18"/>
                <w:szCs w:val="18"/>
              </w:rPr>
              <w:t>]</w:t>
            </w:r>
          </w:p>
        </w:tc>
        <w:tc>
          <w:tcPr>
            <w:tcW w:w="4385" w:type="dxa"/>
            <w:tcBorders>
              <w:bottom w:val="single" w:sz="4" w:space="0" w:color="000000" w:themeColor="text1"/>
            </w:tcBorders>
            <w:vAlign w:val="center"/>
          </w:tcPr>
          <w:p w14:paraId="212638A4" w14:textId="77777777" w:rsidR="00C44394" w:rsidRPr="006E78DA" w:rsidRDefault="00C44394" w:rsidP="008016E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Routine quality control recommendations for nuclear medicine instrumentation</w:t>
            </w:r>
          </w:p>
        </w:tc>
        <w:tc>
          <w:tcPr>
            <w:tcW w:w="1185" w:type="dxa"/>
            <w:tcBorders>
              <w:bottom w:val="single" w:sz="4" w:space="0" w:color="000000" w:themeColor="text1"/>
            </w:tcBorders>
            <w:vAlign w:val="center"/>
          </w:tcPr>
          <w:p w14:paraId="5257A187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2010</w:t>
            </w:r>
          </w:p>
        </w:tc>
        <w:tc>
          <w:tcPr>
            <w:tcW w:w="1812" w:type="dxa"/>
            <w:tcBorders>
              <w:bottom w:val="single" w:sz="4" w:space="0" w:color="000000" w:themeColor="text1"/>
            </w:tcBorders>
            <w:vAlign w:val="center"/>
          </w:tcPr>
          <w:p w14:paraId="06DC897E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1-2001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29</w:t>
              </w:r>
            </w:hyperlink>
            <w:r w:rsidRPr="006E78DA">
              <w:rPr>
                <w:sz w:val="18"/>
                <w:szCs w:val="18"/>
              </w:rPr>
              <w:t>]</w:t>
            </w:r>
          </w:p>
          <w:p w14:paraId="55936B42" w14:textId="77777777" w:rsidR="00C44394" w:rsidRPr="006E78DA" w:rsidRDefault="00C44394" w:rsidP="008016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1-2007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28</w:t>
              </w:r>
            </w:hyperlink>
            <w:r w:rsidRPr="006E78DA">
              <w:rPr>
                <w:sz w:val="18"/>
                <w:szCs w:val="18"/>
              </w:rPr>
              <w:t>]</w:t>
            </w:r>
          </w:p>
        </w:tc>
      </w:tr>
      <w:tr w:rsidR="00C44394" w:rsidRPr="006E78DA" w14:paraId="23537DFC" w14:textId="77777777" w:rsidTr="008016E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000000" w:themeColor="text1"/>
            </w:tcBorders>
            <w:vAlign w:val="center"/>
          </w:tcPr>
          <w:p w14:paraId="2E578E4E" w14:textId="77777777" w:rsidR="00C44394" w:rsidRPr="006E78DA" w:rsidRDefault="00C44394" w:rsidP="008016E0">
            <w:pPr>
              <w:jc w:val="left"/>
              <w:rPr>
                <w:b w:val="0"/>
                <w:sz w:val="18"/>
                <w:szCs w:val="18"/>
              </w:rPr>
            </w:pPr>
            <w:r w:rsidRPr="006E78DA">
              <w:rPr>
                <w:b w:val="0"/>
                <w:sz w:val="18"/>
                <w:szCs w:val="18"/>
              </w:rPr>
              <w:t>IAEA [</w:t>
            </w:r>
            <w:hyperlink w:anchor="_References" w:history="1">
              <w:r w:rsidRPr="006E78DA">
                <w:rPr>
                  <w:rStyle w:val="Hyperlink"/>
                  <w:b w:val="0"/>
                  <w:bCs w:val="0"/>
                  <w:sz w:val="18"/>
                  <w:szCs w:val="18"/>
                </w:rPr>
                <w:t>25</w:t>
              </w:r>
            </w:hyperlink>
            <w:r w:rsidRPr="006E78DA">
              <w:rPr>
                <w:b w:val="0"/>
                <w:sz w:val="18"/>
                <w:szCs w:val="18"/>
              </w:rPr>
              <w:t>]</w:t>
            </w:r>
          </w:p>
        </w:tc>
        <w:tc>
          <w:tcPr>
            <w:tcW w:w="4385" w:type="dxa"/>
            <w:tcBorders>
              <w:bottom w:val="single" w:sz="4" w:space="0" w:color="000000" w:themeColor="text1"/>
            </w:tcBorders>
            <w:vAlign w:val="center"/>
          </w:tcPr>
          <w:p w14:paraId="6FFB1CE0" w14:textId="77777777" w:rsidR="00C44394" w:rsidRPr="006E78DA" w:rsidRDefault="00C44394" w:rsidP="008016E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Human Health Series 6 – Quality Assurance for SPECT Systems</w:t>
            </w:r>
          </w:p>
        </w:tc>
        <w:tc>
          <w:tcPr>
            <w:tcW w:w="1185" w:type="dxa"/>
            <w:tcBorders>
              <w:bottom w:val="single" w:sz="4" w:space="0" w:color="000000" w:themeColor="text1"/>
            </w:tcBorders>
            <w:vAlign w:val="center"/>
          </w:tcPr>
          <w:p w14:paraId="0F8FB5B7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2009</w:t>
            </w:r>
          </w:p>
        </w:tc>
        <w:tc>
          <w:tcPr>
            <w:tcW w:w="1812" w:type="dxa"/>
            <w:tcBorders>
              <w:bottom w:val="single" w:sz="4" w:space="0" w:color="000000" w:themeColor="text1"/>
            </w:tcBorders>
            <w:vAlign w:val="center"/>
          </w:tcPr>
          <w:p w14:paraId="173AD62B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1-1994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30</w:t>
              </w:r>
            </w:hyperlink>
            <w:r w:rsidRPr="006E78DA">
              <w:rPr>
                <w:sz w:val="18"/>
                <w:szCs w:val="18"/>
              </w:rPr>
              <w:t>],</w:t>
            </w:r>
          </w:p>
          <w:p w14:paraId="4736FB4C" w14:textId="77777777" w:rsidR="00C44394" w:rsidRPr="006E78DA" w:rsidRDefault="00C44394" w:rsidP="008016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E78DA">
              <w:rPr>
                <w:sz w:val="18"/>
                <w:szCs w:val="18"/>
              </w:rPr>
              <w:t>NU 1-2001 [</w:t>
            </w:r>
            <w:hyperlink w:anchor="_References" w:history="1">
              <w:r w:rsidRPr="006E78DA">
                <w:rPr>
                  <w:rStyle w:val="Hyperlink"/>
                  <w:sz w:val="18"/>
                  <w:szCs w:val="18"/>
                </w:rPr>
                <w:t>29</w:t>
              </w:r>
            </w:hyperlink>
            <w:r w:rsidRPr="006E78DA">
              <w:rPr>
                <w:sz w:val="18"/>
                <w:szCs w:val="18"/>
              </w:rPr>
              <w:t>]</w:t>
            </w:r>
          </w:p>
        </w:tc>
      </w:tr>
    </w:tbl>
    <w:p w14:paraId="5514EB30" w14:textId="77777777" w:rsidR="00C44394" w:rsidRPr="006E78DA" w:rsidRDefault="00C44394" w:rsidP="00C44394"/>
    <w:p w14:paraId="1E8F6496" w14:textId="77777777" w:rsidR="00C44394" w:rsidRPr="006E78DA" w:rsidRDefault="00C44394" w:rsidP="00C44394">
      <w:pPr>
        <w:sectPr w:rsidR="00C44394" w:rsidRPr="006E78DA" w:rsidSect="00A5045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E12814A" w14:textId="77777777" w:rsidR="00C44394" w:rsidRPr="006E78DA" w:rsidRDefault="00C44394" w:rsidP="00C44394">
      <w:pPr>
        <w:pStyle w:val="Caption"/>
        <w:keepNext/>
      </w:pPr>
      <w:bookmarkStart w:id="6" w:name="_Ref136342915"/>
      <w:r w:rsidRPr="006E78DA">
        <w:rPr>
          <w:b/>
        </w:rPr>
        <w:lastRenderedPageBreak/>
        <w:t xml:space="preserve">Table </w:t>
      </w:r>
      <w:r w:rsidRPr="006E78DA">
        <w:rPr>
          <w:b/>
        </w:rPr>
        <w:fldChar w:fldCharType="begin"/>
      </w:r>
      <w:r w:rsidRPr="006E78DA">
        <w:rPr>
          <w:b/>
        </w:rPr>
        <w:instrText xml:space="preserve"> SEQ Table \* ARABIC </w:instrText>
      </w:r>
      <w:r w:rsidRPr="006E78DA">
        <w:rPr>
          <w:b/>
        </w:rPr>
        <w:fldChar w:fldCharType="separate"/>
      </w:r>
      <w:r>
        <w:rPr>
          <w:b/>
          <w:noProof/>
        </w:rPr>
        <w:t>7</w:t>
      </w:r>
      <w:r w:rsidRPr="006E78DA">
        <w:rPr>
          <w:b/>
        </w:rPr>
        <w:fldChar w:fldCharType="end"/>
      </w:r>
      <w:bookmarkEnd w:id="6"/>
      <w:r w:rsidRPr="006E78DA">
        <w:t xml:space="preserve"> Comparison of recommended QC tests and minimum testing frequencies for gamma cameras and SPECT/CT systems in publications from professional bodies.</w:t>
      </w:r>
    </w:p>
    <w:p w14:paraId="26F6F9EE" w14:textId="77777777" w:rsidR="00C44394" w:rsidRPr="006E78DA" w:rsidRDefault="00C44394" w:rsidP="00C44394"/>
    <w:tbl>
      <w:tblPr>
        <w:tblStyle w:val="TableGrid"/>
        <w:tblW w:w="13745" w:type="dxa"/>
        <w:jc w:val="center"/>
        <w:tblLook w:val="04A0" w:firstRow="1" w:lastRow="0" w:firstColumn="1" w:lastColumn="0" w:noHBand="0" w:noVBand="1"/>
      </w:tblPr>
      <w:tblGrid>
        <w:gridCol w:w="3367"/>
        <w:gridCol w:w="2995"/>
        <w:gridCol w:w="1126"/>
        <w:gridCol w:w="1587"/>
        <w:gridCol w:w="1618"/>
        <w:gridCol w:w="1595"/>
        <w:gridCol w:w="1457"/>
      </w:tblGrid>
      <w:tr w:rsidR="00C44394" w:rsidRPr="006E78DA" w14:paraId="7896F14D" w14:textId="77777777" w:rsidTr="008016E0">
        <w:trPr>
          <w:trHeight w:val="340"/>
          <w:tblHeader/>
          <w:jc w:val="center"/>
        </w:trPr>
        <w:tc>
          <w:tcPr>
            <w:tcW w:w="3397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DEF7A6" w14:textId="77777777" w:rsidR="00C44394" w:rsidRPr="006E78DA" w:rsidRDefault="00C44394" w:rsidP="008016E0">
            <w:pPr>
              <w:jc w:val="left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Test Name</w:t>
            </w:r>
          </w:p>
        </w:tc>
        <w:tc>
          <w:tcPr>
            <w:tcW w:w="3017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3CF937D" w14:textId="77777777" w:rsidR="00C44394" w:rsidRPr="006E78DA" w:rsidRDefault="00C44394" w:rsidP="008016E0">
            <w:pPr>
              <w:jc w:val="left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Test Description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D5A09BD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NEMA Test</w:t>
            </w:r>
          </w:p>
        </w:tc>
        <w:tc>
          <w:tcPr>
            <w:tcW w:w="1589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2345DA4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AAPM [</w:t>
            </w:r>
            <w:hyperlink w:anchor="_References" w:history="1">
              <w:r w:rsidRPr="006E78DA">
                <w:rPr>
                  <w:rStyle w:val="Hyperlink"/>
                  <w:rFonts w:cs="Arial"/>
                  <w:b/>
                  <w:sz w:val="16"/>
                  <w:szCs w:val="16"/>
                </w:rPr>
                <w:t>22</w:t>
              </w:r>
            </w:hyperlink>
            <w:r w:rsidRPr="006E78DA">
              <w:rPr>
                <w:rFonts w:cs="Arial"/>
                <w:b/>
                <w:sz w:val="16"/>
                <w:szCs w:val="16"/>
              </w:rPr>
              <w:t>]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F94F71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ANZSNM</w:t>
            </w:r>
            <w:r w:rsidRPr="006E78DA">
              <w:rPr>
                <w:rFonts w:cs="Arial"/>
                <w:b/>
                <w:sz w:val="16"/>
                <w:szCs w:val="16"/>
                <w:vertAlign w:val="superscript"/>
              </w:rPr>
              <w:t>1</w:t>
            </w:r>
            <w:r w:rsidRPr="006E78DA">
              <w:rPr>
                <w:rFonts w:cs="Arial"/>
                <w:b/>
                <w:sz w:val="16"/>
                <w:szCs w:val="16"/>
              </w:rPr>
              <w:t xml:space="preserve"> [</w:t>
            </w:r>
            <w:hyperlink w:anchor="_References" w:history="1">
              <w:r w:rsidRPr="006E78DA">
                <w:rPr>
                  <w:rStyle w:val="Hyperlink"/>
                  <w:rFonts w:cs="Arial"/>
                  <w:b/>
                  <w:sz w:val="16"/>
                  <w:szCs w:val="16"/>
                </w:rPr>
                <w:t>23</w:t>
              </w:r>
            </w:hyperlink>
            <w:r w:rsidRPr="006E78DA">
              <w:rPr>
                <w:rFonts w:cs="Arial"/>
                <w:b/>
                <w:sz w:val="16"/>
                <w:szCs w:val="16"/>
              </w:rPr>
              <w:t>]</w:t>
            </w:r>
          </w:p>
        </w:tc>
        <w:tc>
          <w:tcPr>
            <w:tcW w:w="1597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0698D6C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EANM [</w:t>
            </w:r>
            <w:hyperlink w:anchor="_References" w:history="1">
              <w:r w:rsidRPr="006E78DA">
                <w:rPr>
                  <w:rStyle w:val="Hyperlink"/>
                  <w:rFonts w:cs="Arial"/>
                  <w:b/>
                  <w:sz w:val="16"/>
                  <w:szCs w:val="16"/>
                </w:rPr>
                <w:t>24</w:t>
              </w:r>
            </w:hyperlink>
            <w:r w:rsidRPr="006E78DA">
              <w:rPr>
                <w:rFonts w:cs="Arial"/>
                <w:b/>
                <w:sz w:val="16"/>
                <w:szCs w:val="16"/>
              </w:rPr>
              <w:t>]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C634D3D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IAEA</w:t>
            </w:r>
            <w:r w:rsidRPr="006E78DA">
              <w:rPr>
                <w:rFonts w:cs="Arial"/>
                <w:b/>
                <w:sz w:val="16"/>
                <w:szCs w:val="16"/>
                <w:vertAlign w:val="superscript"/>
              </w:rPr>
              <w:t>1</w:t>
            </w:r>
            <w:r w:rsidRPr="006E78DA">
              <w:rPr>
                <w:rFonts w:cs="Arial"/>
                <w:b/>
                <w:sz w:val="16"/>
                <w:szCs w:val="16"/>
              </w:rPr>
              <w:t xml:space="preserve"> [</w:t>
            </w:r>
            <w:hyperlink w:anchor="_References" w:history="1">
              <w:r w:rsidRPr="006E78DA">
                <w:rPr>
                  <w:rStyle w:val="Hyperlink"/>
                  <w:rFonts w:cs="Arial"/>
                  <w:b/>
                  <w:sz w:val="16"/>
                  <w:szCs w:val="16"/>
                </w:rPr>
                <w:t>25</w:t>
              </w:r>
            </w:hyperlink>
            <w:r w:rsidRPr="006E78DA">
              <w:rPr>
                <w:rFonts w:cs="Arial"/>
                <w:b/>
                <w:sz w:val="16"/>
                <w:szCs w:val="16"/>
              </w:rPr>
              <w:t>]</w:t>
            </w:r>
          </w:p>
        </w:tc>
      </w:tr>
      <w:tr w:rsidR="00C44394" w:rsidRPr="006E78DA" w14:paraId="04D00C56" w14:textId="77777777" w:rsidTr="008016E0">
        <w:trPr>
          <w:trHeight w:val="340"/>
          <w:jc w:val="center"/>
        </w:trPr>
        <w:tc>
          <w:tcPr>
            <w:tcW w:w="13745" w:type="dxa"/>
            <w:gridSpan w:val="7"/>
            <w:shd w:val="clear" w:color="auto" w:fill="D9D9D9" w:themeFill="background1" w:themeFillShade="D9"/>
            <w:vAlign w:val="center"/>
          </w:tcPr>
          <w:p w14:paraId="51B41680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A. GAMMA CAMERA - PLANAR</w:t>
            </w:r>
          </w:p>
        </w:tc>
      </w:tr>
      <w:tr w:rsidR="00C44394" w:rsidRPr="006E78DA" w14:paraId="310BCCBF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3C75FEEF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energy resolution</w:t>
            </w:r>
          </w:p>
        </w:tc>
        <w:tc>
          <w:tcPr>
            <w:tcW w:w="3017" w:type="dxa"/>
            <w:vAlign w:val="center"/>
          </w:tcPr>
          <w:p w14:paraId="15C1D970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ability to distinguish between different photon energies, expressed as FWHM of photopeak.</w:t>
            </w:r>
          </w:p>
        </w:tc>
        <w:tc>
          <w:tcPr>
            <w:tcW w:w="1132" w:type="dxa"/>
            <w:vAlign w:val="center"/>
          </w:tcPr>
          <w:p w14:paraId="48BF638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7159CA3E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1CB0A01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shd w:val="clear" w:color="auto" w:fill="auto"/>
            <w:vAlign w:val="center"/>
          </w:tcPr>
          <w:p w14:paraId="3EF9634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00615523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3C0FD96F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2CBA9B99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Energy window peaking for Tc-99m</w:t>
            </w:r>
          </w:p>
        </w:tc>
        <w:tc>
          <w:tcPr>
            <w:tcW w:w="3017" w:type="dxa"/>
            <w:vAlign w:val="center"/>
          </w:tcPr>
          <w:p w14:paraId="0DF00724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Checking and centring of energy window on Tc-99m photopeak.</w:t>
            </w:r>
          </w:p>
        </w:tc>
        <w:tc>
          <w:tcPr>
            <w:tcW w:w="1132" w:type="dxa"/>
            <w:vAlign w:val="center"/>
          </w:tcPr>
          <w:p w14:paraId="4C4E994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E5B81F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  <w:tc>
          <w:tcPr>
            <w:tcW w:w="1619" w:type="dxa"/>
            <w:vAlign w:val="center"/>
          </w:tcPr>
          <w:p w14:paraId="1796225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  <w:tc>
          <w:tcPr>
            <w:tcW w:w="1597" w:type="dxa"/>
            <w:vAlign w:val="center"/>
          </w:tcPr>
          <w:p w14:paraId="75B0719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  <w:tc>
          <w:tcPr>
            <w:tcW w:w="1394" w:type="dxa"/>
            <w:vAlign w:val="center"/>
          </w:tcPr>
          <w:p w14:paraId="0D02B61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Daily/Weekly</w:t>
            </w:r>
          </w:p>
        </w:tc>
      </w:tr>
      <w:tr w:rsidR="00C44394" w:rsidRPr="006E78DA" w14:paraId="2A439377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47154BB2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Energy window setting for other radionuclides</w:t>
            </w:r>
          </w:p>
        </w:tc>
        <w:tc>
          <w:tcPr>
            <w:tcW w:w="3017" w:type="dxa"/>
            <w:vAlign w:val="center"/>
          </w:tcPr>
          <w:p w14:paraId="1705B360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 xml:space="preserve">Checking and centring of energy windows for other isotopes used clinically. </w:t>
            </w:r>
          </w:p>
        </w:tc>
        <w:tc>
          <w:tcPr>
            <w:tcW w:w="1132" w:type="dxa"/>
            <w:vAlign w:val="center"/>
          </w:tcPr>
          <w:p w14:paraId="50BF16D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DDBC29E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When used</w:t>
            </w:r>
          </w:p>
        </w:tc>
        <w:tc>
          <w:tcPr>
            <w:tcW w:w="1619" w:type="dxa"/>
            <w:vAlign w:val="center"/>
          </w:tcPr>
          <w:p w14:paraId="02C60E0E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When used</w:t>
            </w:r>
          </w:p>
        </w:tc>
        <w:tc>
          <w:tcPr>
            <w:tcW w:w="1597" w:type="dxa"/>
            <w:vAlign w:val="center"/>
          </w:tcPr>
          <w:p w14:paraId="0315DCB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When used</w:t>
            </w:r>
          </w:p>
        </w:tc>
        <w:tc>
          <w:tcPr>
            <w:tcW w:w="1394" w:type="dxa"/>
            <w:vAlign w:val="center"/>
          </w:tcPr>
          <w:p w14:paraId="78C14A1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3074F86A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7D7D0309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flood field uniformity for Tc-99m</w:t>
            </w:r>
          </w:p>
        </w:tc>
        <w:tc>
          <w:tcPr>
            <w:tcW w:w="3017" w:type="dxa"/>
            <w:vAlign w:val="center"/>
          </w:tcPr>
          <w:p w14:paraId="3FEA630F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Qualitative and quantitative uniformity assessment without degradation effects from collimators using Tc-99m point source.</w:t>
            </w:r>
          </w:p>
        </w:tc>
        <w:tc>
          <w:tcPr>
            <w:tcW w:w="1132" w:type="dxa"/>
            <w:vAlign w:val="center"/>
          </w:tcPr>
          <w:p w14:paraId="1DE71AC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5FB2673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19" w:type="dxa"/>
            <w:vAlign w:val="center"/>
          </w:tcPr>
          <w:p w14:paraId="4EFEE1A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597" w:type="dxa"/>
            <w:vAlign w:val="center"/>
          </w:tcPr>
          <w:p w14:paraId="2324396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94" w:type="dxa"/>
            <w:vAlign w:val="center"/>
          </w:tcPr>
          <w:p w14:paraId="3FBC28C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</w:t>
            </w:r>
          </w:p>
        </w:tc>
      </w:tr>
      <w:tr w:rsidR="00C44394" w:rsidRPr="006E78DA" w14:paraId="1EA11AB4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126AD519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flood field uniformity using asymmetric (off-peak) PHA windows for Tc-99m</w:t>
            </w:r>
          </w:p>
        </w:tc>
        <w:tc>
          <w:tcPr>
            <w:tcW w:w="3017" w:type="dxa"/>
            <w:vAlign w:val="center"/>
          </w:tcPr>
          <w:p w14:paraId="277DEAB6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Qualitative and quantitative uniformity assessment using Tc-99m source with off-peak energy window to check for crystal hydration and unbalance in PMT tuning.</w:t>
            </w:r>
          </w:p>
        </w:tc>
        <w:tc>
          <w:tcPr>
            <w:tcW w:w="1132" w:type="dxa"/>
            <w:vAlign w:val="center"/>
          </w:tcPr>
          <w:p w14:paraId="24A21EA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A7F0B5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76E3E40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vAlign w:val="center"/>
          </w:tcPr>
          <w:p w14:paraId="1FB0848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51D9766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28D59A14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258A1C78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high-count flood field uniformity for Tc-99m</w:t>
            </w:r>
          </w:p>
        </w:tc>
        <w:tc>
          <w:tcPr>
            <w:tcW w:w="3017" w:type="dxa"/>
            <w:vAlign w:val="center"/>
          </w:tcPr>
          <w:p w14:paraId="3E730076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Qualitative and quantitative uniformity assessment using Tc-99m point source with reduced statistical variations effects.</w:t>
            </w:r>
          </w:p>
        </w:tc>
        <w:tc>
          <w:tcPr>
            <w:tcW w:w="1132" w:type="dxa"/>
            <w:vAlign w:val="center"/>
          </w:tcPr>
          <w:p w14:paraId="5CE572A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696D3F7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1F27E82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</w:t>
            </w:r>
          </w:p>
        </w:tc>
        <w:tc>
          <w:tcPr>
            <w:tcW w:w="1597" w:type="dxa"/>
            <w:vAlign w:val="center"/>
          </w:tcPr>
          <w:p w14:paraId="5901338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1E2266F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058BE1F7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2584C483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flood uniformity for other radionuclides</w:t>
            </w:r>
          </w:p>
        </w:tc>
        <w:tc>
          <w:tcPr>
            <w:tcW w:w="3017" w:type="dxa"/>
            <w:vAlign w:val="center"/>
          </w:tcPr>
          <w:p w14:paraId="7173A7DC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Qualitative and quantitative uniformity assessment for other isotopes used clinically.</w:t>
            </w:r>
          </w:p>
        </w:tc>
        <w:tc>
          <w:tcPr>
            <w:tcW w:w="1132" w:type="dxa"/>
            <w:vAlign w:val="center"/>
          </w:tcPr>
          <w:p w14:paraId="7CFB8DB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5977B95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610ED43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597" w:type="dxa"/>
            <w:shd w:val="clear" w:color="auto" w:fill="auto"/>
            <w:vAlign w:val="center"/>
          </w:tcPr>
          <w:p w14:paraId="10F01B0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Quarterly</w:t>
            </w:r>
          </w:p>
        </w:tc>
        <w:tc>
          <w:tcPr>
            <w:tcW w:w="1394" w:type="dxa"/>
            <w:vAlign w:val="center"/>
          </w:tcPr>
          <w:p w14:paraId="66487A6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21E14133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2686478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spatial resolution &amp; linearity</w:t>
            </w:r>
          </w:p>
        </w:tc>
        <w:tc>
          <w:tcPr>
            <w:tcW w:w="3017" w:type="dxa"/>
            <w:vAlign w:val="center"/>
          </w:tcPr>
          <w:p w14:paraId="59E34215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Visual and/or quantitative assessment of spatial resolution and linearity without degradation effects of collimators.</w:t>
            </w:r>
          </w:p>
        </w:tc>
        <w:tc>
          <w:tcPr>
            <w:tcW w:w="1132" w:type="dxa"/>
            <w:vAlign w:val="center"/>
          </w:tcPr>
          <w:p w14:paraId="7E6B0E7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6C161E0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619" w:type="dxa"/>
            <w:vAlign w:val="center"/>
          </w:tcPr>
          <w:p w14:paraId="278BD5A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597" w:type="dxa"/>
            <w:vAlign w:val="center"/>
          </w:tcPr>
          <w:p w14:paraId="3A8F538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78484A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3</w:t>
            </w:r>
          </w:p>
        </w:tc>
      </w:tr>
      <w:tr w:rsidR="00C44394" w:rsidRPr="006E78DA" w14:paraId="4E2453A7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598F0F27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Intrinsic count rate performance</w:t>
            </w:r>
          </w:p>
        </w:tc>
        <w:tc>
          <w:tcPr>
            <w:tcW w:w="3017" w:type="dxa"/>
            <w:vAlign w:val="center"/>
          </w:tcPr>
          <w:p w14:paraId="60452BE6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Assessment of count losses due to dead time effects at high counting rates.</w:t>
            </w:r>
          </w:p>
        </w:tc>
        <w:tc>
          <w:tcPr>
            <w:tcW w:w="1132" w:type="dxa"/>
            <w:vAlign w:val="center"/>
          </w:tcPr>
          <w:p w14:paraId="58B2038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03D2363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0483574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597" w:type="dxa"/>
            <w:vAlign w:val="center"/>
          </w:tcPr>
          <w:p w14:paraId="3DB8B94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72A8BB3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6216AF43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2A9F992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System flood field uniformity</w:t>
            </w:r>
          </w:p>
        </w:tc>
        <w:tc>
          <w:tcPr>
            <w:tcW w:w="3017" w:type="dxa"/>
            <w:vAlign w:val="center"/>
          </w:tcPr>
          <w:p w14:paraId="2DD82FF4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Qualitative and quantitative uniformity assessment using Co-57/Tc-99m flood source under clinical conditions.</w:t>
            </w:r>
          </w:p>
        </w:tc>
        <w:tc>
          <w:tcPr>
            <w:tcW w:w="1132" w:type="dxa"/>
            <w:vAlign w:val="center"/>
          </w:tcPr>
          <w:p w14:paraId="59B47C4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7C10AB6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19" w:type="dxa"/>
            <w:vAlign w:val="center"/>
          </w:tcPr>
          <w:p w14:paraId="268D4333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597" w:type="dxa"/>
            <w:vAlign w:val="center"/>
          </w:tcPr>
          <w:p w14:paraId="1457C3D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94" w:type="dxa"/>
            <w:vAlign w:val="center"/>
          </w:tcPr>
          <w:p w14:paraId="0600A71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</w:tr>
      <w:tr w:rsidR="00C44394" w:rsidRPr="006E78DA" w14:paraId="2112ACF5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1B4E86FE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System flood field uniformity for all collimators</w:t>
            </w:r>
          </w:p>
        </w:tc>
        <w:tc>
          <w:tcPr>
            <w:tcW w:w="3017" w:type="dxa"/>
            <w:vAlign w:val="center"/>
          </w:tcPr>
          <w:p w14:paraId="2E9D7619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Qualitative and quantitative uniformity assessment for other isotopes used clinically.</w:t>
            </w:r>
          </w:p>
        </w:tc>
        <w:tc>
          <w:tcPr>
            <w:tcW w:w="1132" w:type="dxa"/>
            <w:vAlign w:val="center"/>
          </w:tcPr>
          <w:p w14:paraId="69C85CE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6A19A4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40A8A01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System dependent</w:t>
            </w:r>
          </w:p>
        </w:tc>
        <w:tc>
          <w:tcPr>
            <w:tcW w:w="1597" w:type="dxa"/>
            <w:vAlign w:val="center"/>
          </w:tcPr>
          <w:p w14:paraId="201337D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1C526C5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330C7051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481EFB2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lastRenderedPageBreak/>
              <w:t>System spatial resolution and linearity</w:t>
            </w:r>
          </w:p>
        </w:tc>
        <w:tc>
          <w:tcPr>
            <w:tcW w:w="3017" w:type="dxa"/>
            <w:vAlign w:val="center"/>
          </w:tcPr>
          <w:p w14:paraId="67D55E72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Spatial resolution and linearity assessment with the degradation effects of collimators.</w:t>
            </w:r>
          </w:p>
        </w:tc>
        <w:tc>
          <w:tcPr>
            <w:tcW w:w="1132" w:type="dxa"/>
            <w:vAlign w:val="center"/>
          </w:tcPr>
          <w:p w14:paraId="7F9532F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19D25CF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619" w:type="dxa"/>
            <w:vAlign w:val="center"/>
          </w:tcPr>
          <w:p w14:paraId="3644709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597" w:type="dxa"/>
            <w:vAlign w:val="center"/>
          </w:tcPr>
          <w:p w14:paraId="7A9FAE3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94" w:type="dxa"/>
            <w:vAlign w:val="center"/>
          </w:tcPr>
          <w:p w14:paraId="5AEC372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5B1394FE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7F3DA026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System planar sensitivity</w:t>
            </w:r>
          </w:p>
        </w:tc>
        <w:tc>
          <w:tcPr>
            <w:tcW w:w="3017" w:type="dxa"/>
            <w:vAlign w:val="center"/>
          </w:tcPr>
          <w:p w14:paraId="7A35D201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ability to detect incident photons. Typically expressed in counts per megabecquerel per second.</w:t>
            </w:r>
          </w:p>
        </w:tc>
        <w:tc>
          <w:tcPr>
            <w:tcW w:w="1132" w:type="dxa"/>
            <w:vAlign w:val="center"/>
          </w:tcPr>
          <w:p w14:paraId="7DC6687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3FA2CA6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633B2F7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  <w:tc>
          <w:tcPr>
            <w:tcW w:w="1597" w:type="dxa"/>
            <w:vAlign w:val="center"/>
          </w:tcPr>
          <w:p w14:paraId="70992A4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394" w:type="dxa"/>
            <w:vAlign w:val="center"/>
          </w:tcPr>
          <w:p w14:paraId="3EF86A5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49D12E4D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1947BFE0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Multiple window spatial registration</w:t>
            </w:r>
          </w:p>
        </w:tc>
        <w:tc>
          <w:tcPr>
            <w:tcW w:w="3017" w:type="dxa"/>
            <w:vAlign w:val="center"/>
          </w:tcPr>
          <w:p w14:paraId="7098A18E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Assessment of ability to resolve different photon energies when more than one PHA is used simultaneously.</w:t>
            </w:r>
          </w:p>
        </w:tc>
        <w:tc>
          <w:tcPr>
            <w:tcW w:w="1132" w:type="dxa"/>
            <w:vAlign w:val="center"/>
          </w:tcPr>
          <w:p w14:paraId="2A7AB2B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0278A5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 (Optional)</w:t>
            </w:r>
          </w:p>
        </w:tc>
        <w:tc>
          <w:tcPr>
            <w:tcW w:w="1619" w:type="dxa"/>
            <w:vAlign w:val="center"/>
          </w:tcPr>
          <w:p w14:paraId="47F4419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  <w:tc>
          <w:tcPr>
            <w:tcW w:w="1597" w:type="dxa"/>
            <w:vAlign w:val="center"/>
          </w:tcPr>
          <w:p w14:paraId="0084367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Six-Monthly/Yearly</w:t>
            </w:r>
          </w:p>
        </w:tc>
        <w:tc>
          <w:tcPr>
            <w:tcW w:w="1394" w:type="dxa"/>
            <w:vAlign w:val="center"/>
          </w:tcPr>
          <w:p w14:paraId="6B2A1E1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45E1E9C6" w14:textId="77777777" w:rsidTr="008016E0">
        <w:trPr>
          <w:trHeight w:val="340"/>
          <w:jc w:val="center"/>
        </w:trPr>
        <w:tc>
          <w:tcPr>
            <w:tcW w:w="13745" w:type="dxa"/>
            <w:gridSpan w:val="7"/>
            <w:shd w:val="clear" w:color="auto" w:fill="D9D9D9" w:themeFill="background1" w:themeFillShade="D9"/>
            <w:vAlign w:val="center"/>
          </w:tcPr>
          <w:p w14:paraId="78EA0C2C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B. GAMMA CAMERA – WHOLE-BODY</w:t>
            </w:r>
          </w:p>
        </w:tc>
      </w:tr>
      <w:tr w:rsidR="00C44394" w:rsidRPr="006E78DA" w14:paraId="016D10B8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06D21917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Whole-body spatial resolution</w:t>
            </w:r>
          </w:p>
        </w:tc>
        <w:tc>
          <w:tcPr>
            <w:tcW w:w="3017" w:type="dxa"/>
            <w:vAlign w:val="center"/>
          </w:tcPr>
          <w:p w14:paraId="451937C2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spatial resolution in directions parallel and perpendicular to motion (with and/or without scatter).</w:t>
            </w:r>
          </w:p>
        </w:tc>
        <w:tc>
          <w:tcPr>
            <w:tcW w:w="1132" w:type="dxa"/>
            <w:vAlign w:val="center"/>
          </w:tcPr>
          <w:p w14:paraId="737CF45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1BB7099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 (Optional)</w:t>
            </w:r>
          </w:p>
        </w:tc>
        <w:tc>
          <w:tcPr>
            <w:tcW w:w="1619" w:type="dxa"/>
            <w:vAlign w:val="center"/>
          </w:tcPr>
          <w:p w14:paraId="57F7F17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vAlign w:val="center"/>
          </w:tcPr>
          <w:p w14:paraId="5DF68B7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394" w:type="dxa"/>
            <w:vAlign w:val="center"/>
          </w:tcPr>
          <w:p w14:paraId="5651210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After Major Repairs</w:t>
            </w:r>
          </w:p>
        </w:tc>
      </w:tr>
      <w:tr w:rsidR="00C44394" w:rsidRPr="006E78DA" w14:paraId="771B856D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50270A08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 xml:space="preserve">Whole-body uniformity </w:t>
            </w:r>
          </w:p>
        </w:tc>
        <w:tc>
          <w:tcPr>
            <w:tcW w:w="3017" w:type="dxa"/>
            <w:vAlign w:val="center"/>
          </w:tcPr>
          <w:p w14:paraId="04B8AEAD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Check of consistency in uniformity and sensitivity irrespective of scan position.</w:t>
            </w:r>
          </w:p>
        </w:tc>
        <w:tc>
          <w:tcPr>
            <w:tcW w:w="1132" w:type="dxa"/>
            <w:vAlign w:val="center"/>
          </w:tcPr>
          <w:p w14:paraId="3C11D2A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14:paraId="12CB262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 (Optional)</w:t>
            </w:r>
          </w:p>
        </w:tc>
        <w:tc>
          <w:tcPr>
            <w:tcW w:w="1619" w:type="dxa"/>
            <w:vAlign w:val="center"/>
          </w:tcPr>
          <w:p w14:paraId="1683D66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vAlign w:val="center"/>
          </w:tcPr>
          <w:p w14:paraId="5AC4E949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394" w:type="dxa"/>
            <w:vAlign w:val="center"/>
          </w:tcPr>
          <w:p w14:paraId="4F36746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5F0A45FB" w14:textId="77777777" w:rsidTr="008016E0">
        <w:trPr>
          <w:trHeight w:val="340"/>
          <w:jc w:val="center"/>
        </w:trPr>
        <w:tc>
          <w:tcPr>
            <w:tcW w:w="13745" w:type="dxa"/>
            <w:gridSpan w:val="7"/>
            <w:shd w:val="clear" w:color="auto" w:fill="D9D9D9" w:themeFill="background1" w:themeFillShade="D9"/>
            <w:vAlign w:val="center"/>
          </w:tcPr>
          <w:p w14:paraId="75DA9EC8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C. SPECT</w:t>
            </w:r>
          </w:p>
        </w:tc>
      </w:tr>
      <w:tr w:rsidR="00C44394" w:rsidRPr="006E78DA" w14:paraId="44B17492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282B9A9B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 xml:space="preserve">SPECT uniformity </w:t>
            </w:r>
          </w:p>
        </w:tc>
        <w:tc>
          <w:tcPr>
            <w:tcW w:w="3017" w:type="dxa"/>
            <w:vAlign w:val="center"/>
          </w:tcPr>
          <w:p w14:paraId="2BD6FFC8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Uniformity assessment as detector head rotates over 360 degrees.</w:t>
            </w:r>
          </w:p>
        </w:tc>
        <w:tc>
          <w:tcPr>
            <w:tcW w:w="1132" w:type="dxa"/>
            <w:vAlign w:val="center"/>
          </w:tcPr>
          <w:p w14:paraId="721F5C7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382B460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Quarterly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8</w:t>
            </w:r>
            <w:r w:rsidRPr="006E78DA">
              <w:rPr>
                <w:rFonts w:cs="Arial"/>
                <w:sz w:val="16"/>
                <w:szCs w:val="16"/>
              </w:rPr>
              <w:t>/Yearly</w:t>
            </w:r>
          </w:p>
        </w:tc>
        <w:tc>
          <w:tcPr>
            <w:tcW w:w="1619" w:type="dxa"/>
            <w:vAlign w:val="center"/>
          </w:tcPr>
          <w:p w14:paraId="6F29691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vAlign w:val="center"/>
          </w:tcPr>
          <w:p w14:paraId="22B21B5C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394" w:type="dxa"/>
            <w:vAlign w:val="center"/>
          </w:tcPr>
          <w:p w14:paraId="25D0574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01C75C3F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6D1D1D7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SPECT resolution without scatter</w:t>
            </w:r>
          </w:p>
        </w:tc>
        <w:tc>
          <w:tcPr>
            <w:tcW w:w="3017" w:type="dxa"/>
            <w:vAlign w:val="center"/>
          </w:tcPr>
          <w:p w14:paraId="1A6C05EA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spatial resolution in air to check for degradation during image acquisition and reconstruction.</w:t>
            </w:r>
          </w:p>
        </w:tc>
        <w:tc>
          <w:tcPr>
            <w:tcW w:w="1132" w:type="dxa"/>
            <w:vAlign w:val="center"/>
          </w:tcPr>
          <w:p w14:paraId="3D2BAF8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FFADAB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65A5692F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1597" w:type="dxa"/>
            <w:vAlign w:val="center"/>
          </w:tcPr>
          <w:p w14:paraId="15C10D9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  <w:tc>
          <w:tcPr>
            <w:tcW w:w="1394" w:type="dxa"/>
            <w:vAlign w:val="center"/>
          </w:tcPr>
          <w:p w14:paraId="2A33015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0EE16E22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582A971B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SPECT resolution with scatter</w:t>
            </w:r>
          </w:p>
        </w:tc>
        <w:tc>
          <w:tcPr>
            <w:tcW w:w="3017" w:type="dxa"/>
            <w:vAlign w:val="center"/>
          </w:tcPr>
          <w:p w14:paraId="74F3C5D1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spatial resolution under clinical conditions to check for degradation during image acquisition and reconstruction</w:t>
            </w:r>
          </w:p>
        </w:tc>
        <w:tc>
          <w:tcPr>
            <w:tcW w:w="1132" w:type="dxa"/>
            <w:vAlign w:val="center"/>
          </w:tcPr>
          <w:p w14:paraId="46F8E00E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54B8601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404C090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1597" w:type="dxa"/>
            <w:vAlign w:val="center"/>
          </w:tcPr>
          <w:p w14:paraId="40026EB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385E25E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</w:tr>
      <w:tr w:rsidR="00C44394" w:rsidRPr="006E78DA" w14:paraId="291961C6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794AC5F2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SPECT image quality</w:t>
            </w:r>
          </w:p>
        </w:tc>
        <w:tc>
          <w:tcPr>
            <w:tcW w:w="3017" w:type="dxa"/>
            <w:vAlign w:val="center"/>
          </w:tcPr>
          <w:p w14:paraId="4498CC93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Tomographic contrast and quantitative accuracy assessment.</w:t>
            </w:r>
          </w:p>
        </w:tc>
        <w:tc>
          <w:tcPr>
            <w:tcW w:w="1132" w:type="dxa"/>
            <w:vAlign w:val="center"/>
          </w:tcPr>
          <w:p w14:paraId="34ED006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0334BFC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Quarterly</w:t>
            </w:r>
          </w:p>
        </w:tc>
        <w:tc>
          <w:tcPr>
            <w:tcW w:w="1619" w:type="dxa"/>
            <w:vAlign w:val="center"/>
          </w:tcPr>
          <w:p w14:paraId="19AD87F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597" w:type="dxa"/>
            <w:vAlign w:val="center"/>
          </w:tcPr>
          <w:p w14:paraId="3145C65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1394" w:type="dxa"/>
            <w:vAlign w:val="center"/>
          </w:tcPr>
          <w:p w14:paraId="5CD66CD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10</w:t>
            </w:r>
          </w:p>
        </w:tc>
      </w:tr>
      <w:tr w:rsidR="00C44394" w:rsidRPr="006E78DA" w14:paraId="68AE96DD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4DC8A638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Centre of rotation offset and alignment</w:t>
            </w:r>
          </w:p>
        </w:tc>
        <w:tc>
          <w:tcPr>
            <w:tcW w:w="3017" w:type="dxa"/>
            <w:vAlign w:val="center"/>
          </w:tcPr>
          <w:p w14:paraId="259DA283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Check of centre of rotation offsets in X and Y axes, and alignment of detector head tilt in the Y-axis.</w:t>
            </w:r>
          </w:p>
        </w:tc>
        <w:tc>
          <w:tcPr>
            <w:tcW w:w="1132" w:type="dxa"/>
            <w:vAlign w:val="center"/>
          </w:tcPr>
          <w:p w14:paraId="2B70523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0F0E943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1619" w:type="dxa"/>
            <w:vAlign w:val="center"/>
          </w:tcPr>
          <w:p w14:paraId="3D580CF1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Weekly/Monthly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1597" w:type="dxa"/>
            <w:vAlign w:val="center"/>
          </w:tcPr>
          <w:p w14:paraId="75F55E0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Weekly/Monthly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1394" w:type="dxa"/>
            <w:vAlign w:val="center"/>
          </w:tcPr>
          <w:p w14:paraId="612522A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Weekly/Monthly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14</w:t>
            </w:r>
          </w:p>
        </w:tc>
      </w:tr>
      <w:tr w:rsidR="00C44394" w:rsidRPr="006E78DA" w14:paraId="5D9219ED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0CDE7959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Variations of uniformity and sensitivity with angle</w:t>
            </w:r>
          </w:p>
        </w:tc>
        <w:tc>
          <w:tcPr>
            <w:tcW w:w="3017" w:type="dxa"/>
            <w:vAlign w:val="center"/>
          </w:tcPr>
          <w:p w14:paraId="4DE215BC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 xml:space="preserve">Characterisation of variations in detector non-uniformity and sensitivity at different angular positions </w:t>
            </w:r>
          </w:p>
        </w:tc>
        <w:tc>
          <w:tcPr>
            <w:tcW w:w="1132" w:type="dxa"/>
            <w:vAlign w:val="center"/>
          </w:tcPr>
          <w:p w14:paraId="7568B54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4D0002F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619" w:type="dxa"/>
            <w:vAlign w:val="center"/>
          </w:tcPr>
          <w:p w14:paraId="147DCBC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  <w:tc>
          <w:tcPr>
            <w:tcW w:w="1597" w:type="dxa"/>
            <w:vAlign w:val="center"/>
          </w:tcPr>
          <w:p w14:paraId="38FEED7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1394" w:type="dxa"/>
            <w:vAlign w:val="center"/>
          </w:tcPr>
          <w:p w14:paraId="26E941E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26929DA7" w14:textId="77777777" w:rsidTr="008016E0">
        <w:trPr>
          <w:trHeight w:val="340"/>
          <w:jc w:val="center"/>
        </w:trPr>
        <w:tc>
          <w:tcPr>
            <w:tcW w:w="13745" w:type="dxa"/>
            <w:gridSpan w:val="7"/>
            <w:shd w:val="clear" w:color="auto" w:fill="D9D9D9" w:themeFill="background1" w:themeFillShade="D9"/>
            <w:vAlign w:val="center"/>
          </w:tcPr>
          <w:p w14:paraId="48F97F3A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D. SPECT/CT</w:t>
            </w:r>
          </w:p>
        </w:tc>
      </w:tr>
      <w:tr w:rsidR="00C44394" w:rsidRPr="006E78DA" w14:paraId="7948F1D4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1B6D161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SPECT/CT co-registration</w:t>
            </w:r>
          </w:p>
        </w:tc>
        <w:tc>
          <w:tcPr>
            <w:tcW w:w="3017" w:type="dxa"/>
            <w:vAlign w:val="center"/>
          </w:tcPr>
          <w:p w14:paraId="3D8B5B8B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>Characterisation of accuracy in registration between SPECT and CT images.</w:t>
            </w:r>
          </w:p>
        </w:tc>
        <w:tc>
          <w:tcPr>
            <w:tcW w:w="1132" w:type="dxa"/>
            <w:vAlign w:val="center"/>
          </w:tcPr>
          <w:p w14:paraId="2643AD2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0D5679D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As per Vendor</w:t>
            </w:r>
          </w:p>
        </w:tc>
        <w:tc>
          <w:tcPr>
            <w:tcW w:w="1619" w:type="dxa"/>
            <w:vAlign w:val="center"/>
          </w:tcPr>
          <w:p w14:paraId="498D5B0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597" w:type="dxa"/>
            <w:vAlign w:val="center"/>
          </w:tcPr>
          <w:p w14:paraId="4EE9727B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Monthly</w:t>
            </w:r>
          </w:p>
        </w:tc>
        <w:tc>
          <w:tcPr>
            <w:tcW w:w="1394" w:type="dxa"/>
            <w:vAlign w:val="center"/>
          </w:tcPr>
          <w:p w14:paraId="6CD9C43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1F290473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7E72446D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lastRenderedPageBreak/>
              <w:t>SPECT/CT image quality</w:t>
            </w:r>
          </w:p>
        </w:tc>
        <w:tc>
          <w:tcPr>
            <w:tcW w:w="3017" w:type="dxa"/>
            <w:vAlign w:val="center"/>
          </w:tcPr>
          <w:p w14:paraId="00B817E4" w14:textId="77777777" w:rsidR="00C44394" w:rsidRPr="006E78DA" w:rsidRDefault="00C44394" w:rsidP="008016E0">
            <w:pPr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6E78DA">
              <w:rPr>
                <w:rFonts w:cs="Arial"/>
                <w:color w:val="000000"/>
                <w:sz w:val="16"/>
                <w:szCs w:val="16"/>
              </w:rPr>
              <w:t xml:space="preserve">Uniformity, noise analysis and contrast detectability assessment for CT attenuation corrected SPECT images. </w:t>
            </w:r>
          </w:p>
        </w:tc>
        <w:tc>
          <w:tcPr>
            <w:tcW w:w="1132" w:type="dxa"/>
            <w:vAlign w:val="center"/>
          </w:tcPr>
          <w:p w14:paraId="317936E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ascii="Wingdings" w:hAnsi="Wingdings" w:cs="Wingdings"/>
                <w:color w:val="000000"/>
                <w:sz w:val="16"/>
                <w:szCs w:val="16"/>
              </w:rPr>
              <w:t></w:t>
            </w:r>
          </w:p>
        </w:tc>
        <w:tc>
          <w:tcPr>
            <w:tcW w:w="1589" w:type="dxa"/>
            <w:vAlign w:val="center"/>
          </w:tcPr>
          <w:p w14:paraId="123C3B2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Quarterly</w:t>
            </w:r>
          </w:p>
        </w:tc>
        <w:tc>
          <w:tcPr>
            <w:tcW w:w="1619" w:type="dxa"/>
            <w:vAlign w:val="center"/>
          </w:tcPr>
          <w:p w14:paraId="2BB5F01E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Six-Monthly</w:t>
            </w:r>
          </w:p>
        </w:tc>
        <w:tc>
          <w:tcPr>
            <w:tcW w:w="1597" w:type="dxa"/>
            <w:vAlign w:val="center"/>
          </w:tcPr>
          <w:p w14:paraId="7DC97FC8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  <w:tc>
          <w:tcPr>
            <w:tcW w:w="1394" w:type="dxa"/>
            <w:vAlign w:val="center"/>
          </w:tcPr>
          <w:p w14:paraId="36380BC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2356123E" w14:textId="77777777" w:rsidTr="008016E0">
        <w:trPr>
          <w:trHeight w:val="340"/>
          <w:jc w:val="center"/>
        </w:trPr>
        <w:tc>
          <w:tcPr>
            <w:tcW w:w="13745" w:type="dxa"/>
            <w:gridSpan w:val="7"/>
            <w:shd w:val="clear" w:color="auto" w:fill="D9D9D9" w:themeFill="background1" w:themeFillShade="D9"/>
            <w:vAlign w:val="center"/>
          </w:tcPr>
          <w:p w14:paraId="039C6EDF" w14:textId="77777777" w:rsidR="00C44394" w:rsidRPr="006E78DA" w:rsidRDefault="00C44394" w:rsidP="008016E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E78DA">
              <w:rPr>
                <w:rFonts w:cs="Arial"/>
                <w:b/>
                <w:sz w:val="16"/>
                <w:szCs w:val="16"/>
              </w:rPr>
              <w:t>E. CT</w:t>
            </w:r>
          </w:p>
        </w:tc>
      </w:tr>
      <w:tr w:rsidR="00C44394" w:rsidRPr="006E78DA" w14:paraId="3D4DBFB6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380694F6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CT number accuracy</w:t>
            </w:r>
          </w:p>
        </w:tc>
        <w:tc>
          <w:tcPr>
            <w:tcW w:w="3017" w:type="dxa"/>
            <w:vAlign w:val="center"/>
          </w:tcPr>
          <w:p w14:paraId="6F8D834C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Check of CT number accuracy for known materials, including water.</w:t>
            </w:r>
          </w:p>
        </w:tc>
        <w:tc>
          <w:tcPr>
            <w:tcW w:w="1132" w:type="dxa"/>
            <w:vAlign w:val="center"/>
          </w:tcPr>
          <w:p w14:paraId="22F2E3F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14:paraId="5B2016D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  <w:tc>
          <w:tcPr>
            <w:tcW w:w="1619" w:type="dxa"/>
            <w:vAlign w:val="center"/>
          </w:tcPr>
          <w:p w14:paraId="7918A146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As per Vendor/Legislation</w:t>
            </w:r>
          </w:p>
        </w:tc>
        <w:tc>
          <w:tcPr>
            <w:tcW w:w="1597" w:type="dxa"/>
            <w:vAlign w:val="center"/>
          </w:tcPr>
          <w:p w14:paraId="40EFE79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Monthly</w:t>
            </w:r>
          </w:p>
        </w:tc>
        <w:tc>
          <w:tcPr>
            <w:tcW w:w="1394" w:type="dxa"/>
            <w:vAlign w:val="center"/>
          </w:tcPr>
          <w:p w14:paraId="4E94CB7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2DB33D12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6AC08726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CT dose assessment</w:t>
            </w:r>
          </w:p>
        </w:tc>
        <w:tc>
          <w:tcPr>
            <w:tcW w:w="3017" w:type="dxa"/>
            <w:vAlign w:val="center"/>
          </w:tcPr>
          <w:p w14:paraId="770DBB6E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 xml:space="preserve">Dose output assessment using CTDIair and/or CTDIvol measurements. </w:t>
            </w:r>
          </w:p>
        </w:tc>
        <w:tc>
          <w:tcPr>
            <w:tcW w:w="1132" w:type="dxa"/>
            <w:vAlign w:val="center"/>
          </w:tcPr>
          <w:p w14:paraId="64DC6A1D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14:paraId="76DFBDD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Yearly</w:t>
            </w:r>
          </w:p>
        </w:tc>
        <w:tc>
          <w:tcPr>
            <w:tcW w:w="1619" w:type="dxa"/>
            <w:vAlign w:val="center"/>
          </w:tcPr>
          <w:p w14:paraId="0081C842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As per Vendor/Legislation</w:t>
            </w:r>
          </w:p>
        </w:tc>
        <w:tc>
          <w:tcPr>
            <w:tcW w:w="1597" w:type="dxa"/>
            <w:vAlign w:val="center"/>
          </w:tcPr>
          <w:p w14:paraId="0DEC2A7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As per Legislation</w:t>
            </w:r>
          </w:p>
        </w:tc>
        <w:tc>
          <w:tcPr>
            <w:tcW w:w="1394" w:type="dxa"/>
            <w:vAlign w:val="center"/>
          </w:tcPr>
          <w:p w14:paraId="38263B0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  <w:tr w:rsidR="00C44394" w:rsidRPr="006E78DA" w14:paraId="768536A4" w14:textId="77777777" w:rsidTr="008016E0">
        <w:trPr>
          <w:trHeight w:val="340"/>
          <w:jc w:val="center"/>
        </w:trPr>
        <w:tc>
          <w:tcPr>
            <w:tcW w:w="3397" w:type="dxa"/>
            <w:vAlign w:val="center"/>
          </w:tcPr>
          <w:p w14:paraId="503A9C47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CT image quality assessment</w:t>
            </w:r>
          </w:p>
        </w:tc>
        <w:tc>
          <w:tcPr>
            <w:tcW w:w="3017" w:type="dxa"/>
            <w:vAlign w:val="center"/>
          </w:tcPr>
          <w:p w14:paraId="738A273B" w14:textId="77777777" w:rsidR="00C44394" w:rsidRPr="006E78DA" w:rsidRDefault="00C44394" w:rsidP="008016E0">
            <w:pPr>
              <w:jc w:val="left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 xml:space="preserve">CT number, noise, uniformity, slice thickness and artefact assessment in acquired CT images. </w:t>
            </w:r>
          </w:p>
        </w:tc>
        <w:tc>
          <w:tcPr>
            <w:tcW w:w="1132" w:type="dxa"/>
            <w:vAlign w:val="center"/>
          </w:tcPr>
          <w:p w14:paraId="161001AA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14:paraId="7F1C9AB7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</w:p>
        </w:tc>
        <w:tc>
          <w:tcPr>
            <w:tcW w:w="1619" w:type="dxa"/>
            <w:vAlign w:val="center"/>
          </w:tcPr>
          <w:p w14:paraId="07685505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As per Vendor/Legislation</w:t>
            </w:r>
          </w:p>
        </w:tc>
        <w:tc>
          <w:tcPr>
            <w:tcW w:w="1597" w:type="dxa"/>
            <w:vAlign w:val="center"/>
          </w:tcPr>
          <w:p w14:paraId="48926214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Daily</w:t>
            </w:r>
            <w:r w:rsidRPr="006E78DA">
              <w:rPr>
                <w:rFonts w:cs="Arial"/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1394" w:type="dxa"/>
            <w:vAlign w:val="center"/>
          </w:tcPr>
          <w:p w14:paraId="32C97B20" w14:textId="77777777" w:rsidR="00C44394" w:rsidRPr="006E78DA" w:rsidRDefault="00C44394" w:rsidP="008016E0">
            <w:pPr>
              <w:jc w:val="center"/>
              <w:rPr>
                <w:rFonts w:cs="Arial"/>
                <w:sz w:val="16"/>
                <w:szCs w:val="16"/>
              </w:rPr>
            </w:pPr>
            <w:r w:rsidRPr="006E78DA">
              <w:rPr>
                <w:rFonts w:cs="Arial"/>
                <w:sz w:val="16"/>
                <w:szCs w:val="16"/>
              </w:rPr>
              <w:t>-</w:t>
            </w:r>
          </w:p>
        </w:tc>
      </w:tr>
    </w:tbl>
    <w:p w14:paraId="6F8E1E5F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</w:rPr>
        <w:t>Co-57 = Cobalt-57; CT = Computed Tomography; CTDIair = CT Dose Index in Air; CTDIvol = Volume CT Dose Index; FHWM = Full Width at Half Maximum; PHA = Pulse-Height Analyser; PMT = Photomultiplier Tube; SPECT = Single Photon Emission Computed Tomography; SPECT/CT Single Photon Emission Computed Tomography/Computed Tomography; Tc-99m = Technetium-99m</w:t>
      </w:r>
    </w:p>
    <w:p w14:paraId="3A3018D3" w14:textId="77777777" w:rsidR="00C44394" w:rsidRPr="006E78DA" w:rsidRDefault="00C44394" w:rsidP="00C44394">
      <w:pPr>
        <w:spacing w:after="0"/>
        <w:rPr>
          <w:sz w:val="18"/>
          <w:szCs w:val="18"/>
        </w:rPr>
      </w:pPr>
    </w:p>
    <w:p w14:paraId="6235294C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1</w:t>
      </w:r>
      <w:r w:rsidRPr="006E78DA">
        <w:rPr>
          <w:sz w:val="18"/>
          <w:szCs w:val="18"/>
        </w:rPr>
        <w:t xml:space="preserve"> Minimum recommended testing frequencies listed</w:t>
      </w:r>
    </w:p>
    <w:p w14:paraId="2C7E2FDD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2</w:t>
      </w:r>
      <w:r w:rsidRPr="006E78DA">
        <w:rPr>
          <w:sz w:val="18"/>
          <w:szCs w:val="18"/>
        </w:rPr>
        <w:t xml:space="preserve"> As an alternative to daily system/intrinsic flood field uniformity</w:t>
      </w:r>
    </w:p>
    <w:p w14:paraId="7FFEF04C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 xml:space="preserve">3 </w:t>
      </w:r>
      <w:r w:rsidRPr="006E78DA">
        <w:rPr>
          <w:sz w:val="18"/>
          <w:szCs w:val="18"/>
        </w:rPr>
        <w:t>As an alternative to system/intrinsic spatial resolution</w:t>
      </w:r>
    </w:p>
    <w:p w14:paraId="72558A98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4</w:t>
      </w:r>
      <w:r w:rsidRPr="006E78DA">
        <w:rPr>
          <w:sz w:val="18"/>
          <w:szCs w:val="18"/>
        </w:rPr>
        <w:t xml:space="preserve"> Intrinsic or system spatial resolution not specified.</w:t>
      </w:r>
    </w:p>
    <w:p w14:paraId="56B2D424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5</w:t>
      </w:r>
      <w:r w:rsidRPr="006E78DA">
        <w:rPr>
          <w:sz w:val="18"/>
          <w:szCs w:val="18"/>
        </w:rPr>
        <w:t xml:space="preserve"> Intrinsic or system spatial resolution, depending on convenience</w:t>
      </w:r>
    </w:p>
    <w:p w14:paraId="25814AB6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6</w:t>
      </w:r>
      <w:r w:rsidRPr="006E78DA">
        <w:rPr>
          <w:sz w:val="18"/>
          <w:szCs w:val="18"/>
        </w:rPr>
        <w:t xml:space="preserve"> As part of daily intrinsic/extrinsic flood field uniformity tests</w:t>
      </w:r>
    </w:p>
    <w:p w14:paraId="6C1BF597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7</w:t>
      </w:r>
      <w:r w:rsidRPr="006E78DA">
        <w:rPr>
          <w:sz w:val="18"/>
          <w:szCs w:val="18"/>
        </w:rPr>
        <w:t xml:space="preserve"> As part of centre of rotation (COR) verification tests</w:t>
      </w:r>
    </w:p>
    <w:p w14:paraId="07A99B05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8</w:t>
      </w:r>
      <w:r w:rsidRPr="006E78DA">
        <w:rPr>
          <w:sz w:val="18"/>
          <w:szCs w:val="18"/>
        </w:rPr>
        <w:t xml:space="preserve"> As part of SPECT image quality testing</w:t>
      </w:r>
    </w:p>
    <w:p w14:paraId="10ACB75B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9</w:t>
      </w:r>
      <w:r w:rsidRPr="006E78DA">
        <w:rPr>
          <w:sz w:val="18"/>
          <w:szCs w:val="18"/>
        </w:rPr>
        <w:t xml:space="preserve"> Tomographic resolution with or without scatter not specified</w:t>
      </w:r>
    </w:p>
    <w:p w14:paraId="4D02DBCD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10</w:t>
      </w:r>
      <w:r w:rsidRPr="006E78DA">
        <w:rPr>
          <w:sz w:val="18"/>
          <w:szCs w:val="18"/>
        </w:rPr>
        <w:t xml:space="preserve"> As part of overall SPECT system performance</w:t>
      </w:r>
    </w:p>
    <w:p w14:paraId="01B714BA" w14:textId="77777777" w:rsidR="00C44394" w:rsidRPr="006E78DA" w:rsidRDefault="00C44394" w:rsidP="00C44394">
      <w:pPr>
        <w:spacing w:after="0"/>
        <w:rPr>
          <w:sz w:val="18"/>
          <w:szCs w:val="18"/>
          <w:vertAlign w:val="superscript"/>
        </w:rPr>
      </w:pPr>
      <w:r w:rsidRPr="006E78DA">
        <w:rPr>
          <w:sz w:val="18"/>
          <w:szCs w:val="18"/>
          <w:vertAlign w:val="superscript"/>
        </w:rPr>
        <w:t>11</w:t>
      </w:r>
      <w:r w:rsidRPr="006E78DA">
        <w:rPr>
          <w:sz w:val="18"/>
          <w:szCs w:val="18"/>
        </w:rPr>
        <w:t xml:space="preserve"> Monthly or frequency as recommended by vendor</w:t>
      </w:r>
    </w:p>
    <w:p w14:paraId="67A2E176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12</w:t>
      </w:r>
      <w:r w:rsidRPr="006E78DA">
        <w:rPr>
          <w:sz w:val="18"/>
          <w:szCs w:val="18"/>
        </w:rPr>
        <w:t xml:space="preserve"> Weekly COR checks if system is unstable</w:t>
      </w:r>
    </w:p>
    <w:p w14:paraId="6EB0470E" w14:textId="77777777" w:rsidR="00C44394" w:rsidRPr="006E78DA" w:rsidRDefault="00C44394" w:rsidP="00C44394">
      <w:pPr>
        <w:spacing w:after="0"/>
        <w:rPr>
          <w:sz w:val="18"/>
          <w:szCs w:val="18"/>
        </w:rPr>
      </w:pPr>
      <w:bookmarkStart w:id="7" w:name="_Hlk148116001"/>
      <w:r w:rsidRPr="006E78DA">
        <w:rPr>
          <w:sz w:val="18"/>
          <w:szCs w:val="18"/>
          <w:vertAlign w:val="superscript"/>
        </w:rPr>
        <w:t>13</w:t>
      </w:r>
      <w:r w:rsidRPr="006E78DA">
        <w:rPr>
          <w:sz w:val="18"/>
          <w:szCs w:val="18"/>
        </w:rPr>
        <w:t xml:space="preserve"> Frequency adjusted depending on system stability</w:t>
      </w:r>
    </w:p>
    <w:bookmarkEnd w:id="7"/>
    <w:p w14:paraId="7BA2D719" w14:textId="77777777" w:rsidR="00C44394" w:rsidRPr="006E78DA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14</w:t>
      </w:r>
      <w:r w:rsidRPr="006E78DA">
        <w:rPr>
          <w:sz w:val="18"/>
          <w:szCs w:val="18"/>
        </w:rPr>
        <w:t xml:space="preserve"> For a stable system, perform monthly COR verifications </w:t>
      </w:r>
    </w:p>
    <w:p w14:paraId="3122D364" w14:textId="77777777" w:rsidR="00C44394" w:rsidRPr="00A50459" w:rsidRDefault="00C44394" w:rsidP="00C44394">
      <w:pPr>
        <w:spacing w:after="0"/>
        <w:rPr>
          <w:sz w:val="18"/>
          <w:szCs w:val="18"/>
        </w:rPr>
      </w:pPr>
      <w:r w:rsidRPr="006E78DA">
        <w:rPr>
          <w:sz w:val="18"/>
          <w:szCs w:val="18"/>
          <w:vertAlign w:val="superscript"/>
        </w:rPr>
        <w:t>15</w:t>
      </w:r>
      <w:r w:rsidRPr="006E78DA">
        <w:rPr>
          <w:sz w:val="18"/>
          <w:szCs w:val="18"/>
        </w:rPr>
        <w:t xml:space="preserve"> As part of daily QC procedures specified by vendors</w:t>
      </w:r>
      <w:r w:rsidRPr="00980822">
        <w:rPr>
          <w:sz w:val="18"/>
          <w:szCs w:val="18"/>
        </w:rPr>
        <w:t xml:space="preserve"> </w:t>
      </w:r>
    </w:p>
    <w:p w14:paraId="4B222D84" w14:textId="77777777" w:rsidR="00F964D3" w:rsidRDefault="00F964D3"/>
    <w:sectPr w:rsidR="00F964D3" w:rsidSect="00A50459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DBCB0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5F4241"/>
    <w:multiLevelType w:val="hybridMultilevel"/>
    <w:tmpl w:val="FE8CF3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47A76"/>
    <w:multiLevelType w:val="hybridMultilevel"/>
    <w:tmpl w:val="836A12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441406"/>
    <w:multiLevelType w:val="hybridMultilevel"/>
    <w:tmpl w:val="9944462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D51B30"/>
    <w:multiLevelType w:val="hybridMultilevel"/>
    <w:tmpl w:val="8BF26C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333810"/>
    <w:multiLevelType w:val="hybridMultilevel"/>
    <w:tmpl w:val="E4E819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86AD6"/>
    <w:multiLevelType w:val="hybridMultilevel"/>
    <w:tmpl w:val="A18E53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8D7B52"/>
    <w:multiLevelType w:val="hybridMultilevel"/>
    <w:tmpl w:val="B5E008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B62648"/>
    <w:multiLevelType w:val="hybridMultilevel"/>
    <w:tmpl w:val="BB6222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D657D8"/>
    <w:multiLevelType w:val="hybridMultilevel"/>
    <w:tmpl w:val="536E1C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1019A4"/>
    <w:multiLevelType w:val="hybridMultilevel"/>
    <w:tmpl w:val="DE72739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273D7"/>
    <w:multiLevelType w:val="hybridMultilevel"/>
    <w:tmpl w:val="B0E283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06CA6"/>
    <w:multiLevelType w:val="hybridMultilevel"/>
    <w:tmpl w:val="D6700F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03113C"/>
    <w:multiLevelType w:val="hybridMultilevel"/>
    <w:tmpl w:val="C45CA0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992A7C"/>
    <w:multiLevelType w:val="hybridMultilevel"/>
    <w:tmpl w:val="70528D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019D7"/>
    <w:multiLevelType w:val="hybridMultilevel"/>
    <w:tmpl w:val="140C5D7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D449A"/>
    <w:multiLevelType w:val="hybridMultilevel"/>
    <w:tmpl w:val="1B0ABDB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3936F9"/>
    <w:multiLevelType w:val="hybridMultilevel"/>
    <w:tmpl w:val="44C0CE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D22923"/>
    <w:multiLevelType w:val="hybridMultilevel"/>
    <w:tmpl w:val="DDD27F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E37D9"/>
    <w:multiLevelType w:val="hybridMultilevel"/>
    <w:tmpl w:val="67A217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A64A0C"/>
    <w:multiLevelType w:val="hybridMultilevel"/>
    <w:tmpl w:val="0016B7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C22C9F"/>
    <w:multiLevelType w:val="hybridMultilevel"/>
    <w:tmpl w:val="D47426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CF371A"/>
    <w:multiLevelType w:val="hybridMultilevel"/>
    <w:tmpl w:val="1772CF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E7CE0"/>
    <w:multiLevelType w:val="hybridMultilevel"/>
    <w:tmpl w:val="734242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0355B7"/>
    <w:multiLevelType w:val="hybridMultilevel"/>
    <w:tmpl w:val="1F345B06"/>
    <w:lvl w:ilvl="0" w:tplc="0C090001">
      <w:start w:val="1"/>
      <w:numFmt w:val="bullet"/>
      <w:lvlText w:val=""/>
      <w:lvlJc w:val="left"/>
      <w:pPr>
        <w:ind w:left="67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</w:abstractNum>
  <w:abstractNum w:abstractNumId="25" w15:restartNumberingAfterBreak="0">
    <w:nsid w:val="62AC3749"/>
    <w:multiLevelType w:val="hybridMultilevel"/>
    <w:tmpl w:val="34E468C8"/>
    <w:lvl w:ilvl="0" w:tplc="DB9C853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E53BE3"/>
    <w:multiLevelType w:val="hybridMultilevel"/>
    <w:tmpl w:val="1EC23E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226B66"/>
    <w:multiLevelType w:val="hybridMultilevel"/>
    <w:tmpl w:val="F8F6A6A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A06C9D"/>
    <w:multiLevelType w:val="hybridMultilevel"/>
    <w:tmpl w:val="0818E5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835736"/>
    <w:multiLevelType w:val="hybridMultilevel"/>
    <w:tmpl w:val="0C64A2E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BE3137"/>
    <w:multiLevelType w:val="hybridMultilevel"/>
    <w:tmpl w:val="9026A6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6E5588"/>
    <w:multiLevelType w:val="hybridMultilevel"/>
    <w:tmpl w:val="0B62F7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F74B1F"/>
    <w:multiLevelType w:val="hybridMultilevel"/>
    <w:tmpl w:val="2E96A64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136094"/>
    <w:multiLevelType w:val="hybridMultilevel"/>
    <w:tmpl w:val="B57042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2E65DE"/>
    <w:multiLevelType w:val="hybridMultilevel"/>
    <w:tmpl w:val="B54CD3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53C07"/>
    <w:multiLevelType w:val="hybridMultilevel"/>
    <w:tmpl w:val="1EEA5A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865CB4"/>
    <w:multiLevelType w:val="hybridMultilevel"/>
    <w:tmpl w:val="4A5624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36"/>
  </w:num>
  <w:num w:numId="4">
    <w:abstractNumId w:val="4"/>
  </w:num>
  <w:num w:numId="5">
    <w:abstractNumId w:val="19"/>
  </w:num>
  <w:num w:numId="6">
    <w:abstractNumId w:val="21"/>
  </w:num>
  <w:num w:numId="7">
    <w:abstractNumId w:val="1"/>
  </w:num>
  <w:num w:numId="8">
    <w:abstractNumId w:val="20"/>
  </w:num>
  <w:num w:numId="9">
    <w:abstractNumId w:val="35"/>
  </w:num>
  <w:num w:numId="10">
    <w:abstractNumId w:val="2"/>
  </w:num>
  <w:num w:numId="11">
    <w:abstractNumId w:val="12"/>
  </w:num>
  <w:num w:numId="12">
    <w:abstractNumId w:val="7"/>
  </w:num>
  <w:num w:numId="13">
    <w:abstractNumId w:val="6"/>
  </w:num>
  <w:num w:numId="14">
    <w:abstractNumId w:val="30"/>
  </w:num>
  <w:num w:numId="15">
    <w:abstractNumId w:val="17"/>
  </w:num>
  <w:num w:numId="16">
    <w:abstractNumId w:val="8"/>
  </w:num>
  <w:num w:numId="17">
    <w:abstractNumId w:val="32"/>
  </w:num>
  <w:num w:numId="18">
    <w:abstractNumId w:val="26"/>
  </w:num>
  <w:num w:numId="19">
    <w:abstractNumId w:val="10"/>
  </w:num>
  <w:num w:numId="20">
    <w:abstractNumId w:val="3"/>
  </w:num>
  <w:num w:numId="21">
    <w:abstractNumId w:val="11"/>
  </w:num>
  <w:num w:numId="22">
    <w:abstractNumId w:val="14"/>
  </w:num>
  <w:num w:numId="23">
    <w:abstractNumId w:val="13"/>
  </w:num>
  <w:num w:numId="24">
    <w:abstractNumId w:val="15"/>
  </w:num>
  <w:num w:numId="25">
    <w:abstractNumId w:val="31"/>
  </w:num>
  <w:num w:numId="26">
    <w:abstractNumId w:val="27"/>
  </w:num>
  <w:num w:numId="27">
    <w:abstractNumId w:val="22"/>
  </w:num>
  <w:num w:numId="28">
    <w:abstractNumId w:val="34"/>
  </w:num>
  <w:num w:numId="29">
    <w:abstractNumId w:val="5"/>
  </w:num>
  <w:num w:numId="30">
    <w:abstractNumId w:val="9"/>
  </w:num>
  <w:num w:numId="31">
    <w:abstractNumId w:val="33"/>
  </w:num>
  <w:num w:numId="32">
    <w:abstractNumId w:val="28"/>
  </w:num>
  <w:num w:numId="33">
    <w:abstractNumId w:val="29"/>
  </w:num>
  <w:num w:numId="34">
    <w:abstractNumId w:val="16"/>
  </w:num>
  <w:num w:numId="35">
    <w:abstractNumId w:val="23"/>
  </w:num>
  <w:num w:numId="36">
    <w:abstractNumId w:val="24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94"/>
    <w:rsid w:val="00C44394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6E915"/>
  <w15:chartTrackingRefBased/>
  <w15:docId w15:val="{05468080-F27B-4DAC-A8D9-9EE13697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9" w:unhideWhenUsed="1" w:qFormat="1"/>
    <w:lsdException w:name="heading 5" w:semiHidden="1" w:uiPriority="4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394"/>
    <w:pPr>
      <w:spacing w:after="40"/>
      <w:jc w:val="both"/>
    </w:pPr>
    <w:rPr>
      <w:rFonts w:ascii="Arial" w:hAnsi="Arial"/>
      <w:lang w:val="en-AU"/>
    </w:rPr>
  </w:style>
  <w:style w:type="paragraph" w:styleId="Heading1">
    <w:name w:val="heading 1"/>
    <w:basedOn w:val="Normal"/>
    <w:next w:val="Normal"/>
    <w:link w:val="Heading1Char"/>
    <w:qFormat/>
    <w:rsid w:val="00C44394"/>
    <w:pPr>
      <w:widowControl w:val="0"/>
      <w:spacing w:before="120" w:after="120" w:line="240" w:lineRule="auto"/>
      <w:ind w:left="967" w:hanging="967"/>
      <w:outlineLvl w:val="0"/>
    </w:pPr>
    <w:rPr>
      <w:rFonts w:eastAsia="Cambria"/>
      <w:b/>
      <w:bCs/>
      <w:spacing w:val="-1"/>
      <w:sz w:val="28"/>
      <w:szCs w:val="24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1"/>
    <w:qFormat/>
    <w:rsid w:val="00C44394"/>
    <w:pPr>
      <w:keepNext/>
      <w:spacing w:before="120" w:after="120" w:line="240" w:lineRule="auto"/>
      <w:jc w:val="left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autoRedefine/>
    <w:uiPriority w:val="2"/>
    <w:unhideWhenUsed/>
    <w:qFormat/>
    <w:rsid w:val="00C44394"/>
    <w:pPr>
      <w:keepNext/>
      <w:keepLines/>
      <w:spacing w:before="160" w:after="120" w:line="276" w:lineRule="auto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44394"/>
    <w:pPr>
      <w:keepNext/>
      <w:keepLines/>
      <w:spacing w:before="40" w:after="0" w:line="240" w:lineRule="auto"/>
      <w:outlineLvl w:val="3"/>
    </w:pPr>
    <w:rPr>
      <w:rFonts w:eastAsiaTheme="majorEastAsia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C44394"/>
    <w:pPr>
      <w:keepNext/>
      <w:keepLines/>
      <w:spacing w:after="200" w:line="276" w:lineRule="auto"/>
      <w:outlineLvl w:val="4"/>
    </w:pPr>
    <w:rPr>
      <w:rFonts w:eastAsiaTheme="majorEastAsia" w:cstheme="majorBidi"/>
      <w:b/>
      <w:i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44394"/>
    <w:rPr>
      <w:rFonts w:ascii="Arial" w:eastAsia="Cambria" w:hAnsi="Arial"/>
      <w:b/>
      <w:bCs/>
      <w:spacing w:val="-1"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C44394"/>
    <w:rPr>
      <w:rFonts w:ascii="Arial" w:hAnsi="Arial"/>
      <w:b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2"/>
    <w:rsid w:val="00C44394"/>
    <w:rPr>
      <w:rFonts w:ascii="Arial" w:eastAsiaTheme="majorEastAsia" w:hAnsi="Arial" w:cstheme="majorBidi"/>
      <w:b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C44394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basedOn w:val="DefaultParagraphFont"/>
    <w:link w:val="Heading5"/>
    <w:uiPriority w:val="4"/>
    <w:rsid w:val="00C44394"/>
    <w:rPr>
      <w:rFonts w:ascii="Arial" w:eastAsiaTheme="majorEastAsia" w:hAnsi="Arial" w:cstheme="majorBidi"/>
      <w:b/>
      <w:i/>
      <w:lang w:val="en-AU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C44394"/>
    <w:pPr>
      <w:pBdr>
        <w:bottom w:val="double" w:sz="4" w:space="1" w:color="auto"/>
      </w:pBdr>
      <w:spacing w:line="240" w:lineRule="auto"/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4394"/>
    <w:rPr>
      <w:rFonts w:ascii="Arial" w:eastAsiaTheme="majorEastAsia" w:hAnsi="Arial" w:cstheme="majorBidi"/>
      <w:b/>
      <w:spacing w:val="-10"/>
      <w:kern w:val="28"/>
      <w:sz w:val="32"/>
      <w:szCs w:val="56"/>
      <w:lang w:val="en-AU"/>
    </w:rPr>
  </w:style>
  <w:style w:type="paragraph" w:styleId="ListParagraph">
    <w:name w:val="List Paragraph"/>
    <w:basedOn w:val="Normal"/>
    <w:uiPriority w:val="34"/>
    <w:qFormat/>
    <w:rsid w:val="00C44394"/>
    <w:pPr>
      <w:spacing w:after="320"/>
      <w:ind w:left="720"/>
      <w:contextualSpacing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44394"/>
    <w:pPr>
      <w:spacing w:line="240" w:lineRule="auto"/>
    </w:pPr>
    <w:rPr>
      <w:iCs/>
      <w:szCs w:val="18"/>
    </w:rPr>
  </w:style>
  <w:style w:type="paragraph" w:customStyle="1" w:styleId="CaptionFig">
    <w:name w:val="Caption_Fig"/>
    <w:basedOn w:val="Caption"/>
    <w:link w:val="CaptionFigChar"/>
    <w:qFormat/>
    <w:rsid w:val="00C44394"/>
  </w:style>
  <w:style w:type="character" w:customStyle="1" w:styleId="CaptionFigChar">
    <w:name w:val="Caption_Fig Char"/>
    <w:basedOn w:val="DefaultParagraphFont"/>
    <w:link w:val="CaptionFig"/>
    <w:rsid w:val="00C44394"/>
    <w:rPr>
      <w:rFonts w:ascii="Arial" w:hAnsi="Arial"/>
      <w:iCs/>
      <w:szCs w:val="18"/>
      <w:lang w:val="en-AU"/>
    </w:rPr>
  </w:style>
  <w:style w:type="character" w:customStyle="1" w:styleId="CaptionChar">
    <w:name w:val="Caption Char"/>
    <w:basedOn w:val="DefaultParagraphFont"/>
    <w:link w:val="Caption"/>
    <w:uiPriority w:val="35"/>
    <w:rsid w:val="00C44394"/>
    <w:rPr>
      <w:rFonts w:ascii="Arial" w:hAnsi="Arial"/>
      <w:iCs/>
      <w:szCs w:val="18"/>
      <w:lang w:val="en-AU"/>
    </w:rPr>
  </w:style>
  <w:style w:type="paragraph" w:styleId="TOC1">
    <w:name w:val="toc 1"/>
    <w:basedOn w:val="Normal"/>
    <w:next w:val="Normal"/>
    <w:autoRedefine/>
    <w:uiPriority w:val="39"/>
    <w:unhideWhenUsed/>
    <w:rsid w:val="00C44394"/>
    <w:pPr>
      <w:tabs>
        <w:tab w:val="right" w:leader="dot" w:pos="9854"/>
      </w:tabs>
      <w:spacing w:after="100"/>
    </w:pPr>
    <w:rPr>
      <w:b/>
      <w:sz w:val="24"/>
    </w:rPr>
  </w:style>
  <w:style w:type="paragraph" w:customStyle="1" w:styleId="Table">
    <w:name w:val="Table"/>
    <w:basedOn w:val="Normal"/>
    <w:link w:val="TableChar"/>
    <w:qFormat/>
    <w:rsid w:val="00C44394"/>
    <w:rPr>
      <w:bCs/>
    </w:rPr>
  </w:style>
  <w:style w:type="character" w:customStyle="1" w:styleId="TableChar">
    <w:name w:val="Table Char"/>
    <w:basedOn w:val="DefaultParagraphFont"/>
    <w:link w:val="Table"/>
    <w:rsid w:val="00C44394"/>
    <w:rPr>
      <w:rFonts w:ascii="Arial" w:hAnsi="Arial"/>
      <w:bCs/>
      <w:lang w:val="en-AU"/>
    </w:rPr>
  </w:style>
  <w:style w:type="paragraph" w:styleId="NoSpacing">
    <w:name w:val="No Spacing"/>
    <w:uiPriority w:val="1"/>
    <w:qFormat/>
    <w:rsid w:val="00C44394"/>
    <w:pPr>
      <w:spacing w:after="0" w:line="240" w:lineRule="auto"/>
      <w:jc w:val="both"/>
    </w:pPr>
    <w:rPr>
      <w:rFonts w:ascii="Arial" w:eastAsiaTheme="minorEastAsia" w:hAnsi="Arial" w:cs="Angsana New"/>
      <w:sz w:val="21"/>
      <w:szCs w:val="28"/>
      <w:lang w:val="en-GB" w:eastAsia="zh-CN" w:bidi="th-TH"/>
    </w:rPr>
  </w:style>
  <w:style w:type="character" w:styleId="Hyperlink">
    <w:name w:val="Hyperlink"/>
    <w:basedOn w:val="DefaultParagraphFont"/>
    <w:uiPriority w:val="99"/>
    <w:unhideWhenUsed/>
    <w:rsid w:val="00C44394"/>
    <w:rPr>
      <w:color w:val="0C4ED2"/>
      <w:u w:val="none"/>
    </w:rPr>
  </w:style>
  <w:style w:type="paragraph" w:styleId="ListBullet">
    <w:name w:val="List Bullet"/>
    <w:basedOn w:val="Normal"/>
    <w:uiPriority w:val="99"/>
    <w:semiHidden/>
    <w:unhideWhenUsed/>
    <w:rsid w:val="00C44394"/>
    <w:pPr>
      <w:numPr>
        <w:numId w:val="1"/>
      </w:numPr>
      <w:contextualSpacing/>
    </w:pPr>
  </w:style>
  <w:style w:type="paragraph" w:styleId="TOC2">
    <w:name w:val="toc 2"/>
    <w:basedOn w:val="Normal"/>
    <w:next w:val="Normal"/>
    <w:autoRedefine/>
    <w:uiPriority w:val="39"/>
    <w:unhideWhenUsed/>
    <w:rsid w:val="00C44394"/>
    <w:pPr>
      <w:spacing w:after="100"/>
      <w:ind w:left="220"/>
    </w:pPr>
    <w:rPr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C4439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C44394"/>
    <w:pPr>
      <w:spacing w:after="0"/>
      <w:ind w:left="660"/>
    </w:pPr>
  </w:style>
  <w:style w:type="paragraph" w:styleId="Header">
    <w:name w:val="header"/>
    <w:basedOn w:val="Normal"/>
    <w:link w:val="HeaderChar"/>
    <w:uiPriority w:val="99"/>
    <w:unhideWhenUsed/>
    <w:rsid w:val="00C443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394"/>
    <w:rPr>
      <w:rFonts w:ascii="Arial" w:hAnsi="Arial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C443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4394"/>
    <w:rPr>
      <w:rFonts w:ascii="Arial" w:hAnsi="Arial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C4439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59"/>
    <w:rsid w:val="00C4439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C44394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4394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C4439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44394"/>
    <w:rPr>
      <w:color w:val="605E5C"/>
      <w:shd w:val="clear" w:color="auto" w:fill="E1DFDD"/>
    </w:rPr>
  </w:style>
  <w:style w:type="table" w:styleId="ListTable2">
    <w:name w:val="List Table 2"/>
    <w:basedOn w:val="TableNormal"/>
    <w:uiPriority w:val="47"/>
    <w:rsid w:val="00C4439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44394"/>
  </w:style>
  <w:style w:type="character" w:styleId="CommentReference">
    <w:name w:val="annotation reference"/>
    <w:basedOn w:val="DefaultParagraphFont"/>
    <w:uiPriority w:val="99"/>
    <w:semiHidden/>
    <w:unhideWhenUsed/>
    <w:rsid w:val="00C44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439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394"/>
    <w:rPr>
      <w:rFonts w:ascii="Arial" w:hAnsi="Arial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3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394"/>
    <w:rPr>
      <w:rFonts w:ascii="Arial" w:hAnsi="Arial"/>
      <w:b/>
      <w:bCs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394"/>
    <w:rPr>
      <w:rFonts w:ascii="Segoe UI" w:hAnsi="Segoe UI" w:cs="Segoe UI"/>
      <w:sz w:val="18"/>
      <w:szCs w:val="18"/>
      <w:lang w:val="en-AU"/>
    </w:rPr>
  </w:style>
  <w:style w:type="paragraph" w:styleId="Revision">
    <w:name w:val="Revision"/>
    <w:hidden/>
    <w:uiPriority w:val="99"/>
    <w:semiHidden/>
    <w:rsid w:val="00C44394"/>
    <w:pPr>
      <w:spacing w:after="0" w:line="240" w:lineRule="auto"/>
    </w:pPr>
    <w:rPr>
      <w:rFonts w:ascii="Arial" w:hAnsi="Arial"/>
      <w:lang w:val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C443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1925</Words>
  <Characters>10978</Characters>
  <Application>Microsoft Office Word</Application>
  <DocSecurity>0</DocSecurity>
  <Lines>91</Lines>
  <Paragraphs>25</Paragraphs>
  <ScaleCrop>false</ScaleCrop>
  <Company>Springer Nature</Company>
  <LinksUpToDate>false</LinksUpToDate>
  <CharactersWithSpaces>12878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2023-11-20T10:00:00Z</dcterms:created>
  <dcterms:modified xsi:type="dcterms:W3CDTF">2023-11-20T10:01:00Z</dcterms:modified>
</cp:coreProperties>
</file>