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81" w:rsidRDefault="00775BE3">
      <w:pPr>
        <w:pStyle w:val="1"/>
        <w:ind w:firstLineChars="0" w:firstLine="0"/>
        <w:rPr>
          <w:rFonts w:ascii="Arial" w:hAnsi="Arial" w:cs="Arial"/>
        </w:rPr>
      </w:pPr>
      <w:bookmarkStart w:id="0" w:name="_Hlk83736257"/>
      <w:bookmarkEnd w:id="0"/>
      <w:r>
        <w:rPr>
          <w:rFonts w:ascii="Arial" w:hAnsi="Arial" w:cs="Arial"/>
        </w:rPr>
        <w:t>Supporting Information</w:t>
      </w:r>
    </w:p>
    <w:p w:rsidR="00934F04" w:rsidRDefault="00934F04" w:rsidP="00934F04">
      <w:pPr>
        <w:ind w:firstLineChars="0" w:firstLine="0"/>
        <w:jc w:val="left"/>
        <w:rPr>
          <w:rFonts w:ascii="Arial" w:eastAsia="宋体" w:hAnsi="Arial" w:cs="Arial"/>
          <w:bCs/>
          <w:kern w:val="44"/>
          <w:sz w:val="24"/>
        </w:rPr>
      </w:pPr>
      <w:r w:rsidRPr="00934F04">
        <w:rPr>
          <w:rFonts w:ascii="Arial" w:eastAsia="宋体" w:hAnsi="Arial" w:cs="Arial"/>
          <w:bCs/>
          <w:kern w:val="44"/>
          <w:sz w:val="24"/>
        </w:rPr>
        <w:t xml:space="preserve">PD-L1 Antibody Conjugated </w:t>
      </w:r>
      <w:proofErr w:type="spellStart"/>
      <w:r w:rsidRPr="00934F04">
        <w:rPr>
          <w:rFonts w:ascii="Arial" w:eastAsia="宋体" w:hAnsi="Arial" w:cs="Arial"/>
          <w:bCs/>
          <w:kern w:val="44"/>
          <w:sz w:val="24"/>
        </w:rPr>
        <w:t>Dihydrotanshinone</w:t>
      </w:r>
      <w:proofErr w:type="spellEnd"/>
      <w:r w:rsidRPr="00934F04">
        <w:rPr>
          <w:rFonts w:ascii="Arial" w:eastAsia="宋体" w:hAnsi="Arial" w:cs="Arial"/>
          <w:bCs/>
          <w:kern w:val="44"/>
          <w:sz w:val="24"/>
        </w:rPr>
        <w:t xml:space="preserve"> I-loaded Polymeric Nanoparticle for Targeted Cancer Immunotherapy Combining PD-L1 Blockade with Immunogenic Cell Death</w:t>
      </w:r>
    </w:p>
    <w:p w:rsidR="00934F04" w:rsidRDefault="00934F04" w:rsidP="00934F04">
      <w:pPr>
        <w:ind w:firstLineChars="0" w:firstLine="0"/>
        <w:jc w:val="center"/>
        <w:rPr>
          <w:rFonts w:ascii="Arial" w:eastAsia="宋体" w:hAnsi="Arial" w:cs="Arial"/>
          <w:bCs/>
          <w:kern w:val="44"/>
          <w:sz w:val="24"/>
        </w:rPr>
      </w:pPr>
    </w:p>
    <w:p w:rsidR="00AF1D81" w:rsidRDefault="00775BE3" w:rsidP="00934F04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114300" distR="114300">
            <wp:extent cx="4285615" cy="2871470"/>
            <wp:effectExtent l="0" t="0" r="0" b="0"/>
            <wp:docPr id="1" name="图片 1" descr="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D81" w:rsidRDefault="00775BE3">
      <w:pPr>
        <w:ind w:firstLine="420"/>
        <w:jc w:val="left"/>
        <w:rPr>
          <w:szCs w:val="21"/>
        </w:rPr>
      </w:pPr>
      <w:r w:rsidRPr="00C9309B">
        <w:rPr>
          <w:rFonts w:ascii="Arial" w:hAnsi="Arial" w:cs="Arial"/>
          <w:bCs/>
        </w:rPr>
        <w:t>Fig.S1</w:t>
      </w:r>
      <w:r>
        <w:rPr>
          <w:b/>
          <w:bCs/>
        </w:rPr>
        <w:t>.</w:t>
      </w:r>
      <w:r>
        <w:t xml:space="preserve"> Standard curve for UPLC quantitative analysis of </w:t>
      </w:r>
      <w:proofErr w:type="spellStart"/>
      <w:r>
        <w:t>dihydrotanshi</w:t>
      </w:r>
      <w:r>
        <w:rPr>
          <w:rFonts w:cs="Times New Roman"/>
        </w:rPr>
        <w:t>none</w:t>
      </w:r>
      <w:proofErr w:type="spellEnd"/>
      <w:r>
        <w:rPr>
          <w:rFonts w:cs="Times New Roman"/>
        </w:rPr>
        <w:t xml:space="preserve"> I.</w:t>
      </w:r>
    </w:p>
    <w:p w:rsidR="00AF1D81" w:rsidRDefault="00775BE3">
      <w:pPr>
        <w:ind w:firstLine="420"/>
        <w:jc w:val="center"/>
        <w:rPr>
          <w:rFonts w:eastAsia="宋体" w:cs="Times New Roman"/>
          <w:bCs/>
          <w:szCs w:val="21"/>
        </w:rPr>
      </w:pPr>
      <w:r w:rsidRPr="00C9309B">
        <w:rPr>
          <w:rFonts w:ascii="Arial" w:eastAsia="宋体" w:hAnsi="Arial" w:cs="Arial"/>
          <w:szCs w:val="21"/>
        </w:rPr>
        <w:t>Tab.S1</w:t>
      </w:r>
      <w:r>
        <w:rPr>
          <w:rFonts w:eastAsia="宋体" w:cs="Times New Roman"/>
          <w:bCs/>
          <w:szCs w:val="21"/>
        </w:rPr>
        <w:t xml:space="preserve"> Factor</w:t>
      </w:r>
      <w:r w:rsidR="001D69DC">
        <w:rPr>
          <w:rFonts w:eastAsia="宋体" w:cs="Times New Roman"/>
          <w:bCs/>
          <w:szCs w:val="21"/>
        </w:rPr>
        <w:t>s</w:t>
      </w:r>
      <w:r>
        <w:rPr>
          <w:rFonts w:eastAsia="宋体" w:cs="Times New Roman"/>
          <w:bCs/>
          <w:szCs w:val="21"/>
        </w:rPr>
        <w:t xml:space="preserve"> and level</w:t>
      </w:r>
      <w:r w:rsidR="001D69DC">
        <w:rPr>
          <w:rFonts w:eastAsia="宋体" w:cs="Times New Roman"/>
          <w:bCs/>
          <w:szCs w:val="21"/>
        </w:rPr>
        <w:t>s</w:t>
      </w:r>
    </w:p>
    <w:tbl>
      <w:tblPr>
        <w:tblStyle w:val="a8"/>
        <w:tblW w:w="860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2395"/>
        <w:gridCol w:w="2388"/>
        <w:gridCol w:w="2621"/>
      </w:tblGrid>
      <w:tr w:rsidR="00AF1D81" w:rsidTr="009A7570">
        <w:trPr>
          <w:trHeight w:val="529"/>
        </w:trPr>
        <w:tc>
          <w:tcPr>
            <w:tcW w:w="1134" w:type="dxa"/>
            <w:tcBorders>
              <w:top w:val="single" w:sz="12" w:space="0" w:color="auto"/>
            </w:tcBorders>
          </w:tcPr>
          <w:p w:rsidR="00AF1D81" w:rsidRDefault="004327CE" w:rsidP="000D34CE">
            <w:pPr>
              <w:ind w:firstLine="420"/>
              <w:jc w:val="center"/>
              <w:rPr>
                <w:color w:val="000000" w:themeColor="text1"/>
                <w:szCs w:val="21"/>
              </w:rPr>
            </w:pPr>
            <w:r w:rsidRPr="004327CE">
              <w:rPr>
                <w:color w:val="000000" w:themeColor="text1"/>
                <w:szCs w:val="21"/>
              </w:rPr>
              <w:t>Level</w:t>
            </w:r>
            <w:r w:rsidR="001D69DC">
              <w:rPr>
                <w:color w:val="000000" w:themeColor="text1"/>
                <w:szCs w:val="21"/>
              </w:rPr>
              <w:t>s</w:t>
            </w:r>
          </w:p>
        </w:tc>
        <w:tc>
          <w:tcPr>
            <w:tcW w:w="746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F1D81" w:rsidRDefault="00775BE3" w:rsidP="000D34CE">
            <w:pPr>
              <w:ind w:firstLine="420"/>
              <w:jc w:val="center"/>
              <w:rPr>
                <w:color w:val="000000" w:themeColor="text1"/>
                <w:szCs w:val="21"/>
              </w:rPr>
            </w:pPr>
            <w:r>
              <w:rPr>
                <w:bCs/>
                <w:szCs w:val="21"/>
              </w:rPr>
              <w:t>Factor</w:t>
            </w:r>
            <w:r w:rsidR="001D69DC">
              <w:rPr>
                <w:bCs/>
                <w:szCs w:val="21"/>
              </w:rPr>
              <w:t>s</w:t>
            </w:r>
          </w:p>
        </w:tc>
      </w:tr>
      <w:tr w:rsidR="000D34CE" w:rsidTr="000D34CE">
        <w:trPr>
          <w:trHeight w:val="529"/>
        </w:trPr>
        <w:tc>
          <w:tcPr>
            <w:tcW w:w="1134" w:type="dxa"/>
            <w:tcBorders>
              <w:bottom w:val="single" w:sz="4" w:space="0" w:color="auto"/>
            </w:tcBorders>
          </w:tcPr>
          <w:p w:rsidR="000D34CE" w:rsidRPr="004327CE" w:rsidRDefault="000D34CE" w:rsidP="000D34CE">
            <w:pPr>
              <w:ind w:firstLine="42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color w:val="000000" w:themeColor="text1"/>
                <w:szCs w:val="21"/>
              </w:rPr>
              <w:t xml:space="preserve">               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34CE" w:rsidRDefault="000D34CE" w:rsidP="000D34CE">
            <w:pPr>
              <w:ind w:firstLine="4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 xml:space="preserve">    A                      B                         C</w:t>
            </w:r>
          </w:p>
        </w:tc>
      </w:tr>
      <w:tr w:rsidR="00AF1D81" w:rsidTr="000D34CE">
        <w:trPr>
          <w:trHeight w:val="1504"/>
        </w:trPr>
        <w:tc>
          <w:tcPr>
            <w:tcW w:w="1134" w:type="dxa"/>
            <w:tcBorders>
              <w:top w:val="single" w:sz="4" w:space="0" w:color="auto"/>
            </w:tcBorders>
          </w:tcPr>
          <w:p w:rsidR="00AF1D81" w:rsidRDefault="00AF1D81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1D81" w:rsidRDefault="000D34CE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Organic </w:t>
            </w:r>
            <w:r w:rsidR="00775BE3">
              <w:rPr>
                <w:bCs/>
                <w:kern w:val="0"/>
                <w:szCs w:val="21"/>
              </w:rPr>
              <w:t>phase concentration (g/mL)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1D81" w:rsidRDefault="004327CE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bCs/>
                <w:kern w:val="0"/>
                <w:szCs w:val="21"/>
              </w:rPr>
              <w:t>R</w:t>
            </w:r>
            <w:r w:rsidR="00775BE3">
              <w:rPr>
                <w:bCs/>
                <w:kern w:val="0"/>
                <w:szCs w:val="21"/>
              </w:rPr>
              <w:t>atio of drug to polymer (g/g)</w:t>
            </w: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bCs/>
                <w:kern w:val="0"/>
                <w:szCs w:val="21"/>
              </w:rPr>
              <w:t>Volume ratio of the organic phase to the aqueous phase (v/v)</w:t>
            </w:r>
          </w:p>
        </w:tc>
      </w:tr>
      <w:tr w:rsidR="00AF1D81" w:rsidTr="000D34CE">
        <w:trPr>
          <w:trHeight w:val="497"/>
        </w:trPr>
        <w:tc>
          <w:tcPr>
            <w:tcW w:w="1134" w:type="dxa"/>
          </w:tcPr>
          <w:p w:rsidR="00AF1D81" w:rsidRDefault="00775BE3" w:rsidP="000D34CE">
            <w:pPr>
              <w:ind w:firstLine="42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10" w:type="dxa"/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2410" w:type="dxa"/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∶</w:t>
            </w:r>
            <w:r>
              <w:rPr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2646" w:type="dxa"/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∶</w:t>
            </w:r>
            <w:r>
              <w:rPr>
                <w:color w:val="000000" w:themeColor="text1"/>
                <w:szCs w:val="21"/>
              </w:rPr>
              <w:t>10</w:t>
            </w:r>
          </w:p>
        </w:tc>
      </w:tr>
      <w:tr w:rsidR="00AF1D81" w:rsidTr="000D34CE">
        <w:trPr>
          <w:trHeight w:val="497"/>
        </w:trPr>
        <w:tc>
          <w:tcPr>
            <w:tcW w:w="1134" w:type="dxa"/>
          </w:tcPr>
          <w:p w:rsidR="00AF1D81" w:rsidRDefault="00775BE3" w:rsidP="000D34CE">
            <w:pPr>
              <w:ind w:firstLine="42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2410" w:type="dxa"/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.5%</w:t>
            </w:r>
          </w:p>
        </w:tc>
        <w:tc>
          <w:tcPr>
            <w:tcW w:w="2410" w:type="dxa"/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1.</w:t>
            </w:r>
            <w:r>
              <w:rPr>
                <w:rFonts w:hint="eastAsia"/>
                <w:color w:val="000000" w:themeColor="text1"/>
                <w:szCs w:val="21"/>
              </w:rPr>
              <w:t>25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∶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646" w:type="dxa"/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∶</w:t>
            </w:r>
            <w:r>
              <w:rPr>
                <w:color w:val="000000" w:themeColor="text1"/>
                <w:szCs w:val="21"/>
              </w:rPr>
              <w:t>1.8</w:t>
            </w:r>
          </w:p>
        </w:tc>
      </w:tr>
      <w:tr w:rsidR="00AF1D81" w:rsidTr="009A7570">
        <w:trPr>
          <w:trHeight w:val="529"/>
        </w:trPr>
        <w:tc>
          <w:tcPr>
            <w:tcW w:w="1134" w:type="dxa"/>
            <w:tcBorders>
              <w:bottom w:val="single" w:sz="12" w:space="0" w:color="auto"/>
            </w:tcBorders>
          </w:tcPr>
          <w:p w:rsidR="00AF1D81" w:rsidRDefault="00775BE3" w:rsidP="000D34CE">
            <w:pPr>
              <w:ind w:firstLine="42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color w:val="000000" w:themeColor="text1"/>
                <w:szCs w:val="21"/>
              </w:rPr>
              <w:t>%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∶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646" w:type="dxa"/>
            <w:tcBorders>
              <w:bottom w:val="single" w:sz="12" w:space="0" w:color="auto"/>
            </w:tcBorders>
          </w:tcPr>
          <w:p w:rsidR="00AF1D81" w:rsidRDefault="00775BE3" w:rsidP="000D34CE">
            <w:pPr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∶</w:t>
            </w:r>
            <w:r>
              <w:rPr>
                <w:color w:val="000000" w:themeColor="text1"/>
                <w:szCs w:val="21"/>
              </w:rPr>
              <w:t>1</w:t>
            </w:r>
          </w:p>
        </w:tc>
      </w:tr>
    </w:tbl>
    <w:p w:rsidR="00AF1D81" w:rsidRDefault="00775BE3">
      <w:pPr>
        <w:ind w:firstLine="420"/>
        <w:rPr>
          <w:rFonts w:eastAsia="宋体" w:cs="Times New Roman"/>
          <w:bCs/>
          <w:szCs w:val="21"/>
        </w:rPr>
      </w:pPr>
      <w:r>
        <w:rPr>
          <w:rFonts w:eastAsia="宋体" w:cs="Times New Roman"/>
          <w:bCs/>
          <w:szCs w:val="21"/>
        </w:rPr>
        <w:br w:type="page"/>
      </w:r>
    </w:p>
    <w:p w:rsidR="00AF1D81" w:rsidRDefault="00775BE3">
      <w:pPr>
        <w:ind w:firstLine="420"/>
        <w:jc w:val="center"/>
        <w:rPr>
          <w:rFonts w:eastAsia="宋体" w:cs="Times New Roman"/>
          <w:bCs/>
          <w:szCs w:val="21"/>
        </w:rPr>
      </w:pPr>
      <w:r w:rsidRPr="00C9309B">
        <w:rPr>
          <w:rFonts w:ascii="Arial" w:eastAsia="宋体" w:hAnsi="Arial" w:cs="Arial"/>
          <w:szCs w:val="21"/>
        </w:rPr>
        <w:lastRenderedPageBreak/>
        <w:t>Tab.S</w:t>
      </w:r>
      <w:r w:rsidRPr="00C9309B">
        <w:rPr>
          <w:rFonts w:ascii="Arial" w:eastAsia="宋体" w:hAnsi="Arial" w:cs="Arial" w:hint="eastAsia"/>
          <w:szCs w:val="21"/>
        </w:rPr>
        <w:t>2</w:t>
      </w:r>
      <w:r>
        <w:rPr>
          <w:rFonts w:eastAsia="宋体" w:cs="Times New Roman"/>
          <w:bCs/>
          <w:szCs w:val="21"/>
        </w:rPr>
        <w:t xml:space="preserve"> Results of orthogonal experimental investigation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643"/>
        <w:gridCol w:w="1679"/>
        <w:gridCol w:w="1652"/>
        <w:gridCol w:w="1648"/>
        <w:gridCol w:w="1684"/>
      </w:tblGrid>
      <w:tr w:rsidR="00AF1D81" w:rsidTr="009A7570">
        <w:trPr>
          <w:jc w:val="center"/>
        </w:trPr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ind w:firstLineChars="0" w:firstLine="0"/>
              <w:rPr>
                <w:rFonts w:eastAsia="宋体" w:cs="Times New Roman"/>
                <w:bCs/>
                <w:kern w:val="0"/>
                <w:szCs w:val="21"/>
              </w:rPr>
            </w:pPr>
            <w:r>
              <w:rPr>
                <w:rFonts w:eastAsia="宋体" w:cs="Times New Roman"/>
                <w:bCs/>
                <w:kern w:val="0"/>
                <w:szCs w:val="21"/>
              </w:rPr>
              <w:t xml:space="preserve">Test number 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ind w:firstLineChars="0" w:firstLine="0"/>
              <w:rPr>
                <w:rFonts w:eastAsia="宋体" w:cs="Times New Roman"/>
                <w:bCs/>
                <w:kern w:val="0"/>
                <w:szCs w:val="21"/>
              </w:rPr>
            </w:pPr>
            <w:r>
              <w:rPr>
                <w:rFonts w:eastAsia="宋体" w:cs="Times New Roman"/>
                <w:bCs/>
                <w:kern w:val="0"/>
                <w:szCs w:val="21"/>
              </w:rPr>
              <w:t>Organic phase concentration (</w:t>
            </w:r>
            <w:r>
              <w:rPr>
                <w:rFonts w:eastAsia="宋体" w:cs="Times New Roman" w:hint="eastAsia"/>
                <w:bCs/>
                <w:kern w:val="0"/>
                <w:szCs w:val="21"/>
              </w:rPr>
              <w:t>A</w:t>
            </w:r>
            <w:r>
              <w:rPr>
                <w:rFonts w:eastAsia="宋体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ind w:firstLineChars="0" w:firstLine="0"/>
              <w:rPr>
                <w:rFonts w:eastAsia="宋体" w:cs="Times New Roman"/>
                <w:bCs/>
                <w:kern w:val="0"/>
                <w:szCs w:val="21"/>
              </w:rPr>
            </w:pPr>
            <w:r>
              <w:rPr>
                <w:rFonts w:eastAsia="宋体" w:cs="Times New Roman"/>
                <w:bCs/>
                <w:kern w:val="0"/>
                <w:szCs w:val="21"/>
              </w:rPr>
              <w:t>Mass ratio of drugs to polymer materials (</w:t>
            </w:r>
            <w:r>
              <w:rPr>
                <w:rFonts w:eastAsia="宋体" w:cs="Times New Roman" w:hint="eastAsia"/>
                <w:bCs/>
                <w:kern w:val="0"/>
                <w:szCs w:val="21"/>
              </w:rPr>
              <w:t>B</w:t>
            </w:r>
            <w:r>
              <w:rPr>
                <w:rFonts w:eastAsia="宋体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ind w:firstLineChars="0" w:firstLine="0"/>
              <w:rPr>
                <w:rFonts w:eastAsia="宋体" w:cs="Times New Roman"/>
                <w:bCs/>
                <w:kern w:val="0"/>
                <w:szCs w:val="21"/>
              </w:rPr>
            </w:pPr>
            <w:r>
              <w:rPr>
                <w:rFonts w:eastAsia="宋体" w:cs="Times New Roman"/>
                <w:bCs/>
                <w:kern w:val="0"/>
                <w:szCs w:val="21"/>
              </w:rPr>
              <w:t>Volume ratio of the organic phase to the aqueous phase (</w:t>
            </w:r>
            <w:r>
              <w:rPr>
                <w:rFonts w:eastAsia="宋体" w:cs="Times New Roman" w:hint="eastAsia"/>
                <w:bCs/>
                <w:kern w:val="0"/>
                <w:szCs w:val="21"/>
              </w:rPr>
              <w:t>C</w:t>
            </w:r>
            <w:r>
              <w:rPr>
                <w:rFonts w:eastAsia="宋体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ind w:firstLineChars="0" w:firstLine="0"/>
              <w:rPr>
                <w:rFonts w:eastAsia="宋体" w:cs="Times New Roman"/>
                <w:bCs/>
                <w:kern w:val="0"/>
                <w:szCs w:val="21"/>
              </w:rPr>
            </w:pPr>
            <w:r>
              <w:rPr>
                <w:rFonts w:eastAsia="宋体" w:cs="Times New Roman"/>
                <w:bCs/>
                <w:kern w:val="0"/>
                <w:szCs w:val="21"/>
              </w:rPr>
              <w:t xml:space="preserve">Encapsulation efficiency (EE) </w:t>
            </w:r>
            <w:r>
              <w:rPr>
                <w:rFonts w:eastAsia="宋体" w:cs="Times New Roman"/>
                <w:bCs/>
                <w:kern w:val="0"/>
                <w:szCs w:val="21"/>
              </w:rPr>
              <w:t>（</w:t>
            </w:r>
            <w:r>
              <w:rPr>
                <w:rFonts w:eastAsia="宋体" w:cs="Times New Roman"/>
                <w:bCs/>
                <w:kern w:val="0"/>
                <w:szCs w:val="21"/>
              </w:rPr>
              <w:t>%</w:t>
            </w:r>
            <w:r>
              <w:rPr>
                <w:rFonts w:eastAsia="宋体" w:cs="Times New Roman"/>
                <w:bCs/>
                <w:kern w:val="0"/>
                <w:szCs w:val="21"/>
              </w:rPr>
              <w:t>）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14.51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54.49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44.41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30.55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15.20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34.48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15.69</w:t>
            </w:r>
          </w:p>
        </w:tc>
      </w:tr>
      <w:tr w:rsidR="00AF1D81"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29.39</w:t>
            </w:r>
          </w:p>
        </w:tc>
      </w:tr>
      <w:tr w:rsidR="00AF1D81" w:rsidTr="009A7570">
        <w:trPr>
          <w:jc w:val="center"/>
        </w:trPr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ind w:firstLineChars="0" w:firstLine="0"/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eastAsia="宋体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36.09</w:t>
            </w:r>
          </w:p>
        </w:tc>
      </w:tr>
    </w:tbl>
    <w:p w:rsidR="000D34CE" w:rsidRDefault="000D34CE">
      <w:pPr>
        <w:ind w:firstLine="422"/>
        <w:jc w:val="center"/>
        <w:rPr>
          <w:rFonts w:ascii="Arial" w:eastAsia="宋体" w:hAnsi="Arial" w:cs="Arial"/>
          <w:b/>
          <w:szCs w:val="21"/>
        </w:rPr>
      </w:pPr>
    </w:p>
    <w:p w:rsidR="00AF1D81" w:rsidRDefault="00775BE3">
      <w:pPr>
        <w:ind w:firstLine="420"/>
        <w:jc w:val="center"/>
        <w:rPr>
          <w:rFonts w:eastAsia="宋体" w:cs="Times New Roman"/>
          <w:bCs/>
          <w:szCs w:val="21"/>
        </w:rPr>
      </w:pPr>
      <w:r w:rsidRPr="00C9309B">
        <w:rPr>
          <w:rFonts w:ascii="Arial" w:eastAsia="宋体" w:hAnsi="Arial" w:cs="Arial"/>
          <w:szCs w:val="21"/>
        </w:rPr>
        <w:t>Tab.S</w:t>
      </w:r>
      <w:r w:rsidRPr="00C9309B">
        <w:rPr>
          <w:rFonts w:ascii="Arial" w:eastAsia="宋体" w:hAnsi="Arial" w:cs="Arial" w:hint="eastAsia"/>
          <w:szCs w:val="21"/>
        </w:rPr>
        <w:t>3</w:t>
      </w:r>
      <w:r>
        <w:rPr>
          <w:rFonts w:eastAsia="宋体" w:cs="Times New Roman"/>
          <w:bCs/>
          <w:szCs w:val="21"/>
        </w:rPr>
        <w:t xml:space="preserve"> Error analysis results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519"/>
        <w:gridCol w:w="1352"/>
        <w:gridCol w:w="1394"/>
        <w:gridCol w:w="1389"/>
        <w:gridCol w:w="1376"/>
      </w:tblGrid>
      <w:tr w:rsidR="00AF1D81" w:rsidTr="009A7570">
        <w:trPr>
          <w:jc w:val="center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Source of variance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 xml:space="preserve">Quadratic sum </w:t>
            </w:r>
          </w:p>
        </w:tc>
        <w:tc>
          <w:tcPr>
            <w:tcW w:w="13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f</w:t>
            </w:r>
          </w:p>
        </w:tc>
        <w:tc>
          <w:tcPr>
            <w:tcW w:w="13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 xml:space="preserve">Mean square 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F</w:t>
            </w:r>
          </w:p>
        </w:tc>
        <w:tc>
          <w:tcPr>
            <w:tcW w:w="13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Sig</w:t>
            </w:r>
          </w:p>
        </w:tc>
      </w:tr>
      <w:tr w:rsidR="00AF1D8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Correcting the model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1468.416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244.736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8.438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0.110</w:t>
            </w:r>
          </w:p>
        </w:tc>
      </w:tr>
      <w:tr w:rsidR="00AF1D8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Nodal increment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8391.171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8391.171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289.295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0.003</w:t>
            </w:r>
          </w:p>
        </w:tc>
      </w:tr>
      <w:tr w:rsidR="00AF1D8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137.662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68.831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2.373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0.296</w:t>
            </w:r>
          </w:p>
        </w:tc>
      </w:tr>
      <w:tr w:rsidR="00AF1D8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B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1212.317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606.159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20.898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0.046</w:t>
            </w:r>
          </w:p>
        </w:tc>
      </w:tr>
      <w:tr w:rsidR="00AF1D8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C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118.437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59.218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2.042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0.329</w:t>
            </w:r>
          </w:p>
        </w:tc>
      </w:tr>
      <w:tr w:rsidR="00AF1D81">
        <w:trPr>
          <w:trHeight w:val="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Error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58.011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29.006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</w:tr>
      <w:tr w:rsidR="00AF1D81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Grand total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9917.598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</w:tr>
      <w:tr w:rsidR="00AF1D81" w:rsidTr="00C9309B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Total of corrected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1526.427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775BE3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F1D81" w:rsidRDefault="00AF1D81">
            <w:pPr>
              <w:spacing w:line="240" w:lineRule="auto"/>
              <w:ind w:firstLineChars="0" w:firstLine="0"/>
              <w:rPr>
                <w:rFonts w:cs="Times New Roman"/>
                <w:kern w:val="0"/>
                <w:szCs w:val="21"/>
              </w:rPr>
            </w:pPr>
          </w:p>
        </w:tc>
      </w:tr>
    </w:tbl>
    <w:p w:rsidR="00AF1D81" w:rsidRDefault="00AF1D81">
      <w:pPr>
        <w:ind w:firstLine="420"/>
        <w:jc w:val="center"/>
        <w:rPr>
          <w:rFonts w:cs="Times New Roman"/>
        </w:rPr>
      </w:pPr>
    </w:p>
    <w:p w:rsidR="00AF1D81" w:rsidRDefault="00934F04">
      <w:pPr>
        <w:ind w:firstLine="420"/>
        <w:jc w:val="center"/>
        <w:rPr>
          <w:rFonts w:cs="Times New Roman"/>
        </w:rPr>
      </w:pPr>
      <w:r w:rsidRPr="00934F04">
        <w:rPr>
          <w:rFonts w:cs="Times New Roman"/>
          <w:noProof/>
        </w:rPr>
        <w:lastRenderedPageBreak/>
        <w:drawing>
          <wp:inline distT="0" distB="0" distL="0" distR="0">
            <wp:extent cx="3421459" cy="2959100"/>
            <wp:effectExtent l="0" t="0" r="7620" b="0"/>
            <wp:docPr id="2" name="图片 2" descr="C:\Users\lenovo-pc\Desktop\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-pc\Desktop\未标题-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570" cy="297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F04" w:rsidRDefault="00934F04">
      <w:pPr>
        <w:ind w:firstLine="420"/>
        <w:jc w:val="center"/>
        <w:rPr>
          <w:rFonts w:cs="Times New Roman" w:hint="eastAsia"/>
        </w:rPr>
      </w:pPr>
      <w:r w:rsidRPr="00C9309B">
        <w:rPr>
          <w:rFonts w:ascii="Arial" w:hAnsi="Arial" w:cs="Arial"/>
          <w:bCs/>
        </w:rPr>
        <w:t>Fig.S</w:t>
      </w:r>
      <w:r>
        <w:rPr>
          <w:rFonts w:ascii="Arial" w:hAnsi="Arial" w:cs="Arial"/>
          <w:bCs/>
        </w:rPr>
        <w:t>2</w:t>
      </w:r>
      <w:r>
        <w:rPr>
          <w:b/>
          <w:bCs/>
        </w:rPr>
        <w:t>.</w:t>
      </w:r>
      <w:r>
        <w:t xml:space="preserve"> </w:t>
      </w:r>
      <w:r>
        <w:t>PD-L1 expression on the GES-1 and HGC-27 cells determined by western blot.</w:t>
      </w:r>
      <w:bookmarkStart w:id="1" w:name="_GoBack"/>
      <w:bookmarkEnd w:id="1"/>
    </w:p>
    <w:sectPr w:rsidR="00934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0D" w:rsidRDefault="00375F0D">
      <w:pPr>
        <w:spacing w:line="240" w:lineRule="auto"/>
        <w:ind w:firstLine="420"/>
      </w:pPr>
      <w:r>
        <w:separator/>
      </w:r>
    </w:p>
  </w:endnote>
  <w:endnote w:type="continuationSeparator" w:id="0">
    <w:p w:rsidR="00375F0D" w:rsidRDefault="00375F0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81" w:rsidRDefault="00AF1D81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81" w:rsidRDefault="00AF1D81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81" w:rsidRDefault="00AF1D8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0D" w:rsidRDefault="00375F0D">
      <w:pPr>
        <w:ind w:firstLine="420"/>
      </w:pPr>
      <w:r>
        <w:separator/>
      </w:r>
    </w:p>
  </w:footnote>
  <w:footnote w:type="continuationSeparator" w:id="0">
    <w:p w:rsidR="00375F0D" w:rsidRDefault="00375F0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81" w:rsidRDefault="00AF1D81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81" w:rsidRDefault="00AF1D81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81" w:rsidRDefault="00AF1D81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hZjNkOGFiMjEzZTRjNDYyOTY4ZjE4YjcwZDc1NTgifQ=="/>
  </w:docVars>
  <w:rsids>
    <w:rsidRoot w:val="00841138"/>
    <w:rsid w:val="00051D36"/>
    <w:rsid w:val="000532D0"/>
    <w:rsid w:val="00065CBA"/>
    <w:rsid w:val="000D34CE"/>
    <w:rsid w:val="000F695B"/>
    <w:rsid w:val="00114E1D"/>
    <w:rsid w:val="00125F78"/>
    <w:rsid w:val="001B67CB"/>
    <w:rsid w:val="001D69DC"/>
    <w:rsid w:val="00326B15"/>
    <w:rsid w:val="0036452E"/>
    <w:rsid w:val="00375F0D"/>
    <w:rsid w:val="00397FBF"/>
    <w:rsid w:val="004327CE"/>
    <w:rsid w:val="004B79D7"/>
    <w:rsid w:val="004C2C95"/>
    <w:rsid w:val="00500BC2"/>
    <w:rsid w:val="0056318A"/>
    <w:rsid w:val="007237A8"/>
    <w:rsid w:val="00775BE3"/>
    <w:rsid w:val="00786A01"/>
    <w:rsid w:val="00840C64"/>
    <w:rsid w:val="00841138"/>
    <w:rsid w:val="008616E4"/>
    <w:rsid w:val="008B4C0E"/>
    <w:rsid w:val="008B6B04"/>
    <w:rsid w:val="008F22D4"/>
    <w:rsid w:val="00934F04"/>
    <w:rsid w:val="0094630F"/>
    <w:rsid w:val="009A7570"/>
    <w:rsid w:val="00A460F3"/>
    <w:rsid w:val="00A8121A"/>
    <w:rsid w:val="00AF1D81"/>
    <w:rsid w:val="00C9309B"/>
    <w:rsid w:val="00D52D59"/>
    <w:rsid w:val="00DD517D"/>
    <w:rsid w:val="00DD6CEB"/>
    <w:rsid w:val="00E73D2D"/>
    <w:rsid w:val="00EA7EFC"/>
    <w:rsid w:val="06F45060"/>
    <w:rsid w:val="07746E01"/>
    <w:rsid w:val="09D973F0"/>
    <w:rsid w:val="1BF617E8"/>
    <w:rsid w:val="2A731B75"/>
    <w:rsid w:val="2D95764C"/>
    <w:rsid w:val="2FB83480"/>
    <w:rsid w:val="4ACE7E85"/>
    <w:rsid w:val="4EFD01D6"/>
    <w:rsid w:val="54D847B7"/>
    <w:rsid w:val="5CD33E5C"/>
    <w:rsid w:val="661517AD"/>
    <w:rsid w:val="749D1975"/>
    <w:rsid w:val="75CD685E"/>
    <w:rsid w:val="7A667F05"/>
    <w:rsid w:val="7B4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4D3024-DFB4-43E3-9171-9B57038A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outlineLvl w:val="0"/>
    </w:pPr>
    <w:rPr>
      <w:rFonts w:eastAsia="宋体" w:cs="Times New Roman"/>
      <w:b/>
      <w:bCs/>
      <w:kern w:val="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2">
    <w:name w:val="网格型2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9"/>
    <w:qFormat/>
    <w:rPr>
      <w:rFonts w:ascii="Times New Roman" w:eastAsia="宋体" w:hAnsi="Times New Roman" w:cs="Times New Roman"/>
      <w:b/>
      <w:bCs/>
      <w:kern w:val="44"/>
      <w:sz w:val="28"/>
      <w:szCs w:val="2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563C1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hAnsi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hAnsi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hAnsi="Times New Roman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hAnsi="Times New Roman"/>
      <w:b/>
      <w:bCs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雪</dc:creator>
  <cp:lastModifiedBy>马鹏凯</cp:lastModifiedBy>
  <cp:revision>2</cp:revision>
  <dcterms:created xsi:type="dcterms:W3CDTF">2023-11-15T08:59:00Z</dcterms:created>
  <dcterms:modified xsi:type="dcterms:W3CDTF">2023-11-15T08:59:00Z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C79D6259E04D444796FEAD9C328D03FA</vt:lpwstr>
  </property>
</Properties>
</file>