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D1B07E" w14:textId="28BF49FD" w:rsidR="001C443D" w:rsidRPr="00E4698C" w:rsidRDefault="00AC1732" w:rsidP="00AC1732">
      <w:pPr>
        <w:jc w:val="center"/>
        <w:rPr>
          <w:rFonts w:ascii="Arial" w:hAnsi="Arial" w:cs="Arial"/>
          <w:b/>
          <w:bCs/>
        </w:rPr>
      </w:pPr>
      <w:r w:rsidRPr="00E4698C">
        <w:rPr>
          <w:rFonts w:ascii="Arial" w:hAnsi="Arial" w:cs="Arial"/>
          <w:b/>
          <w:bCs/>
        </w:rPr>
        <w:t>Supplementary Information</w:t>
      </w:r>
    </w:p>
    <w:p w14:paraId="4D862E13" w14:textId="77777777" w:rsidR="00AE7959" w:rsidRPr="00E4698C" w:rsidRDefault="00AE7959" w:rsidP="00AC1732">
      <w:pPr>
        <w:jc w:val="center"/>
        <w:rPr>
          <w:rFonts w:ascii="Arial" w:hAnsi="Arial" w:cs="Arial"/>
          <w:b/>
          <w:bCs/>
        </w:rPr>
      </w:pPr>
    </w:p>
    <w:p w14:paraId="0D6647CD" w14:textId="0213B40C" w:rsidR="00387F71" w:rsidRPr="005B02BF" w:rsidRDefault="00387F71" w:rsidP="00387F71">
      <w:pPr>
        <w:pStyle w:val="Title1"/>
        <w:jc w:val="center"/>
        <w:rPr>
          <w:lang w:val="en-US"/>
        </w:rPr>
      </w:pPr>
      <w:r w:rsidRPr="005B02BF">
        <w:rPr>
          <w:rFonts w:hint="eastAsia"/>
          <w:lang w:val="en-US"/>
        </w:rPr>
        <w:t>P</w:t>
      </w:r>
      <w:r w:rsidRPr="005B02BF">
        <w:rPr>
          <w:lang w:val="en-US"/>
        </w:rPr>
        <w:t>roce</w:t>
      </w:r>
      <w:r>
        <w:rPr>
          <w:lang w:val="en-US"/>
        </w:rPr>
        <w:t>ss</w:t>
      </w:r>
      <w:r w:rsidRPr="005B02BF">
        <w:rPr>
          <w:lang w:val="en-US"/>
        </w:rPr>
        <w:t xml:space="preserve">ing </w:t>
      </w:r>
      <w:r>
        <w:rPr>
          <w:lang w:val="en-US"/>
        </w:rPr>
        <w:t>Rusty</w:t>
      </w:r>
      <w:r w:rsidRPr="005B02BF">
        <w:rPr>
          <w:lang w:val="en-US"/>
        </w:rPr>
        <w:t xml:space="preserve"> </w:t>
      </w:r>
      <w:r>
        <w:rPr>
          <w:lang w:val="en-US"/>
        </w:rPr>
        <w:t>M</w:t>
      </w:r>
      <w:r w:rsidRPr="005B02BF">
        <w:rPr>
          <w:lang w:val="en-US"/>
        </w:rPr>
        <w:t>etal</w:t>
      </w:r>
      <w:r>
        <w:rPr>
          <w:lang w:val="en-US"/>
        </w:rPr>
        <w:t>s</w:t>
      </w:r>
      <w:r w:rsidRPr="005B02BF">
        <w:rPr>
          <w:lang w:val="en-US"/>
        </w:rPr>
        <w:t xml:space="preserve"> into</w:t>
      </w:r>
      <w:r>
        <w:rPr>
          <w:lang w:val="en-US"/>
        </w:rPr>
        <w:t xml:space="preserve"> Versatile Prussian Blue for Sustainable</w:t>
      </w:r>
      <w:r w:rsidRPr="005B02BF">
        <w:rPr>
          <w:lang w:val="en-US"/>
        </w:rPr>
        <w:t xml:space="preserve"> </w:t>
      </w:r>
      <w:r>
        <w:rPr>
          <w:lang w:val="en-US"/>
        </w:rPr>
        <w:t>E</w:t>
      </w:r>
      <w:r w:rsidRPr="005B02BF">
        <w:rPr>
          <w:lang w:val="en-US"/>
        </w:rPr>
        <w:t xml:space="preserve">nergy </w:t>
      </w:r>
      <w:r>
        <w:rPr>
          <w:lang w:val="en-US"/>
        </w:rPr>
        <w:t>S</w:t>
      </w:r>
      <w:r w:rsidRPr="005B02BF">
        <w:rPr>
          <w:lang w:val="en-US"/>
        </w:rPr>
        <w:t>torage</w:t>
      </w:r>
    </w:p>
    <w:p w14:paraId="30A28861" w14:textId="2FFF1921" w:rsidR="00D24D07" w:rsidRPr="00387F71" w:rsidRDefault="00AE2DA4">
      <w:pPr>
        <w:rPr>
          <w:rFonts w:ascii="Arial" w:hAnsi="Arial" w:cs="Arial"/>
        </w:rPr>
      </w:pPr>
    </w:p>
    <w:p w14:paraId="3C466793" w14:textId="77777777" w:rsidR="00335E49" w:rsidRPr="00E4698C" w:rsidRDefault="00335E49" w:rsidP="00335E49">
      <w:pPr>
        <w:jc w:val="center"/>
        <w:rPr>
          <w:rFonts w:ascii="Arial" w:hAnsi="Arial" w:cs="Arial"/>
          <w:b/>
          <w:bCs/>
        </w:rPr>
      </w:pPr>
      <w:r w:rsidRPr="00E4698C">
        <w:rPr>
          <w:rFonts w:ascii="Arial" w:hAnsi="Arial" w:cs="Arial"/>
          <w:b/>
          <w:bCs/>
        </w:rPr>
        <w:t>J.P., et.al</w:t>
      </w:r>
    </w:p>
    <w:p w14:paraId="5B845649" w14:textId="77777777" w:rsidR="004922B2" w:rsidRPr="00E4698C" w:rsidRDefault="00335E49" w:rsidP="004922B2">
      <w:pPr>
        <w:widowControl/>
        <w:jc w:val="left"/>
        <w:rPr>
          <w:rFonts w:ascii="Arial" w:eastAsia="仿宋" w:hAnsi="Arial" w:cs="Arial"/>
          <w:b/>
          <w:bCs/>
          <w:sz w:val="24"/>
          <w:szCs w:val="28"/>
          <w:lang w:val="en-GB"/>
        </w:rPr>
      </w:pPr>
      <w:r w:rsidRPr="00E4698C">
        <w:rPr>
          <w:rFonts w:ascii="Arial" w:hAnsi="Arial" w:cs="Arial"/>
        </w:rPr>
        <w:br w:type="page"/>
      </w:r>
      <w:r w:rsidR="004922B2" w:rsidRPr="00E4698C">
        <w:rPr>
          <w:rFonts w:ascii="Arial" w:eastAsia="仿宋" w:hAnsi="Arial" w:cs="Arial"/>
          <w:b/>
          <w:bCs/>
          <w:sz w:val="24"/>
          <w:szCs w:val="28"/>
          <w:lang w:val="en-GB"/>
        </w:rPr>
        <w:lastRenderedPageBreak/>
        <w:t>Experimental Section</w:t>
      </w:r>
    </w:p>
    <w:p w14:paraId="7EEF2461" w14:textId="77777777" w:rsidR="004922B2" w:rsidRPr="00E4698C" w:rsidRDefault="004922B2" w:rsidP="004922B2">
      <w:pPr>
        <w:widowControl/>
        <w:rPr>
          <w:rFonts w:ascii="Arial" w:eastAsia="仿宋" w:hAnsi="Arial" w:cs="Arial"/>
          <w:b/>
          <w:bCs/>
          <w:szCs w:val="21"/>
          <w:lang w:val="en-GB"/>
        </w:rPr>
      </w:pPr>
      <w:r w:rsidRPr="00E4698C">
        <w:rPr>
          <w:rFonts w:ascii="Arial" w:eastAsia="仿宋" w:hAnsi="Arial" w:cs="Arial"/>
          <w:b/>
          <w:bCs/>
          <w:szCs w:val="21"/>
          <w:lang w:val="en-GB"/>
        </w:rPr>
        <w:t>Preparation of R-PB:</w:t>
      </w:r>
      <w:r w:rsidRPr="00E4698C">
        <w:rPr>
          <w:rFonts w:ascii="Arial" w:eastAsia="仿宋" w:hAnsi="Arial" w:cs="Arial"/>
          <w:szCs w:val="21"/>
          <w:lang w:val="en-GB"/>
        </w:rPr>
        <w:t xml:space="preserve"> Firstly, 10 rust flat head nails (</w:t>
      </w:r>
      <w:proofErr w:type="spellStart"/>
      <w:r w:rsidRPr="00E4698C">
        <w:rPr>
          <w:rFonts w:ascii="Arial" w:eastAsia="仿宋" w:hAnsi="Arial" w:cs="Arial"/>
          <w:szCs w:val="21"/>
          <w:lang w:val="en-GB"/>
        </w:rPr>
        <w:t>Paslode</w:t>
      </w:r>
      <w:proofErr w:type="spellEnd"/>
      <w:r w:rsidRPr="00E4698C">
        <w:rPr>
          <w:rFonts w:ascii="Arial" w:eastAsia="仿宋" w:hAnsi="Arial" w:cs="Arial"/>
          <w:szCs w:val="21"/>
          <w:lang w:val="en-GB"/>
        </w:rPr>
        <w:t>, QTY570, 65*2.8 mm) were washed with deionized water (DI-water) for several times and immersed into 200 ml of DI-water containing 1 M of HCl. Afterward, the solution was collected by vacuum filter after reaction for 20 mins. The obtained solution was diluted by 200 ml DI-water with 20 g trisodium citrate and marked as A. 50 mmol Na</w:t>
      </w:r>
      <w:r w:rsidRPr="00E4698C">
        <w:rPr>
          <w:rFonts w:ascii="Arial" w:eastAsia="仿宋" w:hAnsi="Arial" w:cs="Arial"/>
          <w:szCs w:val="21"/>
          <w:vertAlign w:val="subscript"/>
          <w:lang w:val="en-GB"/>
        </w:rPr>
        <w:t>4</w:t>
      </w:r>
      <w:proofErr w:type="gramStart"/>
      <w:r w:rsidRPr="00E4698C">
        <w:rPr>
          <w:rFonts w:ascii="Arial" w:eastAsia="仿宋" w:hAnsi="Arial" w:cs="Arial"/>
          <w:szCs w:val="21"/>
          <w:lang w:val="en-GB"/>
        </w:rPr>
        <w:t>Fe(</w:t>
      </w:r>
      <w:proofErr w:type="gramEnd"/>
      <w:r w:rsidRPr="00E4698C">
        <w:rPr>
          <w:rFonts w:ascii="Arial" w:eastAsia="仿宋" w:hAnsi="Arial" w:cs="Arial"/>
          <w:szCs w:val="21"/>
          <w:lang w:val="en-GB"/>
        </w:rPr>
        <w:t>CN)</w:t>
      </w:r>
      <w:r w:rsidRPr="00E4698C">
        <w:rPr>
          <w:rFonts w:ascii="Arial" w:eastAsia="仿宋" w:hAnsi="Arial" w:cs="Arial"/>
          <w:szCs w:val="21"/>
          <w:vertAlign w:val="subscript"/>
          <w:lang w:val="en-GB"/>
        </w:rPr>
        <w:t>6</w:t>
      </w:r>
      <w:r w:rsidRPr="00E4698C">
        <w:rPr>
          <w:rFonts w:ascii="Arial" w:eastAsia="仿宋" w:hAnsi="Arial" w:cs="Arial"/>
          <w:szCs w:val="21"/>
          <w:lang w:val="en-GB"/>
        </w:rPr>
        <w:t xml:space="preserve"> was dispersed into 200 ml DI-water as solution B. The solution B was </w:t>
      </w:r>
      <w:proofErr w:type="gramStart"/>
      <w:r w:rsidRPr="00E4698C">
        <w:rPr>
          <w:rFonts w:ascii="Arial" w:eastAsia="仿宋" w:hAnsi="Arial" w:cs="Arial"/>
          <w:szCs w:val="21"/>
          <w:lang w:val="en-GB"/>
        </w:rPr>
        <w:t>add</w:t>
      </w:r>
      <w:proofErr w:type="gramEnd"/>
      <w:r w:rsidRPr="00E4698C">
        <w:rPr>
          <w:rFonts w:ascii="Arial" w:eastAsia="仿宋" w:hAnsi="Arial" w:cs="Arial"/>
          <w:szCs w:val="21"/>
          <w:lang w:val="en-GB"/>
        </w:rPr>
        <w:t xml:space="preserve"> into solution A dropwise by peristaltic pump under continuous stirring for 6 h and aged for 24 h at room temperature. Finally, the precipitate was dried at 120 </w:t>
      </w:r>
      <w:r w:rsidRPr="00E4698C">
        <w:rPr>
          <w:rFonts w:ascii="Arial" w:eastAsia="宋体" w:hAnsi="Arial" w:cs="Arial"/>
          <w:color w:val="000000"/>
        </w:rPr>
        <w:t>°C</w:t>
      </w:r>
      <w:r w:rsidRPr="00E4698C">
        <w:rPr>
          <w:rFonts w:ascii="Arial" w:eastAsia="仿宋" w:hAnsi="Arial" w:cs="Arial"/>
          <w:szCs w:val="21"/>
          <w:lang w:val="en-GB"/>
        </w:rPr>
        <w:t xml:space="preserve"> in vacuum oven overnight. The obtained sample was marked as R-PB (R represents “rusty”, PB is the abbreviation of Prussian blue).</w:t>
      </w:r>
    </w:p>
    <w:p w14:paraId="375392BA" w14:textId="77777777" w:rsidR="004922B2" w:rsidRPr="00E4698C" w:rsidRDefault="004922B2" w:rsidP="004922B2">
      <w:pPr>
        <w:widowControl/>
        <w:rPr>
          <w:rFonts w:ascii="Arial" w:eastAsia="仿宋" w:hAnsi="Arial" w:cs="Arial"/>
          <w:b/>
          <w:bCs/>
          <w:szCs w:val="21"/>
          <w:lang w:val="en-GB"/>
        </w:rPr>
      </w:pPr>
      <w:r w:rsidRPr="00E4698C">
        <w:rPr>
          <w:rFonts w:ascii="Arial" w:eastAsia="仿宋" w:hAnsi="Arial" w:cs="Arial"/>
          <w:b/>
          <w:bCs/>
          <w:szCs w:val="21"/>
          <w:lang w:val="en-GB"/>
        </w:rPr>
        <w:t>Materials Characterization:</w:t>
      </w:r>
      <w:r w:rsidRPr="00E4698C">
        <w:rPr>
          <w:rFonts w:ascii="Arial" w:eastAsia="仿宋" w:hAnsi="Arial" w:cs="Arial"/>
          <w:b/>
          <w:bCs/>
          <w:color w:val="000000" w:themeColor="text1"/>
          <w:szCs w:val="21"/>
          <w:lang w:val="en-GB"/>
        </w:rPr>
        <w:t xml:space="preserve"> </w:t>
      </w:r>
      <w:r w:rsidRPr="00E4698C">
        <w:rPr>
          <w:rFonts w:ascii="Arial" w:eastAsia="仿宋" w:hAnsi="Arial" w:cs="Arial"/>
          <w:color w:val="000000" w:themeColor="text1"/>
          <w:szCs w:val="21"/>
          <w:lang w:val="en-GB"/>
        </w:rPr>
        <w:t xml:space="preserve">A neutron diffraction investigation was conducted at the Australian Synchrotron with </w:t>
      </w:r>
      <w:r w:rsidRPr="00E4698C">
        <w:rPr>
          <w:rFonts w:ascii="Arial" w:eastAsia="仿宋" w:hAnsi="Arial" w:cs="Arial"/>
          <w:i/>
          <w:iCs/>
          <w:color w:val="000000" w:themeColor="text1"/>
          <w:szCs w:val="21"/>
          <w:lang w:val="en-GB"/>
        </w:rPr>
        <w:t>λ</w:t>
      </w:r>
      <w:r w:rsidRPr="00E4698C">
        <w:rPr>
          <w:rFonts w:ascii="Arial" w:eastAsia="仿宋" w:hAnsi="Arial" w:cs="Arial"/>
          <w:color w:val="000000" w:themeColor="text1"/>
          <w:szCs w:val="21"/>
          <w:lang w:val="en-GB"/>
        </w:rPr>
        <w:t xml:space="preserve"> = 1.622 Å to determine the structure of R-PB. The diffraction pattern was first indexed and then refined by the Rietveld method with GSAS software. The morphology was characterized with a field emission scanning electron microscope (JEOL, KSM-7500FA) and a 200 kV scanning transmission electron microscope (STEM) with a double aberration-corrector (JEM-ARM 200F). The elemental energy dispersive spectroscopy (EDS) mapping images were obtained through STEM. The thermogravimetry tests were carried out on a </w:t>
      </w:r>
      <w:proofErr w:type="spellStart"/>
      <w:r w:rsidRPr="00E4698C">
        <w:rPr>
          <w:rFonts w:ascii="Arial" w:eastAsia="仿宋" w:hAnsi="Arial" w:cs="Arial"/>
          <w:color w:val="000000" w:themeColor="text1"/>
          <w:szCs w:val="21"/>
          <w:lang w:val="en-GB"/>
        </w:rPr>
        <w:t>Netzsch</w:t>
      </w:r>
      <w:proofErr w:type="spellEnd"/>
      <w:r w:rsidRPr="00E4698C">
        <w:rPr>
          <w:rFonts w:ascii="Arial" w:eastAsia="仿宋" w:hAnsi="Arial" w:cs="Arial"/>
          <w:color w:val="000000" w:themeColor="text1"/>
          <w:szCs w:val="21"/>
          <w:lang w:val="en-GB"/>
        </w:rPr>
        <w:t xml:space="preserve"> STA 449 F3 </w:t>
      </w:r>
      <w:proofErr w:type="spellStart"/>
      <w:r w:rsidRPr="00E4698C">
        <w:rPr>
          <w:rFonts w:ascii="Arial" w:eastAsia="仿宋" w:hAnsi="Arial" w:cs="Arial"/>
          <w:color w:val="000000" w:themeColor="text1"/>
          <w:szCs w:val="21"/>
          <w:lang w:val="en-GB"/>
        </w:rPr>
        <w:t>analyzer</w:t>
      </w:r>
      <w:proofErr w:type="spellEnd"/>
      <w:r w:rsidRPr="00E4698C">
        <w:rPr>
          <w:rFonts w:ascii="Arial" w:eastAsia="仿宋" w:hAnsi="Arial" w:cs="Arial"/>
          <w:color w:val="000000" w:themeColor="text1"/>
          <w:szCs w:val="21"/>
          <w:lang w:val="en-GB"/>
        </w:rPr>
        <w:t xml:space="preserve"> in N</w:t>
      </w:r>
      <w:r w:rsidRPr="00E4698C">
        <w:rPr>
          <w:rFonts w:ascii="Arial" w:eastAsia="仿宋" w:hAnsi="Arial" w:cs="Arial"/>
          <w:color w:val="000000" w:themeColor="text1"/>
          <w:szCs w:val="21"/>
          <w:vertAlign w:val="subscript"/>
          <w:lang w:val="en-GB"/>
        </w:rPr>
        <w:t xml:space="preserve">2 </w:t>
      </w:r>
      <w:r w:rsidRPr="00E4698C">
        <w:rPr>
          <w:rFonts w:ascii="Arial" w:eastAsia="仿宋" w:hAnsi="Arial" w:cs="Arial"/>
          <w:color w:val="000000" w:themeColor="text1"/>
          <w:szCs w:val="21"/>
          <w:lang w:val="en-GB"/>
        </w:rPr>
        <w:t xml:space="preserve">from room temperature to 500 °C. Raman spectroscopy was conducted on a </w:t>
      </w:r>
      <w:proofErr w:type="spellStart"/>
      <w:r w:rsidRPr="00E4698C">
        <w:rPr>
          <w:rFonts w:ascii="Arial" w:eastAsia="仿宋" w:hAnsi="Arial" w:cs="Arial"/>
          <w:color w:val="000000" w:themeColor="text1"/>
          <w:szCs w:val="21"/>
          <w:lang w:val="en-GB"/>
        </w:rPr>
        <w:t>LabRAM</w:t>
      </w:r>
      <w:proofErr w:type="spellEnd"/>
      <w:r w:rsidRPr="00E4698C">
        <w:rPr>
          <w:rFonts w:ascii="Arial" w:eastAsia="仿宋" w:hAnsi="Arial" w:cs="Arial"/>
          <w:color w:val="000000" w:themeColor="text1"/>
          <w:szCs w:val="21"/>
          <w:lang w:val="en-GB"/>
        </w:rPr>
        <w:t xml:space="preserve"> HR800 (Horiba </w:t>
      </w:r>
      <w:proofErr w:type="spellStart"/>
      <w:r w:rsidRPr="00E4698C">
        <w:rPr>
          <w:rFonts w:ascii="Arial" w:eastAsia="仿宋" w:hAnsi="Arial" w:cs="Arial"/>
          <w:color w:val="000000" w:themeColor="text1"/>
          <w:szCs w:val="21"/>
          <w:lang w:val="en-GB"/>
        </w:rPr>
        <w:t>JobinYvon</w:t>
      </w:r>
      <w:proofErr w:type="spellEnd"/>
      <w:r w:rsidRPr="00E4698C">
        <w:rPr>
          <w:rFonts w:ascii="Arial" w:eastAsia="仿宋" w:hAnsi="Arial" w:cs="Arial"/>
          <w:color w:val="000000" w:themeColor="text1"/>
          <w:szCs w:val="21"/>
          <w:lang w:val="en-GB"/>
        </w:rPr>
        <w:t xml:space="preserve">) with a wavelength of 532 nm. Fourier transform infrared spectroscopy (FT-IR) was carried out to examine the vibration states of existing functional groups of the samples on a Thermo Nicolet Nexus 670 FT-IR spectrometer. X-ray photoelectron spectroscopy (XPS) with an Al Kα source was applied to collect the surface information </w:t>
      </w:r>
      <w:r w:rsidRPr="00E4698C">
        <w:rPr>
          <w:rFonts w:ascii="Arial" w:eastAsia="仿宋" w:hAnsi="Arial" w:cs="Arial"/>
          <w:color w:val="000000" w:themeColor="text1"/>
          <w:szCs w:val="21"/>
        </w:rPr>
        <w:t>through an ESCALAB 250Xi (Thermo Fisher) spectrometer</w:t>
      </w:r>
      <w:r w:rsidRPr="00E4698C">
        <w:rPr>
          <w:rFonts w:ascii="Arial" w:eastAsia="仿宋" w:hAnsi="Arial" w:cs="Arial"/>
          <w:color w:val="000000" w:themeColor="text1"/>
          <w:szCs w:val="21"/>
          <w:lang w:val="en-GB"/>
        </w:rPr>
        <w:t>.</w:t>
      </w:r>
    </w:p>
    <w:p w14:paraId="1C30BC38" w14:textId="77777777" w:rsidR="004922B2" w:rsidRPr="00E4698C" w:rsidRDefault="004922B2" w:rsidP="004922B2">
      <w:pPr>
        <w:widowControl/>
        <w:rPr>
          <w:rFonts w:ascii="Arial" w:eastAsia="仿宋" w:hAnsi="Arial" w:cs="Arial"/>
          <w:b/>
          <w:bCs/>
          <w:szCs w:val="21"/>
          <w:lang w:val="en-GB"/>
        </w:rPr>
      </w:pPr>
      <w:r w:rsidRPr="00E4698C">
        <w:rPr>
          <w:rFonts w:ascii="Arial" w:eastAsia="仿宋" w:hAnsi="Arial" w:cs="Arial"/>
          <w:b/>
          <w:bCs/>
          <w:szCs w:val="21"/>
          <w:lang w:val="en-GB"/>
        </w:rPr>
        <w:t>Electrochemical Measurement:</w:t>
      </w:r>
      <w:r w:rsidRPr="00E4698C">
        <w:rPr>
          <w:rFonts w:ascii="Arial" w:eastAsia="仿宋" w:hAnsi="Arial" w:cs="Arial"/>
          <w:szCs w:val="21"/>
          <w:lang w:val="en-GB"/>
        </w:rPr>
        <w:t xml:space="preserve"> The cathode electrode slurry for </w:t>
      </w:r>
      <w:proofErr w:type="gramStart"/>
      <w:r w:rsidRPr="00E4698C">
        <w:rPr>
          <w:rFonts w:ascii="Arial" w:eastAsia="仿宋" w:hAnsi="Arial" w:cs="Arial"/>
          <w:szCs w:val="21"/>
          <w:lang w:val="en-GB"/>
        </w:rPr>
        <w:t>2032 coin</w:t>
      </w:r>
      <w:proofErr w:type="gramEnd"/>
      <w:r w:rsidRPr="00E4698C">
        <w:rPr>
          <w:rFonts w:ascii="Arial" w:eastAsia="仿宋" w:hAnsi="Arial" w:cs="Arial"/>
          <w:szCs w:val="21"/>
          <w:lang w:val="en-GB"/>
        </w:rPr>
        <w:t xml:space="preserve"> cell testing was prepared by mixing 70 </w:t>
      </w:r>
      <w:proofErr w:type="spellStart"/>
      <w:r w:rsidRPr="00E4698C">
        <w:rPr>
          <w:rFonts w:ascii="Arial" w:eastAsia="仿宋" w:hAnsi="Arial" w:cs="Arial"/>
          <w:szCs w:val="21"/>
          <w:lang w:val="en-GB"/>
        </w:rPr>
        <w:t>wt</w:t>
      </w:r>
      <w:proofErr w:type="spellEnd"/>
      <w:r w:rsidRPr="00E4698C">
        <w:rPr>
          <w:rFonts w:ascii="Arial" w:eastAsia="仿宋" w:hAnsi="Arial" w:cs="Arial"/>
          <w:szCs w:val="21"/>
          <w:lang w:val="en-GB"/>
        </w:rPr>
        <w:t xml:space="preserve">% active materials (PBAs), 20 </w:t>
      </w:r>
      <w:proofErr w:type="spellStart"/>
      <w:r w:rsidRPr="00E4698C">
        <w:rPr>
          <w:rFonts w:ascii="Arial" w:eastAsia="仿宋" w:hAnsi="Arial" w:cs="Arial"/>
          <w:szCs w:val="21"/>
          <w:lang w:val="en-GB"/>
        </w:rPr>
        <w:t>wt</w:t>
      </w:r>
      <w:proofErr w:type="spellEnd"/>
      <w:r w:rsidRPr="00E4698C">
        <w:rPr>
          <w:rFonts w:ascii="Arial" w:eastAsia="仿宋" w:hAnsi="Arial" w:cs="Arial"/>
          <w:szCs w:val="21"/>
          <w:lang w:val="en-GB"/>
        </w:rPr>
        <w:t xml:space="preserve">% carbon black (Super P), and 10 </w:t>
      </w:r>
      <w:proofErr w:type="spellStart"/>
      <w:r w:rsidRPr="00E4698C">
        <w:rPr>
          <w:rFonts w:ascii="Arial" w:eastAsia="仿宋" w:hAnsi="Arial" w:cs="Arial"/>
          <w:szCs w:val="21"/>
          <w:lang w:val="en-GB"/>
        </w:rPr>
        <w:t>wt</w:t>
      </w:r>
      <w:proofErr w:type="spellEnd"/>
      <w:r w:rsidRPr="00E4698C">
        <w:rPr>
          <w:rFonts w:ascii="Arial" w:eastAsia="仿宋" w:hAnsi="Arial" w:cs="Arial"/>
          <w:szCs w:val="21"/>
          <w:lang w:val="en-GB"/>
        </w:rPr>
        <w:t xml:space="preserve">% carboxymethyl cellulose (CMC) in water. The mixed slurry was pasted on Al foil and then dried at 120 °C in a vacuum oven overnight. Sodium metal and glass </w:t>
      </w:r>
      <w:proofErr w:type="spellStart"/>
      <w:r w:rsidRPr="00E4698C">
        <w:rPr>
          <w:rFonts w:ascii="Arial" w:eastAsia="仿宋" w:hAnsi="Arial" w:cs="Arial"/>
          <w:szCs w:val="21"/>
          <w:lang w:val="en-GB"/>
        </w:rPr>
        <w:t>fiber</w:t>
      </w:r>
      <w:proofErr w:type="spellEnd"/>
      <w:r w:rsidRPr="00E4698C">
        <w:rPr>
          <w:rFonts w:ascii="Arial" w:eastAsia="仿宋" w:hAnsi="Arial" w:cs="Arial"/>
          <w:szCs w:val="21"/>
          <w:lang w:val="en-GB"/>
        </w:rPr>
        <w:t xml:space="preserve"> (Whatman, GF/A) were used as the counter electrode and the separator, respectively. 1 M NaClO</w:t>
      </w:r>
      <w:r w:rsidRPr="00E4698C">
        <w:rPr>
          <w:rFonts w:ascii="Arial" w:eastAsia="仿宋" w:hAnsi="Arial" w:cs="Arial"/>
          <w:szCs w:val="21"/>
          <w:vertAlign w:val="subscript"/>
          <w:lang w:val="en-GB"/>
        </w:rPr>
        <w:t>4</w:t>
      </w:r>
      <w:r w:rsidRPr="00E4698C">
        <w:rPr>
          <w:rFonts w:ascii="Arial" w:eastAsia="仿宋" w:hAnsi="Arial" w:cs="Arial"/>
          <w:szCs w:val="21"/>
          <w:lang w:val="en-GB"/>
        </w:rPr>
        <w:t xml:space="preserve"> in ethylene carbonate and diethyl carbonate (v/v = 1:1) with 4 % fluoroethylene carbonate additive served as the electrolyte. The batteries were assembled in an argon-filled glove box with H</w:t>
      </w:r>
      <w:r w:rsidRPr="00E4698C">
        <w:rPr>
          <w:rFonts w:ascii="Arial" w:eastAsia="仿宋" w:hAnsi="Arial" w:cs="Arial"/>
          <w:szCs w:val="21"/>
          <w:vertAlign w:val="subscript"/>
          <w:lang w:val="en-GB"/>
        </w:rPr>
        <w:t>2</w:t>
      </w:r>
      <w:r w:rsidRPr="00E4698C">
        <w:rPr>
          <w:rFonts w:ascii="Arial" w:eastAsia="仿宋" w:hAnsi="Arial" w:cs="Arial"/>
          <w:szCs w:val="21"/>
          <w:lang w:val="en-GB"/>
        </w:rPr>
        <w:t>O and O</w:t>
      </w:r>
      <w:r w:rsidRPr="00E4698C">
        <w:rPr>
          <w:rFonts w:ascii="Arial" w:eastAsia="仿宋" w:hAnsi="Arial" w:cs="Arial"/>
          <w:szCs w:val="21"/>
          <w:vertAlign w:val="subscript"/>
          <w:lang w:val="en-GB"/>
        </w:rPr>
        <w:t>2</w:t>
      </w:r>
      <w:r w:rsidRPr="00E4698C">
        <w:rPr>
          <w:rFonts w:ascii="Arial" w:eastAsia="仿宋" w:hAnsi="Arial" w:cs="Arial"/>
          <w:szCs w:val="21"/>
          <w:lang w:val="en-GB"/>
        </w:rPr>
        <w:t xml:space="preserve"> concentrations less than 0.1 ppm. The cycling and rate performance were examined on a </w:t>
      </w:r>
      <w:proofErr w:type="spellStart"/>
      <w:r w:rsidRPr="00E4698C">
        <w:rPr>
          <w:rFonts w:ascii="Arial" w:eastAsia="仿宋" w:hAnsi="Arial" w:cs="Arial"/>
          <w:szCs w:val="21"/>
          <w:lang w:val="en-GB"/>
        </w:rPr>
        <w:t>Neware</w:t>
      </w:r>
      <w:proofErr w:type="spellEnd"/>
      <w:r w:rsidRPr="00E4698C">
        <w:rPr>
          <w:rFonts w:ascii="Arial" w:eastAsia="仿宋" w:hAnsi="Arial" w:cs="Arial"/>
          <w:szCs w:val="21"/>
          <w:lang w:val="en-GB"/>
        </w:rPr>
        <w:t xml:space="preserve"> battery cycler (CT-4008-5V10mA-164, Shenzhen, China) with a voltage window of 2.0-4.2 V. Cyclic voltammetry (CV) was performed using a Biologic VMP-3 electrochemical workstation at a scan rate of 0.1 mV s</w:t>
      </w:r>
      <w:r w:rsidRPr="00E4698C">
        <w:rPr>
          <w:rFonts w:ascii="Arial" w:eastAsia="仿宋" w:hAnsi="Arial" w:cs="Arial"/>
          <w:szCs w:val="21"/>
          <w:vertAlign w:val="superscript"/>
          <w:lang w:val="en-GB"/>
        </w:rPr>
        <w:t>-1</w:t>
      </w:r>
      <w:r w:rsidRPr="00E4698C">
        <w:rPr>
          <w:rFonts w:ascii="Arial" w:eastAsia="仿宋" w:hAnsi="Arial" w:cs="Arial"/>
          <w:szCs w:val="21"/>
          <w:lang w:val="en-GB"/>
        </w:rPr>
        <w:t xml:space="preserve"> from 2.0 to 4.2 V.</w:t>
      </w:r>
    </w:p>
    <w:p w14:paraId="14B1713C" w14:textId="77777777" w:rsidR="004922B2" w:rsidRPr="00E4698C" w:rsidRDefault="004922B2" w:rsidP="004922B2">
      <w:pPr>
        <w:widowControl/>
        <w:jc w:val="left"/>
        <w:rPr>
          <w:rFonts w:ascii="Arial" w:eastAsia="仿宋" w:hAnsi="Arial" w:cs="Arial"/>
          <w:b/>
          <w:bCs/>
          <w:sz w:val="24"/>
          <w:szCs w:val="28"/>
          <w:lang w:val="en-GB"/>
        </w:rPr>
      </w:pPr>
      <w:r w:rsidRPr="00E4698C">
        <w:rPr>
          <w:rFonts w:ascii="Arial" w:eastAsia="仿宋" w:hAnsi="Arial" w:cs="Arial"/>
          <w:b/>
          <w:bCs/>
          <w:sz w:val="24"/>
          <w:szCs w:val="28"/>
          <w:lang w:val="en-GB"/>
        </w:rPr>
        <w:t xml:space="preserve">DFT calculations: </w:t>
      </w:r>
    </w:p>
    <w:p w14:paraId="6873C481" w14:textId="710C3F2A" w:rsidR="004922B2" w:rsidRPr="00E4698C" w:rsidRDefault="00AB179A" w:rsidP="00AB179A">
      <w:pPr>
        <w:widowControl/>
        <w:rPr>
          <w:rFonts w:ascii="Arial" w:hAnsi="Arial" w:cs="Arial"/>
        </w:rPr>
      </w:pPr>
      <w:r w:rsidRPr="00E4698C">
        <w:rPr>
          <w:rFonts w:ascii="Arial" w:hAnsi="Arial" w:cs="Arial"/>
          <w:color w:val="000000"/>
          <w:sz w:val="24"/>
          <w:szCs w:val="24"/>
        </w:rPr>
        <w:t>Density Functional Theory (DFT) calculations with the Hubbard U correction were implemented in the code VASP (version 5.4.4)</w:t>
      </w:r>
      <w:r w:rsidRPr="00E4698C">
        <w:rPr>
          <w:rFonts w:ascii="Arial" w:hAnsi="Arial" w:cs="Arial"/>
          <w:color w:val="000000"/>
          <w:sz w:val="24"/>
          <w:szCs w:val="24"/>
        </w:rPr>
        <w:fldChar w:fldCharType="begin"/>
      </w:r>
      <w:r w:rsidR="00CD7B29">
        <w:rPr>
          <w:rFonts w:ascii="Arial" w:hAnsi="Arial" w:cs="Arial"/>
          <w:color w:val="000000"/>
          <w:sz w:val="24"/>
          <w:szCs w:val="24"/>
        </w:rPr>
        <w:instrText xml:space="preserve"> ADDIN EN.CITE &lt;EndNote&gt;&lt;Cite&gt;&lt;Author&gt;Kresse&lt;/Author&gt;&lt;Year&gt;1994&lt;/Year&gt;&lt;RecNum&gt;137&lt;/RecNum&gt;&lt;DisplayText&gt;&lt;style face="superscript"&gt;1, 2&lt;/style&gt;&lt;/DisplayText&gt;&lt;record&gt;&lt;rec-number&gt;137&lt;/rec-number&gt;&lt;foreign-keys&gt;&lt;key app="EN" db-id="0xextv9zyzzdtheffpqvefzh0ftxrfewwt22" timestamp="1482154701"&gt;137&lt;/key&gt;&lt;/foreign-keys&gt;&lt;ref-type name="Journal Article"&gt;17&lt;/ref-type&gt;&lt;contributors&gt;&lt;authors&gt;&lt;author&gt;Kresse, G&lt;/author&gt;&lt;author&gt;Hafner, J&lt;/author&gt;&lt;/authors&gt;&lt;/contributors&gt;&lt;titles&gt;&lt;title&gt;Ab initio molecular-dynamics simulation of the liquid-metal–amorphous-semiconductor transition in germanium&lt;/title&gt;&lt;secondary-title&gt;Physical Review B&lt;/secondary-title&gt;&lt;/titles&gt;&lt;periodical&gt;&lt;full-title&gt;Physical Review B&lt;/full-title&gt;&lt;abbr-1&gt;Phys. Rev. B&lt;/abbr-1&gt;&lt;/periodical&gt;&lt;pages&gt;14251&lt;/pages&gt;&lt;volume&gt;49&lt;/volume&gt;&lt;number&gt;20&lt;/number&gt;&lt;dates&gt;&lt;year&gt;1994&lt;/year&gt;&lt;/dates&gt;&lt;urls&gt;&lt;/urls&gt;&lt;/record&gt;&lt;/Cite&gt;&lt;Cite&gt;&lt;Author&gt;Kresse&lt;/Author&gt;&lt;Year&gt;1996&lt;/Year&gt;&lt;RecNum&gt;141&lt;/RecNum&gt;&lt;record&gt;&lt;rec-number&gt;141&lt;/rec-number&gt;&lt;foreign-keys&gt;&lt;key app="EN" db-id="0xextv9zyzzdtheffpqvefzh0ftxrfewwt22" timestamp="1482155353"&gt;141&lt;/key&gt;&lt;/foreign-keys&gt;&lt;ref-type name="Journal Article"&gt;17&lt;/ref-type&gt;&lt;contributors&gt;&lt;authors&gt;&lt;author&gt;Kresse, Georg&lt;/author&gt;&lt;author&gt;Furthmüller, Jürgen&lt;/author&gt;&lt;/authors&gt;&lt;/contributors&gt;&lt;titles&gt;&lt;title&gt;Efficient iterative schemes for ab initio total-energy calculations using a plane-wave basis set&lt;/title&gt;&lt;secondary-title&gt;Physical review B&lt;/secondary-title&gt;&lt;/titles&gt;&lt;periodical&gt;&lt;full-title&gt;Physical Review B&lt;/full-title&gt;&lt;abbr-1&gt;Phys. Rev. B&lt;/abbr-1&gt;&lt;/periodical&gt;&lt;pages&gt;11169&lt;/pages&gt;&lt;volume&gt;54&lt;/volume&gt;&lt;number&gt;16&lt;/number&gt;&lt;dates&gt;&lt;year&gt;1996&lt;/year&gt;&lt;/dates&gt;&lt;urls&gt;&lt;/urls&gt;&lt;/record&gt;&lt;/Cite&gt;&lt;/EndNote&gt;</w:instrText>
      </w:r>
      <w:r w:rsidRPr="00E4698C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CD7B29" w:rsidRPr="00CD7B29">
        <w:rPr>
          <w:rFonts w:ascii="Arial" w:hAnsi="Arial" w:cs="Arial"/>
          <w:noProof/>
          <w:color w:val="000000"/>
          <w:sz w:val="24"/>
          <w:szCs w:val="24"/>
          <w:vertAlign w:val="superscript"/>
        </w:rPr>
        <w:t>1, 2</w:t>
      </w:r>
      <w:r w:rsidRPr="00E4698C">
        <w:rPr>
          <w:rFonts w:ascii="Arial" w:hAnsi="Arial" w:cs="Arial"/>
          <w:color w:val="000000"/>
          <w:sz w:val="24"/>
          <w:szCs w:val="24"/>
        </w:rPr>
        <w:fldChar w:fldCharType="end"/>
      </w:r>
      <w:r w:rsidRPr="00E4698C">
        <w:rPr>
          <w:rFonts w:ascii="Arial" w:hAnsi="Arial" w:cs="Arial"/>
          <w:color w:val="000000"/>
          <w:sz w:val="24"/>
          <w:szCs w:val="24"/>
        </w:rPr>
        <w:t>, and the value of U was set according to previous research.</w:t>
      </w:r>
      <w:r w:rsidR="00F45C83" w:rsidRPr="00E4698C">
        <w:rPr>
          <w:rFonts w:ascii="Arial" w:hAnsi="Arial" w:cs="Arial"/>
          <w:color w:val="000000"/>
          <w:sz w:val="24"/>
          <w:szCs w:val="24"/>
        </w:rPr>
        <w:fldChar w:fldCharType="begin"/>
      </w:r>
      <w:r w:rsidR="00CD7B29">
        <w:rPr>
          <w:rFonts w:ascii="Arial" w:hAnsi="Arial" w:cs="Arial"/>
          <w:color w:val="000000"/>
          <w:sz w:val="24"/>
          <w:szCs w:val="24"/>
        </w:rPr>
        <w:instrText xml:space="preserve"> ADDIN EN.CITE &lt;EndNote&gt;&lt;Cite&gt;&lt;Author&gt;Li&lt;/Author&gt;&lt;Year&gt;2020&lt;/Year&gt;&lt;RecNum&gt;691&lt;/RecNum&gt;&lt;DisplayText&gt;&lt;style face="superscript"&gt;3&lt;/style&gt;&lt;/DisplayText&gt;&lt;record&gt;&lt;rec-number&gt;691&lt;/rec-number&gt;&lt;foreign-keys&gt;&lt;key app="EN" db-id="z5ttszv210d5xre0fzlpftfmda0s2dfwe0zd" timestamp="1609814192" guid="92eb7652-b34c-4d4e-837c-81b76ed71e1a"&gt;691&lt;/key&gt;&lt;/foreign-keys&gt;&lt;ref-type name="Journal Article"&gt;17&lt;/ref-type&gt;&lt;contributors&gt;&lt;authors&gt;&lt;author&gt;Li, Weijie&lt;/author&gt;&lt;author&gt;Han, Chao&lt;/author&gt;&lt;author&gt;Wang, Wanlin&lt;/author&gt;&lt;author&gt;Xia, Qingbing&lt;/author&gt;&lt;author&gt;Chou, Shulei&lt;/author&gt;&lt;author&gt;Gu, Qinfen&lt;/author&gt;&lt;author&gt;Johannessen, Bernt&lt;/author&gt;&lt;author&gt;Liu, HuaKun&lt;/author&gt;&lt;author&gt;Dou, Shixue %J Advanced Energy Materials&lt;/author&gt;&lt;/authors&gt;&lt;/contributors&gt;&lt;titles&gt;&lt;title&gt;Stress distortion restraint to boost the sodium ion storage performance of a novel binary hexacyanoferrate&lt;/title&gt;&lt;/titles&gt;&lt;pages&gt;1903006&lt;/pages&gt;&lt;volume&gt;10&lt;/volume&gt;&lt;number&gt;4&lt;/number&gt;&lt;dates&gt;&lt;year&gt;2020&lt;/year&gt;&lt;/dates&gt;&lt;isbn&gt;1614-6832&lt;/isbn&gt;&lt;urls&gt;&lt;/urls&gt;&lt;/record&gt;&lt;/Cite&gt;&lt;/EndNote&gt;</w:instrText>
      </w:r>
      <w:r w:rsidR="00F45C83" w:rsidRPr="00E4698C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F45C83" w:rsidRPr="00E4698C">
        <w:rPr>
          <w:rFonts w:ascii="Arial" w:hAnsi="Arial" w:cs="Arial"/>
          <w:noProof/>
          <w:color w:val="000000"/>
          <w:sz w:val="24"/>
          <w:szCs w:val="24"/>
          <w:vertAlign w:val="superscript"/>
        </w:rPr>
        <w:t>3</w:t>
      </w:r>
      <w:r w:rsidR="00F45C83" w:rsidRPr="00E4698C">
        <w:rPr>
          <w:rFonts w:ascii="Arial" w:hAnsi="Arial" w:cs="Arial"/>
          <w:color w:val="000000"/>
          <w:sz w:val="24"/>
          <w:szCs w:val="24"/>
        </w:rPr>
        <w:fldChar w:fldCharType="end"/>
      </w:r>
      <w:r w:rsidRPr="00E4698C">
        <w:rPr>
          <w:rFonts w:ascii="Arial" w:hAnsi="Arial" w:cs="Arial"/>
          <w:color w:val="000000"/>
          <w:sz w:val="24"/>
          <w:szCs w:val="24"/>
          <w:vertAlign w:val="superscript"/>
        </w:rPr>
        <w:t xml:space="preserve"> </w:t>
      </w:r>
      <w:r w:rsidRPr="00E4698C">
        <w:rPr>
          <w:rFonts w:ascii="Arial" w:hAnsi="Arial" w:cs="Arial"/>
          <w:color w:val="000000"/>
          <w:sz w:val="24"/>
          <w:szCs w:val="24"/>
        </w:rPr>
        <w:t>The interaction between core ion and valence electron are described by the projector augmented wave method (PAW).</w:t>
      </w:r>
      <w:r w:rsidR="00055B3F" w:rsidRPr="00E4698C">
        <w:rPr>
          <w:rFonts w:ascii="Arial" w:hAnsi="Arial" w:cs="Arial"/>
          <w:color w:val="000000"/>
          <w:sz w:val="24"/>
          <w:szCs w:val="24"/>
        </w:rPr>
        <w:fldChar w:fldCharType="begin"/>
      </w:r>
      <w:r w:rsidR="00CD7B29">
        <w:rPr>
          <w:rFonts w:ascii="Arial" w:hAnsi="Arial" w:cs="Arial"/>
          <w:color w:val="000000"/>
          <w:sz w:val="24"/>
          <w:szCs w:val="24"/>
        </w:rPr>
        <w:instrText xml:space="preserve"> ADDIN EN.CITE &lt;EndNote&gt;&lt;Cite&gt;&lt;Author&gt;Blöchl&lt;/Author&gt;&lt;Year&gt;1994&lt;/Year&gt;&lt;RecNum&gt;692&lt;/RecNum&gt;&lt;DisplayText&gt;&lt;style face="superscript"&gt;4&lt;/style&gt;&lt;/DisplayText&gt;&lt;record&gt;&lt;rec-number&gt;692&lt;/rec-number&gt;&lt;foreign-keys&gt;&lt;key app="EN" db-id="z5ttszv210d5xre0fzlpftfmda0s2dfwe0zd" timestamp="1609814252" guid="d8be1569-63fb-4b2b-ad6a-4526a73a9082"&gt;692&lt;/key&gt;&lt;/foreign-keys&gt;&lt;ref-type name="Journal Article"&gt;17&lt;/ref-type&gt;&lt;contributors&gt;&lt;authors&gt;&lt;author&gt;Blöchl, Peter E %J Physical review B&lt;/author&gt;&lt;/authors&gt;&lt;/contributors&gt;&lt;titles&gt;&lt;title&gt;Projector augmented-wave method&lt;/title&gt;&lt;/titles&gt;&lt;pages&gt;17953&lt;/pages&gt;&lt;volume&gt;50&lt;/volume&gt;&lt;number&gt;24&lt;/number&gt;&lt;dates&gt;&lt;year&gt;1994&lt;/year&gt;&lt;/dates&gt;&lt;urls&gt;&lt;/urls&gt;&lt;/record&gt;&lt;/Cite&gt;&lt;/EndNote&gt;</w:instrText>
      </w:r>
      <w:r w:rsidR="00055B3F" w:rsidRPr="00E4698C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055B3F" w:rsidRPr="00E4698C">
        <w:rPr>
          <w:rFonts w:ascii="Arial" w:hAnsi="Arial" w:cs="Arial"/>
          <w:noProof/>
          <w:color w:val="000000"/>
          <w:sz w:val="24"/>
          <w:szCs w:val="24"/>
          <w:vertAlign w:val="superscript"/>
        </w:rPr>
        <w:t>4</w:t>
      </w:r>
      <w:r w:rsidR="00055B3F" w:rsidRPr="00E4698C">
        <w:rPr>
          <w:rFonts w:ascii="Arial" w:hAnsi="Arial" w:cs="Arial"/>
          <w:color w:val="000000"/>
          <w:sz w:val="24"/>
          <w:szCs w:val="24"/>
        </w:rPr>
        <w:fldChar w:fldCharType="end"/>
      </w:r>
      <w:r w:rsidRPr="00E4698C">
        <w:rPr>
          <w:rFonts w:ascii="Arial" w:hAnsi="Arial" w:cs="Arial"/>
          <w:color w:val="000000"/>
          <w:sz w:val="24"/>
          <w:szCs w:val="24"/>
        </w:rPr>
        <w:t xml:space="preserve"> The spin-polarized generalized gradient approximations (GGA) in the scheme of </w:t>
      </w:r>
      <w:proofErr w:type="spellStart"/>
      <w:r w:rsidRPr="00E4698C">
        <w:rPr>
          <w:rFonts w:ascii="Arial" w:hAnsi="Arial" w:cs="Arial"/>
          <w:color w:val="000000"/>
          <w:sz w:val="24"/>
          <w:szCs w:val="24"/>
        </w:rPr>
        <w:t>Perdew</w:t>
      </w:r>
      <w:proofErr w:type="spellEnd"/>
      <w:r w:rsidRPr="00E4698C">
        <w:rPr>
          <w:rFonts w:ascii="Arial" w:hAnsi="Arial" w:cs="Arial"/>
          <w:color w:val="000000"/>
          <w:sz w:val="24"/>
          <w:szCs w:val="24"/>
        </w:rPr>
        <w:t xml:space="preserve">, Burke, </w:t>
      </w:r>
      <w:proofErr w:type="spellStart"/>
      <w:r w:rsidRPr="00E4698C">
        <w:rPr>
          <w:rFonts w:ascii="Arial" w:hAnsi="Arial" w:cs="Arial"/>
          <w:color w:val="000000"/>
          <w:sz w:val="24"/>
          <w:szCs w:val="24"/>
        </w:rPr>
        <w:t>Ernzerhof</w:t>
      </w:r>
      <w:proofErr w:type="spellEnd"/>
      <w:r w:rsidRPr="00E4698C">
        <w:rPr>
          <w:rFonts w:ascii="Arial" w:hAnsi="Arial" w:cs="Arial"/>
          <w:color w:val="000000"/>
          <w:sz w:val="24"/>
          <w:szCs w:val="24"/>
        </w:rPr>
        <w:t xml:space="preserve"> (PBE) were used to describe </w:t>
      </w:r>
      <w:proofErr w:type="spellStart"/>
      <w:r w:rsidRPr="00E4698C">
        <w:rPr>
          <w:rFonts w:ascii="Arial" w:hAnsi="Arial" w:cs="Arial"/>
          <w:color w:val="000000"/>
          <w:sz w:val="24"/>
          <w:szCs w:val="24"/>
        </w:rPr>
        <w:t>rhe</w:t>
      </w:r>
      <w:proofErr w:type="spellEnd"/>
      <w:r w:rsidRPr="00E4698C">
        <w:rPr>
          <w:rFonts w:ascii="Arial" w:hAnsi="Arial" w:cs="Arial"/>
          <w:color w:val="000000"/>
          <w:sz w:val="24"/>
          <w:szCs w:val="24"/>
        </w:rPr>
        <w:t xml:space="preserve"> exchange correlation.</w:t>
      </w:r>
      <w:r w:rsidRPr="00E4698C">
        <w:rPr>
          <w:rFonts w:ascii="Arial" w:hAnsi="Arial" w:cs="Arial"/>
          <w:color w:val="000000"/>
          <w:sz w:val="24"/>
          <w:szCs w:val="24"/>
        </w:rPr>
        <w:fldChar w:fldCharType="begin"/>
      </w:r>
      <w:r w:rsidR="00CD7B29">
        <w:rPr>
          <w:rFonts w:ascii="Arial" w:hAnsi="Arial" w:cs="Arial"/>
          <w:color w:val="000000"/>
          <w:sz w:val="24"/>
          <w:szCs w:val="24"/>
        </w:rPr>
        <w:instrText xml:space="preserve"> ADDIN EN.CITE &lt;EndNote&gt;&lt;Cite&gt;&lt;Author&gt;Perdew&lt;/Author&gt;&lt;Year&gt;1996&lt;/Year&gt;&lt;RecNum&gt;139&lt;/RecNum&gt;&lt;DisplayText&gt;&lt;style face="superscript"&gt;5, 6&lt;/style&gt;&lt;/DisplayText&gt;&lt;record&gt;&lt;rec-number&gt;139&lt;/rec-number&gt;&lt;foreign-keys&gt;&lt;key app="EN" db-id="0xextv9zyzzdtheffpqvefzh0ftxrfewwt22" timestamp="1482154918"&gt;139&lt;/key&gt;&lt;/foreign-keys&gt;&lt;ref-type name="Journal Article"&gt;17&lt;/ref-type&gt;&lt;contributors&gt;&lt;authors&gt;&lt;author&gt;Perdew, John P&lt;/author&gt;&lt;author&gt;Burke, Kieron&lt;/author&gt;&lt;author&gt;Ernzerhof, Matthias&lt;/author&gt;&lt;/authors&gt;&lt;/contributors&gt;&lt;titles&gt;&lt;title&gt;Generalized gradient approximation made simple&lt;/title&gt;&lt;secondary-title&gt;Physical review letters&lt;/secondary-title&gt;&lt;/titles&gt;&lt;periodical&gt;&lt;full-title&gt;Physical review letters&lt;/full-title&gt;&lt;abbr-1&gt;Phys. Rev. Lett.&lt;/abbr-1&gt;&lt;/periodical&gt;&lt;pages&gt;3865&lt;/pages&gt;&lt;volume&gt;77&lt;/volume&gt;&lt;number&gt;18&lt;/number&gt;&lt;dates&gt;&lt;year&gt;1996&lt;/year&gt;&lt;/dates&gt;&lt;urls&gt;&lt;/urls&gt;&lt;/record&gt;&lt;/Cite&gt;&lt;Cite&gt;&lt;Author&gt;Kohn&lt;/Author&gt;&lt;Year&gt;1965&lt;/Year&gt;&lt;RecNum&gt;142&lt;/RecNum&gt;&lt;record&gt;&lt;rec-number&gt;142&lt;/rec-number&gt;&lt;foreign-keys&gt;&lt;key app="EN" db-id="0xextv9zyzzdtheffpqvefzh0ftxrfewwt22" timestamp="1482155421"&gt;142&lt;/key&gt;&lt;/foreign-keys&gt;&lt;ref-type name="Journal Article"&gt;17&lt;/ref-type&gt;&lt;contributors&gt;&lt;authors&gt;&lt;author&gt;Kohn, Walter&lt;/author&gt;&lt;author&gt;Sham, Lu Jeu&lt;/author&gt;&lt;/authors&gt;&lt;/contributors&gt;&lt;titles&gt;&lt;title&gt;Self-consistent equations including exchange and correlation effects&lt;/title&gt;&lt;secondary-title&gt;Physical review&lt;/secondary-title&gt;&lt;/titles&gt;&lt;periodical&gt;&lt;full-title&gt;Physical review&lt;/full-title&gt;&lt;/periodical&gt;&lt;pages&gt;A1133&lt;/pages&gt;&lt;volume&gt;140&lt;/volume&gt;&lt;number&gt;4A&lt;/number&gt;&lt;dates&gt;&lt;year&gt;1965&lt;/year&gt;&lt;/dates&gt;&lt;urls&gt;&lt;/urls&gt;&lt;/record&gt;&lt;/Cite&gt;&lt;/EndNote&gt;</w:instrText>
      </w:r>
      <w:r w:rsidRPr="00E4698C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CD7B29" w:rsidRPr="00CD7B29">
        <w:rPr>
          <w:rFonts w:ascii="Arial" w:hAnsi="Arial" w:cs="Arial"/>
          <w:noProof/>
          <w:color w:val="000000"/>
          <w:sz w:val="24"/>
          <w:szCs w:val="24"/>
          <w:vertAlign w:val="superscript"/>
        </w:rPr>
        <w:t>5, 6</w:t>
      </w:r>
      <w:r w:rsidRPr="00E4698C">
        <w:rPr>
          <w:rFonts w:ascii="Arial" w:hAnsi="Arial" w:cs="Arial"/>
          <w:color w:val="000000"/>
          <w:sz w:val="24"/>
          <w:szCs w:val="24"/>
        </w:rPr>
        <w:fldChar w:fldCharType="end"/>
      </w:r>
      <w:r w:rsidRPr="00E4698C">
        <w:rPr>
          <w:rFonts w:ascii="Arial" w:hAnsi="Arial" w:cs="Arial"/>
          <w:color w:val="000000"/>
          <w:sz w:val="24"/>
          <w:szCs w:val="24"/>
        </w:rPr>
        <w:t xml:space="preserve"> An energy cutoff of 600 eV was used with </w:t>
      </w:r>
      <w:proofErr w:type="spellStart"/>
      <w:r w:rsidRPr="00E4698C">
        <w:rPr>
          <w:rFonts w:ascii="Arial" w:hAnsi="Arial" w:cs="Arial"/>
          <w:color w:val="000000"/>
          <w:sz w:val="24"/>
          <w:szCs w:val="24"/>
        </w:rPr>
        <w:t>Monkhorst</w:t>
      </w:r>
      <w:proofErr w:type="spellEnd"/>
      <w:r w:rsidRPr="00E4698C">
        <w:rPr>
          <w:rFonts w:ascii="Arial" w:hAnsi="Arial" w:cs="Arial"/>
          <w:color w:val="000000"/>
          <w:sz w:val="24"/>
          <w:szCs w:val="24"/>
        </w:rPr>
        <w:t xml:space="preserve"> k-points</w:t>
      </w:r>
      <w:r w:rsidR="00293696" w:rsidRPr="00E4698C">
        <w:rPr>
          <w:rFonts w:ascii="Arial" w:hAnsi="Arial" w:cs="Arial"/>
          <w:color w:val="000000"/>
          <w:sz w:val="24"/>
          <w:szCs w:val="24"/>
        </w:rPr>
        <w:fldChar w:fldCharType="begin"/>
      </w:r>
      <w:r w:rsidR="00CD7B29">
        <w:rPr>
          <w:rFonts w:ascii="Arial" w:hAnsi="Arial" w:cs="Arial"/>
          <w:color w:val="000000"/>
          <w:sz w:val="24"/>
          <w:szCs w:val="24"/>
        </w:rPr>
        <w:instrText xml:space="preserve"> ADDIN EN.CITE &lt;EndNote&gt;&lt;Cite&gt;&lt;Author&gt;Monkhorst&lt;/Author&gt;&lt;Year&gt;1976&lt;/Year&gt;&lt;RecNum&gt;693&lt;/RecNum&gt;&lt;DisplayText&gt;&lt;style face="superscript"&gt;7&lt;/style&gt;&lt;/DisplayText&gt;&lt;record&gt;&lt;rec-number&gt;693&lt;/rec-number&gt;&lt;foreign-keys&gt;&lt;key app="EN" db-id="z5ttszv210d5xre0fzlpftfmda0s2dfwe0zd" timestamp="1609814303" guid="adefae9f-373d-4a59-8374-02fd0a27d3d6"&gt;693&lt;/key&gt;&lt;/foreign-keys&gt;&lt;ref-type name="Journal Article"&gt;17&lt;/ref-type&gt;&lt;contributors&gt;&lt;authors&gt;&lt;author&gt;Monkhorst, Hendrik J&lt;/author&gt;&lt;author&gt;Pack, James D %J Physical review B&lt;/author&gt;&lt;/authors&gt;&lt;/contributors&gt;&lt;titles&gt;&lt;title&gt;Special points for Brillouin-zone integrations&lt;/title&gt;&lt;/titles&gt;&lt;pages&gt;5188&lt;/pages&gt;&lt;volume&gt;13&lt;/volume&gt;&lt;number&gt;12&lt;/number&gt;&lt;dates&gt;&lt;year&gt;1976&lt;/year&gt;&lt;/dates&gt;&lt;urls&gt;&lt;/urls&gt;&lt;/record&gt;&lt;/Cite&gt;&lt;/EndNote&gt;</w:instrText>
      </w:r>
      <w:r w:rsidR="00293696" w:rsidRPr="00E4698C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293696" w:rsidRPr="00E4698C">
        <w:rPr>
          <w:rFonts w:ascii="Arial" w:hAnsi="Arial" w:cs="Arial"/>
          <w:noProof/>
          <w:color w:val="000000"/>
          <w:sz w:val="24"/>
          <w:szCs w:val="24"/>
          <w:vertAlign w:val="superscript"/>
        </w:rPr>
        <w:t>7</w:t>
      </w:r>
      <w:r w:rsidR="00293696" w:rsidRPr="00E4698C">
        <w:rPr>
          <w:rFonts w:ascii="Arial" w:hAnsi="Arial" w:cs="Arial"/>
          <w:color w:val="000000"/>
          <w:sz w:val="24"/>
          <w:szCs w:val="24"/>
        </w:rPr>
        <w:fldChar w:fldCharType="end"/>
      </w:r>
      <w:r w:rsidRPr="00E4698C">
        <w:rPr>
          <w:rFonts w:ascii="Arial" w:hAnsi="Arial" w:cs="Arial"/>
          <w:color w:val="000000"/>
          <w:sz w:val="24"/>
          <w:szCs w:val="24"/>
        </w:rPr>
        <w:t xml:space="preserve"> sampling scheme 2×2×2 for geometry optimization. Conjugated gradient method was used to the geometry optimization and </w:t>
      </w:r>
      <w:r w:rsidRPr="00E4698C">
        <w:rPr>
          <w:rStyle w:val="fontstyle01"/>
          <w:rFonts w:ascii="Arial" w:hAnsi="Arial" w:cs="Arial"/>
          <w:sz w:val="24"/>
          <w:szCs w:val="24"/>
        </w:rPr>
        <w:t>all the atomic coordinates were</w:t>
      </w:r>
      <w:r w:rsidRPr="00E4698C">
        <w:rPr>
          <w:rFonts w:ascii="Arial" w:hAnsi="Arial" w:cs="Arial"/>
          <w:color w:val="000000"/>
          <w:sz w:val="24"/>
          <w:szCs w:val="24"/>
        </w:rPr>
        <w:t xml:space="preserve"> </w:t>
      </w:r>
      <w:r w:rsidRPr="00E4698C">
        <w:rPr>
          <w:rStyle w:val="fontstyle01"/>
          <w:rFonts w:ascii="Arial" w:hAnsi="Arial" w:cs="Arial"/>
          <w:sz w:val="24"/>
          <w:szCs w:val="24"/>
        </w:rPr>
        <w:t>fully relaxed until the maximal force on each atom was less than 0.01 eV/</w:t>
      </w:r>
      <w:r w:rsidRPr="00E4698C">
        <w:rPr>
          <w:rStyle w:val="fontstyle01"/>
          <w:rFonts w:ascii="Arial" w:eastAsia="等线" w:hAnsi="Arial" w:cs="Arial"/>
          <w:sz w:val="24"/>
          <w:szCs w:val="24"/>
        </w:rPr>
        <w:t>Å, and the convergence condition for energy is 10</w:t>
      </w:r>
      <w:r w:rsidRPr="00E4698C">
        <w:rPr>
          <w:rStyle w:val="fontstyle01"/>
          <w:rFonts w:ascii="Arial" w:eastAsia="等线" w:hAnsi="Arial" w:cs="Arial"/>
          <w:sz w:val="24"/>
          <w:szCs w:val="24"/>
          <w:vertAlign w:val="superscript"/>
        </w:rPr>
        <w:t>-4</w:t>
      </w:r>
      <w:r w:rsidRPr="00E4698C">
        <w:rPr>
          <w:rStyle w:val="fontstyle01"/>
          <w:rFonts w:ascii="Arial" w:hAnsi="Arial" w:cs="Arial"/>
          <w:sz w:val="24"/>
          <w:szCs w:val="24"/>
        </w:rPr>
        <w:t xml:space="preserve"> eV</w:t>
      </w:r>
      <w:r w:rsidRPr="00E4698C">
        <w:rPr>
          <w:rStyle w:val="fontstyle01"/>
          <w:rFonts w:ascii="Arial" w:eastAsia="等线" w:hAnsi="Arial" w:cs="Arial"/>
          <w:sz w:val="24"/>
          <w:szCs w:val="24"/>
        </w:rPr>
        <w:t>.</w:t>
      </w:r>
      <w:r w:rsidRPr="00E4698C">
        <w:rPr>
          <w:rFonts w:ascii="Arial" w:hAnsi="Arial" w:cs="Arial"/>
        </w:rPr>
        <w:t xml:space="preserve"> </w:t>
      </w:r>
      <w:r w:rsidRPr="00E4698C">
        <w:rPr>
          <w:rStyle w:val="fontstyle01"/>
          <w:rFonts w:ascii="Arial" w:hAnsi="Arial" w:cs="Arial"/>
          <w:sz w:val="24"/>
          <w:szCs w:val="24"/>
        </w:rPr>
        <w:t xml:space="preserve">The </w:t>
      </w:r>
      <w:r w:rsidRPr="00E4698C">
        <w:rPr>
          <w:rStyle w:val="fontstyle01"/>
          <w:rFonts w:ascii="Arial" w:hAnsi="Arial" w:cs="Arial"/>
          <w:sz w:val="24"/>
          <w:szCs w:val="24"/>
        </w:rPr>
        <w:lastRenderedPageBreak/>
        <w:t>activation barriers for Na-ion diffusion were calculated using the climbing image nudged elastic band (CI-NEB) method.</w:t>
      </w:r>
    </w:p>
    <w:p w14:paraId="1FF508DB" w14:textId="07DD370D" w:rsidR="000C633E" w:rsidRPr="00E4698C" w:rsidRDefault="000C633E">
      <w:pPr>
        <w:widowControl/>
        <w:jc w:val="left"/>
        <w:rPr>
          <w:rFonts w:ascii="Arial" w:hAnsi="Arial" w:cs="Arial"/>
        </w:rPr>
      </w:pPr>
      <w:r w:rsidRPr="00E4698C">
        <w:rPr>
          <w:rFonts w:ascii="Arial" w:hAnsi="Arial" w:cs="Arial"/>
        </w:rPr>
        <w:br w:type="page"/>
      </w:r>
    </w:p>
    <w:p w14:paraId="4C95A2FF" w14:textId="77777777" w:rsidR="00335E49" w:rsidRPr="00E4698C" w:rsidRDefault="00335E49">
      <w:pPr>
        <w:widowControl/>
        <w:jc w:val="left"/>
        <w:rPr>
          <w:rFonts w:ascii="Arial" w:hAnsi="Arial" w:cs="Arial"/>
        </w:rPr>
      </w:pPr>
    </w:p>
    <w:p w14:paraId="7EDB2DE4" w14:textId="686CD396" w:rsidR="00F932A2" w:rsidRPr="00E4698C" w:rsidRDefault="00F932A2" w:rsidP="00F932A2">
      <w:pPr>
        <w:rPr>
          <w:rFonts w:ascii="Arial" w:hAnsi="Arial" w:cs="Arial"/>
          <w:b/>
          <w:bCs/>
        </w:rPr>
      </w:pPr>
      <w:bookmarkStart w:id="0" w:name="OLE_LINK5"/>
      <w:bookmarkStart w:id="1" w:name="OLE_LINK6"/>
      <w:r w:rsidRPr="00E4698C">
        <w:rPr>
          <w:rFonts w:ascii="Arial" w:hAnsi="Arial" w:cs="Arial"/>
          <w:b/>
          <w:bCs/>
        </w:rPr>
        <w:t xml:space="preserve">Table S1 </w:t>
      </w:r>
      <w:r w:rsidRPr="00E4698C">
        <w:rPr>
          <w:rFonts w:ascii="Arial" w:hAnsi="Arial" w:cs="Arial"/>
        </w:rPr>
        <w:t>Detailed structural information on the R-</w:t>
      </w:r>
      <w:r w:rsidR="00A47A66" w:rsidRPr="00E4698C">
        <w:rPr>
          <w:rFonts w:ascii="Arial" w:hAnsi="Arial" w:cs="Arial"/>
        </w:rPr>
        <w:t>PB</w:t>
      </w:r>
      <w:r w:rsidRPr="00E4698C">
        <w:rPr>
          <w:rFonts w:ascii="Arial" w:hAnsi="Arial" w:cs="Arial"/>
        </w:rPr>
        <w:t xml:space="preserve"> sample after Rietveld refinement based on neutron diffraction.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8"/>
        <w:gridCol w:w="1288"/>
        <w:gridCol w:w="1288"/>
        <w:gridCol w:w="1288"/>
        <w:gridCol w:w="1288"/>
        <w:gridCol w:w="1288"/>
        <w:gridCol w:w="1288"/>
      </w:tblGrid>
      <w:tr w:rsidR="00F932A2" w:rsidRPr="00E4698C" w14:paraId="7832A09D" w14:textId="77777777" w:rsidTr="008045C3">
        <w:tc>
          <w:tcPr>
            <w:tcW w:w="9016" w:type="dxa"/>
            <w:gridSpan w:val="7"/>
            <w:tcBorders>
              <w:top w:val="single" w:sz="8" w:space="0" w:color="auto"/>
              <w:bottom w:val="single" w:sz="8" w:space="0" w:color="auto"/>
            </w:tcBorders>
          </w:tcPr>
          <w:p w14:paraId="397C7F76" w14:textId="425DEC4D" w:rsidR="00F932A2" w:rsidRPr="00E4698C" w:rsidRDefault="00A47A66" w:rsidP="008045C3">
            <w:pPr>
              <w:tabs>
                <w:tab w:val="left" w:pos="3660"/>
              </w:tabs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hAnsi="Arial" w:cs="Arial"/>
              </w:rPr>
              <w:t>R-PB</w:t>
            </w:r>
            <w:r w:rsidR="00F932A2" w:rsidRPr="00E4698C">
              <w:rPr>
                <w:rFonts w:ascii="Arial" w:hAnsi="Arial" w:cs="Arial"/>
              </w:rPr>
              <w:t xml:space="preserve">. </w:t>
            </w:r>
            <w:r w:rsidR="00BE3E0B" w:rsidRPr="00E4698C">
              <w:rPr>
                <w:rFonts w:ascii="Arial" w:hAnsi="Arial" w:cs="Arial"/>
              </w:rPr>
              <w:t>Cubic</w:t>
            </w:r>
            <w:r w:rsidR="00F932A2" w:rsidRPr="00E4698C">
              <w:rPr>
                <w:rFonts w:ascii="Arial" w:hAnsi="Arial" w:cs="Arial"/>
              </w:rPr>
              <w:t xml:space="preserve">, space group </w:t>
            </w:r>
            <w:r w:rsidR="00BE3E0B" w:rsidRPr="00E4698C">
              <w:rPr>
                <w:rFonts w:ascii="Arial" w:hAnsi="Arial" w:cs="Arial"/>
              </w:rPr>
              <w:t>Fm</w:t>
            </w:r>
            <w:r w:rsidR="001B43B2" w:rsidRPr="00E4698C">
              <w:rPr>
                <w:rFonts w:ascii="Arial" w:hAnsi="Arial" w:cs="Arial"/>
              </w:rPr>
              <w:t>-3m</w:t>
            </w:r>
            <w:r w:rsidR="00F932A2" w:rsidRPr="00E4698C">
              <w:rPr>
                <w:rFonts w:ascii="Arial" w:hAnsi="Arial" w:cs="Arial"/>
              </w:rPr>
              <w:t>, a</w:t>
            </w:r>
            <w:r w:rsidR="00DC5AC4" w:rsidRPr="00E4698C">
              <w:rPr>
                <w:rFonts w:ascii="Arial" w:hAnsi="Arial" w:cs="Arial"/>
              </w:rPr>
              <w:t>=</w:t>
            </w:r>
            <w:r w:rsidR="00F932A2" w:rsidRPr="00E4698C">
              <w:rPr>
                <w:rFonts w:ascii="Arial" w:hAnsi="Arial" w:cs="Arial"/>
              </w:rPr>
              <w:t>b=</w:t>
            </w:r>
            <w:r w:rsidR="00F02DB0" w:rsidRPr="00E4698C">
              <w:rPr>
                <w:rFonts w:ascii="Arial" w:hAnsi="Arial" w:cs="Arial"/>
              </w:rPr>
              <w:t>c</w:t>
            </w:r>
            <w:r w:rsidR="00DC5AC4" w:rsidRPr="00E4698C">
              <w:rPr>
                <w:rFonts w:ascii="Arial" w:hAnsi="Arial" w:cs="Arial"/>
              </w:rPr>
              <w:t>=10.3354</w:t>
            </w:r>
            <w:r w:rsidR="00F932A2" w:rsidRPr="00E4698C">
              <w:rPr>
                <w:rFonts w:ascii="Arial" w:hAnsi="Arial" w:cs="Arial"/>
              </w:rPr>
              <w:t xml:space="preserve"> Å, </w:t>
            </w:r>
            <w:bookmarkStart w:id="2" w:name="OLE_LINK1"/>
            <w:bookmarkStart w:id="3" w:name="OLE_LINK2"/>
            <w:r w:rsidR="00F932A2" w:rsidRPr="00E4698C">
              <w:rPr>
                <w:rFonts w:ascii="Arial" w:hAnsi="Arial" w:cs="Arial"/>
                <w:i/>
                <w:iCs/>
              </w:rPr>
              <w:t>V</w:t>
            </w:r>
            <w:r w:rsidR="00F932A2" w:rsidRPr="00E4698C">
              <w:rPr>
                <w:rFonts w:ascii="Arial" w:hAnsi="Arial" w:cs="Arial"/>
              </w:rPr>
              <w:t>=</w:t>
            </w:r>
            <w:r w:rsidR="00253DE4" w:rsidRPr="00E4698C">
              <w:rPr>
                <w:rFonts w:ascii="Arial" w:hAnsi="Arial" w:cs="Arial"/>
              </w:rPr>
              <w:t>1104.032406</w:t>
            </w:r>
            <w:r w:rsidR="00F932A2" w:rsidRPr="00E4698C">
              <w:rPr>
                <w:rFonts w:ascii="Arial" w:hAnsi="Arial" w:cs="Arial"/>
              </w:rPr>
              <w:t xml:space="preserve"> Å</w:t>
            </w:r>
            <w:r w:rsidR="00F932A2" w:rsidRPr="00E4698C">
              <w:rPr>
                <w:rFonts w:ascii="Arial" w:hAnsi="Arial" w:cs="Arial"/>
                <w:vertAlign w:val="superscript"/>
              </w:rPr>
              <w:t>3</w:t>
            </w:r>
            <w:bookmarkEnd w:id="2"/>
            <w:bookmarkEnd w:id="3"/>
          </w:p>
        </w:tc>
      </w:tr>
      <w:tr w:rsidR="00F932A2" w:rsidRPr="00E4698C" w14:paraId="26F5B7C7" w14:textId="77777777" w:rsidTr="008045C3">
        <w:tc>
          <w:tcPr>
            <w:tcW w:w="1288" w:type="dxa"/>
            <w:tcBorders>
              <w:top w:val="single" w:sz="8" w:space="0" w:color="auto"/>
              <w:bottom w:val="single" w:sz="8" w:space="0" w:color="auto"/>
            </w:tcBorders>
          </w:tcPr>
          <w:p w14:paraId="4948A391" w14:textId="77777777" w:rsidR="00F932A2" w:rsidRPr="00E4698C" w:rsidRDefault="00F932A2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hAnsi="Arial" w:cs="Arial"/>
              </w:rPr>
              <w:t>Atom</w:t>
            </w:r>
          </w:p>
        </w:tc>
        <w:tc>
          <w:tcPr>
            <w:tcW w:w="1288" w:type="dxa"/>
            <w:tcBorders>
              <w:top w:val="single" w:sz="8" w:space="0" w:color="auto"/>
              <w:bottom w:val="single" w:sz="8" w:space="0" w:color="auto"/>
            </w:tcBorders>
          </w:tcPr>
          <w:p w14:paraId="02B7C753" w14:textId="77777777" w:rsidR="00F932A2" w:rsidRPr="00E4698C" w:rsidRDefault="00F932A2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hAnsi="Arial" w:cs="Arial"/>
              </w:rPr>
              <w:t>x</w:t>
            </w:r>
          </w:p>
        </w:tc>
        <w:tc>
          <w:tcPr>
            <w:tcW w:w="1288" w:type="dxa"/>
            <w:tcBorders>
              <w:top w:val="single" w:sz="8" w:space="0" w:color="auto"/>
              <w:bottom w:val="single" w:sz="8" w:space="0" w:color="auto"/>
            </w:tcBorders>
          </w:tcPr>
          <w:p w14:paraId="5F665FDE" w14:textId="77777777" w:rsidR="00F932A2" w:rsidRPr="00E4698C" w:rsidRDefault="00F932A2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hAnsi="Arial" w:cs="Arial"/>
              </w:rPr>
              <w:t>y</w:t>
            </w:r>
          </w:p>
        </w:tc>
        <w:tc>
          <w:tcPr>
            <w:tcW w:w="1288" w:type="dxa"/>
            <w:tcBorders>
              <w:top w:val="single" w:sz="8" w:space="0" w:color="auto"/>
              <w:bottom w:val="single" w:sz="8" w:space="0" w:color="auto"/>
            </w:tcBorders>
          </w:tcPr>
          <w:p w14:paraId="7578A1A3" w14:textId="77777777" w:rsidR="00F932A2" w:rsidRPr="00E4698C" w:rsidRDefault="00F932A2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hAnsi="Arial" w:cs="Arial"/>
              </w:rPr>
              <w:t>z</w:t>
            </w:r>
          </w:p>
        </w:tc>
        <w:tc>
          <w:tcPr>
            <w:tcW w:w="1288" w:type="dxa"/>
            <w:tcBorders>
              <w:top w:val="single" w:sz="8" w:space="0" w:color="auto"/>
              <w:bottom w:val="single" w:sz="8" w:space="0" w:color="auto"/>
            </w:tcBorders>
          </w:tcPr>
          <w:p w14:paraId="2FDDE0D4" w14:textId="77777777" w:rsidR="00F932A2" w:rsidRPr="00E4698C" w:rsidRDefault="00F932A2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hAnsi="Arial" w:cs="Arial"/>
              </w:rPr>
              <w:t>Occupation</w:t>
            </w:r>
          </w:p>
        </w:tc>
        <w:tc>
          <w:tcPr>
            <w:tcW w:w="1288" w:type="dxa"/>
            <w:tcBorders>
              <w:top w:val="single" w:sz="8" w:space="0" w:color="auto"/>
              <w:bottom w:val="single" w:sz="8" w:space="0" w:color="auto"/>
            </w:tcBorders>
          </w:tcPr>
          <w:p w14:paraId="6E06ED2B" w14:textId="77777777" w:rsidR="00F932A2" w:rsidRPr="00E4698C" w:rsidRDefault="00F932A2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hAnsi="Arial" w:cs="Arial"/>
              </w:rPr>
              <w:t>U</w:t>
            </w:r>
          </w:p>
        </w:tc>
        <w:tc>
          <w:tcPr>
            <w:tcW w:w="1288" w:type="dxa"/>
            <w:tcBorders>
              <w:top w:val="single" w:sz="8" w:space="0" w:color="auto"/>
              <w:bottom w:val="single" w:sz="8" w:space="0" w:color="auto"/>
            </w:tcBorders>
          </w:tcPr>
          <w:p w14:paraId="1AC587C1" w14:textId="77777777" w:rsidR="00F932A2" w:rsidRPr="00E4698C" w:rsidRDefault="00F932A2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hAnsi="Arial" w:cs="Arial"/>
              </w:rPr>
              <w:t>Site</w:t>
            </w:r>
          </w:p>
        </w:tc>
      </w:tr>
      <w:tr w:rsidR="00F932A2" w:rsidRPr="00E4698C" w14:paraId="1123C203" w14:textId="77777777" w:rsidTr="008045C3">
        <w:tc>
          <w:tcPr>
            <w:tcW w:w="1288" w:type="dxa"/>
            <w:tcBorders>
              <w:top w:val="single" w:sz="8" w:space="0" w:color="auto"/>
            </w:tcBorders>
            <w:vAlign w:val="bottom"/>
          </w:tcPr>
          <w:p w14:paraId="3B981DC4" w14:textId="7D6EB479" w:rsidR="00F932A2" w:rsidRPr="00E4698C" w:rsidRDefault="00562035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Na</w:t>
            </w:r>
          </w:p>
        </w:tc>
        <w:tc>
          <w:tcPr>
            <w:tcW w:w="1288" w:type="dxa"/>
            <w:tcBorders>
              <w:top w:val="single" w:sz="8" w:space="0" w:color="auto"/>
            </w:tcBorders>
            <w:vAlign w:val="bottom"/>
          </w:tcPr>
          <w:p w14:paraId="55BAC530" w14:textId="706C84F7" w:rsidR="00F932A2" w:rsidRPr="00E4698C" w:rsidRDefault="00562035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0.25</w:t>
            </w:r>
          </w:p>
        </w:tc>
        <w:tc>
          <w:tcPr>
            <w:tcW w:w="1288" w:type="dxa"/>
            <w:tcBorders>
              <w:top w:val="single" w:sz="8" w:space="0" w:color="auto"/>
            </w:tcBorders>
            <w:vAlign w:val="bottom"/>
          </w:tcPr>
          <w:p w14:paraId="792BAC3C" w14:textId="549ED7CB" w:rsidR="00F932A2" w:rsidRPr="00E4698C" w:rsidRDefault="00562035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0.25</w:t>
            </w:r>
          </w:p>
        </w:tc>
        <w:tc>
          <w:tcPr>
            <w:tcW w:w="1288" w:type="dxa"/>
            <w:tcBorders>
              <w:top w:val="single" w:sz="8" w:space="0" w:color="auto"/>
            </w:tcBorders>
            <w:vAlign w:val="bottom"/>
          </w:tcPr>
          <w:p w14:paraId="1B7B65EC" w14:textId="3E17B12B" w:rsidR="00F932A2" w:rsidRPr="00E4698C" w:rsidRDefault="00562035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0.25</w:t>
            </w:r>
          </w:p>
        </w:tc>
        <w:tc>
          <w:tcPr>
            <w:tcW w:w="1288" w:type="dxa"/>
            <w:tcBorders>
              <w:top w:val="single" w:sz="8" w:space="0" w:color="auto"/>
            </w:tcBorders>
            <w:vAlign w:val="bottom"/>
          </w:tcPr>
          <w:p w14:paraId="6801C667" w14:textId="5C3CAB20" w:rsidR="00F932A2" w:rsidRPr="00E4698C" w:rsidRDefault="00562035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0.784</w:t>
            </w:r>
          </w:p>
        </w:tc>
        <w:tc>
          <w:tcPr>
            <w:tcW w:w="1288" w:type="dxa"/>
            <w:tcBorders>
              <w:top w:val="single" w:sz="8" w:space="0" w:color="auto"/>
            </w:tcBorders>
            <w:vAlign w:val="bottom"/>
          </w:tcPr>
          <w:p w14:paraId="27255C0C" w14:textId="021E2E63" w:rsidR="00F932A2" w:rsidRPr="00E4698C" w:rsidRDefault="00562035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0.036</w:t>
            </w:r>
          </w:p>
        </w:tc>
        <w:tc>
          <w:tcPr>
            <w:tcW w:w="1288" w:type="dxa"/>
            <w:tcBorders>
              <w:top w:val="single" w:sz="8" w:space="0" w:color="auto"/>
            </w:tcBorders>
            <w:vAlign w:val="bottom"/>
          </w:tcPr>
          <w:p w14:paraId="5F491126" w14:textId="6D7E321E" w:rsidR="00F932A2" w:rsidRPr="00E4698C" w:rsidRDefault="00562035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8c</w:t>
            </w:r>
          </w:p>
        </w:tc>
      </w:tr>
      <w:tr w:rsidR="00F932A2" w:rsidRPr="00E4698C" w14:paraId="15764AE5" w14:textId="77777777" w:rsidTr="008045C3">
        <w:tc>
          <w:tcPr>
            <w:tcW w:w="1288" w:type="dxa"/>
            <w:vAlign w:val="bottom"/>
          </w:tcPr>
          <w:p w14:paraId="7026E945" w14:textId="4FD267D1" w:rsidR="00F932A2" w:rsidRPr="00E4698C" w:rsidRDefault="00562035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hAnsi="Arial" w:cs="Arial"/>
              </w:rPr>
              <w:t>Fe</w:t>
            </w:r>
          </w:p>
        </w:tc>
        <w:tc>
          <w:tcPr>
            <w:tcW w:w="1288" w:type="dxa"/>
            <w:vAlign w:val="bottom"/>
          </w:tcPr>
          <w:p w14:paraId="1FCFE21F" w14:textId="08CB8B93" w:rsidR="00F932A2" w:rsidRPr="00E4698C" w:rsidRDefault="008F559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</w:t>
            </w:r>
          </w:p>
        </w:tc>
        <w:tc>
          <w:tcPr>
            <w:tcW w:w="1288" w:type="dxa"/>
            <w:vAlign w:val="bottom"/>
          </w:tcPr>
          <w:p w14:paraId="05228207" w14:textId="02FF2595" w:rsidR="00F932A2" w:rsidRPr="00E4698C" w:rsidRDefault="008F559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</w:t>
            </w:r>
          </w:p>
        </w:tc>
        <w:tc>
          <w:tcPr>
            <w:tcW w:w="1288" w:type="dxa"/>
            <w:vAlign w:val="bottom"/>
          </w:tcPr>
          <w:p w14:paraId="17E2F3F4" w14:textId="7FA34BED" w:rsidR="00F932A2" w:rsidRPr="00E4698C" w:rsidRDefault="008F559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</w:t>
            </w:r>
          </w:p>
        </w:tc>
        <w:tc>
          <w:tcPr>
            <w:tcW w:w="1288" w:type="dxa"/>
            <w:vAlign w:val="bottom"/>
          </w:tcPr>
          <w:p w14:paraId="78B58DF6" w14:textId="67A36CC9" w:rsidR="00F932A2" w:rsidRPr="00E4698C" w:rsidRDefault="008F559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1</w:t>
            </w:r>
          </w:p>
        </w:tc>
        <w:tc>
          <w:tcPr>
            <w:tcW w:w="1288" w:type="dxa"/>
            <w:vAlign w:val="bottom"/>
          </w:tcPr>
          <w:p w14:paraId="68140AA7" w14:textId="3013B0A3" w:rsidR="00F932A2" w:rsidRPr="00E4698C" w:rsidRDefault="008F559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0.077</w:t>
            </w:r>
          </w:p>
        </w:tc>
        <w:tc>
          <w:tcPr>
            <w:tcW w:w="1288" w:type="dxa"/>
            <w:vAlign w:val="bottom"/>
          </w:tcPr>
          <w:p w14:paraId="63E9A546" w14:textId="3350D39E" w:rsidR="00F932A2" w:rsidRPr="00E4698C" w:rsidRDefault="008F559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4a</w:t>
            </w:r>
          </w:p>
        </w:tc>
      </w:tr>
      <w:tr w:rsidR="00F932A2" w:rsidRPr="00E4698C" w14:paraId="39B12359" w14:textId="77777777" w:rsidTr="008045C3">
        <w:tc>
          <w:tcPr>
            <w:tcW w:w="1288" w:type="dxa"/>
            <w:vAlign w:val="bottom"/>
          </w:tcPr>
          <w:p w14:paraId="5B5FF571" w14:textId="6D802753" w:rsidR="00F932A2" w:rsidRPr="00E4698C" w:rsidRDefault="00F932A2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Fe</w:t>
            </w:r>
          </w:p>
        </w:tc>
        <w:tc>
          <w:tcPr>
            <w:tcW w:w="1288" w:type="dxa"/>
            <w:vAlign w:val="bottom"/>
          </w:tcPr>
          <w:p w14:paraId="0B57DB47" w14:textId="77777777" w:rsidR="00F932A2" w:rsidRPr="00E4698C" w:rsidRDefault="00F932A2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</w:t>
            </w:r>
          </w:p>
        </w:tc>
        <w:tc>
          <w:tcPr>
            <w:tcW w:w="1288" w:type="dxa"/>
            <w:vAlign w:val="bottom"/>
          </w:tcPr>
          <w:p w14:paraId="4483E37F" w14:textId="43F2AABE" w:rsidR="00F932A2" w:rsidRPr="00E4698C" w:rsidRDefault="008F559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</w:t>
            </w:r>
          </w:p>
        </w:tc>
        <w:tc>
          <w:tcPr>
            <w:tcW w:w="1288" w:type="dxa"/>
            <w:vAlign w:val="bottom"/>
          </w:tcPr>
          <w:p w14:paraId="12BB5B87" w14:textId="77777777" w:rsidR="00F932A2" w:rsidRPr="00E4698C" w:rsidRDefault="00F932A2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0.5</w:t>
            </w:r>
          </w:p>
        </w:tc>
        <w:tc>
          <w:tcPr>
            <w:tcW w:w="1288" w:type="dxa"/>
            <w:vAlign w:val="bottom"/>
          </w:tcPr>
          <w:p w14:paraId="38B2FC19" w14:textId="7C655AEF" w:rsidR="00F932A2" w:rsidRPr="00E4698C" w:rsidRDefault="008F559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0.836</w:t>
            </w:r>
          </w:p>
        </w:tc>
        <w:tc>
          <w:tcPr>
            <w:tcW w:w="1288" w:type="dxa"/>
            <w:vAlign w:val="bottom"/>
          </w:tcPr>
          <w:p w14:paraId="457E0B72" w14:textId="77776973" w:rsidR="00F932A2" w:rsidRPr="00E4698C" w:rsidRDefault="008F559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0.014</w:t>
            </w:r>
          </w:p>
        </w:tc>
        <w:tc>
          <w:tcPr>
            <w:tcW w:w="1288" w:type="dxa"/>
            <w:vAlign w:val="bottom"/>
          </w:tcPr>
          <w:p w14:paraId="0F89EF61" w14:textId="761EF51A" w:rsidR="00F932A2" w:rsidRPr="00E4698C" w:rsidRDefault="008F559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4b</w:t>
            </w:r>
          </w:p>
        </w:tc>
      </w:tr>
      <w:tr w:rsidR="00F932A2" w:rsidRPr="00E4698C" w14:paraId="1EDE6BCC" w14:textId="77777777" w:rsidTr="008045C3">
        <w:tc>
          <w:tcPr>
            <w:tcW w:w="1288" w:type="dxa"/>
            <w:vAlign w:val="bottom"/>
          </w:tcPr>
          <w:p w14:paraId="5BA5CF44" w14:textId="5379A274" w:rsidR="00F932A2" w:rsidRPr="00E4698C" w:rsidRDefault="008F559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C</w:t>
            </w:r>
          </w:p>
        </w:tc>
        <w:tc>
          <w:tcPr>
            <w:tcW w:w="1288" w:type="dxa"/>
            <w:vAlign w:val="bottom"/>
          </w:tcPr>
          <w:p w14:paraId="030D5DEA" w14:textId="77777777" w:rsidR="00F932A2" w:rsidRPr="00E4698C" w:rsidRDefault="00F932A2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</w:t>
            </w:r>
          </w:p>
        </w:tc>
        <w:tc>
          <w:tcPr>
            <w:tcW w:w="1288" w:type="dxa"/>
            <w:vAlign w:val="bottom"/>
          </w:tcPr>
          <w:p w14:paraId="32D8974D" w14:textId="77777777" w:rsidR="00F932A2" w:rsidRPr="00E4698C" w:rsidRDefault="00F932A2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</w:t>
            </w:r>
          </w:p>
        </w:tc>
        <w:tc>
          <w:tcPr>
            <w:tcW w:w="1288" w:type="dxa"/>
            <w:vAlign w:val="bottom"/>
          </w:tcPr>
          <w:p w14:paraId="3A312EC8" w14:textId="69FD35F9" w:rsidR="00F932A2" w:rsidRPr="00E4698C" w:rsidRDefault="008F559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0.18197</w:t>
            </w:r>
          </w:p>
        </w:tc>
        <w:tc>
          <w:tcPr>
            <w:tcW w:w="1288" w:type="dxa"/>
            <w:vAlign w:val="bottom"/>
          </w:tcPr>
          <w:p w14:paraId="0BDC75EB" w14:textId="3464A404" w:rsidR="00F932A2" w:rsidRPr="00E4698C" w:rsidRDefault="0094172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0.836</w:t>
            </w:r>
          </w:p>
        </w:tc>
        <w:tc>
          <w:tcPr>
            <w:tcW w:w="1288" w:type="dxa"/>
            <w:vAlign w:val="bottom"/>
          </w:tcPr>
          <w:p w14:paraId="23A461E2" w14:textId="35CD2BF8" w:rsidR="00F932A2" w:rsidRPr="00E4698C" w:rsidRDefault="0094172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</w:t>
            </w:r>
          </w:p>
        </w:tc>
        <w:tc>
          <w:tcPr>
            <w:tcW w:w="1288" w:type="dxa"/>
            <w:vAlign w:val="bottom"/>
          </w:tcPr>
          <w:p w14:paraId="744BE6B4" w14:textId="55F1A4A5" w:rsidR="00F932A2" w:rsidRPr="00E4698C" w:rsidRDefault="0094172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24e</w:t>
            </w:r>
          </w:p>
        </w:tc>
      </w:tr>
      <w:tr w:rsidR="00F932A2" w:rsidRPr="00E4698C" w14:paraId="579D4406" w14:textId="77777777" w:rsidTr="008045C3">
        <w:tc>
          <w:tcPr>
            <w:tcW w:w="1288" w:type="dxa"/>
            <w:vAlign w:val="bottom"/>
          </w:tcPr>
          <w:p w14:paraId="55DA33DF" w14:textId="4A178251" w:rsidR="00F932A2" w:rsidRPr="00E4698C" w:rsidRDefault="0094172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N</w:t>
            </w:r>
          </w:p>
        </w:tc>
        <w:tc>
          <w:tcPr>
            <w:tcW w:w="1288" w:type="dxa"/>
            <w:vAlign w:val="bottom"/>
          </w:tcPr>
          <w:p w14:paraId="2F04C5C8" w14:textId="2F4A5050" w:rsidR="00F932A2" w:rsidRPr="00E4698C" w:rsidRDefault="0094172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</w:t>
            </w:r>
          </w:p>
        </w:tc>
        <w:tc>
          <w:tcPr>
            <w:tcW w:w="1288" w:type="dxa"/>
            <w:vAlign w:val="bottom"/>
          </w:tcPr>
          <w:p w14:paraId="65246657" w14:textId="522E2B69" w:rsidR="00F932A2" w:rsidRPr="00E4698C" w:rsidRDefault="0094172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</w:t>
            </w:r>
          </w:p>
        </w:tc>
        <w:tc>
          <w:tcPr>
            <w:tcW w:w="1288" w:type="dxa"/>
            <w:vAlign w:val="bottom"/>
          </w:tcPr>
          <w:p w14:paraId="40770BE5" w14:textId="0816CEEC" w:rsidR="00F932A2" w:rsidRPr="00E4698C" w:rsidRDefault="00941729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0.29346</w:t>
            </w:r>
          </w:p>
        </w:tc>
        <w:tc>
          <w:tcPr>
            <w:tcW w:w="1288" w:type="dxa"/>
            <w:vAlign w:val="bottom"/>
          </w:tcPr>
          <w:p w14:paraId="3210266F" w14:textId="3A37AF59" w:rsidR="00F932A2" w:rsidRPr="00E4698C" w:rsidRDefault="00F932A2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0.8</w:t>
            </w:r>
            <w:r w:rsidR="00207423" w:rsidRPr="00E4698C">
              <w:rPr>
                <w:rFonts w:ascii="Arial" w:eastAsia="等线" w:hAnsi="Arial" w:cs="Arial"/>
                <w:color w:val="000000"/>
                <w:sz w:val="22"/>
              </w:rPr>
              <w:t>36</w:t>
            </w:r>
          </w:p>
        </w:tc>
        <w:tc>
          <w:tcPr>
            <w:tcW w:w="1288" w:type="dxa"/>
            <w:vAlign w:val="bottom"/>
          </w:tcPr>
          <w:p w14:paraId="309F4CC9" w14:textId="2288807C" w:rsidR="00F932A2" w:rsidRPr="00E4698C" w:rsidRDefault="00207423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0.035</w:t>
            </w:r>
          </w:p>
        </w:tc>
        <w:tc>
          <w:tcPr>
            <w:tcW w:w="1288" w:type="dxa"/>
            <w:vAlign w:val="bottom"/>
          </w:tcPr>
          <w:p w14:paraId="6A519A67" w14:textId="5866420F" w:rsidR="00F932A2" w:rsidRPr="00E4698C" w:rsidRDefault="00207423" w:rsidP="008045C3">
            <w:pPr>
              <w:jc w:val="center"/>
              <w:rPr>
                <w:rFonts w:ascii="Arial" w:hAnsi="Arial" w:cs="Arial"/>
              </w:rPr>
            </w:pPr>
            <w:r w:rsidRPr="00E4698C">
              <w:rPr>
                <w:rFonts w:ascii="Arial" w:eastAsia="等线" w:hAnsi="Arial" w:cs="Arial"/>
                <w:color w:val="000000"/>
                <w:sz w:val="22"/>
              </w:rPr>
              <w:t>24e</w:t>
            </w:r>
          </w:p>
        </w:tc>
      </w:tr>
    </w:tbl>
    <w:p w14:paraId="6624753E" w14:textId="77777777" w:rsidR="001E7B24" w:rsidRPr="00E4698C" w:rsidRDefault="001E7B24">
      <w:pPr>
        <w:rPr>
          <w:rFonts w:ascii="Arial" w:hAnsi="Arial" w:cs="Arial"/>
        </w:rPr>
      </w:pPr>
    </w:p>
    <w:p w14:paraId="283E9BC1" w14:textId="77777777" w:rsidR="001E7B24" w:rsidRPr="00E4698C" w:rsidRDefault="001E7B24">
      <w:pPr>
        <w:widowControl/>
        <w:jc w:val="left"/>
        <w:rPr>
          <w:rFonts w:ascii="Arial" w:hAnsi="Arial" w:cs="Arial"/>
        </w:rPr>
      </w:pPr>
      <w:r w:rsidRPr="00E4698C">
        <w:rPr>
          <w:rFonts w:ascii="Arial" w:hAnsi="Arial" w:cs="Arial"/>
        </w:rPr>
        <w:br w:type="page"/>
      </w:r>
    </w:p>
    <w:p w14:paraId="66DDBE60" w14:textId="149533EB" w:rsidR="001E7B24" w:rsidRPr="00E4698C" w:rsidRDefault="001E7B24">
      <w:pPr>
        <w:rPr>
          <w:rFonts w:ascii="Arial" w:hAnsi="Arial" w:cs="Arial"/>
        </w:rPr>
      </w:pPr>
      <w:r w:rsidRPr="00E4698C">
        <w:rPr>
          <w:rFonts w:ascii="Arial" w:hAnsi="Arial" w:cs="Arial"/>
          <w:noProof/>
        </w:rPr>
        <w:lastRenderedPageBreak/>
        <w:drawing>
          <wp:inline distT="0" distB="0" distL="0" distR="0" wp14:anchorId="2B8D7124" wp14:editId="7789B648">
            <wp:extent cx="5724525" cy="3753485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75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57E10" w14:textId="66159321" w:rsidR="00DE1ACF" w:rsidRPr="00E4698C" w:rsidRDefault="00DE1ACF">
      <w:pPr>
        <w:rPr>
          <w:rFonts w:ascii="Arial" w:hAnsi="Arial" w:cs="Arial"/>
        </w:rPr>
      </w:pPr>
      <w:r w:rsidRPr="00E4698C">
        <w:rPr>
          <w:rFonts w:ascii="Arial" w:hAnsi="Arial" w:cs="Arial"/>
        </w:rPr>
        <w:t>Figure S1</w:t>
      </w:r>
      <w:r w:rsidR="00D85536" w:rsidRPr="00E4698C">
        <w:rPr>
          <w:rFonts w:ascii="Arial" w:hAnsi="Arial" w:cs="Arial"/>
        </w:rPr>
        <w:t>.</w:t>
      </w:r>
      <w:r w:rsidR="0003197B" w:rsidRPr="00E4698C">
        <w:rPr>
          <w:rFonts w:ascii="Arial" w:hAnsi="Arial" w:cs="Arial"/>
        </w:rPr>
        <w:t xml:space="preserve"> </w:t>
      </w:r>
      <w:r w:rsidR="005F4228" w:rsidRPr="00E4698C">
        <w:rPr>
          <w:rFonts w:ascii="Arial" w:hAnsi="Arial" w:cs="Arial"/>
        </w:rPr>
        <w:t>D</w:t>
      </w:r>
      <w:r w:rsidR="0003197B" w:rsidRPr="00E4698C">
        <w:rPr>
          <w:rFonts w:ascii="Arial" w:hAnsi="Arial" w:cs="Arial"/>
        </w:rPr>
        <w:t xml:space="preserve">igital images </w:t>
      </w:r>
      <w:r w:rsidR="00C51776" w:rsidRPr="00E4698C">
        <w:rPr>
          <w:rFonts w:ascii="Arial" w:hAnsi="Arial" w:cs="Arial"/>
        </w:rPr>
        <w:t xml:space="preserve">during the synthesis </w:t>
      </w:r>
      <w:r w:rsidR="005F4228" w:rsidRPr="00E4698C">
        <w:rPr>
          <w:rFonts w:ascii="Arial" w:hAnsi="Arial" w:cs="Arial"/>
        </w:rPr>
        <w:t>of the R-PB.</w:t>
      </w:r>
    </w:p>
    <w:p w14:paraId="0A5DE588" w14:textId="77777777" w:rsidR="001E7B24" w:rsidRPr="00E4698C" w:rsidRDefault="001E7B24">
      <w:pPr>
        <w:widowControl/>
        <w:jc w:val="left"/>
        <w:rPr>
          <w:rFonts w:ascii="Arial" w:hAnsi="Arial" w:cs="Arial"/>
        </w:rPr>
      </w:pPr>
      <w:r w:rsidRPr="00E4698C">
        <w:rPr>
          <w:rFonts w:ascii="Arial" w:hAnsi="Arial" w:cs="Arial"/>
        </w:rPr>
        <w:br w:type="page"/>
      </w:r>
    </w:p>
    <w:p w14:paraId="209AA430" w14:textId="64BA37FF" w:rsidR="004A6E60" w:rsidRPr="00E4698C" w:rsidRDefault="004A6E60">
      <w:pPr>
        <w:rPr>
          <w:rFonts w:ascii="Arial" w:hAnsi="Arial" w:cs="Arial"/>
        </w:rPr>
      </w:pPr>
      <w:r w:rsidRPr="00E4698C">
        <w:rPr>
          <w:rFonts w:ascii="Arial" w:hAnsi="Arial" w:cs="Arial"/>
          <w:noProof/>
        </w:rPr>
        <w:lastRenderedPageBreak/>
        <w:drawing>
          <wp:inline distT="0" distB="0" distL="0" distR="0" wp14:anchorId="678FC2CC" wp14:editId="4621C19C">
            <wp:extent cx="5724525" cy="381952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317C3" w14:textId="2D8C4461" w:rsidR="005F4228" w:rsidRPr="00E4698C" w:rsidRDefault="005F4228">
      <w:pPr>
        <w:rPr>
          <w:rFonts w:ascii="Arial" w:hAnsi="Arial" w:cs="Arial"/>
        </w:rPr>
      </w:pPr>
      <w:r w:rsidRPr="00E4698C">
        <w:rPr>
          <w:rFonts w:ascii="Arial" w:hAnsi="Arial" w:cs="Arial"/>
        </w:rPr>
        <w:t>Figure S2. XRD pattern of R-PB.</w:t>
      </w:r>
    </w:p>
    <w:p w14:paraId="2A2F5CF9" w14:textId="77777777" w:rsidR="004A6E60" w:rsidRPr="00E4698C" w:rsidRDefault="004A6E60">
      <w:pPr>
        <w:widowControl/>
        <w:jc w:val="left"/>
        <w:rPr>
          <w:rFonts w:ascii="Arial" w:hAnsi="Arial" w:cs="Arial"/>
        </w:rPr>
      </w:pPr>
      <w:r w:rsidRPr="00E4698C">
        <w:rPr>
          <w:rFonts w:ascii="Arial" w:hAnsi="Arial" w:cs="Arial"/>
        </w:rPr>
        <w:br w:type="page"/>
      </w:r>
    </w:p>
    <w:p w14:paraId="1D05F3EF" w14:textId="7927FD86" w:rsidR="004A6E60" w:rsidRPr="00E4698C" w:rsidRDefault="004A6E60">
      <w:pPr>
        <w:rPr>
          <w:rFonts w:ascii="Arial" w:hAnsi="Arial" w:cs="Arial"/>
        </w:rPr>
      </w:pPr>
      <w:r w:rsidRPr="00E4698C">
        <w:rPr>
          <w:rFonts w:ascii="Arial" w:hAnsi="Arial" w:cs="Arial"/>
          <w:noProof/>
        </w:rPr>
        <w:lastRenderedPageBreak/>
        <w:drawing>
          <wp:inline distT="0" distB="0" distL="0" distR="0" wp14:anchorId="04DFFE1A" wp14:editId="0EABDF9F">
            <wp:extent cx="5724525" cy="3819525"/>
            <wp:effectExtent l="0" t="0" r="952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5F80A" w14:textId="4D0E161C" w:rsidR="005F4228" w:rsidRPr="00E4698C" w:rsidRDefault="005F4228">
      <w:pPr>
        <w:rPr>
          <w:rFonts w:ascii="Arial" w:hAnsi="Arial" w:cs="Arial"/>
        </w:rPr>
      </w:pPr>
      <w:r w:rsidRPr="00E4698C">
        <w:rPr>
          <w:rFonts w:ascii="Arial" w:hAnsi="Arial" w:cs="Arial"/>
        </w:rPr>
        <w:t>Figure S3. Raman spectra of the R-PB.</w:t>
      </w:r>
    </w:p>
    <w:p w14:paraId="3816B1C2" w14:textId="77777777" w:rsidR="004A6E60" w:rsidRPr="00E4698C" w:rsidRDefault="004A6E60">
      <w:pPr>
        <w:widowControl/>
        <w:jc w:val="left"/>
        <w:rPr>
          <w:rFonts w:ascii="Arial" w:hAnsi="Arial" w:cs="Arial"/>
        </w:rPr>
      </w:pPr>
      <w:r w:rsidRPr="00E4698C">
        <w:rPr>
          <w:rFonts w:ascii="Arial" w:hAnsi="Arial" w:cs="Arial"/>
        </w:rPr>
        <w:br w:type="page"/>
      </w:r>
    </w:p>
    <w:p w14:paraId="63FF0ACD" w14:textId="77777777" w:rsidR="00335E49" w:rsidRPr="00E4698C" w:rsidRDefault="00335E49">
      <w:pPr>
        <w:rPr>
          <w:rFonts w:ascii="Arial" w:hAnsi="Arial" w:cs="Arial"/>
        </w:rPr>
      </w:pPr>
    </w:p>
    <w:p w14:paraId="73C1E72B" w14:textId="713B6DF3" w:rsidR="004E517D" w:rsidRPr="00E4698C" w:rsidRDefault="004E517D">
      <w:pPr>
        <w:rPr>
          <w:rFonts w:ascii="Arial" w:hAnsi="Arial" w:cs="Arial"/>
        </w:rPr>
      </w:pPr>
      <w:r w:rsidRPr="00E4698C">
        <w:rPr>
          <w:rFonts w:ascii="Arial" w:hAnsi="Arial" w:cs="Arial"/>
          <w:noProof/>
        </w:rPr>
        <w:drawing>
          <wp:inline distT="0" distB="0" distL="0" distR="0" wp14:anchorId="46BFBD5A" wp14:editId="07B00E70">
            <wp:extent cx="5731510" cy="3232150"/>
            <wp:effectExtent l="0" t="0" r="2540" b="635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8FD74DE3-3CB4-456C-B64E-CEFB0C2873A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8FD74DE3-3CB4-456C-B64E-CEFB0C2873A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3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5E849" w14:textId="6D88BD9F" w:rsidR="00C71818" w:rsidRPr="00E4698C" w:rsidRDefault="004E517D">
      <w:pPr>
        <w:rPr>
          <w:rFonts w:ascii="Arial" w:hAnsi="Arial" w:cs="Arial"/>
        </w:rPr>
      </w:pPr>
      <w:r w:rsidRPr="00E4698C">
        <w:rPr>
          <w:rFonts w:ascii="Arial" w:hAnsi="Arial" w:cs="Arial"/>
        </w:rPr>
        <w:t>Figure S</w:t>
      </w:r>
      <w:r w:rsidR="00714245" w:rsidRPr="00E4698C">
        <w:rPr>
          <w:rFonts w:ascii="Arial" w:hAnsi="Arial" w:cs="Arial"/>
        </w:rPr>
        <w:t>4</w:t>
      </w:r>
      <w:r w:rsidRPr="00E4698C">
        <w:rPr>
          <w:rFonts w:ascii="Arial" w:hAnsi="Arial" w:cs="Arial"/>
        </w:rPr>
        <w:t xml:space="preserve">. </w:t>
      </w:r>
      <w:bookmarkStart w:id="4" w:name="OLE_LINK3"/>
      <w:bookmarkStart w:id="5" w:name="OLE_LINK4"/>
      <w:r w:rsidR="003949D9" w:rsidRPr="00E4698C">
        <w:rPr>
          <w:rFonts w:ascii="Arial" w:hAnsi="Arial" w:cs="Arial"/>
        </w:rPr>
        <w:t xml:space="preserve">Scanning transmission electron microscopy energy-dispersive X-ray spectroscopy </w:t>
      </w:r>
      <w:r w:rsidR="00AC5769" w:rsidRPr="00E4698C">
        <w:rPr>
          <w:rFonts w:ascii="Arial" w:hAnsi="Arial" w:cs="Arial"/>
        </w:rPr>
        <w:t>line analysis</w:t>
      </w:r>
      <w:bookmarkEnd w:id="4"/>
      <w:bookmarkEnd w:id="5"/>
      <w:r w:rsidR="005758B7" w:rsidRPr="00E4698C">
        <w:rPr>
          <w:rFonts w:ascii="Arial" w:hAnsi="Arial" w:cs="Arial"/>
        </w:rPr>
        <w:t>.</w:t>
      </w:r>
    </w:p>
    <w:p w14:paraId="0E9A931B" w14:textId="77777777" w:rsidR="00C71818" w:rsidRPr="00E4698C" w:rsidRDefault="00C71818">
      <w:pPr>
        <w:widowControl/>
        <w:jc w:val="left"/>
        <w:rPr>
          <w:rFonts w:ascii="Arial" w:hAnsi="Arial" w:cs="Arial"/>
        </w:rPr>
      </w:pPr>
      <w:r w:rsidRPr="00E4698C">
        <w:rPr>
          <w:rFonts w:ascii="Arial" w:hAnsi="Arial" w:cs="Arial"/>
        </w:rPr>
        <w:br w:type="page"/>
      </w:r>
    </w:p>
    <w:p w14:paraId="5C6FB15E" w14:textId="31DF6F1A" w:rsidR="00776A42" w:rsidRPr="00E4698C" w:rsidRDefault="00776A42">
      <w:pPr>
        <w:rPr>
          <w:rFonts w:ascii="Arial" w:hAnsi="Arial" w:cs="Arial"/>
        </w:rPr>
      </w:pPr>
      <w:r w:rsidRPr="00E4698C">
        <w:rPr>
          <w:rFonts w:ascii="Arial" w:hAnsi="Arial" w:cs="Arial"/>
          <w:noProof/>
        </w:rPr>
        <w:lastRenderedPageBreak/>
        <w:drawing>
          <wp:inline distT="0" distB="0" distL="0" distR="0" wp14:anchorId="24343B0B" wp14:editId="20040435">
            <wp:extent cx="5728335" cy="3820160"/>
            <wp:effectExtent l="0" t="0" r="5715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335" cy="382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CDB27E" w14:textId="17BA58FF" w:rsidR="00714245" w:rsidRPr="00E4698C" w:rsidRDefault="00714245" w:rsidP="00714245">
      <w:pPr>
        <w:rPr>
          <w:rFonts w:ascii="Arial" w:hAnsi="Arial" w:cs="Arial"/>
        </w:rPr>
      </w:pPr>
      <w:bookmarkStart w:id="6" w:name="OLE_LINK11"/>
      <w:bookmarkStart w:id="7" w:name="OLE_LINK12"/>
      <w:r w:rsidRPr="00E4698C">
        <w:rPr>
          <w:rFonts w:ascii="Arial" w:hAnsi="Arial" w:cs="Arial"/>
        </w:rPr>
        <w:t>Figure S5. Charge and discharge curves of the R-PB at different cycles at the current density of 150 mA g</w:t>
      </w:r>
      <w:r w:rsidRPr="00E4698C">
        <w:rPr>
          <w:rFonts w:ascii="Arial" w:hAnsi="Arial" w:cs="Arial"/>
          <w:vertAlign w:val="superscript"/>
        </w:rPr>
        <w:t>-1</w:t>
      </w:r>
      <w:r w:rsidRPr="00E4698C">
        <w:rPr>
          <w:rFonts w:ascii="Arial" w:hAnsi="Arial" w:cs="Arial"/>
        </w:rPr>
        <w:t>.</w:t>
      </w:r>
      <w:bookmarkEnd w:id="6"/>
      <w:bookmarkEnd w:id="7"/>
      <w:r w:rsidRPr="00E4698C">
        <w:rPr>
          <w:rFonts w:ascii="Arial" w:hAnsi="Arial" w:cs="Arial"/>
        </w:rPr>
        <w:t xml:space="preserve"> </w:t>
      </w:r>
    </w:p>
    <w:p w14:paraId="63B6197A" w14:textId="77777777" w:rsidR="00714245" w:rsidRPr="00E4698C" w:rsidRDefault="00714245">
      <w:pPr>
        <w:rPr>
          <w:rFonts w:ascii="Arial" w:hAnsi="Arial" w:cs="Arial"/>
        </w:rPr>
      </w:pPr>
    </w:p>
    <w:p w14:paraId="1076E181" w14:textId="77777777" w:rsidR="00776A42" w:rsidRPr="00E4698C" w:rsidRDefault="00776A42">
      <w:pPr>
        <w:widowControl/>
        <w:jc w:val="left"/>
        <w:rPr>
          <w:rFonts w:ascii="Arial" w:hAnsi="Arial" w:cs="Arial"/>
        </w:rPr>
      </w:pPr>
      <w:r w:rsidRPr="00E4698C">
        <w:rPr>
          <w:rFonts w:ascii="Arial" w:hAnsi="Arial" w:cs="Arial"/>
        </w:rPr>
        <w:br w:type="page"/>
      </w:r>
    </w:p>
    <w:p w14:paraId="7BFC96F3" w14:textId="6981ADF6" w:rsidR="004E517D" w:rsidRPr="00E4698C" w:rsidRDefault="00776A42">
      <w:pPr>
        <w:rPr>
          <w:rFonts w:ascii="Arial" w:hAnsi="Arial" w:cs="Arial"/>
        </w:rPr>
      </w:pPr>
      <w:r w:rsidRPr="00E4698C">
        <w:rPr>
          <w:rFonts w:ascii="Arial" w:hAnsi="Arial" w:cs="Arial"/>
          <w:noProof/>
        </w:rPr>
        <w:lastRenderedPageBreak/>
        <w:drawing>
          <wp:inline distT="0" distB="0" distL="0" distR="0" wp14:anchorId="245A5511" wp14:editId="340F0D0A">
            <wp:extent cx="5728335" cy="3820160"/>
            <wp:effectExtent l="0" t="0" r="571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335" cy="382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9310C" w14:textId="2BDB9B4D" w:rsidR="00714245" w:rsidRPr="00E4698C" w:rsidRDefault="00714245" w:rsidP="00714245">
      <w:pPr>
        <w:rPr>
          <w:rFonts w:ascii="Arial" w:hAnsi="Arial" w:cs="Arial"/>
        </w:rPr>
      </w:pPr>
      <w:r w:rsidRPr="00E4698C">
        <w:rPr>
          <w:rFonts w:ascii="Arial" w:hAnsi="Arial" w:cs="Arial"/>
        </w:rPr>
        <w:t>Figure S6. Charge and discharge curves of the R-PB at different cycles at the current density of 750 mA g</w:t>
      </w:r>
      <w:r w:rsidRPr="00E4698C">
        <w:rPr>
          <w:rFonts w:ascii="Arial" w:hAnsi="Arial" w:cs="Arial"/>
          <w:vertAlign w:val="superscript"/>
        </w:rPr>
        <w:t>-1</w:t>
      </w:r>
      <w:r w:rsidRPr="00E4698C">
        <w:rPr>
          <w:rFonts w:ascii="Arial" w:hAnsi="Arial" w:cs="Arial"/>
        </w:rPr>
        <w:t xml:space="preserve">. </w:t>
      </w:r>
    </w:p>
    <w:p w14:paraId="2EFBA3D7" w14:textId="77777777" w:rsidR="00714245" w:rsidRPr="00E4698C" w:rsidRDefault="00714245">
      <w:pPr>
        <w:rPr>
          <w:rFonts w:ascii="Arial" w:hAnsi="Arial" w:cs="Arial"/>
        </w:rPr>
      </w:pPr>
    </w:p>
    <w:p w14:paraId="7B082408" w14:textId="025B453D" w:rsidR="00776A42" w:rsidRPr="00E4698C" w:rsidRDefault="00776A42">
      <w:pPr>
        <w:widowControl/>
        <w:jc w:val="left"/>
        <w:rPr>
          <w:rFonts w:ascii="Arial" w:hAnsi="Arial" w:cs="Arial"/>
        </w:rPr>
      </w:pPr>
      <w:r w:rsidRPr="00E4698C">
        <w:rPr>
          <w:rFonts w:ascii="Arial" w:hAnsi="Arial" w:cs="Arial"/>
        </w:rPr>
        <w:br w:type="page"/>
      </w:r>
    </w:p>
    <w:p w14:paraId="027BF23B" w14:textId="22E1B52D" w:rsidR="0061495D" w:rsidRPr="00E4698C" w:rsidRDefault="0061495D">
      <w:pPr>
        <w:rPr>
          <w:rFonts w:ascii="Arial" w:hAnsi="Arial" w:cs="Arial"/>
        </w:rPr>
      </w:pPr>
      <w:r w:rsidRPr="00E4698C">
        <w:rPr>
          <w:rFonts w:ascii="Arial" w:hAnsi="Arial" w:cs="Arial"/>
          <w:noProof/>
        </w:rPr>
        <w:lastRenderedPageBreak/>
        <w:drawing>
          <wp:inline distT="0" distB="0" distL="0" distR="0" wp14:anchorId="64D8F0F3" wp14:editId="16DA8337">
            <wp:extent cx="5728335" cy="3820160"/>
            <wp:effectExtent l="0" t="0" r="5715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335" cy="382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E789BE" w14:textId="6CEEABB7" w:rsidR="00714245" w:rsidRPr="00E4698C" w:rsidRDefault="00714245" w:rsidP="00714245">
      <w:pPr>
        <w:rPr>
          <w:rFonts w:ascii="Arial" w:hAnsi="Arial" w:cs="Arial"/>
        </w:rPr>
      </w:pPr>
      <w:r w:rsidRPr="00E4698C">
        <w:rPr>
          <w:rFonts w:ascii="Arial" w:hAnsi="Arial" w:cs="Arial"/>
        </w:rPr>
        <w:t>Figure S7. Charge and discharge curves of the R-PB at different current density from 30-1500 mA g</w:t>
      </w:r>
      <w:r w:rsidRPr="00E4698C">
        <w:rPr>
          <w:rFonts w:ascii="Arial" w:hAnsi="Arial" w:cs="Arial"/>
          <w:vertAlign w:val="superscript"/>
        </w:rPr>
        <w:t>-1</w:t>
      </w:r>
      <w:r w:rsidRPr="00E4698C">
        <w:rPr>
          <w:rFonts w:ascii="Arial" w:hAnsi="Arial" w:cs="Arial"/>
        </w:rPr>
        <w:t xml:space="preserve">. </w:t>
      </w:r>
    </w:p>
    <w:p w14:paraId="47F03329" w14:textId="77777777" w:rsidR="00714245" w:rsidRPr="00E4698C" w:rsidRDefault="00714245">
      <w:pPr>
        <w:rPr>
          <w:rFonts w:ascii="Arial" w:hAnsi="Arial" w:cs="Arial"/>
        </w:rPr>
      </w:pPr>
    </w:p>
    <w:p w14:paraId="6FABEE5A" w14:textId="77777777" w:rsidR="0061495D" w:rsidRPr="00E4698C" w:rsidRDefault="0061495D">
      <w:pPr>
        <w:widowControl/>
        <w:jc w:val="left"/>
        <w:rPr>
          <w:rFonts w:ascii="Arial" w:hAnsi="Arial" w:cs="Arial"/>
        </w:rPr>
      </w:pPr>
      <w:r w:rsidRPr="00E4698C">
        <w:rPr>
          <w:rFonts w:ascii="Arial" w:hAnsi="Arial" w:cs="Arial"/>
        </w:rPr>
        <w:br w:type="page"/>
      </w:r>
    </w:p>
    <w:p w14:paraId="280CA1FF" w14:textId="1B3E8671" w:rsidR="0061495D" w:rsidRPr="00E4698C" w:rsidRDefault="0061495D">
      <w:pPr>
        <w:rPr>
          <w:rFonts w:ascii="Arial" w:hAnsi="Arial" w:cs="Arial"/>
        </w:rPr>
      </w:pPr>
      <w:r w:rsidRPr="00E4698C">
        <w:rPr>
          <w:rFonts w:ascii="Arial" w:hAnsi="Arial" w:cs="Arial"/>
          <w:noProof/>
        </w:rPr>
        <w:lastRenderedPageBreak/>
        <w:drawing>
          <wp:inline distT="0" distB="0" distL="0" distR="0" wp14:anchorId="3DEAA70F" wp14:editId="3A65B057">
            <wp:extent cx="5728335" cy="3820160"/>
            <wp:effectExtent l="0" t="0" r="5715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335" cy="382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6357CC" w14:textId="67546791" w:rsidR="00714245" w:rsidRPr="00E4698C" w:rsidRDefault="00714245" w:rsidP="00714245">
      <w:pPr>
        <w:rPr>
          <w:rFonts w:ascii="Arial" w:hAnsi="Arial" w:cs="Arial"/>
        </w:rPr>
      </w:pPr>
      <w:r w:rsidRPr="00E4698C">
        <w:rPr>
          <w:rFonts w:ascii="Arial" w:hAnsi="Arial" w:cs="Arial"/>
        </w:rPr>
        <w:t xml:space="preserve">Figure S8. </w:t>
      </w:r>
      <w:r w:rsidR="00144ECC" w:rsidRPr="00E4698C">
        <w:rPr>
          <w:rFonts w:ascii="Arial" w:hAnsi="Arial" w:cs="Arial"/>
        </w:rPr>
        <w:t>M</w:t>
      </w:r>
      <w:r w:rsidRPr="00E4698C">
        <w:rPr>
          <w:rFonts w:ascii="Arial" w:hAnsi="Arial" w:cs="Arial"/>
        </w:rPr>
        <w:t>iddle</w:t>
      </w:r>
      <w:r w:rsidR="00144ECC" w:rsidRPr="00E4698C">
        <w:rPr>
          <w:rFonts w:ascii="Arial" w:hAnsi="Arial" w:cs="Arial"/>
        </w:rPr>
        <w:t xml:space="preserve"> point potential</w:t>
      </w:r>
      <w:r w:rsidRPr="00E4698C">
        <w:rPr>
          <w:rFonts w:ascii="Arial" w:hAnsi="Arial" w:cs="Arial"/>
        </w:rPr>
        <w:t xml:space="preserve"> of the R-PB at different cycles at the current density of 150 mA g</w:t>
      </w:r>
      <w:r w:rsidRPr="00E4698C">
        <w:rPr>
          <w:rFonts w:ascii="Arial" w:hAnsi="Arial" w:cs="Arial"/>
          <w:vertAlign w:val="superscript"/>
        </w:rPr>
        <w:t>-1</w:t>
      </w:r>
      <w:r w:rsidRPr="00E4698C">
        <w:rPr>
          <w:rFonts w:ascii="Arial" w:hAnsi="Arial" w:cs="Arial"/>
        </w:rPr>
        <w:t xml:space="preserve">. </w:t>
      </w:r>
    </w:p>
    <w:p w14:paraId="48B85360" w14:textId="77777777" w:rsidR="00714245" w:rsidRPr="00E4698C" w:rsidRDefault="00714245">
      <w:pPr>
        <w:rPr>
          <w:rFonts w:ascii="Arial" w:hAnsi="Arial" w:cs="Arial"/>
        </w:rPr>
      </w:pPr>
    </w:p>
    <w:p w14:paraId="0B82E0F7" w14:textId="77777777" w:rsidR="0061495D" w:rsidRPr="00E4698C" w:rsidRDefault="0061495D">
      <w:pPr>
        <w:widowControl/>
        <w:jc w:val="left"/>
        <w:rPr>
          <w:rFonts w:ascii="Arial" w:hAnsi="Arial" w:cs="Arial"/>
        </w:rPr>
      </w:pPr>
      <w:r w:rsidRPr="00E4698C">
        <w:rPr>
          <w:rFonts w:ascii="Arial" w:hAnsi="Arial" w:cs="Arial"/>
        </w:rPr>
        <w:br w:type="page"/>
      </w:r>
    </w:p>
    <w:p w14:paraId="098DC986" w14:textId="6473AB8D" w:rsidR="000C633E" w:rsidRPr="00E4698C" w:rsidRDefault="0061495D" w:rsidP="00155393">
      <w:pPr>
        <w:jc w:val="center"/>
        <w:rPr>
          <w:rFonts w:ascii="Arial" w:hAnsi="Arial" w:cs="Arial"/>
        </w:rPr>
      </w:pPr>
      <w:r w:rsidRPr="00E4698C">
        <w:rPr>
          <w:rFonts w:ascii="Arial" w:hAnsi="Arial" w:cs="Arial"/>
          <w:noProof/>
        </w:rPr>
        <w:lastRenderedPageBreak/>
        <w:drawing>
          <wp:inline distT="0" distB="0" distL="0" distR="0" wp14:anchorId="4799FE18" wp14:editId="3F9A6832">
            <wp:extent cx="5718289" cy="23241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71" t="7488" r="11706"/>
                    <a:stretch/>
                  </pic:blipFill>
                  <pic:spPr bwMode="auto">
                    <a:xfrm>
                      <a:off x="0" y="0"/>
                      <a:ext cx="5730425" cy="2329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5FB3F1" w14:textId="5BB2C8D3" w:rsidR="00144ECC" w:rsidRPr="00E4698C" w:rsidRDefault="00144ECC" w:rsidP="00144ECC">
      <w:pPr>
        <w:rPr>
          <w:rFonts w:ascii="Arial" w:hAnsi="Arial" w:cs="Arial"/>
        </w:rPr>
      </w:pPr>
      <w:r w:rsidRPr="00E4698C">
        <w:rPr>
          <w:rFonts w:ascii="Arial" w:hAnsi="Arial" w:cs="Arial"/>
        </w:rPr>
        <w:t>Figure S9. Middle point potential of the R-PB at different cycles at the current density of 750 mA g</w:t>
      </w:r>
      <w:r w:rsidRPr="00E4698C">
        <w:rPr>
          <w:rFonts w:ascii="Arial" w:hAnsi="Arial" w:cs="Arial"/>
          <w:vertAlign w:val="superscript"/>
        </w:rPr>
        <w:t>-1</w:t>
      </w:r>
      <w:r w:rsidRPr="00E4698C">
        <w:rPr>
          <w:rFonts w:ascii="Arial" w:hAnsi="Arial" w:cs="Arial"/>
        </w:rPr>
        <w:t xml:space="preserve">. </w:t>
      </w:r>
    </w:p>
    <w:p w14:paraId="44893915" w14:textId="77777777" w:rsidR="00144ECC" w:rsidRPr="00E4698C" w:rsidRDefault="00144ECC" w:rsidP="00155393">
      <w:pPr>
        <w:jc w:val="center"/>
        <w:rPr>
          <w:rFonts w:ascii="Arial" w:hAnsi="Arial" w:cs="Arial"/>
        </w:rPr>
      </w:pPr>
    </w:p>
    <w:p w14:paraId="78BC6531" w14:textId="5534F8C2" w:rsidR="000C633E" w:rsidRPr="00E4698C" w:rsidRDefault="000C633E">
      <w:pPr>
        <w:widowControl/>
        <w:jc w:val="left"/>
        <w:rPr>
          <w:rFonts w:ascii="Arial" w:hAnsi="Arial" w:cs="Arial"/>
        </w:rPr>
      </w:pPr>
      <w:r w:rsidRPr="00E4698C">
        <w:rPr>
          <w:rFonts w:ascii="Arial" w:hAnsi="Arial" w:cs="Arial"/>
        </w:rPr>
        <w:br w:type="page"/>
      </w:r>
    </w:p>
    <w:bookmarkEnd w:id="0"/>
    <w:bookmarkEnd w:id="1"/>
    <w:p w14:paraId="6C381985" w14:textId="4FE225FE" w:rsidR="000C633E" w:rsidRPr="00CD7B29" w:rsidRDefault="002F7F03" w:rsidP="002F7F03">
      <w:pPr>
        <w:rPr>
          <w:rFonts w:ascii="Arial" w:hAnsi="Arial" w:cs="Arial"/>
          <w:b/>
          <w:bCs/>
          <w:szCs w:val="21"/>
        </w:rPr>
      </w:pPr>
      <w:r w:rsidRPr="00CD7B29">
        <w:rPr>
          <w:rFonts w:ascii="Arial" w:hAnsi="Arial" w:cs="Arial"/>
          <w:b/>
          <w:bCs/>
          <w:szCs w:val="21"/>
        </w:rPr>
        <w:lastRenderedPageBreak/>
        <w:t>Reference:</w:t>
      </w:r>
    </w:p>
    <w:p w14:paraId="483EAAF8" w14:textId="081C40DE" w:rsidR="00CD7B29" w:rsidRPr="00CD7B29" w:rsidRDefault="000C633E" w:rsidP="00CD7B29">
      <w:pPr>
        <w:pStyle w:val="EndNoteBibliography"/>
        <w:ind w:left="720" w:hanging="720"/>
        <w:jc w:val="left"/>
        <w:rPr>
          <w:rFonts w:ascii="Arial" w:hAnsi="Arial" w:cs="Arial"/>
        </w:rPr>
      </w:pPr>
      <w:r w:rsidRPr="00CD7B29">
        <w:rPr>
          <w:rFonts w:ascii="Arial" w:hAnsi="Arial" w:cs="Arial"/>
          <w:sz w:val="21"/>
          <w:szCs w:val="21"/>
        </w:rPr>
        <w:fldChar w:fldCharType="begin"/>
      </w:r>
      <w:r w:rsidRPr="00CD7B29">
        <w:rPr>
          <w:rFonts w:ascii="Arial" w:hAnsi="Arial" w:cs="Arial"/>
          <w:sz w:val="21"/>
          <w:szCs w:val="21"/>
        </w:rPr>
        <w:instrText xml:space="preserve"> ADDIN EN.REFLIST </w:instrText>
      </w:r>
      <w:r w:rsidRPr="00CD7B29">
        <w:rPr>
          <w:rFonts w:ascii="Arial" w:hAnsi="Arial" w:cs="Arial"/>
          <w:sz w:val="21"/>
          <w:szCs w:val="21"/>
        </w:rPr>
        <w:fldChar w:fldCharType="separate"/>
      </w:r>
      <w:r w:rsidR="00CD7B29" w:rsidRPr="00CD7B29">
        <w:rPr>
          <w:rFonts w:ascii="Arial" w:hAnsi="Arial" w:cs="Arial"/>
        </w:rPr>
        <w:t>1.</w:t>
      </w:r>
      <w:r w:rsidR="00CD7B29" w:rsidRPr="00CD7B29">
        <w:rPr>
          <w:rFonts w:ascii="Arial" w:hAnsi="Arial" w:cs="Arial"/>
        </w:rPr>
        <w:tab/>
        <w:t xml:space="preserve">Kresse G, Hafner J. Ab initio molecular-dynamics simulation of the liquid-metal–amorphous-semiconductor transition in germanium. </w:t>
      </w:r>
      <w:r w:rsidR="00CD7B29" w:rsidRPr="00CD7B29">
        <w:rPr>
          <w:rFonts w:ascii="Arial" w:hAnsi="Arial" w:cs="Arial"/>
          <w:i/>
        </w:rPr>
        <w:t>Phys Rev B</w:t>
      </w:r>
      <w:r w:rsidR="00CD7B29" w:rsidRPr="00CD7B29">
        <w:rPr>
          <w:rFonts w:ascii="Arial" w:hAnsi="Arial" w:cs="Arial"/>
        </w:rPr>
        <w:t xml:space="preserve"> </w:t>
      </w:r>
      <w:r w:rsidR="00CD7B29" w:rsidRPr="00CD7B29">
        <w:rPr>
          <w:rFonts w:ascii="Arial" w:hAnsi="Arial" w:cs="Arial"/>
          <w:b/>
        </w:rPr>
        <w:t>49</w:t>
      </w:r>
      <w:r w:rsidR="00CD7B29" w:rsidRPr="00CD7B29">
        <w:rPr>
          <w:rFonts w:ascii="Arial" w:hAnsi="Arial" w:cs="Arial"/>
        </w:rPr>
        <w:t>, 14251 (1994).</w:t>
      </w:r>
    </w:p>
    <w:p w14:paraId="5F3B0F14" w14:textId="47F4C62B" w:rsidR="00CD7B29" w:rsidRPr="00CD7B29" w:rsidRDefault="00CD7B29" w:rsidP="00CD7B29">
      <w:pPr>
        <w:pStyle w:val="EndNoteBibliography"/>
        <w:ind w:left="720" w:hanging="720"/>
        <w:jc w:val="left"/>
        <w:rPr>
          <w:rFonts w:ascii="Arial" w:hAnsi="Arial" w:cs="Arial"/>
        </w:rPr>
      </w:pPr>
      <w:r w:rsidRPr="00CD7B29">
        <w:rPr>
          <w:rFonts w:ascii="Arial" w:hAnsi="Arial" w:cs="Arial"/>
        </w:rPr>
        <w:t>2.</w:t>
      </w:r>
      <w:r w:rsidRPr="00CD7B29">
        <w:rPr>
          <w:rFonts w:ascii="Arial" w:hAnsi="Arial" w:cs="Arial"/>
        </w:rPr>
        <w:tab/>
        <w:t xml:space="preserve">Kresse G, Furthmüller J. Efficient iterative schemes for ab initio total-energy calculations using a plane-wave basis set. </w:t>
      </w:r>
      <w:r w:rsidRPr="00CD7B29">
        <w:rPr>
          <w:rFonts w:ascii="Arial" w:hAnsi="Arial" w:cs="Arial"/>
          <w:i/>
        </w:rPr>
        <w:t>Phys Rev B</w:t>
      </w:r>
      <w:r w:rsidRPr="00CD7B29">
        <w:rPr>
          <w:rFonts w:ascii="Arial" w:hAnsi="Arial" w:cs="Arial"/>
        </w:rPr>
        <w:t xml:space="preserve"> </w:t>
      </w:r>
      <w:r w:rsidRPr="00CD7B29">
        <w:rPr>
          <w:rFonts w:ascii="Arial" w:hAnsi="Arial" w:cs="Arial"/>
          <w:b/>
        </w:rPr>
        <w:t>54</w:t>
      </w:r>
      <w:r w:rsidRPr="00CD7B29">
        <w:rPr>
          <w:rFonts w:ascii="Arial" w:hAnsi="Arial" w:cs="Arial"/>
        </w:rPr>
        <w:t>, 11169 (1996).</w:t>
      </w:r>
    </w:p>
    <w:p w14:paraId="57DB3FF1" w14:textId="407E1C55" w:rsidR="00CD7B29" w:rsidRPr="00CD7B29" w:rsidRDefault="00CD7B29" w:rsidP="00CD7B29">
      <w:pPr>
        <w:pStyle w:val="EndNoteBibliography"/>
        <w:ind w:left="720" w:hanging="720"/>
        <w:jc w:val="left"/>
        <w:rPr>
          <w:rFonts w:ascii="Arial" w:hAnsi="Arial" w:cs="Arial"/>
        </w:rPr>
      </w:pPr>
      <w:r w:rsidRPr="00CD7B29">
        <w:rPr>
          <w:rFonts w:ascii="Arial" w:hAnsi="Arial" w:cs="Arial"/>
        </w:rPr>
        <w:t>3.</w:t>
      </w:r>
      <w:r w:rsidRPr="00CD7B29">
        <w:rPr>
          <w:rFonts w:ascii="Arial" w:hAnsi="Arial" w:cs="Arial"/>
        </w:rPr>
        <w:tab/>
        <w:t>Li W</w:t>
      </w:r>
      <w:r w:rsidRPr="00CD7B29">
        <w:rPr>
          <w:rFonts w:ascii="Arial" w:hAnsi="Arial" w:cs="Arial"/>
          <w:i/>
        </w:rPr>
        <w:t>, et al.</w:t>
      </w:r>
      <w:r w:rsidRPr="00CD7B29">
        <w:rPr>
          <w:rFonts w:ascii="Arial" w:hAnsi="Arial" w:cs="Arial"/>
        </w:rPr>
        <w:t xml:space="preserve"> Stress distortion restraint to boost the sodium ion storage performance of a novel binary hexacyanoferrate. </w:t>
      </w:r>
      <w:r w:rsidRPr="00CD7B29">
        <w:rPr>
          <w:rFonts w:ascii="Arial" w:hAnsi="Arial" w:cs="Arial"/>
          <w:b/>
        </w:rPr>
        <w:t>10</w:t>
      </w:r>
      <w:r w:rsidRPr="00CD7B29">
        <w:rPr>
          <w:rFonts w:ascii="Arial" w:hAnsi="Arial" w:cs="Arial"/>
        </w:rPr>
        <w:t>, 1903006 (2020).</w:t>
      </w:r>
    </w:p>
    <w:p w14:paraId="73A06DA2" w14:textId="147A955B" w:rsidR="00CD7B29" w:rsidRPr="00CD7B29" w:rsidRDefault="00CD7B29" w:rsidP="00CD7B29">
      <w:pPr>
        <w:pStyle w:val="EndNoteBibliography"/>
        <w:ind w:left="720" w:hanging="720"/>
        <w:jc w:val="left"/>
        <w:rPr>
          <w:rFonts w:ascii="Arial" w:hAnsi="Arial" w:cs="Arial"/>
        </w:rPr>
      </w:pPr>
      <w:r w:rsidRPr="00CD7B29">
        <w:rPr>
          <w:rFonts w:ascii="Arial" w:hAnsi="Arial" w:cs="Arial"/>
        </w:rPr>
        <w:t>4.</w:t>
      </w:r>
      <w:r w:rsidRPr="00CD7B29">
        <w:rPr>
          <w:rFonts w:ascii="Arial" w:hAnsi="Arial" w:cs="Arial"/>
        </w:rPr>
        <w:tab/>
        <w:t xml:space="preserve">Blöchl PEJPrB. Projector augmented-wave method. </w:t>
      </w:r>
      <w:r w:rsidRPr="00CD7B29">
        <w:rPr>
          <w:rFonts w:ascii="Arial" w:hAnsi="Arial" w:cs="Arial"/>
          <w:b/>
        </w:rPr>
        <w:t>50</w:t>
      </w:r>
      <w:r w:rsidRPr="00CD7B29">
        <w:rPr>
          <w:rFonts w:ascii="Arial" w:hAnsi="Arial" w:cs="Arial"/>
        </w:rPr>
        <w:t>, 17953 (1994).</w:t>
      </w:r>
    </w:p>
    <w:p w14:paraId="06A09844" w14:textId="75C28577" w:rsidR="00CD7B29" w:rsidRPr="00CD7B29" w:rsidRDefault="00CD7B29" w:rsidP="00CD7B29">
      <w:pPr>
        <w:pStyle w:val="EndNoteBibliography"/>
        <w:ind w:left="720" w:hanging="720"/>
        <w:jc w:val="left"/>
        <w:rPr>
          <w:rFonts w:ascii="Arial" w:hAnsi="Arial" w:cs="Arial"/>
        </w:rPr>
      </w:pPr>
      <w:r w:rsidRPr="00CD7B29">
        <w:rPr>
          <w:rFonts w:ascii="Arial" w:hAnsi="Arial" w:cs="Arial"/>
        </w:rPr>
        <w:t>5.</w:t>
      </w:r>
      <w:r w:rsidRPr="00CD7B29">
        <w:rPr>
          <w:rFonts w:ascii="Arial" w:hAnsi="Arial" w:cs="Arial"/>
        </w:rPr>
        <w:tab/>
        <w:t xml:space="preserve">Perdew JP, Burke K, Ernzerhof M. Generalized gradient approximation made simple. </w:t>
      </w:r>
      <w:r w:rsidRPr="00CD7B29">
        <w:rPr>
          <w:rFonts w:ascii="Arial" w:hAnsi="Arial" w:cs="Arial"/>
          <w:i/>
        </w:rPr>
        <w:t>Phys Rev Lett</w:t>
      </w:r>
      <w:r w:rsidRPr="00CD7B29">
        <w:rPr>
          <w:rFonts w:ascii="Arial" w:hAnsi="Arial" w:cs="Arial"/>
        </w:rPr>
        <w:t xml:space="preserve"> </w:t>
      </w:r>
      <w:r w:rsidRPr="00CD7B29">
        <w:rPr>
          <w:rFonts w:ascii="Arial" w:hAnsi="Arial" w:cs="Arial"/>
          <w:b/>
        </w:rPr>
        <w:t>77</w:t>
      </w:r>
      <w:r w:rsidRPr="00CD7B29">
        <w:rPr>
          <w:rFonts w:ascii="Arial" w:hAnsi="Arial" w:cs="Arial"/>
        </w:rPr>
        <w:t>, 3865 (1996).</w:t>
      </w:r>
    </w:p>
    <w:p w14:paraId="477290F8" w14:textId="6616F4E1" w:rsidR="00CD7B29" w:rsidRPr="00CD7B29" w:rsidRDefault="00CD7B29" w:rsidP="00CD7B29">
      <w:pPr>
        <w:pStyle w:val="EndNoteBibliography"/>
        <w:ind w:left="720" w:hanging="720"/>
        <w:jc w:val="left"/>
        <w:rPr>
          <w:rFonts w:ascii="Arial" w:hAnsi="Arial" w:cs="Arial"/>
        </w:rPr>
      </w:pPr>
      <w:r w:rsidRPr="00CD7B29">
        <w:rPr>
          <w:rFonts w:ascii="Arial" w:hAnsi="Arial" w:cs="Arial"/>
        </w:rPr>
        <w:t>6.</w:t>
      </w:r>
      <w:r w:rsidRPr="00CD7B29">
        <w:rPr>
          <w:rFonts w:ascii="Arial" w:hAnsi="Arial" w:cs="Arial"/>
        </w:rPr>
        <w:tab/>
        <w:t xml:space="preserve">Kohn W, Sham LJ. Self-consistent equations including exchange and correlation effects. </w:t>
      </w:r>
      <w:r w:rsidRPr="00CD7B29">
        <w:rPr>
          <w:rFonts w:ascii="Arial" w:hAnsi="Arial" w:cs="Arial"/>
          <w:i/>
        </w:rPr>
        <w:t>Physical review</w:t>
      </w:r>
      <w:r w:rsidRPr="00CD7B29">
        <w:rPr>
          <w:rFonts w:ascii="Arial" w:hAnsi="Arial" w:cs="Arial"/>
        </w:rPr>
        <w:t xml:space="preserve"> </w:t>
      </w:r>
      <w:r w:rsidRPr="00CD7B29">
        <w:rPr>
          <w:rFonts w:ascii="Arial" w:hAnsi="Arial" w:cs="Arial"/>
          <w:b/>
        </w:rPr>
        <w:t>140</w:t>
      </w:r>
      <w:r w:rsidRPr="00CD7B29">
        <w:rPr>
          <w:rFonts w:ascii="Arial" w:hAnsi="Arial" w:cs="Arial"/>
        </w:rPr>
        <w:t>, A1133 (1965).</w:t>
      </w:r>
    </w:p>
    <w:p w14:paraId="06B78200" w14:textId="77777777" w:rsidR="00CD7B29" w:rsidRPr="00CD7B29" w:rsidRDefault="00CD7B29" w:rsidP="00CD7B29">
      <w:pPr>
        <w:pStyle w:val="EndNoteBibliography"/>
        <w:ind w:left="720" w:hanging="720"/>
        <w:jc w:val="left"/>
        <w:rPr>
          <w:rFonts w:ascii="Arial" w:hAnsi="Arial" w:cs="Arial"/>
        </w:rPr>
      </w:pPr>
      <w:r w:rsidRPr="00CD7B29">
        <w:rPr>
          <w:rFonts w:ascii="Arial" w:hAnsi="Arial" w:cs="Arial"/>
        </w:rPr>
        <w:t>7.</w:t>
      </w:r>
      <w:r w:rsidRPr="00CD7B29">
        <w:rPr>
          <w:rFonts w:ascii="Arial" w:hAnsi="Arial" w:cs="Arial"/>
        </w:rPr>
        <w:tab/>
        <w:t xml:space="preserve">Monkhorst HJ, Pack JDJPrB. Special points for Brillouin-zone integrations. </w:t>
      </w:r>
      <w:r w:rsidRPr="00CD7B29">
        <w:rPr>
          <w:rFonts w:ascii="Arial" w:hAnsi="Arial" w:cs="Arial"/>
          <w:b/>
        </w:rPr>
        <w:t>13</w:t>
      </w:r>
      <w:r w:rsidRPr="00CD7B29">
        <w:rPr>
          <w:rFonts w:ascii="Arial" w:hAnsi="Arial" w:cs="Arial"/>
        </w:rPr>
        <w:t>, 5188 (1976).</w:t>
      </w:r>
    </w:p>
    <w:p w14:paraId="0EF8C308" w14:textId="77777777" w:rsidR="00CD7B29" w:rsidRPr="00CD7B29" w:rsidRDefault="00CD7B29" w:rsidP="00CD7B29">
      <w:pPr>
        <w:pStyle w:val="EndNoteBibliography"/>
        <w:rPr>
          <w:rFonts w:ascii="Arial" w:hAnsi="Arial" w:cs="Arial"/>
        </w:rPr>
      </w:pPr>
    </w:p>
    <w:p w14:paraId="02D07EE2" w14:textId="4902E42F" w:rsidR="00776A42" w:rsidRPr="00E4698C" w:rsidRDefault="000C633E" w:rsidP="002F7F03">
      <w:pPr>
        <w:rPr>
          <w:rFonts w:ascii="Arial" w:hAnsi="Arial" w:cs="Arial"/>
        </w:rPr>
      </w:pPr>
      <w:r w:rsidRPr="00CD7B29">
        <w:rPr>
          <w:rFonts w:ascii="Arial" w:hAnsi="Arial" w:cs="Arial"/>
          <w:szCs w:val="21"/>
        </w:rPr>
        <w:fldChar w:fldCharType="end"/>
      </w:r>
    </w:p>
    <w:sectPr w:rsidR="00776A42" w:rsidRPr="00E4698C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077D79" w14:textId="77777777" w:rsidR="00AE2DA4" w:rsidRDefault="00AE2DA4" w:rsidP="0048744C">
      <w:r>
        <w:separator/>
      </w:r>
    </w:p>
  </w:endnote>
  <w:endnote w:type="continuationSeparator" w:id="0">
    <w:p w14:paraId="246BFF3B" w14:textId="77777777" w:rsidR="00AE2DA4" w:rsidRDefault="00AE2DA4" w:rsidP="00487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dvPS_TTR">
    <w:altName w:val="Times New Roman"/>
    <w:charset w:val="00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2DD2DF" w14:textId="77777777" w:rsidR="00AE2DA4" w:rsidRDefault="00AE2DA4" w:rsidP="0048744C">
      <w:r>
        <w:separator/>
      </w:r>
    </w:p>
  </w:footnote>
  <w:footnote w:type="continuationSeparator" w:id="0">
    <w:p w14:paraId="7515E109" w14:textId="77777777" w:rsidR="00AE2DA4" w:rsidRDefault="00AE2DA4" w:rsidP="004874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QwsjAyNTY2NDC2MDVV0lEKTi0uzszPAykwNKgFAN8qpJE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5ttszv210d5xre0fzlpftfmda0s2dfwe0zd&quot;&gt;PJ&amp;apos;s EndNote Library&lt;record-ids&gt;&lt;item&gt;691&lt;/item&gt;&lt;item&gt;692&lt;/item&gt;&lt;item&gt;693&lt;/item&gt;&lt;/record-ids&gt;&lt;/item&gt;&lt;/Libraries&gt;"/>
  </w:docVars>
  <w:rsids>
    <w:rsidRoot w:val="0055273B"/>
    <w:rsid w:val="0003197B"/>
    <w:rsid w:val="00055B3F"/>
    <w:rsid w:val="00060461"/>
    <w:rsid w:val="00085326"/>
    <w:rsid w:val="000B1A2C"/>
    <w:rsid w:val="000B2ADB"/>
    <w:rsid w:val="000C633E"/>
    <w:rsid w:val="00144ECC"/>
    <w:rsid w:val="00155393"/>
    <w:rsid w:val="00193511"/>
    <w:rsid w:val="001B43B2"/>
    <w:rsid w:val="001C443D"/>
    <w:rsid w:val="001D0053"/>
    <w:rsid w:val="001D6797"/>
    <w:rsid w:val="001E7B24"/>
    <w:rsid w:val="00207423"/>
    <w:rsid w:val="00234C23"/>
    <w:rsid w:val="00253DE4"/>
    <w:rsid w:val="00293696"/>
    <w:rsid w:val="002F7F03"/>
    <w:rsid w:val="00335E49"/>
    <w:rsid w:val="00387F71"/>
    <w:rsid w:val="003926B2"/>
    <w:rsid w:val="003949D9"/>
    <w:rsid w:val="0048744C"/>
    <w:rsid w:val="004922B2"/>
    <w:rsid w:val="004A6E60"/>
    <w:rsid w:val="004E517D"/>
    <w:rsid w:val="00524749"/>
    <w:rsid w:val="0055273B"/>
    <w:rsid w:val="00562035"/>
    <w:rsid w:val="005758B7"/>
    <w:rsid w:val="005F4228"/>
    <w:rsid w:val="0061495D"/>
    <w:rsid w:val="00663159"/>
    <w:rsid w:val="00714245"/>
    <w:rsid w:val="0075635E"/>
    <w:rsid w:val="0076230B"/>
    <w:rsid w:val="00776A42"/>
    <w:rsid w:val="0077796C"/>
    <w:rsid w:val="008440D9"/>
    <w:rsid w:val="008F5599"/>
    <w:rsid w:val="00941729"/>
    <w:rsid w:val="009E293F"/>
    <w:rsid w:val="00A47A66"/>
    <w:rsid w:val="00AB179A"/>
    <w:rsid w:val="00AC1732"/>
    <w:rsid w:val="00AC5769"/>
    <w:rsid w:val="00AE2DA4"/>
    <w:rsid w:val="00AE7959"/>
    <w:rsid w:val="00B1447D"/>
    <w:rsid w:val="00BE3E0B"/>
    <w:rsid w:val="00C51776"/>
    <w:rsid w:val="00C71818"/>
    <w:rsid w:val="00CC33CD"/>
    <w:rsid w:val="00CD767D"/>
    <w:rsid w:val="00CD7B29"/>
    <w:rsid w:val="00D32F8E"/>
    <w:rsid w:val="00D85536"/>
    <w:rsid w:val="00DC5AC4"/>
    <w:rsid w:val="00DE1ACF"/>
    <w:rsid w:val="00E246B8"/>
    <w:rsid w:val="00E4698C"/>
    <w:rsid w:val="00E72004"/>
    <w:rsid w:val="00F02DB0"/>
    <w:rsid w:val="00F31CC0"/>
    <w:rsid w:val="00F45C83"/>
    <w:rsid w:val="00F93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FF8244"/>
  <w15:chartTrackingRefBased/>
  <w15:docId w15:val="{881C75B6-951B-405A-A5EE-4EF7C8357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74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74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74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744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8744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8744C"/>
    <w:rPr>
      <w:sz w:val="18"/>
      <w:szCs w:val="18"/>
    </w:rPr>
  </w:style>
  <w:style w:type="paragraph" w:customStyle="1" w:styleId="Title1">
    <w:name w:val="Title1"/>
    <w:basedOn w:val="a"/>
    <w:next w:val="a"/>
    <w:qFormat/>
    <w:rsid w:val="0048744C"/>
    <w:pPr>
      <w:widowControl/>
      <w:spacing w:before="120" w:line="480" w:lineRule="exact"/>
      <w:jc w:val="left"/>
    </w:pPr>
    <w:rPr>
      <w:rFonts w:ascii="Arial" w:eastAsia="MS Mincho" w:hAnsi="Arial" w:cs="Times New Roman"/>
      <w:b/>
      <w:kern w:val="0"/>
      <w:sz w:val="32"/>
      <w:szCs w:val="28"/>
      <w:lang w:val="de-DE" w:eastAsia="ja-JP"/>
    </w:rPr>
  </w:style>
  <w:style w:type="table" w:styleId="a9">
    <w:name w:val="Table Grid"/>
    <w:basedOn w:val="a1"/>
    <w:uiPriority w:val="39"/>
    <w:rsid w:val="00F932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F932A2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F932A2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F932A2"/>
    <w:rPr>
      <w:sz w:val="20"/>
      <w:szCs w:val="20"/>
    </w:rPr>
  </w:style>
  <w:style w:type="character" w:customStyle="1" w:styleId="fontstyle01">
    <w:name w:val="fontstyle01"/>
    <w:basedOn w:val="a0"/>
    <w:rsid w:val="00AB179A"/>
    <w:rPr>
      <w:rFonts w:ascii="AdvPS_TTR" w:hAnsi="AdvPS_TTR" w:hint="default"/>
      <w:color w:val="242021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0C633E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C633E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C633E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C633E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928B09-8840-4629-BA17-1913BA8A5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14</Pages>
  <Words>1843</Words>
  <Characters>9884</Characters>
  <Application>Microsoft Office Word</Application>
  <DocSecurity>0</DocSecurity>
  <Lines>143</Lines>
  <Paragraphs>29</Paragraphs>
  <ScaleCrop>false</ScaleCrop>
  <Company/>
  <LinksUpToDate>false</LinksUpToDate>
  <CharactersWithSpaces>11698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Jian</dc:creator>
  <cp:keywords/>
  <dc:description/>
  <cp:lastModifiedBy>Peng Jian</cp:lastModifiedBy>
  <cp:revision>59</cp:revision>
  <dcterms:created xsi:type="dcterms:W3CDTF">2020-11-28T09:10:00Z</dcterms:created>
  <dcterms:modified xsi:type="dcterms:W3CDTF">2021-03-04T10:47:00Z</dcterms:modified>
</cp:coreProperties>
</file>