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1031"/>
        <w:gridCol w:w="7245"/>
        <w:gridCol w:w="1103"/>
      </w:tblGrid>
      <w:tr w:rsidR="00B512EF" w:rsidTr="00B23411">
        <w:trPr>
          <w:trHeight w:val="457"/>
        </w:trPr>
        <w:tc>
          <w:tcPr>
            <w:tcW w:w="1031" w:type="dxa"/>
            <w:vAlign w:val="center"/>
          </w:tcPr>
          <w:p w:rsidR="00B512EF" w:rsidRDefault="00B512EF" w:rsidP="00B23411">
            <w:pPr>
              <w:jc w:val="center"/>
              <w:rPr>
                <w:b/>
              </w:rPr>
            </w:pPr>
            <w:r>
              <w:rPr>
                <w:b/>
              </w:rPr>
              <w:t>Sampling number</w:t>
            </w:r>
          </w:p>
        </w:tc>
        <w:tc>
          <w:tcPr>
            <w:tcW w:w="7245" w:type="dxa"/>
            <w:vAlign w:val="center"/>
          </w:tcPr>
          <w:p w:rsidR="00B512EF" w:rsidRDefault="00B512EF" w:rsidP="00B23411">
            <w:pPr>
              <w:jc w:val="center"/>
              <w:rPr>
                <w:b/>
              </w:rPr>
            </w:pPr>
            <w:r>
              <w:rPr>
                <w:b/>
              </w:rPr>
              <w:t>Geology</w:t>
            </w:r>
          </w:p>
        </w:tc>
        <w:tc>
          <w:tcPr>
            <w:tcW w:w="1103" w:type="dxa"/>
            <w:vAlign w:val="center"/>
          </w:tcPr>
          <w:p w:rsidR="00B512EF" w:rsidRDefault="00B512EF" w:rsidP="00B23411">
            <w:pPr>
              <w:jc w:val="center"/>
              <w:rPr>
                <w:b/>
              </w:rPr>
            </w:pPr>
            <w:r>
              <w:rPr>
                <w:b/>
              </w:rPr>
              <w:t>Landuse</w:t>
            </w:r>
          </w:p>
        </w:tc>
      </w:tr>
      <w:tr w:rsidR="00B512EF" w:rsidTr="00B23411">
        <w:trPr>
          <w:trHeight w:val="701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Hr-1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Miocene (upper sarmatian): Hrazdan formation, mergel, calcareous sand, shell limestones, oolitic limestones, pyroshales, separate basaltic lava flows (1000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green, partially industrial</w:t>
            </w:r>
          </w:p>
        </w:tc>
      </w:tr>
      <w:tr w:rsidR="00B512EF" w:rsidTr="00B23411">
        <w:trPr>
          <w:trHeight w:val="930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Hr-2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Miocene (upper sarmatian): Hrazdan formation, mergel, calcareous sand, shell limestones, oolitic limestones, pyroshales, separate basaltic lava flows (1000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 (upper part): Arzni  andesibasalts jointing  (35 m), Garni andesibasalts flows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residential, partially industrial</w:t>
            </w:r>
          </w:p>
        </w:tc>
      </w:tr>
      <w:tr w:rsidR="00B512EF" w:rsidTr="00B23411">
        <w:trPr>
          <w:trHeight w:val="930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Hr-3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pliocen-lower quaternary: Eghvard and Kotayq terraces basalts and andesibasalts lava sheet (120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 (upper part): Arzni  andesibasalts jointing  (35 m), Garni andesibasalts flows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  <w:rPr>
                <w:b/>
              </w:rPr>
            </w:pPr>
            <w:r>
              <w:t>residential, partially industrial</w:t>
            </w:r>
          </w:p>
        </w:tc>
      </w:tr>
      <w:tr w:rsidR="00B512EF" w:rsidTr="00B23411">
        <w:trPr>
          <w:trHeight w:val="701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Hr-4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Pliocene: Doleritic basalts cover (up to 100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pliocen-lower quaternary: Eghvard and Kotayq terraces basalts and andesibasalts lava sheet (120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green, residential</w:t>
            </w:r>
          </w:p>
        </w:tc>
      </w:tr>
      <w:tr w:rsidR="00B512EF" w:rsidTr="00B23411">
        <w:trPr>
          <w:trHeight w:val="930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Hr-5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 (upper part): Arzni  andesibasalts jointing  (35 m), Garni andesibasalts flows;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Pliocene: Doleritic basalts cover (up to 100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Lower-middle quaternary: loamy sand, shell limestones (200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green, residential</w:t>
            </w:r>
          </w:p>
        </w:tc>
      </w:tr>
      <w:tr w:rsidR="00B512EF" w:rsidTr="00B23411">
        <w:trPr>
          <w:trHeight w:val="457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Hr-6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quaternary: Argavand terrace (high 11-13 m) rubbles, sand, loam (up to 10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residential, industrial</w:t>
            </w:r>
          </w:p>
        </w:tc>
      </w:tr>
      <w:tr w:rsidR="00B512EF" w:rsidTr="00B23411">
        <w:trPr>
          <w:trHeight w:val="930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Hr-7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Pliocene: Doleritic basalts cover (up to 100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Lower-middle quaternary: loamy sand, shell limestones (200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Middle quaternary (middle part): Charbakh terrace (high 22-25 m) rubbles, sand, loam (15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residential, industrial</w:t>
            </w:r>
          </w:p>
        </w:tc>
      </w:tr>
      <w:tr w:rsidR="00B512EF" w:rsidTr="00B23411">
        <w:trPr>
          <w:trHeight w:val="701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Hr-8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quaternary: andesibasalts (up to 25 m);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Middle quaternary (middle part): Charbakh terrace (high 22-25 m) rubbles, sand, loam (15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not classified</w:t>
            </w:r>
          </w:p>
        </w:tc>
      </w:tr>
      <w:tr w:rsidR="00B512EF" w:rsidTr="00B23411">
        <w:trPr>
          <w:trHeight w:val="1159"/>
        </w:trPr>
        <w:tc>
          <w:tcPr>
            <w:tcW w:w="1031" w:type="dxa"/>
          </w:tcPr>
          <w:p w:rsidR="00B512EF" w:rsidRDefault="00B512EF" w:rsidP="00B23411">
            <w:pPr>
              <w:jc w:val="center"/>
            </w:pPr>
            <w:r>
              <w:t>Hr-9</w:t>
            </w:r>
          </w:p>
        </w:tc>
        <w:tc>
          <w:tcPr>
            <w:tcW w:w="7245" w:type="dxa"/>
          </w:tcPr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quaternary (upper part): Arzni  andesibasalts jointing  (35 m), Garni andesibasalts flows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Pliocene: Doleritic basalts cover (up to 100 m)</w:t>
            </w:r>
          </w:p>
          <w:p w:rsidR="00B512EF" w:rsidRPr="00B512EF" w:rsidRDefault="00B512EF" w:rsidP="00B23411">
            <w:pPr>
              <w:jc w:val="center"/>
              <w:rPr>
                <w:lang w:val="en-US"/>
              </w:rPr>
            </w:pPr>
            <w:r w:rsidRPr="00B512EF">
              <w:rPr>
                <w:lang w:val="en-US"/>
              </w:rPr>
              <w:t>Upper pliocen-lower quaternary: Eghvard and Kotayq terraces basalts and andesibasalts lava sheet (120 m)</w:t>
            </w:r>
          </w:p>
        </w:tc>
        <w:tc>
          <w:tcPr>
            <w:tcW w:w="1103" w:type="dxa"/>
          </w:tcPr>
          <w:p w:rsidR="00B512EF" w:rsidRDefault="00B512EF" w:rsidP="00B23411">
            <w:pPr>
              <w:jc w:val="center"/>
            </w:pPr>
            <w:r>
              <w:t>residential, industrial</w:t>
            </w:r>
          </w:p>
        </w:tc>
      </w:tr>
    </w:tbl>
    <w:p w:rsidR="00FE4797" w:rsidRDefault="00FE4797">
      <w:bookmarkStart w:id="0" w:name="_GoBack"/>
      <w:bookmarkEnd w:id="0"/>
    </w:p>
    <w:sectPr w:rsidR="00FE4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EF"/>
    <w:rsid w:val="000C76FB"/>
    <w:rsid w:val="00B512EF"/>
    <w:rsid w:val="00D16D1C"/>
    <w:rsid w:val="00F64D36"/>
    <w:rsid w:val="00FE4797"/>
    <w:rsid w:val="00F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0F39A8-884D-4E3A-8727-8C1935FE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2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2020-10-22T21:21:00Z</dcterms:created>
  <dcterms:modified xsi:type="dcterms:W3CDTF">2020-10-22T21:21:00Z</dcterms:modified>
</cp:coreProperties>
</file>