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BFB46" w14:textId="5022AE89" w:rsidR="00BD6BB7" w:rsidRDefault="00BD6BB7" w:rsidP="00BD6BB7">
      <w:pPr>
        <w:tabs>
          <w:tab w:val="left" w:pos="1770"/>
        </w:tabs>
        <w:spacing w:after="0" w:line="480" w:lineRule="auto"/>
        <w:ind w:left="360" w:hanging="360"/>
        <w:jc w:val="center"/>
        <w:rPr>
          <w:rFonts w:ascii="Times New Roman" w:hAnsi="Times New Roman" w:cs="Times New Roman"/>
          <w:b/>
          <w:bCs/>
        </w:rPr>
      </w:pPr>
      <w:bookmarkStart w:id="0" w:name="_Hlk60748299"/>
      <w:bookmarkStart w:id="1" w:name="_Hlk48234656"/>
      <w:bookmarkStart w:id="2" w:name="_Hlk1057532"/>
      <w:r w:rsidRPr="00A14942">
        <w:rPr>
          <w:rFonts w:ascii="Times New Roman" w:hAnsi="Times New Roman" w:cs="Times New Roman"/>
          <w:b/>
          <w:bCs/>
        </w:rPr>
        <w:t>ONLINE SUPPLEMENTARY MATERIAL</w:t>
      </w:r>
    </w:p>
    <w:p w14:paraId="3E645A9C" w14:textId="77777777" w:rsidR="00FE2125" w:rsidRPr="005B60EA" w:rsidRDefault="00FE2125" w:rsidP="00FE2125">
      <w:pPr>
        <w:tabs>
          <w:tab w:val="left" w:pos="1770"/>
        </w:tabs>
        <w:spacing w:after="0" w:line="480" w:lineRule="auto"/>
        <w:rPr>
          <w:rFonts w:ascii="Times New Roman" w:hAnsi="Times New Roman" w:cs="Times New Roman"/>
          <w:b/>
          <w:sz w:val="24"/>
          <w:szCs w:val="28"/>
          <w:lang w:val="en-GB"/>
        </w:rPr>
      </w:pPr>
      <w:r>
        <w:rPr>
          <w:rFonts w:ascii="Times New Roman" w:hAnsi="Times New Roman" w:cs="Times New Roman"/>
          <w:b/>
          <w:sz w:val="24"/>
          <w:szCs w:val="28"/>
        </w:rPr>
        <w:t xml:space="preserve">Brain volume </w:t>
      </w:r>
      <w:r w:rsidRPr="00B831EC">
        <w:rPr>
          <w:rFonts w:ascii="Times New Roman" w:hAnsi="Times New Roman" w:cs="Times New Roman"/>
          <w:b/>
          <w:sz w:val="24"/>
          <w:szCs w:val="28"/>
          <w:lang w:val="en-GB"/>
        </w:rPr>
        <w:t xml:space="preserve">loss in relapsing multiple sclerosis: </w:t>
      </w:r>
      <w:r>
        <w:rPr>
          <w:rFonts w:ascii="Times New Roman" w:hAnsi="Times New Roman" w:cs="Times New Roman"/>
          <w:b/>
          <w:sz w:val="24"/>
          <w:szCs w:val="28"/>
          <w:lang w:val="en-GB"/>
        </w:rPr>
        <w:t>Indirect treatment comparisons</w:t>
      </w:r>
      <w:r>
        <w:rPr>
          <w:rFonts w:ascii="Times New Roman" w:hAnsi="Times New Roman" w:cs="Times New Roman"/>
          <w:b/>
          <w:sz w:val="24"/>
          <w:szCs w:val="28"/>
        </w:rPr>
        <w:t xml:space="preserve"> </w:t>
      </w:r>
      <w:r w:rsidRPr="00B831EC">
        <w:rPr>
          <w:rFonts w:ascii="Times New Roman" w:hAnsi="Times New Roman" w:cs="Times New Roman"/>
          <w:b/>
          <w:sz w:val="24"/>
          <w:szCs w:val="28"/>
          <w:lang w:val="en-GB"/>
        </w:rPr>
        <w:t>of available disease-modifying therapies</w:t>
      </w:r>
    </w:p>
    <w:p w14:paraId="0D156085" w14:textId="77777777" w:rsidR="00856D89" w:rsidRDefault="00856D89">
      <w:pPr>
        <w:rPr>
          <w:rFonts w:ascii="Times New Roman" w:eastAsiaTheme="majorEastAsia" w:hAnsi="Times New Roman" w:cs="Times New Roman"/>
          <w:b/>
          <w:bCs/>
          <w:sz w:val="28"/>
          <w:szCs w:val="28"/>
          <w:lang w:bidi="ar-SA"/>
        </w:rPr>
      </w:pPr>
      <w:bookmarkStart w:id="3" w:name="_Hlk115860397"/>
      <w:bookmarkEnd w:id="3"/>
      <w:bookmarkEnd w:id="0"/>
      <w:bookmarkEnd w:id="1"/>
      <w:bookmarkEnd w:id="2"/>
      <w:r>
        <w:rPr>
          <w:rFonts w:ascii="Times New Roman" w:hAnsi="Times New Roman" w:cs="Times New Roman"/>
        </w:rPr>
        <w:br w:type="page"/>
      </w:r>
    </w:p>
    <w:sdt>
      <w:sdtPr>
        <w:rPr>
          <w:rFonts w:ascii="Times New Roman" w:eastAsiaTheme="minorHAnsi" w:hAnsi="Times New Roman" w:cs="Times New Roman"/>
          <w:b/>
          <w:bCs/>
          <w:color w:val="auto"/>
          <w:sz w:val="24"/>
          <w:szCs w:val="24"/>
          <w:lang w:bidi="hi-IN"/>
        </w:rPr>
        <w:id w:val="1692035119"/>
        <w:docPartObj>
          <w:docPartGallery w:val="Table of Contents"/>
          <w:docPartUnique/>
        </w:docPartObj>
      </w:sdtPr>
      <w:sdtEndPr>
        <w:rPr>
          <w:rFonts w:asciiTheme="minorHAnsi" w:hAnsiTheme="minorHAnsi" w:cs="Kokila"/>
          <w:noProof/>
          <w:sz w:val="22"/>
          <w:szCs w:val="20"/>
        </w:rPr>
      </w:sdtEndPr>
      <w:sdtContent>
        <w:p w14:paraId="6585CD00" w14:textId="40FE5748" w:rsidR="00856D89" w:rsidRPr="00856D89" w:rsidRDefault="00856D89">
          <w:pPr>
            <w:pStyle w:val="TOCHeading"/>
            <w:rPr>
              <w:rFonts w:ascii="Times New Roman" w:hAnsi="Times New Roman" w:cs="Times New Roman"/>
              <w:b/>
              <w:bCs/>
              <w:color w:val="auto"/>
              <w:sz w:val="24"/>
              <w:szCs w:val="24"/>
            </w:rPr>
          </w:pPr>
          <w:r w:rsidRPr="00856D89">
            <w:rPr>
              <w:rFonts w:ascii="Times New Roman" w:hAnsi="Times New Roman" w:cs="Times New Roman"/>
              <w:b/>
              <w:bCs/>
              <w:color w:val="auto"/>
              <w:sz w:val="24"/>
              <w:szCs w:val="24"/>
            </w:rPr>
            <w:t>Table of Contents</w:t>
          </w:r>
        </w:p>
        <w:p w14:paraId="7796A1C3" w14:textId="77777777" w:rsidR="00856D89" w:rsidRPr="00856D89" w:rsidRDefault="00856D89" w:rsidP="00856D89">
          <w:pPr>
            <w:rPr>
              <w:lang w:bidi="ar-SA"/>
            </w:rPr>
          </w:pPr>
        </w:p>
        <w:p w14:paraId="1E53A086" w14:textId="5C239853" w:rsidR="00856D89" w:rsidRDefault="00856D89">
          <w:pPr>
            <w:pStyle w:val="TOC1"/>
            <w:tabs>
              <w:tab w:val="left" w:pos="660"/>
              <w:tab w:val="right" w:leader="dot" w:pos="9350"/>
            </w:tabs>
            <w:rPr>
              <w:noProof/>
            </w:rPr>
          </w:pPr>
          <w:r>
            <w:fldChar w:fldCharType="begin"/>
          </w:r>
          <w:r>
            <w:instrText xml:space="preserve"> TOC \o "1-3" \h \z \u </w:instrText>
          </w:r>
          <w:r>
            <w:fldChar w:fldCharType="separate"/>
          </w:r>
          <w:hyperlink w:anchor="_Toc130240171" w:history="1">
            <w:r w:rsidRPr="00E43D53">
              <w:rPr>
                <w:rStyle w:val="Hyperlink"/>
                <w:rFonts w:ascii="Times New Roman" w:hAnsi="Times New Roman" w:cs="Times New Roman"/>
                <w:noProof/>
              </w:rPr>
              <w:t>1.0</w:t>
            </w:r>
            <w:r>
              <w:rPr>
                <w:noProof/>
              </w:rPr>
              <w:tab/>
            </w:r>
            <w:r w:rsidRPr="00E43D53">
              <w:rPr>
                <w:rStyle w:val="Hyperlink"/>
                <w:rFonts w:ascii="Times New Roman" w:hAnsi="Times New Roman" w:cs="Times New Roman"/>
                <w:noProof/>
              </w:rPr>
              <w:t>Systematic literature review methods</w:t>
            </w:r>
            <w:r>
              <w:rPr>
                <w:noProof/>
                <w:webHidden/>
              </w:rPr>
              <w:tab/>
            </w:r>
            <w:r>
              <w:rPr>
                <w:noProof/>
                <w:webHidden/>
              </w:rPr>
              <w:fldChar w:fldCharType="begin"/>
            </w:r>
            <w:r>
              <w:rPr>
                <w:noProof/>
                <w:webHidden/>
              </w:rPr>
              <w:instrText xml:space="preserve"> PAGEREF _Toc130240171 \h </w:instrText>
            </w:r>
            <w:r>
              <w:rPr>
                <w:noProof/>
                <w:webHidden/>
              </w:rPr>
            </w:r>
            <w:r>
              <w:rPr>
                <w:noProof/>
                <w:webHidden/>
              </w:rPr>
              <w:fldChar w:fldCharType="separate"/>
            </w:r>
            <w:r>
              <w:rPr>
                <w:noProof/>
                <w:webHidden/>
              </w:rPr>
              <w:t>3</w:t>
            </w:r>
            <w:r>
              <w:rPr>
                <w:noProof/>
                <w:webHidden/>
              </w:rPr>
              <w:fldChar w:fldCharType="end"/>
            </w:r>
          </w:hyperlink>
        </w:p>
        <w:p w14:paraId="0941EC6E" w14:textId="3AE72482" w:rsidR="00856D89" w:rsidRDefault="002E74AB">
          <w:pPr>
            <w:pStyle w:val="TOC2"/>
            <w:tabs>
              <w:tab w:val="left" w:pos="880"/>
              <w:tab w:val="right" w:leader="dot" w:pos="9350"/>
            </w:tabs>
            <w:rPr>
              <w:noProof/>
            </w:rPr>
          </w:pPr>
          <w:hyperlink w:anchor="_Toc130240172" w:history="1">
            <w:r w:rsidR="00856D89" w:rsidRPr="00E43D53">
              <w:rPr>
                <w:rStyle w:val="Hyperlink"/>
                <w:rFonts w:ascii="Times New Roman" w:hAnsi="Times New Roman" w:cs="Times New Roman"/>
                <w:noProof/>
              </w:rPr>
              <w:t>1.1</w:t>
            </w:r>
            <w:r w:rsidR="00856D89">
              <w:rPr>
                <w:noProof/>
              </w:rPr>
              <w:tab/>
            </w:r>
            <w:r w:rsidR="00856D89" w:rsidRPr="00E43D53">
              <w:rPr>
                <w:rStyle w:val="Hyperlink"/>
                <w:rFonts w:ascii="Times New Roman" w:hAnsi="Times New Roman" w:cs="Times New Roman"/>
                <w:noProof/>
              </w:rPr>
              <w:t>Final search strategy for database searching</w:t>
            </w:r>
            <w:r w:rsidR="00856D89">
              <w:rPr>
                <w:noProof/>
                <w:webHidden/>
              </w:rPr>
              <w:tab/>
            </w:r>
            <w:r w:rsidR="00856D89">
              <w:rPr>
                <w:noProof/>
                <w:webHidden/>
              </w:rPr>
              <w:fldChar w:fldCharType="begin"/>
            </w:r>
            <w:r w:rsidR="00856D89">
              <w:rPr>
                <w:noProof/>
                <w:webHidden/>
              </w:rPr>
              <w:instrText xml:space="preserve"> PAGEREF _Toc130240172 \h </w:instrText>
            </w:r>
            <w:r w:rsidR="00856D89">
              <w:rPr>
                <w:noProof/>
                <w:webHidden/>
              </w:rPr>
            </w:r>
            <w:r w:rsidR="00856D89">
              <w:rPr>
                <w:noProof/>
                <w:webHidden/>
              </w:rPr>
              <w:fldChar w:fldCharType="separate"/>
            </w:r>
            <w:r w:rsidR="00856D89">
              <w:rPr>
                <w:noProof/>
                <w:webHidden/>
              </w:rPr>
              <w:t>3</w:t>
            </w:r>
            <w:r w:rsidR="00856D89">
              <w:rPr>
                <w:noProof/>
                <w:webHidden/>
              </w:rPr>
              <w:fldChar w:fldCharType="end"/>
            </w:r>
          </w:hyperlink>
        </w:p>
        <w:p w14:paraId="4117F0D5" w14:textId="0139BCD9" w:rsidR="00856D89" w:rsidRDefault="002E74AB">
          <w:pPr>
            <w:pStyle w:val="TOC3"/>
            <w:tabs>
              <w:tab w:val="left" w:pos="1320"/>
              <w:tab w:val="right" w:leader="dot" w:pos="9350"/>
            </w:tabs>
            <w:rPr>
              <w:noProof/>
            </w:rPr>
          </w:pPr>
          <w:hyperlink w:anchor="_Toc130240173" w:history="1">
            <w:r w:rsidR="00856D89" w:rsidRPr="00E43D53">
              <w:rPr>
                <w:rStyle w:val="Hyperlink"/>
                <w:rFonts w:ascii="Times New Roman" w:hAnsi="Times New Roman" w:cs="Times New Roman"/>
                <w:noProof/>
              </w:rPr>
              <w:t>1.1.1</w:t>
            </w:r>
            <w:r w:rsidR="00856D89">
              <w:rPr>
                <w:noProof/>
              </w:rPr>
              <w:tab/>
            </w:r>
            <w:r w:rsidR="00856D89" w:rsidRPr="00E43D53">
              <w:rPr>
                <w:rStyle w:val="Hyperlink"/>
                <w:rFonts w:ascii="Times New Roman" w:hAnsi="Times New Roman" w:cs="Times New Roman"/>
                <w:noProof/>
              </w:rPr>
              <w:t>Core database search: May 20, 2020</w:t>
            </w:r>
            <w:r w:rsidR="00856D89">
              <w:rPr>
                <w:noProof/>
                <w:webHidden/>
              </w:rPr>
              <w:tab/>
            </w:r>
            <w:r w:rsidR="00856D89">
              <w:rPr>
                <w:noProof/>
                <w:webHidden/>
              </w:rPr>
              <w:fldChar w:fldCharType="begin"/>
            </w:r>
            <w:r w:rsidR="00856D89">
              <w:rPr>
                <w:noProof/>
                <w:webHidden/>
              </w:rPr>
              <w:instrText xml:space="preserve"> PAGEREF _Toc130240173 \h </w:instrText>
            </w:r>
            <w:r w:rsidR="00856D89">
              <w:rPr>
                <w:noProof/>
                <w:webHidden/>
              </w:rPr>
            </w:r>
            <w:r w:rsidR="00856D89">
              <w:rPr>
                <w:noProof/>
                <w:webHidden/>
              </w:rPr>
              <w:fldChar w:fldCharType="separate"/>
            </w:r>
            <w:r w:rsidR="00856D89">
              <w:rPr>
                <w:noProof/>
                <w:webHidden/>
              </w:rPr>
              <w:t>3</w:t>
            </w:r>
            <w:r w:rsidR="00856D89">
              <w:rPr>
                <w:noProof/>
                <w:webHidden/>
              </w:rPr>
              <w:fldChar w:fldCharType="end"/>
            </w:r>
          </w:hyperlink>
        </w:p>
        <w:p w14:paraId="4E7EF00C" w14:textId="088C982E" w:rsidR="00856D89" w:rsidRDefault="002E74AB">
          <w:pPr>
            <w:pStyle w:val="TOC3"/>
            <w:tabs>
              <w:tab w:val="left" w:pos="1320"/>
              <w:tab w:val="right" w:leader="dot" w:pos="9350"/>
            </w:tabs>
            <w:rPr>
              <w:noProof/>
            </w:rPr>
          </w:pPr>
          <w:hyperlink w:anchor="_Toc130240174" w:history="1">
            <w:r w:rsidR="00856D89" w:rsidRPr="00E43D53">
              <w:rPr>
                <w:rStyle w:val="Hyperlink"/>
                <w:rFonts w:ascii="Times New Roman" w:hAnsi="Times New Roman" w:cs="Times New Roman"/>
                <w:noProof/>
              </w:rPr>
              <w:t>1.1.2</w:t>
            </w:r>
            <w:r w:rsidR="00856D89">
              <w:rPr>
                <w:noProof/>
              </w:rPr>
              <w:tab/>
            </w:r>
            <w:r w:rsidR="00856D89" w:rsidRPr="00E43D53">
              <w:rPr>
                <w:rStyle w:val="Hyperlink"/>
                <w:rFonts w:ascii="Times New Roman" w:hAnsi="Times New Roman" w:cs="Times New Roman"/>
                <w:noProof/>
              </w:rPr>
              <w:t>Update database search: October 16, 2020</w:t>
            </w:r>
            <w:r w:rsidR="00856D89">
              <w:rPr>
                <w:noProof/>
                <w:webHidden/>
              </w:rPr>
              <w:tab/>
            </w:r>
            <w:r w:rsidR="00856D89">
              <w:rPr>
                <w:noProof/>
                <w:webHidden/>
              </w:rPr>
              <w:fldChar w:fldCharType="begin"/>
            </w:r>
            <w:r w:rsidR="00856D89">
              <w:rPr>
                <w:noProof/>
                <w:webHidden/>
              </w:rPr>
              <w:instrText xml:space="preserve"> PAGEREF _Toc130240174 \h </w:instrText>
            </w:r>
            <w:r w:rsidR="00856D89">
              <w:rPr>
                <w:noProof/>
                <w:webHidden/>
              </w:rPr>
            </w:r>
            <w:r w:rsidR="00856D89">
              <w:rPr>
                <w:noProof/>
                <w:webHidden/>
              </w:rPr>
              <w:fldChar w:fldCharType="separate"/>
            </w:r>
            <w:r w:rsidR="00856D89">
              <w:rPr>
                <w:noProof/>
                <w:webHidden/>
              </w:rPr>
              <w:t>10</w:t>
            </w:r>
            <w:r w:rsidR="00856D89">
              <w:rPr>
                <w:noProof/>
                <w:webHidden/>
              </w:rPr>
              <w:fldChar w:fldCharType="end"/>
            </w:r>
          </w:hyperlink>
        </w:p>
        <w:p w14:paraId="76CBDFF0" w14:textId="469269B2" w:rsidR="00856D89" w:rsidRDefault="002E74AB">
          <w:pPr>
            <w:pStyle w:val="TOC3"/>
            <w:tabs>
              <w:tab w:val="left" w:pos="1320"/>
              <w:tab w:val="right" w:leader="dot" w:pos="9350"/>
            </w:tabs>
            <w:rPr>
              <w:noProof/>
            </w:rPr>
          </w:pPr>
          <w:hyperlink w:anchor="_Toc130240175" w:history="1">
            <w:r w:rsidR="00856D89" w:rsidRPr="00E43D53">
              <w:rPr>
                <w:rStyle w:val="Hyperlink"/>
                <w:rFonts w:ascii="Times New Roman" w:hAnsi="Times New Roman" w:cs="Times New Roman"/>
                <w:noProof/>
              </w:rPr>
              <w:t>1.1.3</w:t>
            </w:r>
            <w:r w:rsidR="00856D89">
              <w:rPr>
                <w:noProof/>
              </w:rPr>
              <w:tab/>
            </w:r>
            <w:r w:rsidR="00856D89" w:rsidRPr="00E43D53">
              <w:rPr>
                <w:rStyle w:val="Hyperlink"/>
                <w:rFonts w:ascii="Times New Roman" w:hAnsi="Times New Roman" w:cs="Times New Roman"/>
                <w:noProof/>
              </w:rPr>
              <w:t>Update database search: January 14, 2021</w:t>
            </w:r>
            <w:r w:rsidR="00856D89">
              <w:rPr>
                <w:noProof/>
                <w:webHidden/>
              </w:rPr>
              <w:tab/>
            </w:r>
            <w:r w:rsidR="00856D89">
              <w:rPr>
                <w:noProof/>
                <w:webHidden/>
              </w:rPr>
              <w:fldChar w:fldCharType="begin"/>
            </w:r>
            <w:r w:rsidR="00856D89">
              <w:rPr>
                <w:noProof/>
                <w:webHidden/>
              </w:rPr>
              <w:instrText xml:space="preserve"> PAGEREF _Toc130240175 \h </w:instrText>
            </w:r>
            <w:r w:rsidR="00856D89">
              <w:rPr>
                <w:noProof/>
                <w:webHidden/>
              </w:rPr>
            </w:r>
            <w:r w:rsidR="00856D89">
              <w:rPr>
                <w:noProof/>
                <w:webHidden/>
              </w:rPr>
              <w:fldChar w:fldCharType="separate"/>
            </w:r>
            <w:r w:rsidR="00856D89">
              <w:rPr>
                <w:noProof/>
                <w:webHidden/>
              </w:rPr>
              <w:t>16</w:t>
            </w:r>
            <w:r w:rsidR="00856D89">
              <w:rPr>
                <w:noProof/>
                <w:webHidden/>
              </w:rPr>
              <w:fldChar w:fldCharType="end"/>
            </w:r>
          </w:hyperlink>
        </w:p>
        <w:p w14:paraId="065AE364" w14:textId="30085C58" w:rsidR="00856D89" w:rsidRDefault="002E74AB">
          <w:pPr>
            <w:pStyle w:val="TOC3"/>
            <w:tabs>
              <w:tab w:val="left" w:pos="1320"/>
              <w:tab w:val="right" w:leader="dot" w:pos="9350"/>
            </w:tabs>
            <w:rPr>
              <w:noProof/>
            </w:rPr>
          </w:pPr>
          <w:hyperlink w:anchor="_Toc130240176" w:history="1">
            <w:r w:rsidR="00856D89" w:rsidRPr="00E43D53">
              <w:rPr>
                <w:rStyle w:val="Hyperlink"/>
                <w:rFonts w:ascii="Times New Roman" w:hAnsi="Times New Roman" w:cs="Times New Roman"/>
                <w:noProof/>
              </w:rPr>
              <w:t>1.1.4</w:t>
            </w:r>
            <w:r w:rsidR="00856D89">
              <w:rPr>
                <w:noProof/>
              </w:rPr>
              <w:tab/>
            </w:r>
            <w:r w:rsidR="00856D89" w:rsidRPr="00E43D53">
              <w:rPr>
                <w:rStyle w:val="Hyperlink"/>
                <w:rFonts w:ascii="Times New Roman" w:hAnsi="Times New Roman" w:cs="Times New Roman"/>
                <w:noProof/>
              </w:rPr>
              <w:t>Update database search: August 16, 2021</w:t>
            </w:r>
            <w:r w:rsidR="00856D89">
              <w:rPr>
                <w:noProof/>
                <w:webHidden/>
              </w:rPr>
              <w:tab/>
            </w:r>
            <w:r w:rsidR="00856D89">
              <w:rPr>
                <w:noProof/>
                <w:webHidden/>
              </w:rPr>
              <w:fldChar w:fldCharType="begin"/>
            </w:r>
            <w:r w:rsidR="00856D89">
              <w:rPr>
                <w:noProof/>
                <w:webHidden/>
              </w:rPr>
              <w:instrText xml:space="preserve"> PAGEREF _Toc130240176 \h </w:instrText>
            </w:r>
            <w:r w:rsidR="00856D89">
              <w:rPr>
                <w:noProof/>
                <w:webHidden/>
              </w:rPr>
            </w:r>
            <w:r w:rsidR="00856D89">
              <w:rPr>
                <w:noProof/>
                <w:webHidden/>
              </w:rPr>
              <w:fldChar w:fldCharType="separate"/>
            </w:r>
            <w:r w:rsidR="00856D89">
              <w:rPr>
                <w:noProof/>
                <w:webHidden/>
              </w:rPr>
              <w:t>22</w:t>
            </w:r>
            <w:r w:rsidR="00856D89">
              <w:rPr>
                <w:noProof/>
                <w:webHidden/>
              </w:rPr>
              <w:fldChar w:fldCharType="end"/>
            </w:r>
          </w:hyperlink>
        </w:p>
        <w:p w14:paraId="67D227B3" w14:textId="577ED75A" w:rsidR="00856D89" w:rsidRDefault="002E74AB">
          <w:pPr>
            <w:pStyle w:val="TOC3"/>
            <w:tabs>
              <w:tab w:val="left" w:pos="1320"/>
              <w:tab w:val="right" w:leader="dot" w:pos="9350"/>
            </w:tabs>
            <w:rPr>
              <w:noProof/>
            </w:rPr>
          </w:pPr>
          <w:hyperlink w:anchor="_Toc130240177" w:history="1">
            <w:r w:rsidR="00856D89" w:rsidRPr="00E43D53">
              <w:rPr>
                <w:rStyle w:val="Hyperlink"/>
                <w:rFonts w:ascii="Times New Roman" w:hAnsi="Times New Roman" w:cs="Times New Roman"/>
                <w:noProof/>
              </w:rPr>
              <w:t>1.1.5</w:t>
            </w:r>
            <w:r w:rsidR="00856D89">
              <w:rPr>
                <w:noProof/>
              </w:rPr>
              <w:tab/>
            </w:r>
            <w:r w:rsidR="00856D89" w:rsidRPr="00E43D53">
              <w:rPr>
                <w:rStyle w:val="Hyperlink"/>
                <w:rFonts w:ascii="Times New Roman" w:hAnsi="Times New Roman" w:cs="Times New Roman"/>
                <w:noProof/>
              </w:rPr>
              <w:t>Supplementary database search for additional comparators</w:t>
            </w:r>
            <w:r w:rsidR="00856D89">
              <w:rPr>
                <w:noProof/>
                <w:webHidden/>
              </w:rPr>
              <w:tab/>
            </w:r>
            <w:r w:rsidR="00856D89">
              <w:rPr>
                <w:noProof/>
                <w:webHidden/>
              </w:rPr>
              <w:fldChar w:fldCharType="begin"/>
            </w:r>
            <w:r w:rsidR="00856D89">
              <w:rPr>
                <w:noProof/>
                <w:webHidden/>
              </w:rPr>
              <w:instrText xml:space="preserve"> PAGEREF _Toc130240177 \h </w:instrText>
            </w:r>
            <w:r w:rsidR="00856D89">
              <w:rPr>
                <w:noProof/>
                <w:webHidden/>
              </w:rPr>
            </w:r>
            <w:r w:rsidR="00856D89">
              <w:rPr>
                <w:noProof/>
                <w:webHidden/>
              </w:rPr>
              <w:fldChar w:fldCharType="separate"/>
            </w:r>
            <w:r w:rsidR="00856D89">
              <w:rPr>
                <w:noProof/>
                <w:webHidden/>
              </w:rPr>
              <w:t>28</w:t>
            </w:r>
            <w:r w:rsidR="00856D89">
              <w:rPr>
                <w:noProof/>
                <w:webHidden/>
              </w:rPr>
              <w:fldChar w:fldCharType="end"/>
            </w:r>
          </w:hyperlink>
        </w:p>
        <w:p w14:paraId="0449FCF6" w14:textId="1FFE8175" w:rsidR="00856D89" w:rsidRDefault="002E74AB">
          <w:pPr>
            <w:pStyle w:val="TOC2"/>
            <w:tabs>
              <w:tab w:val="left" w:pos="880"/>
              <w:tab w:val="right" w:leader="dot" w:pos="9350"/>
            </w:tabs>
            <w:rPr>
              <w:noProof/>
            </w:rPr>
          </w:pPr>
          <w:hyperlink w:anchor="_Toc130240178" w:history="1">
            <w:r w:rsidR="00856D89" w:rsidRPr="00E43D53">
              <w:rPr>
                <w:rStyle w:val="Hyperlink"/>
                <w:rFonts w:ascii="Times New Roman" w:hAnsi="Times New Roman" w:cs="Times New Roman"/>
                <w:noProof/>
              </w:rPr>
              <w:t>1.2</w:t>
            </w:r>
            <w:r w:rsidR="00856D89">
              <w:rPr>
                <w:noProof/>
              </w:rPr>
              <w:tab/>
            </w:r>
            <w:r w:rsidR="00856D89" w:rsidRPr="00E43D53">
              <w:rPr>
                <w:rStyle w:val="Hyperlink"/>
                <w:rFonts w:ascii="Times New Roman" w:hAnsi="Times New Roman" w:cs="Times New Roman"/>
                <w:noProof/>
              </w:rPr>
              <w:t>List of additional sources</w:t>
            </w:r>
            <w:r w:rsidR="00856D89">
              <w:rPr>
                <w:noProof/>
                <w:webHidden/>
              </w:rPr>
              <w:tab/>
            </w:r>
            <w:r w:rsidR="00856D89">
              <w:rPr>
                <w:noProof/>
                <w:webHidden/>
              </w:rPr>
              <w:fldChar w:fldCharType="begin"/>
            </w:r>
            <w:r w:rsidR="00856D89">
              <w:rPr>
                <w:noProof/>
                <w:webHidden/>
              </w:rPr>
              <w:instrText xml:space="preserve"> PAGEREF _Toc130240178 \h </w:instrText>
            </w:r>
            <w:r w:rsidR="00856D89">
              <w:rPr>
                <w:noProof/>
                <w:webHidden/>
              </w:rPr>
            </w:r>
            <w:r w:rsidR="00856D89">
              <w:rPr>
                <w:noProof/>
                <w:webHidden/>
              </w:rPr>
              <w:fldChar w:fldCharType="separate"/>
            </w:r>
            <w:r w:rsidR="00856D89">
              <w:rPr>
                <w:noProof/>
                <w:webHidden/>
              </w:rPr>
              <w:t>31</w:t>
            </w:r>
            <w:r w:rsidR="00856D89">
              <w:rPr>
                <w:noProof/>
                <w:webHidden/>
              </w:rPr>
              <w:fldChar w:fldCharType="end"/>
            </w:r>
          </w:hyperlink>
        </w:p>
        <w:p w14:paraId="257A114E" w14:textId="36871545" w:rsidR="00856D89" w:rsidRDefault="002E74AB">
          <w:pPr>
            <w:pStyle w:val="TOC2"/>
            <w:tabs>
              <w:tab w:val="left" w:pos="880"/>
              <w:tab w:val="right" w:leader="dot" w:pos="9350"/>
            </w:tabs>
            <w:rPr>
              <w:noProof/>
            </w:rPr>
          </w:pPr>
          <w:hyperlink w:anchor="_Toc130240179" w:history="1">
            <w:r w:rsidR="00856D89" w:rsidRPr="00E43D53">
              <w:rPr>
                <w:rStyle w:val="Hyperlink"/>
                <w:rFonts w:ascii="Times New Roman" w:hAnsi="Times New Roman" w:cs="Times New Roman"/>
                <w:noProof/>
              </w:rPr>
              <w:t>1.3</w:t>
            </w:r>
            <w:r w:rsidR="00856D89">
              <w:rPr>
                <w:noProof/>
              </w:rPr>
              <w:tab/>
            </w:r>
            <w:r w:rsidR="00856D89" w:rsidRPr="00E43D53">
              <w:rPr>
                <w:rStyle w:val="Hyperlink"/>
                <w:rFonts w:ascii="Times New Roman" w:hAnsi="Times New Roman" w:cs="Times New Roman"/>
                <w:noProof/>
              </w:rPr>
              <w:t>Eligibility criteria for the systematic literature review</w:t>
            </w:r>
            <w:r w:rsidR="00856D89">
              <w:rPr>
                <w:noProof/>
                <w:webHidden/>
              </w:rPr>
              <w:tab/>
            </w:r>
            <w:r w:rsidR="00856D89">
              <w:rPr>
                <w:noProof/>
                <w:webHidden/>
              </w:rPr>
              <w:fldChar w:fldCharType="begin"/>
            </w:r>
            <w:r w:rsidR="00856D89">
              <w:rPr>
                <w:noProof/>
                <w:webHidden/>
              </w:rPr>
              <w:instrText xml:space="preserve"> PAGEREF _Toc130240179 \h </w:instrText>
            </w:r>
            <w:r w:rsidR="00856D89">
              <w:rPr>
                <w:noProof/>
                <w:webHidden/>
              </w:rPr>
            </w:r>
            <w:r w:rsidR="00856D89">
              <w:rPr>
                <w:noProof/>
                <w:webHidden/>
              </w:rPr>
              <w:fldChar w:fldCharType="separate"/>
            </w:r>
            <w:r w:rsidR="00856D89">
              <w:rPr>
                <w:noProof/>
                <w:webHidden/>
              </w:rPr>
              <w:t>33</w:t>
            </w:r>
            <w:r w:rsidR="00856D89">
              <w:rPr>
                <w:noProof/>
                <w:webHidden/>
              </w:rPr>
              <w:fldChar w:fldCharType="end"/>
            </w:r>
          </w:hyperlink>
        </w:p>
        <w:p w14:paraId="56F6B00E" w14:textId="15BA8316" w:rsidR="00856D89" w:rsidRDefault="002E74AB">
          <w:pPr>
            <w:pStyle w:val="TOC1"/>
            <w:tabs>
              <w:tab w:val="left" w:pos="660"/>
              <w:tab w:val="right" w:leader="dot" w:pos="9350"/>
            </w:tabs>
            <w:rPr>
              <w:noProof/>
            </w:rPr>
          </w:pPr>
          <w:hyperlink w:anchor="_Toc130240180" w:history="1">
            <w:r w:rsidR="00856D89" w:rsidRPr="00E43D53">
              <w:rPr>
                <w:rStyle w:val="Hyperlink"/>
                <w:rFonts w:ascii="Times New Roman" w:hAnsi="Times New Roman" w:cs="Times New Roman"/>
                <w:noProof/>
              </w:rPr>
              <w:t>2.0</w:t>
            </w:r>
            <w:r w:rsidR="00856D89">
              <w:rPr>
                <w:noProof/>
              </w:rPr>
              <w:tab/>
            </w:r>
            <w:r w:rsidR="00856D89" w:rsidRPr="00E43D53">
              <w:rPr>
                <w:rStyle w:val="Hyperlink"/>
                <w:rFonts w:ascii="Times New Roman" w:hAnsi="Times New Roman" w:cs="Times New Roman"/>
                <w:noProof/>
              </w:rPr>
              <w:t>Indirect treatment comparison methods</w:t>
            </w:r>
            <w:r w:rsidR="00856D89">
              <w:rPr>
                <w:noProof/>
                <w:webHidden/>
              </w:rPr>
              <w:tab/>
            </w:r>
            <w:r w:rsidR="00856D89">
              <w:rPr>
                <w:noProof/>
                <w:webHidden/>
              </w:rPr>
              <w:fldChar w:fldCharType="begin"/>
            </w:r>
            <w:r w:rsidR="00856D89">
              <w:rPr>
                <w:noProof/>
                <w:webHidden/>
              </w:rPr>
              <w:instrText xml:space="preserve"> PAGEREF _Toc130240180 \h </w:instrText>
            </w:r>
            <w:r w:rsidR="00856D89">
              <w:rPr>
                <w:noProof/>
                <w:webHidden/>
              </w:rPr>
            </w:r>
            <w:r w:rsidR="00856D89">
              <w:rPr>
                <w:noProof/>
                <w:webHidden/>
              </w:rPr>
              <w:fldChar w:fldCharType="separate"/>
            </w:r>
            <w:r w:rsidR="00856D89">
              <w:rPr>
                <w:noProof/>
                <w:webHidden/>
              </w:rPr>
              <w:t>34</w:t>
            </w:r>
            <w:r w:rsidR="00856D89">
              <w:rPr>
                <w:noProof/>
                <w:webHidden/>
              </w:rPr>
              <w:fldChar w:fldCharType="end"/>
            </w:r>
          </w:hyperlink>
        </w:p>
        <w:p w14:paraId="50CCF74E" w14:textId="4E71D0F5" w:rsidR="00856D89" w:rsidRDefault="002E74AB">
          <w:pPr>
            <w:pStyle w:val="TOC2"/>
            <w:tabs>
              <w:tab w:val="left" w:pos="880"/>
              <w:tab w:val="right" w:leader="dot" w:pos="9350"/>
            </w:tabs>
            <w:rPr>
              <w:noProof/>
            </w:rPr>
          </w:pPr>
          <w:hyperlink w:anchor="_Toc130240181" w:history="1">
            <w:r w:rsidR="00856D89" w:rsidRPr="00E43D53">
              <w:rPr>
                <w:rStyle w:val="Hyperlink"/>
                <w:rFonts w:ascii="Times New Roman" w:hAnsi="Times New Roman" w:cs="Times New Roman"/>
                <w:noProof/>
              </w:rPr>
              <w:t>2.1</w:t>
            </w:r>
            <w:r w:rsidR="00856D89">
              <w:rPr>
                <w:noProof/>
              </w:rPr>
              <w:tab/>
            </w:r>
            <w:r w:rsidR="00856D89" w:rsidRPr="00E43D53">
              <w:rPr>
                <w:rStyle w:val="Hyperlink"/>
                <w:rFonts w:ascii="Times New Roman" w:hAnsi="Times New Roman" w:cs="Times New Roman"/>
                <w:noProof/>
              </w:rPr>
              <w:t>Model-based meta-analysis (MBMA)</w:t>
            </w:r>
            <w:r w:rsidR="00856D89">
              <w:rPr>
                <w:noProof/>
                <w:webHidden/>
              </w:rPr>
              <w:tab/>
            </w:r>
            <w:r w:rsidR="00856D89">
              <w:rPr>
                <w:noProof/>
                <w:webHidden/>
              </w:rPr>
              <w:fldChar w:fldCharType="begin"/>
            </w:r>
            <w:r w:rsidR="00856D89">
              <w:rPr>
                <w:noProof/>
                <w:webHidden/>
              </w:rPr>
              <w:instrText xml:space="preserve"> PAGEREF _Toc130240181 \h </w:instrText>
            </w:r>
            <w:r w:rsidR="00856D89">
              <w:rPr>
                <w:noProof/>
                <w:webHidden/>
              </w:rPr>
            </w:r>
            <w:r w:rsidR="00856D89">
              <w:rPr>
                <w:noProof/>
                <w:webHidden/>
              </w:rPr>
              <w:fldChar w:fldCharType="separate"/>
            </w:r>
            <w:r w:rsidR="00856D89">
              <w:rPr>
                <w:noProof/>
                <w:webHidden/>
              </w:rPr>
              <w:t>34</w:t>
            </w:r>
            <w:r w:rsidR="00856D89">
              <w:rPr>
                <w:noProof/>
                <w:webHidden/>
              </w:rPr>
              <w:fldChar w:fldCharType="end"/>
            </w:r>
          </w:hyperlink>
        </w:p>
        <w:p w14:paraId="62384C97" w14:textId="23D72306" w:rsidR="00856D89" w:rsidRDefault="002E74AB">
          <w:pPr>
            <w:pStyle w:val="TOC2"/>
            <w:tabs>
              <w:tab w:val="left" w:pos="880"/>
              <w:tab w:val="right" w:leader="dot" w:pos="9350"/>
            </w:tabs>
            <w:rPr>
              <w:noProof/>
            </w:rPr>
          </w:pPr>
          <w:hyperlink w:anchor="_Toc130240182" w:history="1">
            <w:r w:rsidR="00856D89" w:rsidRPr="00E43D53">
              <w:rPr>
                <w:rStyle w:val="Hyperlink"/>
                <w:rFonts w:ascii="Times New Roman" w:hAnsi="Times New Roman" w:cs="Times New Roman"/>
                <w:noProof/>
              </w:rPr>
              <w:t>2.2</w:t>
            </w:r>
            <w:r w:rsidR="00856D89">
              <w:rPr>
                <w:noProof/>
              </w:rPr>
              <w:tab/>
            </w:r>
            <w:r w:rsidR="00856D89" w:rsidRPr="00E43D53">
              <w:rPr>
                <w:rStyle w:val="Hyperlink"/>
                <w:rFonts w:ascii="Times New Roman" w:hAnsi="Times New Roman" w:cs="Times New Roman"/>
                <w:noProof/>
              </w:rPr>
              <w:t>Network meta-analysis (NMA)</w:t>
            </w:r>
            <w:r w:rsidR="00856D89">
              <w:rPr>
                <w:noProof/>
                <w:webHidden/>
              </w:rPr>
              <w:tab/>
            </w:r>
            <w:r w:rsidR="00856D89">
              <w:rPr>
                <w:noProof/>
                <w:webHidden/>
              </w:rPr>
              <w:fldChar w:fldCharType="begin"/>
            </w:r>
            <w:r w:rsidR="00856D89">
              <w:rPr>
                <w:noProof/>
                <w:webHidden/>
              </w:rPr>
              <w:instrText xml:space="preserve"> PAGEREF _Toc130240182 \h </w:instrText>
            </w:r>
            <w:r w:rsidR="00856D89">
              <w:rPr>
                <w:noProof/>
                <w:webHidden/>
              </w:rPr>
            </w:r>
            <w:r w:rsidR="00856D89">
              <w:rPr>
                <w:noProof/>
                <w:webHidden/>
              </w:rPr>
              <w:fldChar w:fldCharType="separate"/>
            </w:r>
            <w:r w:rsidR="00856D89">
              <w:rPr>
                <w:noProof/>
                <w:webHidden/>
              </w:rPr>
              <w:t>34</w:t>
            </w:r>
            <w:r w:rsidR="00856D89">
              <w:rPr>
                <w:noProof/>
                <w:webHidden/>
              </w:rPr>
              <w:fldChar w:fldCharType="end"/>
            </w:r>
          </w:hyperlink>
        </w:p>
        <w:p w14:paraId="24DF3438" w14:textId="0D6AE238" w:rsidR="00856D89" w:rsidRDefault="002E74AB">
          <w:pPr>
            <w:pStyle w:val="TOC1"/>
            <w:tabs>
              <w:tab w:val="left" w:pos="660"/>
              <w:tab w:val="right" w:leader="dot" w:pos="9350"/>
            </w:tabs>
            <w:rPr>
              <w:noProof/>
            </w:rPr>
          </w:pPr>
          <w:hyperlink w:anchor="_Toc130240183" w:history="1">
            <w:r w:rsidR="00856D89" w:rsidRPr="00E43D53">
              <w:rPr>
                <w:rStyle w:val="Hyperlink"/>
                <w:rFonts w:ascii="Times New Roman" w:hAnsi="Times New Roman" w:cs="Times New Roman"/>
                <w:noProof/>
              </w:rPr>
              <w:t>3.0</w:t>
            </w:r>
            <w:r w:rsidR="00856D89">
              <w:rPr>
                <w:noProof/>
              </w:rPr>
              <w:tab/>
            </w:r>
            <w:r w:rsidR="00856D89" w:rsidRPr="00E43D53">
              <w:rPr>
                <w:rStyle w:val="Hyperlink"/>
                <w:rFonts w:ascii="Times New Roman" w:hAnsi="Times New Roman" w:cs="Times New Roman"/>
                <w:noProof/>
              </w:rPr>
              <w:t>Systematic literature review results</w:t>
            </w:r>
            <w:r w:rsidR="00856D89">
              <w:rPr>
                <w:noProof/>
                <w:webHidden/>
              </w:rPr>
              <w:tab/>
            </w:r>
            <w:r w:rsidR="00856D89">
              <w:rPr>
                <w:noProof/>
                <w:webHidden/>
              </w:rPr>
              <w:fldChar w:fldCharType="begin"/>
            </w:r>
            <w:r w:rsidR="00856D89">
              <w:rPr>
                <w:noProof/>
                <w:webHidden/>
              </w:rPr>
              <w:instrText xml:space="preserve"> PAGEREF _Toc130240183 \h </w:instrText>
            </w:r>
            <w:r w:rsidR="00856D89">
              <w:rPr>
                <w:noProof/>
                <w:webHidden/>
              </w:rPr>
            </w:r>
            <w:r w:rsidR="00856D89">
              <w:rPr>
                <w:noProof/>
                <w:webHidden/>
              </w:rPr>
              <w:fldChar w:fldCharType="separate"/>
            </w:r>
            <w:r w:rsidR="00856D89">
              <w:rPr>
                <w:noProof/>
                <w:webHidden/>
              </w:rPr>
              <w:t>36</w:t>
            </w:r>
            <w:r w:rsidR="00856D89">
              <w:rPr>
                <w:noProof/>
                <w:webHidden/>
              </w:rPr>
              <w:fldChar w:fldCharType="end"/>
            </w:r>
          </w:hyperlink>
        </w:p>
        <w:p w14:paraId="21E30962" w14:textId="2338D4A3" w:rsidR="00856D89" w:rsidRDefault="002E74AB">
          <w:pPr>
            <w:pStyle w:val="TOC2"/>
            <w:tabs>
              <w:tab w:val="left" w:pos="880"/>
              <w:tab w:val="right" w:leader="dot" w:pos="9350"/>
            </w:tabs>
            <w:rPr>
              <w:noProof/>
            </w:rPr>
          </w:pPr>
          <w:hyperlink w:anchor="_Toc130240184" w:history="1">
            <w:r w:rsidR="00856D89" w:rsidRPr="00E43D53">
              <w:rPr>
                <w:rStyle w:val="Hyperlink"/>
                <w:rFonts w:ascii="Times New Roman" w:hAnsi="Times New Roman" w:cs="Times New Roman"/>
                <w:noProof/>
              </w:rPr>
              <w:t>3.1</w:t>
            </w:r>
            <w:r w:rsidR="00856D89">
              <w:rPr>
                <w:noProof/>
              </w:rPr>
              <w:tab/>
            </w:r>
            <w:r w:rsidR="00856D89" w:rsidRPr="00E43D53">
              <w:rPr>
                <w:rStyle w:val="Hyperlink"/>
                <w:rFonts w:ascii="Times New Roman" w:hAnsi="Times New Roman" w:cs="Times New Roman"/>
                <w:noProof/>
              </w:rPr>
              <w:t>PRISMA flow diagram (2020 version)</w:t>
            </w:r>
            <w:r w:rsidR="00856D89">
              <w:rPr>
                <w:noProof/>
                <w:webHidden/>
              </w:rPr>
              <w:tab/>
            </w:r>
            <w:r w:rsidR="00856D89">
              <w:rPr>
                <w:noProof/>
                <w:webHidden/>
              </w:rPr>
              <w:fldChar w:fldCharType="begin"/>
            </w:r>
            <w:r w:rsidR="00856D89">
              <w:rPr>
                <w:noProof/>
                <w:webHidden/>
              </w:rPr>
              <w:instrText xml:space="preserve"> PAGEREF _Toc130240184 \h </w:instrText>
            </w:r>
            <w:r w:rsidR="00856D89">
              <w:rPr>
                <w:noProof/>
                <w:webHidden/>
              </w:rPr>
            </w:r>
            <w:r w:rsidR="00856D89">
              <w:rPr>
                <w:noProof/>
                <w:webHidden/>
              </w:rPr>
              <w:fldChar w:fldCharType="separate"/>
            </w:r>
            <w:r w:rsidR="00856D89">
              <w:rPr>
                <w:noProof/>
                <w:webHidden/>
              </w:rPr>
              <w:t>36</w:t>
            </w:r>
            <w:r w:rsidR="00856D89">
              <w:rPr>
                <w:noProof/>
                <w:webHidden/>
              </w:rPr>
              <w:fldChar w:fldCharType="end"/>
            </w:r>
          </w:hyperlink>
        </w:p>
        <w:p w14:paraId="1DEBC18E" w14:textId="42D6E85A" w:rsidR="00856D89" w:rsidRDefault="002E74AB">
          <w:pPr>
            <w:pStyle w:val="TOC2"/>
            <w:tabs>
              <w:tab w:val="left" w:pos="880"/>
              <w:tab w:val="right" w:leader="dot" w:pos="9350"/>
            </w:tabs>
            <w:rPr>
              <w:noProof/>
            </w:rPr>
          </w:pPr>
          <w:hyperlink w:anchor="_Toc130240185" w:history="1">
            <w:r w:rsidR="00856D89" w:rsidRPr="00E43D53">
              <w:rPr>
                <w:rStyle w:val="Hyperlink"/>
                <w:rFonts w:ascii="Times New Roman" w:hAnsi="Times New Roman" w:cs="Times New Roman"/>
                <w:noProof/>
              </w:rPr>
              <w:t>3.2</w:t>
            </w:r>
            <w:r w:rsidR="00856D89">
              <w:rPr>
                <w:noProof/>
              </w:rPr>
              <w:tab/>
            </w:r>
            <w:r w:rsidR="00856D89" w:rsidRPr="00E43D53">
              <w:rPr>
                <w:rStyle w:val="Hyperlink"/>
                <w:rFonts w:ascii="Times New Roman" w:hAnsi="Times New Roman" w:cs="Times New Roman"/>
                <w:noProof/>
              </w:rPr>
              <w:t>List of included citations</w:t>
            </w:r>
            <w:r w:rsidR="00856D89">
              <w:rPr>
                <w:noProof/>
                <w:webHidden/>
              </w:rPr>
              <w:tab/>
            </w:r>
            <w:r w:rsidR="00856D89">
              <w:rPr>
                <w:noProof/>
                <w:webHidden/>
              </w:rPr>
              <w:fldChar w:fldCharType="begin"/>
            </w:r>
            <w:r w:rsidR="00856D89">
              <w:rPr>
                <w:noProof/>
                <w:webHidden/>
              </w:rPr>
              <w:instrText xml:space="preserve"> PAGEREF _Toc130240185 \h </w:instrText>
            </w:r>
            <w:r w:rsidR="00856D89">
              <w:rPr>
                <w:noProof/>
                <w:webHidden/>
              </w:rPr>
            </w:r>
            <w:r w:rsidR="00856D89">
              <w:rPr>
                <w:noProof/>
                <w:webHidden/>
              </w:rPr>
              <w:fldChar w:fldCharType="separate"/>
            </w:r>
            <w:r w:rsidR="00856D89">
              <w:rPr>
                <w:noProof/>
                <w:webHidden/>
              </w:rPr>
              <w:t>37</w:t>
            </w:r>
            <w:r w:rsidR="00856D89">
              <w:rPr>
                <w:noProof/>
                <w:webHidden/>
              </w:rPr>
              <w:fldChar w:fldCharType="end"/>
            </w:r>
          </w:hyperlink>
        </w:p>
        <w:p w14:paraId="786D2CF7" w14:textId="185E00BD" w:rsidR="00856D89" w:rsidRDefault="002E74AB">
          <w:pPr>
            <w:pStyle w:val="TOC2"/>
            <w:tabs>
              <w:tab w:val="left" w:pos="880"/>
              <w:tab w:val="right" w:leader="dot" w:pos="9350"/>
            </w:tabs>
            <w:rPr>
              <w:noProof/>
            </w:rPr>
          </w:pPr>
          <w:hyperlink w:anchor="_Toc130240186" w:history="1">
            <w:r w:rsidR="00856D89" w:rsidRPr="00E43D53">
              <w:rPr>
                <w:rStyle w:val="Hyperlink"/>
                <w:rFonts w:ascii="Times New Roman" w:hAnsi="Times New Roman" w:cs="Times New Roman"/>
                <w:noProof/>
              </w:rPr>
              <w:t>3.3</w:t>
            </w:r>
            <w:r w:rsidR="00856D89">
              <w:rPr>
                <w:noProof/>
              </w:rPr>
              <w:tab/>
            </w:r>
            <w:r w:rsidR="00856D89" w:rsidRPr="00E43D53">
              <w:rPr>
                <w:rStyle w:val="Hyperlink"/>
                <w:rFonts w:ascii="Times New Roman" w:hAnsi="Times New Roman" w:cs="Times New Roman"/>
                <w:noProof/>
              </w:rPr>
              <w:t>Cochrane risk of bias assessments</w:t>
            </w:r>
            <w:r w:rsidR="00856D89">
              <w:rPr>
                <w:noProof/>
                <w:webHidden/>
              </w:rPr>
              <w:tab/>
            </w:r>
            <w:r w:rsidR="00856D89">
              <w:rPr>
                <w:noProof/>
                <w:webHidden/>
              </w:rPr>
              <w:fldChar w:fldCharType="begin"/>
            </w:r>
            <w:r w:rsidR="00856D89">
              <w:rPr>
                <w:noProof/>
                <w:webHidden/>
              </w:rPr>
              <w:instrText xml:space="preserve"> PAGEREF _Toc130240186 \h </w:instrText>
            </w:r>
            <w:r w:rsidR="00856D89">
              <w:rPr>
                <w:noProof/>
                <w:webHidden/>
              </w:rPr>
            </w:r>
            <w:r w:rsidR="00856D89">
              <w:rPr>
                <w:noProof/>
                <w:webHidden/>
              </w:rPr>
              <w:fldChar w:fldCharType="separate"/>
            </w:r>
            <w:r w:rsidR="00856D89">
              <w:rPr>
                <w:noProof/>
                <w:webHidden/>
              </w:rPr>
              <w:t>50</w:t>
            </w:r>
            <w:r w:rsidR="00856D89">
              <w:rPr>
                <w:noProof/>
                <w:webHidden/>
              </w:rPr>
              <w:fldChar w:fldCharType="end"/>
            </w:r>
          </w:hyperlink>
        </w:p>
        <w:p w14:paraId="0F62EB68" w14:textId="18073A40" w:rsidR="00856D89" w:rsidRDefault="002E74AB">
          <w:pPr>
            <w:pStyle w:val="TOC2"/>
            <w:tabs>
              <w:tab w:val="left" w:pos="880"/>
              <w:tab w:val="right" w:leader="dot" w:pos="9350"/>
            </w:tabs>
            <w:rPr>
              <w:noProof/>
            </w:rPr>
          </w:pPr>
          <w:hyperlink w:anchor="_Toc130240187" w:history="1">
            <w:r w:rsidR="00856D89" w:rsidRPr="00E43D53">
              <w:rPr>
                <w:rStyle w:val="Hyperlink"/>
                <w:rFonts w:ascii="Times New Roman" w:hAnsi="Times New Roman" w:cs="Times New Roman"/>
                <w:noProof/>
              </w:rPr>
              <w:t>3.4</w:t>
            </w:r>
            <w:r w:rsidR="00856D89">
              <w:rPr>
                <w:noProof/>
              </w:rPr>
              <w:tab/>
            </w:r>
            <w:r w:rsidR="00856D89" w:rsidRPr="00E43D53">
              <w:rPr>
                <w:rStyle w:val="Hyperlink"/>
                <w:rFonts w:ascii="Times New Roman" w:hAnsi="Times New Roman" w:cs="Times New Roman"/>
                <w:noProof/>
              </w:rPr>
              <w:t>Excluded studies list</w:t>
            </w:r>
            <w:r w:rsidR="00856D89">
              <w:rPr>
                <w:noProof/>
                <w:webHidden/>
              </w:rPr>
              <w:tab/>
            </w:r>
            <w:r w:rsidR="00856D89">
              <w:rPr>
                <w:noProof/>
                <w:webHidden/>
              </w:rPr>
              <w:fldChar w:fldCharType="begin"/>
            </w:r>
            <w:r w:rsidR="00856D89">
              <w:rPr>
                <w:noProof/>
                <w:webHidden/>
              </w:rPr>
              <w:instrText xml:space="preserve"> PAGEREF _Toc130240187 \h </w:instrText>
            </w:r>
            <w:r w:rsidR="00856D89">
              <w:rPr>
                <w:noProof/>
                <w:webHidden/>
              </w:rPr>
            </w:r>
            <w:r w:rsidR="00856D89">
              <w:rPr>
                <w:noProof/>
                <w:webHidden/>
              </w:rPr>
              <w:fldChar w:fldCharType="separate"/>
            </w:r>
            <w:r w:rsidR="00856D89">
              <w:rPr>
                <w:noProof/>
                <w:webHidden/>
              </w:rPr>
              <w:t>51</w:t>
            </w:r>
            <w:r w:rsidR="00856D89">
              <w:rPr>
                <w:noProof/>
                <w:webHidden/>
              </w:rPr>
              <w:fldChar w:fldCharType="end"/>
            </w:r>
          </w:hyperlink>
        </w:p>
        <w:p w14:paraId="60EDA901" w14:textId="3DE6B8C6" w:rsidR="00856D89" w:rsidRDefault="002E74AB">
          <w:pPr>
            <w:pStyle w:val="TOC1"/>
            <w:tabs>
              <w:tab w:val="left" w:pos="660"/>
              <w:tab w:val="right" w:leader="dot" w:pos="9350"/>
            </w:tabs>
            <w:rPr>
              <w:noProof/>
            </w:rPr>
          </w:pPr>
          <w:hyperlink w:anchor="_Toc130240188" w:history="1">
            <w:r w:rsidR="00856D89" w:rsidRPr="00E43D53">
              <w:rPr>
                <w:rStyle w:val="Hyperlink"/>
                <w:rFonts w:ascii="Times New Roman" w:hAnsi="Times New Roman" w:cs="Times New Roman"/>
                <w:noProof/>
              </w:rPr>
              <w:t>4.0</w:t>
            </w:r>
            <w:r w:rsidR="00856D89">
              <w:rPr>
                <w:noProof/>
              </w:rPr>
              <w:tab/>
            </w:r>
            <w:r w:rsidR="00856D89" w:rsidRPr="00E43D53">
              <w:rPr>
                <w:rStyle w:val="Hyperlink"/>
                <w:rFonts w:ascii="Times New Roman" w:hAnsi="Times New Roman" w:cs="Times New Roman"/>
                <w:noProof/>
              </w:rPr>
              <w:t>Indirect treatment comparison feasibility assessment</w:t>
            </w:r>
            <w:r w:rsidR="00856D89">
              <w:rPr>
                <w:noProof/>
                <w:webHidden/>
              </w:rPr>
              <w:tab/>
            </w:r>
            <w:r w:rsidR="00856D89">
              <w:rPr>
                <w:noProof/>
                <w:webHidden/>
              </w:rPr>
              <w:fldChar w:fldCharType="begin"/>
            </w:r>
            <w:r w:rsidR="00856D89">
              <w:rPr>
                <w:noProof/>
                <w:webHidden/>
              </w:rPr>
              <w:instrText xml:space="preserve"> PAGEREF _Toc130240188 \h </w:instrText>
            </w:r>
            <w:r w:rsidR="00856D89">
              <w:rPr>
                <w:noProof/>
                <w:webHidden/>
              </w:rPr>
            </w:r>
            <w:r w:rsidR="00856D89">
              <w:rPr>
                <w:noProof/>
                <w:webHidden/>
              </w:rPr>
              <w:fldChar w:fldCharType="separate"/>
            </w:r>
            <w:r w:rsidR="00856D89">
              <w:rPr>
                <w:noProof/>
                <w:webHidden/>
              </w:rPr>
              <w:t>148</w:t>
            </w:r>
            <w:r w:rsidR="00856D89">
              <w:rPr>
                <w:noProof/>
                <w:webHidden/>
              </w:rPr>
              <w:fldChar w:fldCharType="end"/>
            </w:r>
          </w:hyperlink>
        </w:p>
        <w:p w14:paraId="18797C5C" w14:textId="7F98B469" w:rsidR="00856D89" w:rsidRDefault="002E74AB">
          <w:pPr>
            <w:pStyle w:val="TOC2"/>
            <w:tabs>
              <w:tab w:val="left" w:pos="880"/>
              <w:tab w:val="right" w:leader="dot" w:pos="9350"/>
            </w:tabs>
            <w:rPr>
              <w:noProof/>
            </w:rPr>
          </w:pPr>
          <w:hyperlink w:anchor="_Toc130240189" w:history="1">
            <w:r w:rsidR="00856D89" w:rsidRPr="00E43D53">
              <w:rPr>
                <w:rStyle w:val="Hyperlink"/>
                <w:rFonts w:ascii="Times New Roman" w:hAnsi="Times New Roman" w:cs="Times New Roman"/>
                <w:noProof/>
              </w:rPr>
              <w:t>4.1</w:t>
            </w:r>
            <w:r w:rsidR="00856D89">
              <w:rPr>
                <w:noProof/>
              </w:rPr>
              <w:tab/>
            </w:r>
            <w:r w:rsidR="00856D89" w:rsidRPr="00E43D53">
              <w:rPr>
                <w:rStyle w:val="Hyperlink"/>
                <w:rFonts w:ascii="Times New Roman" w:hAnsi="Times New Roman" w:cs="Times New Roman"/>
                <w:noProof/>
              </w:rPr>
              <w:t>Study characteristics</w:t>
            </w:r>
            <w:r w:rsidR="00856D89">
              <w:rPr>
                <w:noProof/>
                <w:webHidden/>
              </w:rPr>
              <w:tab/>
            </w:r>
            <w:r w:rsidR="00856D89">
              <w:rPr>
                <w:noProof/>
                <w:webHidden/>
              </w:rPr>
              <w:fldChar w:fldCharType="begin"/>
            </w:r>
            <w:r w:rsidR="00856D89">
              <w:rPr>
                <w:noProof/>
                <w:webHidden/>
              </w:rPr>
              <w:instrText xml:space="preserve"> PAGEREF _Toc130240189 \h </w:instrText>
            </w:r>
            <w:r w:rsidR="00856D89">
              <w:rPr>
                <w:noProof/>
                <w:webHidden/>
              </w:rPr>
            </w:r>
            <w:r w:rsidR="00856D89">
              <w:rPr>
                <w:noProof/>
                <w:webHidden/>
              </w:rPr>
              <w:fldChar w:fldCharType="separate"/>
            </w:r>
            <w:r w:rsidR="00856D89">
              <w:rPr>
                <w:noProof/>
                <w:webHidden/>
              </w:rPr>
              <w:t>148</w:t>
            </w:r>
            <w:r w:rsidR="00856D89">
              <w:rPr>
                <w:noProof/>
                <w:webHidden/>
              </w:rPr>
              <w:fldChar w:fldCharType="end"/>
            </w:r>
          </w:hyperlink>
        </w:p>
        <w:p w14:paraId="07A4859B" w14:textId="6EC618E3" w:rsidR="00856D89" w:rsidRDefault="002E74AB">
          <w:pPr>
            <w:pStyle w:val="TOC2"/>
            <w:tabs>
              <w:tab w:val="left" w:pos="880"/>
              <w:tab w:val="right" w:leader="dot" w:pos="9350"/>
            </w:tabs>
            <w:rPr>
              <w:noProof/>
            </w:rPr>
          </w:pPr>
          <w:hyperlink w:anchor="_Toc130240190" w:history="1">
            <w:r w:rsidR="00856D89" w:rsidRPr="00E43D53">
              <w:rPr>
                <w:rStyle w:val="Hyperlink"/>
                <w:rFonts w:ascii="Times New Roman" w:hAnsi="Times New Roman" w:cs="Times New Roman"/>
                <w:noProof/>
              </w:rPr>
              <w:t>4.2</w:t>
            </w:r>
            <w:r w:rsidR="00856D89">
              <w:rPr>
                <w:noProof/>
              </w:rPr>
              <w:tab/>
            </w:r>
            <w:r w:rsidR="00856D89" w:rsidRPr="00E43D53">
              <w:rPr>
                <w:rStyle w:val="Hyperlink"/>
                <w:rFonts w:ascii="Times New Roman" w:hAnsi="Times New Roman" w:cs="Times New Roman"/>
                <w:noProof/>
              </w:rPr>
              <w:t>Eligibility criteria</w:t>
            </w:r>
            <w:r w:rsidR="00856D89">
              <w:rPr>
                <w:noProof/>
                <w:webHidden/>
              </w:rPr>
              <w:tab/>
            </w:r>
            <w:r w:rsidR="00856D89">
              <w:rPr>
                <w:noProof/>
                <w:webHidden/>
              </w:rPr>
              <w:fldChar w:fldCharType="begin"/>
            </w:r>
            <w:r w:rsidR="00856D89">
              <w:rPr>
                <w:noProof/>
                <w:webHidden/>
              </w:rPr>
              <w:instrText xml:space="preserve"> PAGEREF _Toc130240190 \h </w:instrText>
            </w:r>
            <w:r w:rsidR="00856D89">
              <w:rPr>
                <w:noProof/>
                <w:webHidden/>
              </w:rPr>
            </w:r>
            <w:r w:rsidR="00856D89">
              <w:rPr>
                <w:noProof/>
                <w:webHidden/>
              </w:rPr>
              <w:fldChar w:fldCharType="separate"/>
            </w:r>
            <w:r w:rsidR="00856D89">
              <w:rPr>
                <w:noProof/>
                <w:webHidden/>
              </w:rPr>
              <w:t>149</w:t>
            </w:r>
            <w:r w:rsidR="00856D89">
              <w:rPr>
                <w:noProof/>
                <w:webHidden/>
              </w:rPr>
              <w:fldChar w:fldCharType="end"/>
            </w:r>
          </w:hyperlink>
        </w:p>
        <w:p w14:paraId="4DA636EB" w14:textId="17DA14DF" w:rsidR="00856D89" w:rsidRDefault="002E74AB">
          <w:pPr>
            <w:pStyle w:val="TOC2"/>
            <w:tabs>
              <w:tab w:val="left" w:pos="880"/>
              <w:tab w:val="right" w:leader="dot" w:pos="9350"/>
            </w:tabs>
            <w:rPr>
              <w:noProof/>
            </w:rPr>
          </w:pPr>
          <w:hyperlink w:anchor="_Toc130240191" w:history="1">
            <w:r w:rsidR="00856D89" w:rsidRPr="00E43D53">
              <w:rPr>
                <w:rStyle w:val="Hyperlink"/>
                <w:rFonts w:ascii="Times New Roman" w:hAnsi="Times New Roman" w:cs="Times New Roman"/>
                <w:noProof/>
              </w:rPr>
              <w:t>4.3</w:t>
            </w:r>
            <w:r w:rsidR="00856D89">
              <w:rPr>
                <w:noProof/>
              </w:rPr>
              <w:tab/>
            </w:r>
            <w:r w:rsidR="00856D89" w:rsidRPr="00E43D53">
              <w:rPr>
                <w:rStyle w:val="Hyperlink"/>
                <w:rFonts w:ascii="Times New Roman" w:hAnsi="Times New Roman" w:cs="Times New Roman"/>
                <w:noProof/>
              </w:rPr>
              <w:t>Patient population characteristics</w:t>
            </w:r>
            <w:r w:rsidR="00856D89">
              <w:rPr>
                <w:noProof/>
                <w:webHidden/>
              </w:rPr>
              <w:tab/>
            </w:r>
            <w:r w:rsidR="00856D89">
              <w:rPr>
                <w:noProof/>
                <w:webHidden/>
              </w:rPr>
              <w:fldChar w:fldCharType="begin"/>
            </w:r>
            <w:r w:rsidR="00856D89">
              <w:rPr>
                <w:noProof/>
                <w:webHidden/>
              </w:rPr>
              <w:instrText xml:space="preserve"> PAGEREF _Toc130240191 \h </w:instrText>
            </w:r>
            <w:r w:rsidR="00856D89">
              <w:rPr>
                <w:noProof/>
                <w:webHidden/>
              </w:rPr>
            </w:r>
            <w:r w:rsidR="00856D89">
              <w:rPr>
                <w:noProof/>
                <w:webHidden/>
              </w:rPr>
              <w:fldChar w:fldCharType="separate"/>
            </w:r>
            <w:r w:rsidR="00856D89">
              <w:rPr>
                <w:noProof/>
                <w:webHidden/>
              </w:rPr>
              <w:t>150</w:t>
            </w:r>
            <w:r w:rsidR="00856D89">
              <w:rPr>
                <w:noProof/>
                <w:webHidden/>
              </w:rPr>
              <w:fldChar w:fldCharType="end"/>
            </w:r>
          </w:hyperlink>
        </w:p>
        <w:p w14:paraId="7C95A444" w14:textId="7DA220ED" w:rsidR="00856D89" w:rsidRDefault="002E74AB">
          <w:pPr>
            <w:pStyle w:val="TOC2"/>
            <w:tabs>
              <w:tab w:val="left" w:pos="880"/>
              <w:tab w:val="right" w:leader="dot" w:pos="9350"/>
            </w:tabs>
            <w:rPr>
              <w:noProof/>
            </w:rPr>
          </w:pPr>
          <w:hyperlink w:anchor="_Toc130240192" w:history="1">
            <w:r w:rsidR="00856D89" w:rsidRPr="00E43D53">
              <w:rPr>
                <w:rStyle w:val="Hyperlink"/>
                <w:rFonts w:ascii="Times New Roman" w:hAnsi="Times New Roman" w:cs="Times New Roman"/>
                <w:noProof/>
              </w:rPr>
              <w:t>4.4</w:t>
            </w:r>
            <w:r w:rsidR="00856D89">
              <w:rPr>
                <w:noProof/>
              </w:rPr>
              <w:tab/>
            </w:r>
            <w:r w:rsidR="00856D89" w:rsidRPr="00E43D53">
              <w:rPr>
                <w:rStyle w:val="Hyperlink"/>
                <w:rFonts w:ascii="Times New Roman" w:hAnsi="Times New Roman" w:cs="Times New Roman"/>
                <w:noProof/>
              </w:rPr>
              <w:t>Outcome measurement</w:t>
            </w:r>
            <w:r w:rsidR="00856D89">
              <w:rPr>
                <w:noProof/>
                <w:webHidden/>
              </w:rPr>
              <w:tab/>
            </w:r>
            <w:r w:rsidR="00856D89">
              <w:rPr>
                <w:noProof/>
                <w:webHidden/>
              </w:rPr>
              <w:fldChar w:fldCharType="begin"/>
            </w:r>
            <w:r w:rsidR="00856D89">
              <w:rPr>
                <w:noProof/>
                <w:webHidden/>
              </w:rPr>
              <w:instrText xml:space="preserve"> PAGEREF _Toc130240192 \h </w:instrText>
            </w:r>
            <w:r w:rsidR="00856D89">
              <w:rPr>
                <w:noProof/>
                <w:webHidden/>
              </w:rPr>
            </w:r>
            <w:r w:rsidR="00856D89">
              <w:rPr>
                <w:noProof/>
                <w:webHidden/>
              </w:rPr>
              <w:fldChar w:fldCharType="separate"/>
            </w:r>
            <w:r w:rsidR="00856D89">
              <w:rPr>
                <w:noProof/>
                <w:webHidden/>
              </w:rPr>
              <w:t>154</w:t>
            </w:r>
            <w:r w:rsidR="00856D89">
              <w:rPr>
                <w:noProof/>
                <w:webHidden/>
              </w:rPr>
              <w:fldChar w:fldCharType="end"/>
            </w:r>
          </w:hyperlink>
        </w:p>
        <w:p w14:paraId="13CBCF2C" w14:textId="66F33BDB" w:rsidR="00856D89" w:rsidRDefault="002E74AB">
          <w:pPr>
            <w:pStyle w:val="TOC3"/>
            <w:tabs>
              <w:tab w:val="left" w:pos="1320"/>
              <w:tab w:val="right" w:leader="dot" w:pos="9350"/>
            </w:tabs>
            <w:rPr>
              <w:noProof/>
            </w:rPr>
          </w:pPr>
          <w:hyperlink w:anchor="_Toc130240193" w:history="1">
            <w:r w:rsidR="00856D89" w:rsidRPr="00E43D53">
              <w:rPr>
                <w:rStyle w:val="Hyperlink"/>
                <w:rFonts w:ascii="Times New Roman" w:hAnsi="Times New Roman" w:cs="Times New Roman"/>
                <w:noProof/>
              </w:rPr>
              <w:t>4.4.1</w:t>
            </w:r>
            <w:r w:rsidR="00856D89">
              <w:rPr>
                <w:noProof/>
              </w:rPr>
              <w:tab/>
            </w:r>
            <w:r w:rsidR="00856D89" w:rsidRPr="00E43D53">
              <w:rPr>
                <w:rStyle w:val="Hyperlink"/>
                <w:rFonts w:ascii="Times New Roman" w:hAnsi="Times New Roman" w:cs="Times New Roman"/>
                <w:noProof/>
              </w:rPr>
              <w:t>Techniques for measurement of brain volume loss</w:t>
            </w:r>
            <w:r w:rsidR="00856D89">
              <w:rPr>
                <w:noProof/>
                <w:webHidden/>
              </w:rPr>
              <w:tab/>
            </w:r>
            <w:r w:rsidR="00856D89">
              <w:rPr>
                <w:noProof/>
                <w:webHidden/>
              </w:rPr>
              <w:fldChar w:fldCharType="begin"/>
            </w:r>
            <w:r w:rsidR="00856D89">
              <w:rPr>
                <w:noProof/>
                <w:webHidden/>
              </w:rPr>
              <w:instrText xml:space="preserve"> PAGEREF _Toc130240193 \h </w:instrText>
            </w:r>
            <w:r w:rsidR="00856D89">
              <w:rPr>
                <w:noProof/>
                <w:webHidden/>
              </w:rPr>
            </w:r>
            <w:r w:rsidR="00856D89">
              <w:rPr>
                <w:noProof/>
                <w:webHidden/>
              </w:rPr>
              <w:fldChar w:fldCharType="separate"/>
            </w:r>
            <w:r w:rsidR="00856D89">
              <w:rPr>
                <w:noProof/>
                <w:webHidden/>
              </w:rPr>
              <w:t>154</w:t>
            </w:r>
            <w:r w:rsidR="00856D89">
              <w:rPr>
                <w:noProof/>
                <w:webHidden/>
              </w:rPr>
              <w:fldChar w:fldCharType="end"/>
            </w:r>
          </w:hyperlink>
        </w:p>
        <w:p w14:paraId="0CD7983D" w14:textId="31CB0821" w:rsidR="00856D89" w:rsidRDefault="002E74AB">
          <w:pPr>
            <w:pStyle w:val="TOC3"/>
            <w:tabs>
              <w:tab w:val="left" w:pos="1320"/>
              <w:tab w:val="right" w:leader="dot" w:pos="9350"/>
            </w:tabs>
            <w:rPr>
              <w:noProof/>
            </w:rPr>
          </w:pPr>
          <w:hyperlink w:anchor="_Toc130240194" w:history="1">
            <w:r w:rsidR="00856D89" w:rsidRPr="00E43D53">
              <w:rPr>
                <w:rStyle w:val="Hyperlink"/>
                <w:rFonts w:ascii="Times New Roman" w:hAnsi="Times New Roman" w:cs="Times New Roman"/>
                <w:noProof/>
              </w:rPr>
              <w:t>4.4.2</w:t>
            </w:r>
            <w:r w:rsidR="00856D89">
              <w:rPr>
                <w:noProof/>
              </w:rPr>
              <w:tab/>
            </w:r>
            <w:r w:rsidR="00856D89" w:rsidRPr="00E43D53">
              <w:rPr>
                <w:rStyle w:val="Hyperlink"/>
                <w:rFonts w:ascii="Times New Roman" w:hAnsi="Times New Roman" w:cs="Times New Roman"/>
                <w:noProof/>
              </w:rPr>
              <w:t>Measurement timepoints for brain volume loss</w:t>
            </w:r>
            <w:r w:rsidR="00856D89">
              <w:rPr>
                <w:noProof/>
                <w:webHidden/>
              </w:rPr>
              <w:tab/>
            </w:r>
            <w:r w:rsidR="00856D89">
              <w:rPr>
                <w:noProof/>
                <w:webHidden/>
              </w:rPr>
              <w:fldChar w:fldCharType="begin"/>
            </w:r>
            <w:r w:rsidR="00856D89">
              <w:rPr>
                <w:noProof/>
                <w:webHidden/>
              </w:rPr>
              <w:instrText xml:space="preserve"> PAGEREF _Toc130240194 \h </w:instrText>
            </w:r>
            <w:r w:rsidR="00856D89">
              <w:rPr>
                <w:noProof/>
                <w:webHidden/>
              </w:rPr>
            </w:r>
            <w:r w:rsidR="00856D89">
              <w:rPr>
                <w:noProof/>
                <w:webHidden/>
              </w:rPr>
              <w:fldChar w:fldCharType="separate"/>
            </w:r>
            <w:r w:rsidR="00856D89">
              <w:rPr>
                <w:noProof/>
                <w:webHidden/>
              </w:rPr>
              <w:t>155</w:t>
            </w:r>
            <w:r w:rsidR="00856D89">
              <w:rPr>
                <w:noProof/>
                <w:webHidden/>
              </w:rPr>
              <w:fldChar w:fldCharType="end"/>
            </w:r>
          </w:hyperlink>
        </w:p>
        <w:p w14:paraId="45F81A0D" w14:textId="07B818FB" w:rsidR="00856D89" w:rsidRDefault="002E74AB">
          <w:pPr>
            <w:pStyle w:val="TOC1"/>
            <w:tabs>
              <w:tab w:val="left" w:pos="660"/>
              <w:tab w:val="right" w:leader="dot" w:pos="9350"/>
            </w:tabs>
            <w:rPr>
              <w:noProof/>
            </w:rPr>
          </w:pPr>
          <w:hyperlink w:anchor="_Toc130240195" w:history="1">
            <w:r w:rsidR="00856D89" w:rsidRPr="00E43D53">
              <w:rPr>
                <w:rStyle w:val="Hyperlink"/>
                <w:rFonts w:ascii="Times New Roman" w:hAnsi="Times New Roman" w:cs="Times New Roman"/>
                <w:noProof/>
              </w:rPr>
              <w:t>5.0</w:t>
            </w:r>
            <w:r w:rsidR="00856D89">
              <w:rPr>
                <w:noProof/>
              </w:rPr>
              <w:tab/>
            </w:r>
            <w:r w:rsidR="00856D89" w:rsidRPr="00E43D53">
              <w:rPr>
                <w:rStyle w:val="Hyperlink"/>
                <w:rFonts w:ascii="Times New Roman" w:hAnsi="Times New Roman" w:cs="Times New Roman"/>
                <w:noProof/>
              </w:rPr>
              <w:t>Brain volume loss data incorporated in ITCs</w:t>
            </w:r>
            <w:r w:rsidR="00856D89">
              <w:rPr>
                <w:noProof/>
                <w:webHidden/>
              </w:rPr>
              <w:tab/>
            </w:r>
            <w:r w:rsidR="00856D89">
              <w:rPr>
                <w:noProof/>
                <w:webHidden/>
              </w:rPr>
              <w:fldChar w:fldCharType="begin"/>
            </w:r>
            <w:r w:rsidR="00856D89">
              <w:rPr>
                <w:noProof/>
                <w:webHidden/>
              </w:rPr>
              <w:instrText xml:space="preserve"> PAGEREF _Toc130240195 \h </w:instrText>
            </w:r>
            <w:r w:rsidR="00856D89">
              <w:rPr>
                <w:noProof/>
                <w:webHidden/>
              </w:rPr>
            </w:r>
            <w:r w:rsidR="00856D89">
              <w:rPr>
                <w:noProof/>
                <w:webHidden/>
              </w:rPr>
              <w:fldChar w:fldCharType="separate"/>
            </w:r>
            <w:r w:rsidR="00856D89">
              <w:rPr>
                <w:noProof/>
                <w:webHidden/>
              </w:rPr>
              <w:t>156</w:t>
            </w:r>
            <w:r w:rsidR="00856D89">
              <w:rPr>
                <w:noProof/>
                <w:webHidden/>
              </w:rPr>
              <w:fldChar w:fldCharType="end"/>
            </w:r>
          </w:hyperlink>
        </w:p>
        <w:p w14:paraId="5916759B" w14:textId="178A1CCA" w:rsidR="00856D89" w:rsidRDefault="00856D89">
          <w:r>
            <w:rPr>
              <w:b/>
              <w:bCs/>
              <w:noProof/>
            </w:rPr>
            <w:fldChar w:fldCharType="end"/>
          </w:r>
        </w:p>
      </w:sdtContent>
    </w:sdt>
    <w:p w14:paraId="5296225B" w14:textId="08248FCF" w:rsidR="00856D89" w:rsidRDefault="00DC0E50" w:rsidP="001379FF">
      <w:pPr>
        <w:pStyle w:val="Heading1"/>
        <w:pageBreakBefore/>
        <w:ind w:left="965" w:hanging="965"/>
        <w:rPr>
          <w:rFonts w:ascii="Times New Roman" w:hAnsi="Times New Roman" w:cs="Times New Roman"/>
        </w:rPr>
      </w:pPr>
      <w:bookmarkStart w:id="4" w:name="_Toc130240171"/>
      <w:r w:rsidRPr="00856D89">
        <w:rPr>
          <w:rFonts w:ascii="Times New Roman" w:hAnsi="Times New Roman" w:cs="Times New Roman"/>
        </w:rPr>
        <w:lastRenderedPageBreak/>
        <w:t xml:space="preserve">Systematic </w:t>
      </w:r>
      <w:r w:rsidR="00DC12BB" w:rsidRPr="00856D89">
        <w:rPr>
          <w:rFonts w:ascii="Times New Roman" w:hAnsi="Times New Roman" w:cs="Times New Roman"/>
        </w:rPr>
        <w:t>l</w:t>
      </w:r>
      <w:r w:rsidRPr="00856D89">
        <w:rPr>
          <w:rFonts w:ascii="Times New Roman" w:hAnsi="Times New Roman" w:cs="Times New Roman"/>
        </w:rPr>
        <w:t xml:space="preserve">iterature </w:t>
      </w:r>
      <w:r w:rsidR="00DC12BB" w:rsidRPr="00856D89">
        <w:rPr>
          <w:rFonts w:ascii="Times New Roman" w:hAnsi="Times New Roman" w:cs="Times New Roman"/>
        </w:rPr>
        <w:t>r</w:t>
      </w:r>
      <w:r w:rsidRPr="00856D89">
        <w:rPr>
          <w:rFonts w:ascii="Times New Roman" w:hAnsi="Times New Roman" w:cs="Times New Roman"/>
        </w:rPr>
        <w:t xml:space="preserve">eview </w:t>
      </w:r>
      <w:r w:rsidR="00DC12BB" w:rsidRPr="00856D89">
        <w:rPr>
          <w:rFonts w:ascii="Times New Roman" w:hAnsi="Times New Roman" w:cs="Times New Roman"/>
        </w:rPr>
        <w:t>m</w:t>
      </w:r>
      <w:r w:rsidRPr="00856D89">
        <w:rPr>
          <w:rFonts w:ascii="Times New Roman" w:hAnsi="Times New Roman" w:cs="Times New Roman"/>
        </w:rPr>
        <w:t>ethods</w:t>
      </w:r>
      <w:bookmarkEnd w:id="4"/>
      <w:r w:rsidR="00713F1E" w:rsidRPr="00856D89">
        <w:rPr>
          <w:rFonts w:ascii="Times New Roman" w:hAnsi="Times New Roman" w:cs="Times New Roman"/>
        </w:rPr>
        <w:t xml:space="preserve">                                                                 </w:t>
      </w:r>
    </w:p>
    <w:p w14:paraId="719BBED7" w14:textId="1002B2E8" w:rsidR="00DC0E50" w:rsidRPr="00856D89" w:rsidRDefault="00DC0E50" w:rsidP="00856D89">
      <w:pPr>
        <w:pStyle w:val="Heading2"/>
        <w:rPr>
          <w:rFonts w:ascii="Times New Roman" w:hAnsi="Times New Roman" w:cs="Times New Roman"/>
        </w:rPr>
      </w:pPr>
      <w:bookmarkStart w:id="5" w:name="_Toc130240172"/>
      <w:r w:rsidRPr="00856D89">
        <w:rPr>
          <w:rFonts w:ascii="Times New Roman" w:hAnsi="Times New Roman" w:cs="Times New Roman"/>
        </w:rPr>
        <w:t xml:space="preserve">Final </w:t>
      </w:r>
      <w:r w:rsidR="00DC12BB" w:rsidRPr="00856D89">
        <w:rPr>
          <w:rFonts w:ascii="Times New Roman" w:hAnsi="Times New Roman" w:cs="Times New Roman"/>
        </w:rPr>
        <w:t>search strategy for database searching</w:t>
      </w:r>
      <w:bookmarkEnd w:id="5"/>
    </w:p>
    <w:p w14:paraId="51C3D25A" w14:textId="7C150005" w:rsidR="00DC0E50" w:rsidRPr="00A14942" w:rsidRDefault="00160246" w:rsidP="00223A29">
      <w:pPr>
        <w:pStyle w:val="Heading3"/>
        <w:rPr>
          <w:rFonts w:ascii="Times New Roman" w:hAnsi="Times New Roman" w:cs="Times New Roman"/>
        </w:rPr>
      </w:pPr>
      <w:bookmarkStart w:id="6" w:name="_Toc130240173"/>
      <w:r w:rsidRPr="00A14942">
        <w:rPr>
          <w:rFonts w:ascii="Times New Roman" w:hAnsi="Times New Roman" w:cs="Times New Roman"/>
        </w:rPr>
        <w:t xml:space="preserve">Core database search: </w:t>
      </w:r>
      <w:r w:rsidR="009A5624" w:rsidRPr="00A14942">
        <w:rPr>
          <w:rFonts w:ascii="Times New Roman" w:hAnsi="Times New Roman" w:cs="Times New Roman"/>
        </w:rPr>
        <w:t>May</w:t>
      </w:r>
      <w:r w:rsidR="00DC0E50" w:rsidRPr="00A14942">
        <w:rPr>
          <w:rFonts w:ascii="Times New Roman" w:hAnsi="Times New Roman" w:cs="Times New Roman"/>
        </w:rPr>
        <w:t xml:space="preserve"> 20, 2020</w:t>
      </w:r>
      <w:bookmarkEnd w:id="6"/>
    </w:p>
    <w:p w14:paraId="165ED6DA" w14:textId="503FE463" w:rsidR="00DC0E50" w:rsidRPr="00A14942" w:rsidRDefault="00DC0E50" w:rsidP="00DC0E50">
      <w:pPr>
        <w:spacing w:after="0"/>
        <w:rPr>
          <w:rFonts w:ascii="Times New Roman" w:hAnsi="Times New Roman" w:cs="Times New Roman"/>
        </w:rPr>
      </w:pPr>
      <w:r w:rsidRPr="00A14942">
        <w:rPr>
          <w:rFonts w:ascii="Times New Roman" w:hAnsi="Times New Roman" w:cs="Times New Roman"/>
          <w:b/>
        </w:rPr>
        <w:t>Date of the search:</w:t>
      </w:r>
      <w:r w:rsidRPr="00A14942">
        <w:rPr>
          <w:rFonts w:ascii="Times New Roman" w:hAnsi="Times New Roman" w:cs="Times New Roman"/>
        </w:rPr>
        <w:t xml:space="preserve"> 20 </w:t>
      </w:r>
      <w:r w:rsidR="009A5624" w:rsidRPr="00A14942">
        <w:rPr>
          <w:rFonts w:ascii="Times New Roman" w:hAnsi="Times New Roman" w:cs="Times New Roman"/>
        </w:rPr>
        <w:t>May</w:t>
      </w:r>
      <w:r w:rsidRPr="00A14942">
        <w:rPr>
          <w:rFonts w:ascii="Times New Roman" w:hAnsi="Times New Roman" w:cs="Times New Roman"/>
        </w:rPr>
        <w:t xml:space="preserve"> 2020</w:t>
      </w:r>
    </w:p>
    <w:p w14:paraId="4F651911" w14:textId="77777777" w:rsidR="00DC0E50" w:rsidRPr="00A14942" w:rsidRDefault="00DC0E50" w:rsidP="00DC0E50">
      <w:pPr>
        <w:spacing w:after="0"/>
        <w:rPr>
          <w:rFonts w:ascii="Times New Roman" w:hAnsi="Times New Roman" w:cs="Times New Roman"/>
        </w:rPr>
      </w:pPr>
    </w:p>
    <w:p w14:paraId="747F6E63" w14:textId="77777777" w:rsidR="00DC0E50" w:rsidRPr="00A14942" w:rsidRDefault="00DC0E50" w:rsidP="00DC0E50">
      <w:pPr>
        <w:spacing w:after="0"/>
        <w:rPr>
          <w:rFonts w:ascii="Times New Roman" w:hAnsi="Times New Roman" w:cs="Times New Roman"/>
          <w:b/>
        </w:rPr>
      </w:pPr>
      <w:r w:rsidRPr="00A14942">
        <w:rPr>
          <w:rFonts w:ascii="Times New Roman" w:hAnsi="Times New Roman" w:cs="Times New Roman"/>
          <w:b/>
        </w:rPr>
        <w:t xml:space="preserve">Database searched: </w:t>
      </w:r>
    </w:p>
    <w:p w14:paraId="57BABFF4" w14:textId="77777777" w:rsidR="00DC0E50" w:rsidRPr="00A14942" w:rsidRDefault="00DC0E50" w:rsidP="00223A29">
      <w:pPr>
        <w:pStyle w:val="ListParagraph"/>
        <w:numPr>
          <w:ilvl w:val="0"/>
          <w:numId w:val="19"/>
        </w:numPr>
        <w:spacing w:after="0" w:line="240" w:lineRule="auto"/>
        <w:rPr>
          <w:rFonts w:ascii="Times New Roman" w:hAnsi="Times New Roman" w:cs="Times New Roman"/>
          <w:lang w:val="en-CA"/>
        </w:rPr>
      </w:pPr>
      <w:r w:rsidRPr="00A14942">
        <w:rPr>
          <w:rFonts w:ascii="Times New Roman" w:hAnsi="Times New Roman" w:cs="Times New Roman"/>
          <w:lang w:val="en-CA"/>
        </w:rPr>
        <w:t>Ovid Medline</w:t>
      </w:r>
    </w:p>
    <w:p w14:paraId="3262D460" w14:textId="77777777" w:rsidR="00DC0E50" w:rsidRPr="00A14942" w:rsidRDefault="00DC0E50" w:rsidP="00223A29">
      <w:pPr>
        <w:pStyle w:val="ListParagraph"/>
        <w:numPr>
          <w:ilvl w:val="0"/>
          <w:numId w:val="19"/>
        </w:numPr>
        <w:spacing w:after="0" w:line="240" w:lineRule="auto"/>
        <w:rPr>
          <w:rFonts w:ascii="Times New Roman" w:hAnsi="Times New Roman" w:cs="Times New Roman"/>
          <w:lang w:val="en-CA"/>
        </w:rPr>
      </w:pPr>
      <w:r w:rsidRPr="00A14942">
        <w:rPr>
          <w:rFonts w:ascii="Times New Roman" w:hAnsi="Times New Roman" w:cs="Times New Roman"/>
          <w:lang w:val="en-CA"/>
        </w:rPr>
        <w:t xml:space="preserve">Ovid Medline </w:t>
      </w:r>
      <w:proofErr w:type="spellStart"/>
      <w:r w:rsidRPr="00A14942">
        <w:rPr>
          <w:rFonts w:ascii="Times New Roman" w:hAnsi="Times New Roman" w:cs="Times New Roman"/>
          <w:lang w:val="en-CA"/>
        </w:rPr>
        <w:t>Epub</w:t>
      </w:r>
      <w:proofErr w:type="spellEnd"/>
      <w:r w:rsidRPr="00A14942">
        <w:rPr>
          <w:rFonts w:ascii="Times New Roman" w:hAnsi="Times New Roman" w:cs="Times New Roman"/>
          <w:lang w:val="en-CA"/>
        </w:rPr>
        <w:t xml:space="preserve"> Ahead of Print, In-Process &amp; Other Non-Indexed Citations and Daily</w:t>
      </w:r>
    </w:p>
    <w:p w14:paraId="147A2D76" w14:textId="77777777" w:rsidR="00DC0E50" w:rsidRPr="00A14942" w:rsidRDefault="00DC0E50" w:rsidP="00223A29">
      <w:pPr>
        <w:pStyle w:val="ListParagraph"/>
        <w:numPr>
          <w:ilvl w:val="0"/>
          <w:numId w:val="19"/>
        </w:numPr>
        <w:spacing w:after="0" w:line="240" w:lineRule="auto"/>
        <w:rPr>
          <w:rFonts w:ascii="Times New Roman" w:hAnsi="Times New Roman" w:cs="Times New Roman"/>
          <w:lang w:val="en-CA"/>
        </w:rPr>
      </w:pPr>
      <w:r w:rsidRPr="00A14942">
        <w:rPr>
          <w:rFonts w:ascii="Times New Roman" w:hAnsi="Times New Roman" w:cs="Times New Roman"/>
          <w:lang w:val="en-CA"/>
        </w:rPr>
        <w:t>Ovid Embase</w:t>
      </w:r>
    </w:p>
    <w:p w14:paraId="2E2EBF64" w14:textId="77777777" w:rsidR="00DC0E50" w:rsidRPr="00A14942" w:rsidRDefault="00DC0E50" w:rsidP="00223A29">
      <w:pPr>
        <w:pStyle w:val="ListParagraph"/>
        <w:numPr>
          <w:ilvl w:val="0"/>
          <w:numId w:val="19"/>
        </w:numPr>
        <w:spacing w:after="0" w:line="240" w:lineRule="auto"/>
        <w:rPr>
          <w:rFonts w:ascii="Times New Roman" w:hAnsi="Times New Roman" w:cs="Times New Roman"/>
          <w:lang w:val="en-CA"/>
        </w:rPr>
      </w:pPr>
      <w:r w:rsidRPr="00A14942">
        <w:rPr>
          <w:rFonts w:ascii="Times New Roman" w:hAnsi="Times New Roman" w:cs="Times New Roman"/>
          <w:lang w:val="en-CA"/>
        </w:rPr>
        <w:t>Ovid EBM Reviews - Cochrane Central Register of Controlled Trials - CENTRAL</w:t>
      </w:r>
    </w:p>
    <w:p w14:paraId="527129A8" w14:textId="77777777" w:rsidR="00DC0E50" w:rsidRPr="00A14942" w:rsidRDefault="00DC0E50" w:rsidP="00DC0E50">
      <w:pPr>
        <w:spacing w:after="0" w:line="240" w:lineRule="auto"/>
        <w:rPr>
          <w:rFonts w:ascii="Times New Roman" w:hAnsi="Times New Roman" w:cs="Times New Roman"/>
          <w:lang w:val="en-CA"/>
        </w:rPr>
      </w:pPr>
    </w:p>
    <w:p w14:paraId="5A57F310" w14:textId="77777777" w:rsidR="00DC0E50" w:rsidRPr="00A14942" w:rsidRDefault="00DC0E50" w:rsidP="00DC0E50">
      <w:pPr>
        <w:spacing w:after="0"/>
        <w:rPr>
          <w:rFonts w:ascii="Times New Roman" w:hAnsi="Times New Roman" w:cs="Times New Roman"/>
          <w:b/>
          <w:bCs/>
        </w:rPr>
      </w:pPr>
      <w:r w:rsidRPr="00A14942">
        <w:rPr>
          <w:rFonts w:ascii="Times New Roman" w:hAnsi="Times New Roman" w:cs="Times New Roman"/>
          <w:b/>
          <w:bCs/>
        </w:rPr>
        <w:t xml:space="preserve">Filters: </w:t>
      </w:r>
    </w:p>
    <w:p w14:paraId="7B148F44" w14:textId="77777777" w:rsidR="00DC0E50" w:rsidRPr="00A14942" w:rsidRDefault="00DC0E50" w:rsidP="00DC0E50">
      <w:pPr>
        <w:spacing w:after="0" w:line="240" w:lineRule="auto"/>
        <w:rPr>
          <w:rFonts w:ascii="Times New Roman" w:hAnsi="Times New Roman" w:cs="Times New Roman"/>
        </w:rPr>
      </w:pPr>
      <w:r w:rsidRPr="00A14942">
        <w:rPr>
          <w:rFonts w:ascii="Times New Roman" w:hAnsi="Times New Roman" w:cs="Times New Roman"/>
          <w:b/>
          <w:bCs/>
        </w:rPr>
        <w:t>Box 3.d</w:t>
      </w:r>
      <w:r w:rsidRPr="00A14942">
        <w:rPr>
          <w:rFonts w:ascii="Times New Roman" w:hAnsi="Times New Roman" w:cs="Times New Roman"/>
        </w:rPr>
        <w:t xml:space="preserve"> </w:t>
      </w:r>
      <w:r w:rsidRPr="00A14942">
        <w:rPr>
          <w:rFonts w:ascii="Times New Roman" w:hAnsi="Times New Roman" w:cs="Times New Roman"/>
          <w:b/>
          <w:bCs/>
        </w:rPr>
        <w:t>Cochrane Highly Sensitive Search Strategy for identifying randomized trials in</w:t>
      </w:r>
      <w:r w:rsidRPr="00A14942">
        <w:rPr>
          <w:rFonts w:ascii="Times New Roman" w:hAnsi="Times New Roman" w:cs="Times New Roman"/>
        </w:rPr>
        <w:t xml:space="preserve"> </w:t>
      </w:r>
      <w:r w:rsidRPr="00A14942">
        <w:rPr>
          <w:rFonts w:ascii="Times New Roman" w:hAnsi="Times New Roman" w:cs="Times New Roman"/>
          <w:b/>
          <w:bCs/>
        </w:rPr>
        <w:t>MEDLINE</w:t>
      </w:r>
      <w:r w:rsidRPr="00A14942">
        <w:rPr>
          <w:rFonts w:ascii="Times New Roman" w:hAnsi="Times New Roman" w:cs="Times New Roman"/>
        </w:rPr>
        <w:t xml:space="preserve">: sensitivity- and precision-maximizing version (2008 revision); Ovid format </w:t>
      </w:r>
    </w:p>
    <w:p w14:paraId="5EC91777" w14:textId="77777777" w:rsidR="00DC0E50" w:rsidRPr="00A14942" w:rsidRDefault="002E74AB" w:rsidP="00DC0E50">
      <w:pPr>
        <w:spacing w:after="0" w:line="240" w:lineRule="auto"/>
        <w:rPr>
          <w:rFonts w:ascii="Times New Roman" w:hAnsi="Times New Roman" w:cs="Times New Roman"/>
        </w:rPr>
      </w:pPr>
      <w:hyperlink r:id="rId11" w:anchor="section-3-6-1" w:history="1">
        <w:r w:rsidR="00DC0E50" w:rsidRPr="00A14942">
          <w:rPr>
            <w:rStyle w:val="Hyperlink"/>
            <w:rFonts w:ascii="Times New Roman" w:hAnsi="Times New Roman" w:cs="Times New Roman"/>
          </w:rPr>
          <w:t>https://training.cochrane.org/handbook/current/chapter-04-technical-supplement-searching-and-selecting-studies#section-3-6-1</w:t>
        </w:r>
      </w:hyperlink>
      <w:r w:rsidR="00DC0E50" w:rsidRPr="00A14942">
        <w:rPr>
          <w:rFonts w:ascii="Times New Roman" w:hAnsi="Times New Roman" w:cs="Times New Roman"/>
        </w:rPr>
        <w:t xml:space="preserve"> sourced from:</w:t>
      </w:r>
    </w:p>
    <w:p w14:paraId="6396227F" w14:textId="77777777" w:rsidR="00DC0E50" w:rsidRPr="00A14942" w:rsidRDefault="00DC0E50" w:rsidP="00DC0E50">
      <w:pPr>
        <w:spacing w:after="0" w:line="240" w:lineRule="auto"/>
        <w:rPr>
          <w:rFonts w:ascii="Times New Roman" w:hAnsi="Times New Roman" w:cs="Times New Roman"/>
        </w:rPr>
      </w:pPr>
      <w:r w:rsidRPr="00A14942">
        <w:rPr>
          <w:rFonts w:ascii="Times New Roman" w:hAnsi="Times New Roman" w:cs="Times New Roman"/>
        </w:rPr>
        <w:t xml:space="preserve">Lefebvre C, Glanville J, Briscoe S, Littlewood A, Marshall C, </w:t>
      </w:r>
      <w:proofErr w:type="spellStart"/>
      <w:r w:rsidRPr="00A14942">
        <w:rPr>
          <w:rFonts w:ascii="Times New Roman" w:hAnsi="Times New Roman" w:cs="Times New Roman"/>
        </w:rPr>
        <w:t>Metzendorf</w:t>
      </w:r>
      <w:proofErr w:type="spellEnd"/>
      <w:r w:rsidRPr="00A14942">
        <w:rPr>
          <w:rFonts w:ascii="Times New Roman" w:hAnsi="Times New Roman" w:cs="Times New Roman"/>
        </w:rPr>
        <w:t xml:space="preserve"> M-I, Noel-Storr A, Rader T, </w:t>
      </w:r>
      <w:proofErr w:type="spellStart"/>
      <w:r w:rsidRPr="00A14942">
        <w:rPr>
          <w:rFonts w:ascii="Times New Roman" w:hAnsi="Times New Roman" w:cs="Times New Roman"/>
        </w:rPr>
        <w:t>Shokraneh</w:t>
      </w:r>
      <w:proofErr w:type="spellEnd"/>
      <w:r w:rsidRPr="00A14942">
        <w:rPr>
          <w:rFonts w:ascii="Times New Roman" w:hAnsi="Times New Roman" w:cs="Times New Roman"/>
        </w:rPr>
        <w:t xml:space="preserve"> F, Thomas J, Wieland LS. Technical Supplement to Chapter 4: Searching for and selecting studies. In: Higgins JPT, Thomas J, Chandler J, Cumpston MS, Li T, Page MJ, Welch VA (eds). Cochrane Handbook for Systematic Reviews of Interventions Version 6. Cochrane, 2019. Available from: </w:t>
      </w:r>
      <w:hyperlink r:id="rId12" w:history="1">
        <w:r w:rsidRPr="00A14942">
          <w:rPr>
            <w:rStyle w:val="Hyperlink"/>
            <w:rFonts w:ascii="Times New Roman" w:hAnsi="Times New Roman" w:cs="Times New Roman"/>
          </w:rPr>
          <w:t>www.training.cochrane.org/handbook</w:t>
        </w:r>
      </w:hyperlink>
      <w:r w:rsidRPr="00A14942">
        <w:rPr>
          <w:rFonts w:ascii="Times New Roman" w:hAnsi="Times New Roman" w:cs="Times New Roman"/>
        </w:rPr>
        <w:t>.</w:t>
      </w:r>
    </w:p>
    <w:p w14:paraId="11B63C0E" w14:textId="77777777" w:rsidR="00DC0E50" w:rsidRPr="00A14942" w:rsidRDefault="00DC0E50" w:rsidP="00DC0E50">
      <w:pPr>
        <w:spacing w:after="0" w:line="240" w:lineRule="auto"/>
        <w:rPr>
          <w:rFonts w:ascii="Times New Roman" w:hAnsi="Times New Roman" w:cs="Times New Roman"/>
        </w:rPr>
      </w:pPr>
    </w:p>
    <w:p w14:paraId="172A975E" w14:textId="77777777" w:rsidR="00DC0E50" w:rsidRPr="00A14942" w:rsidRDefault="00DC0E50" w:rsidP="00DC0E50">
      <w:pPr>
        <w:spacing w:after="0" w:line="240" w:lineRule="auto"/>
        <w:rPr>
          <w:rFonts w:ascii="Times New Roman" w:hAnsi="Times New Roman" w:cs="Times New Roman"/>
          <w:b/>
          <w:bCs/>
        </w:rPr>
      </w:pPr>
      <w:r w:rsidRPr="00A14942">
        <w:rPr>
          <w:rFonts w:ascii="Times New Roman" w:hAnsi="Times New Roman" w:cs="Times New Roman"/>
          <w:b/>
          <w:bCs/>
        </w:rPr>
        <w:t xml:space="preserve">Ovid Expert Searches: EMBASE </w:t>
      </w:r>
      <w:hyperlink r:id="rId13" w:history="1">
        <w:r w:rsidRPr="00A14942">
          <w:rPr>
            <w:rStyle w:val="Hyperlink"/>
            <w:rFonts w:ascii="Times New Roman" w:hAnsi="Times New Roman" w:cs="Times New Roman"/>
          </w:rPr>
          <w:t>https://tools.ovid.com/ovidtools/expertsearches.html</w:t>
        </w:r>
      </w:hyperlink>
    </w:p>
    <w:p w14:paraId="57FDA00D" w14:textId="77777777" w:rsidR="00DC0E50" w:rsidRPr="00A14942" w:rsidRDefault="00DC0E50" w:rsidP="00DC0E50">
      <w:pPr>
        <w:spacing w:after="0" w:line="240" w:lineRule="auto"/>
        <w:rPr>
          <w:rFonts w:ascii="Times New Roman" w:hAnsi="Times New Roman" w:cs="Times New Roman"/>
        </w:rPr>
      </w:pPr>
    </w:p>
    <w:p w14:paraId="37F207B0" w14:textId="77777777" w:rsidR="00DC0E50" w:rsidRPr="00A14942" w:rsidRDefault="002E74AB" w:rsidP="00DC0E50">
      <w:pPr>
        <w:spacing w:after="0" w:line="240" w:lineRule="auto"/>
        <w:jc w:val="center"/>
        <w:rPr>
          <w:rFonts w:ascii="Times New Roman" w:hAnsi="Times New Roman" w:cs="Times New Roman"/>
        </w:rPr>
      </w:pPr>
      <w:r>
        <w:rPr>
          <w:rFonts w:ascii="Times New Roman" w:hAnsi="Times New Roman" w:cs="Times New Roman"/>
        </w:rPr>
        <w:pict w14:anchorId="73400B9A">
          <v:rect id="_x0000_i1025" style="width:468pt;height:1.5pt" o:hralign="center" o:hrstd="t" o:hr="t" fillcolor="#a0a0a0" stroked="f"/>
        </w:pict>
      </w:r>
    </w:p>
    <w:p w14:paraId="5B1DB32B" w14:textId="77777777" w:rsidR="00DC0E50" w:rsidRPr="00A14942" w:rsidRDefault="00DC0E50" w:rsidP="00DC0E50">
      <w:pPr>
        <w:rPr>
          <w:rFonts w:ascii="Times New Roman" w:hAnsi="Times New Roman" w:cs="Times New Roman"/>
          <w:b/>
          <w:bCs/>
        </w:rPr>
      </w:pPr>
      <w:r w:rsidRPr="00A14942">
        <w:rPr>
          <w:rFonts w:ascii="Times New Roman" w:hAnsi="Times New Roman" w:cs="Times New Roman"/>
          <w:b/>
          <w:bCs/>
        </w:rPr>
        <w:t>MULTIFILE SEARCH</w:t>
      </w:r>
    </w:p>
    <w:p w14:paraId="1D6F565C" w14:textId="77777777" w:rsidR="00DC0E50" w:rsidRPr="00A14942" w:rsidRDefault="00DC0E50" w:rsidP="00DC0E50">
      <w:pPr>
        <w:rPr>
          <w:rFonts w:ascii="Times New Roman" w:hAnsi="Times New Roman" w:cs="Times New Roman"/>
          <w:lang w:val="en-CA"/>
        </w:rPr>
      </w:pPr>
      <w:r w:rsidRPr="00A14942">
        <w:rPr>
          <w:rFonts w:ascii="Times New Roman" w:hAnsi="Times New Roman" w:cs="Times New Roman"/>
          <w:lang w:val="en-CA"/>
        </w:rPr>
        <w:t>Database(s): </w:t>
      </w:r>
      <w:r w:rsidRPr="00A14942">
        <w:rPr>
          <w:rFonts w:ascii="Times New Roman" w:hAnsi="Times New Roman" w:cs="Times New Roman"/>
          <w:b/>
          <w:bCs/>
          <w:lang w:val="en-CA"/>
        </w:rPr>
        <w:t>EBM Reviews - Cochrane Central Register of Controlled Trials </w:t>
      </w:r>
      <w:r w:rsidRPr="00A14942">
        <w:rPr>
          <w:rFonts w:ascii="Times New Roman" w:hAnsi="Times New Roman" w:cs="Times New Roman"/>
          <w:lang w:val="en-CA"/>
        </w:rPr>
        <w:t>April 2020</w:t>
      </w:r>
      <w:r w:rsidRPr="00A14942">
        <w:rPr>
          <w:rFonts w:ascii="Times New Roman" w:hAnsi="Times New Roman" w:cs="Times New Roman"/>
          <w:b/>
          <w:bCs/>
          <w:lang w:val="en-CA"/>
        </w:rPr>
        <w:t>, Embase </w:t>
      </w:r>
      <w:r w:rsidRPr="00A14942">
        <w:rPr>
          <w:rFonts w:ascii="Times New Roman" w:hAnsi="Times New Roman" w:cs="Times New Roman"/>
          <w:lang w:val="en-CA"/>
        </w:rPr>
        <w:t>1974 to 2020 May 19</w:t>
      </w:r>
      <w:r w:rsidRPr="00A14942">
        <w:rPr>
          <w:rFonts w:ascii="Times New Roman" w:hAnsi="Times New Roman" w:cs="Times New Roman"/>
          <w:b/>
          <w:bCs/>
          <w:lang w:val="en-CA"/>
        </w:rPr>
        <w:t xml:space="preserve">, Ovid MEDLINE(R) and </w:t>
      </w:r>
      <w:bookmarkStart w:id="7" w:name="_Hlk40871078"/>
      <w:proofErr w:type="spellStart"/>
      <w:r w:rsidRPr="00A14942">
        <w:rPr>
          <w:rFonts w:ascii="Times New Roman" w:hAnsi="Times New Roman" w:cs="Times New Roman"/>
          <w:b/>
          <w:bCs/>
          <w:lang w:val="en-CA"/>
        </w:rPr>
        <w:t>Epub</w:t>
      </w:r>
      <w:proofErr w:type="spellEnd"/>
      <w:r w:rsidRPr="00A14942">
        <w:rPr>
          <w:rFonts w:ascii="Times New Roman" w:hAnsi="Times New Roman" w:cs="Times New Roman"/>
          <w:b/>
          <w:bCs/>
          <w:lang w:val="en-CA"/>
        </w:rPr>
        <w:t xml:space="preserve"> Ahead of Print, In-Process &amp; Other Non-Indexed Citations and Daily </w:t>
      </w:r>
      <w:bookmarkEnd w:id="7"/>
      <w:r w:rsidRPr="00A14942">
        <w:rPr>
          <w:rFonts w:ascii="Times New Roman" w:hAnsi="Times New Roman" w:cs="Times New Roman"/>
          <w:lang w:val="en-CA"/>
        </w:rPr>
        <w:t>1946 to May 19, 2020</w:t>
      </w:r>
      <w:r w:rsidRPr="00A14942">
        <w:rPr>
          <w:rFonts w:ascii="Times New Roman" w:hAnsi="Times New Roman" w:cs="Times New Roman"/>
          <w:lang w:val="en-CA"/>
        </w:rPr>
        <w:b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0"/>
        <w:gridCol w:w="7944"/>
        <w:gridCol w:w="1030"/>
      </w:tblGrid>
      <w:tr w:rsidR="00DC0E50" w:rsidRPr="00A14942" w14:paraId="64CFDA3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5350C3D0"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5C74EBD6"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C885274"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Results</w:t>
            </w:r>
          </w:p>
        </w:tc>
      </w:tr>
      <w:tr w:rsidR="00DC0E50" w:rsidRPr="00A14942" w14:paraId="4685DE1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F38B6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36FDC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multiple sclerosis/ or (Demyelinating Autoimmune Diseases, CNS/ and (disseminated or insular or multiple? or relapsing-remitting or (relapsing adj remitting) or progressive).</w:t>
            </w:r>
            <w:proofErr w:type="spellStart"/>
            <w:r w:rsidRPr="00A14942">
              <w:rPr>
                <w:rFonts w:ascii="Times New Roman" w:hAnsi="Times New Roman" w:cs="Times New Roman"/>
                <w:lang w:val="en-CA"/>
              </w:rPr>
              <w:t>tw,kf</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adj3 (Disorder? or disease?) adj4 (disseminated or insular or multiple? or relapsing-remitting or (relapsing adj remitting) or progressive))).</w:t>
            </w:r>
            <w:proofErr w:type="spellStart"/>
            <w:r w:rsidRPr="00A14942">
              <w:rPr>
                <w:rFonts w:ascii="Times New Roman" w:hAnsi="Times New Roman" w:cs="Times New Roman"/>
                <w:lang w:val="en-CA"/>
              </w:rPr>
              <w:t>tw,kf</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B37B1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933648</w:t>
            </w:r>
          </w:p>
        </w:tc>
      </w:tr>
      <w:tr w:rsidR="00DC0E50" w:rsidRPr="00A14942" w14:paraId="428D658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A7311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13136C"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DD0EC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281</w:t>
            </w:r>
          </w:p>
        </w:tc>
      </w:tr>
      <w:tr w:rsidR="00DC0E50" w:rsidRPr="00A14942" w14:paraId="14E5523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7DA9F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EE371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C4E07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20531</w:t>
            </w:r>
          </w:p>
        </w:tc>
      </w:tr>
      <w:tr w:rsidR="00DC0E50" w:rsidRPr="00A14942" w14:paraId="303D3FE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90B4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6787AA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Dimethyl Fumarate/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061AC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23852</w:t>
            </w:r>
          </w:p>
        </w:tc>
      </w:tr>
      <w:tr w:rsidR="00DC0E50" w:rsidRPr="00A14942" w14:paraId="3AEB560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C90F9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6877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6CB28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13813</w:t>
            </w:r>
          </w:p>
        </w:tc>
      </w:tr>
      <w:tr w:rsidR="00DC0E50" w:rsidRPr="00A14942" w14:paraId="020EDB5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4FA5F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9F4F7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B7AA5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17978</w:t>
            </w:r>
          </w:p>
        </w:tc>
      </w:tr>
      <w:tr w:rsidR="00DC0E50" w:rsidRPr="00A14942" w14:paraId="6B49995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009B1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4B04C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Interferon beta/ or Interferon beta-1a/ or Interferon beta-1b/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02DF9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57001</w:t>
            </w:r>
          </w:p>
        </w:tc>
      </w:tr>
      <w:tr w:rsidR="00DC0E50" w:rsidRPr="00A14942" w14:paraId="2706B18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8DBDB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B3ADA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1ADFC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14089</w:t>
            </w:r>
          </w:p>
        </w:tc>
      </w:tr>
      <w:tr w:rsidR="00DC0E50" w:rsidRPr="00A14942" w14:paraId="1591376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D452C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7900A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1BB8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2213</w:t>
            </w:r>
          </w:p>
        </w:tc>
      </w:tr>
      <w:tr w:rsidR="00DC0E50" w:rsidRPr="00A14942" w14:paraId="58BA6F4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07615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2DB77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E45C6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3902</w:t>
            </w:r>
          </w:p>
        </w:tc>
      </w:tr>
      <w:tr w:rsidR="00DC0E50" w:rsidRPr="00A14942" w14:paraId="0B27D7C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4CD58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A8A63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FD3D5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571</w:t>
            </w:r>
          </w:p>
        </w:tc>
      </w:tr>
      <w:tr w:rsidR="00DC0E50" w:rsidRPr="00A14942" w14:paraId="2DA2953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8EA41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3A17A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A9D02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453</w:t>
            </w:r>
          </w:p>
        </w:tc>
      </w:tr>
      <w:tr w:rsidR="00DC0E50" w:rsidRPr="00A14942" w14:paraId="4E97FF6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4382A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F7029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2AA21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9456</w:t>
            </w:r>
          </w:p>
        </w:tc>
      </w:tr>
      <w:tr w:rsidR="00DC0E50" w:rsidRPr="00A14942" w14:paraId="1D4CFE0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2EDA9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85364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7F8C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3765</w:t>
            </w:r>
          </w:p>
        </w:tc>
      </w:tr>
      <w:tr w:rsidR="00DC0E50" w:rsidRPr="00A14942" w14:paraId="13A64FF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BA9F1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76574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 or 3 or 4 or 5 or 6 or 7 or 8 or 9 or 10 or 11 or 12 or 13 or 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FF066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138264</w:t>
            </w:r>
          </w:p>
        </w:tc>
      </w:tr>
      <w:tr w:rsidR="00DC0E50" w:rsidRPr="00A14942" w14:paraId="57AA18A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55FAA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7D257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 and 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142A5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42193</w:t>
            </w:r>
          </w:p>
        </w:tc>
      </w:tr>
      <w:tr w:rsidR="00DC0E50" w:rsidRPr="00A14942" w14:paraId="62278EA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80F44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28C67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(("randomized controlled trial" or "controlled clinical trial").pt. or (randomized or placebo or randomly).ab. or "clinical trials as topic".</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trial.ti</w:t>
            </w:r>
            <w:proofErr w:type="spellEnd"/>
            <w:r w:rsidRPr="00A14942">
              <w:rPr>
                <w:rFonts w:ascii="Times New Roman" w:hAnsi="Times New Roman" w:cs="Times New Roman"/>
                <w:lang w:val="en-CA"/>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52F90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2437504</w:t>
            </w:r>
          </w:p>
        </w:tc>
      </w:tr>
      <w:tr w:rsidR="00DC0E50" w:rsidRPr="00A14942" w14:paraId="10D0F39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99719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A7998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 and 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B9AA8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4820</w:t>
            </w:r>
          </w:p>
        </w:tc>
      </w:tr>
      <w:tr w:rsidR="00DC0E50" w:rsidRPr="00A14942" w14:paraId="5D80DD9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B1E826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7DCEB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6FEA6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16335144</w:t>
            </w:r>
          </w:p>
        </w:tc>
      </w:tr>
      <w:tr w:rsidR="00DC0E50" w:rsidRPr="00A14942" w14:paraId="5EA4553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C1D81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8B322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 not 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101F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4820</w:t>
            </w:r>
          </w:p>
        </w:tc>
      </w:tr>
      <w:tr w:rsidR="00DC0E50" w:rsidRPr="00A14942" w14:paraId="7FE0E41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66856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17EF5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45EEA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3809700</w:t>
            </w:r>
          </w:p>
        </w:tc>
      </w:tr>
      <w:tr w:rsidR="00DC0E50" w:rsidRPr="00A14942" w14:paraId="573EE22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9B306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9BD3F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 not 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A1FF67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4694</w:t>
            </w:r>
          </w:p>
        </w:tc>
      </w:tr>
      <w:tr w:rsidR="00DC0E50" w:rsidRPr="00A14942" w14:paraId="3E4E29F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76275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CF16A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22 use </w:t>
            </w:r>
            <w:proofErr w:type="spellStart"/>
            <w:r w:rsidRPr="00A14942">
              <w:rPr>
                <w:rFonts w:ascii="Times New Roman" w:hAnsi="Times New Roman" w:cs="Times New Roman"/>
                <w:lang w:val="en-CA"/>
              </w:rPr>
              <w:t>ppez</w:t>
            </w:r>
            <w:proofErr w:type="spellEnd"/>
            <w:r w:rsidRPr="00A14942">
              <w:rPr>
                <w:rFonts w:ascii="Times New Roman" w:hAnsi="Times New Roman" w:cs="Times New Roman"/>
                <w:lang w:val="en-CA"/>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A508C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1799</w:t>
            </w:r>
          </w:p>
        </w:tc>
      </w:tr>
      <w:tr w:rsidR="00DC0E50" w:rsidRPr="00A14942" w14:paraId="310CD29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AC854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81D68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adj3 (Disorder? or disease?) adj4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0EC0F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940162</w:t>
            </w:r>
          </w:p>
        </w:tc>
      </w:tr>
      <w:tr w:rsidR="00DC0E50" w:rsidRPr="00A14942" w14:paraId="2E10A64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F7BA0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A984B3"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54AA2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277</w:t>
            </w:r>
          </w:p>
        </w:tc>
      </w:tr>
      <w:tr w:rsidR="00DC0E50" w:rsidRPr="00A14942" w14:paraId="6B4452E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C80B9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72A91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CD47B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20528</w:t>
            </w:r>
          </w:p>
        </w:tc>
      </w:tr>
      <w:tr w:rsidR="00DC0E50" w:rsidRPr="00A14942" w14:paraId="2B54C65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2E313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2363E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Dimethyl Fumarate/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BC42A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23598</w:t>
            </w:r>
          </w:p>
        </w:tc>
      </w:tr>
      <w:tr w:rsidR="00DC0E50" w:rsidRPr="00A14942" w14:paraId="5242F4B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49329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26E64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5C415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13786</w:t>
            </w:r>
          </w:p>
        </w:tc>
      </w:tr>
      <w:tr w:rsidR="00DC0E50" w:rsidRPr="00A14942" w14:paraId="1F9D0AA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B2784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BD224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D983A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17803</w:t>
            </w:r>
          </w:p>
        </w:tc>
      </w:tr>
      <w:tr w:rsidR="00DC0E50" w:rsidRPr="00A14942" w14:paraId="1E5B768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6AF09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1BBD3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Interferon beta/ or Interferon beta-1a/ or Interferon beta-1b/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w:t>
            </w:r>
            <w:r w:rsidRPr="00A14942">
              <w:rPr>
                <w:rFonts w:ascii="Times New Roman" w:hAnsi="Times New Roman" w:cs="Times New Roman"/>
                <w:lang w:val="en-CA"/>
              </w:rPr>
              <w:lastRenderedPageBreak/>
              <w:t>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366F6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56547</w:t>
            </w:r>
          </w:p>
        </w:tc>
      </w:tr>
      <w:tr w:rsidR="00DC0E50" w:rsidRPr="00A14942" w14:paraId="072C981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DF5C9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F0834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E9BE0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14085</w:t>
            </w:r>
          </w:p>
        </w:tc>
      </w:tr>
      <w:tr w:rsidR="00DC0E50" w:rsidRPr="00A14942" w14:paraId="6C93F27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D494D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5F8D3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B97A4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1290</w:t>
            </w:r>
          </w:p>
        </w:tc>
      </w:tr>
      <w:tr w:rsidR="00DC0E50" w:rsidRPr="00A14942" w14:paraId="0875718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C8C94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DF1FF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DAC2F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2552</w:t>
            </w:r>
          </w:p>
        </w:tc>
      </w:tr>
      <w:tr w:rsidR="00DC0E50" w:rsidRPr="00A14942" w14:paraId="1496CC1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919AB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EA3C2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1332F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426</w:t>
            </w:r>
          </w:p>
        </w:tc>
      </w:tr>
      <w:tr w:rsidR="00DC0E50" w:rsidRPr="00A14942" w14:paraId="135D903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1FE47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8CBB3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F61A5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330</w:t>
            </w:r>
          </w:p>
        </w:tc>
      </w:tr>
      <w:tr w:rsidR="00DC0E50" w:rsidRPr="00A14942" w14:paraId="60BB800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77162B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E417A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6C95C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9454</w:t>
            </w:r>
          </w:p>
        </w:tc>
      </w:tr>
      <w:tr w:rsidR="00DC0E50" w:rsidRPr="00A14942" w14:paraId="630CBBE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2CAE3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2384F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AAFBDB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2030</w:t>
            </w:r>
          </w:p>
        </w:tc>
      </w:tr>
      <w:tr w:rsidR="00DC0E50" w:rsidRPr="00A14942" w14:paraId="2168A36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90E11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17D8D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 or 26 or 27 or 28 or 29 or 30 or 31 or 32 or 33 or 34 or 35 or 36 or 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E7886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135813</w:t>
            </w:r>
          </w:p>
        </w:tc>
      </w:tr>
      <w:tr w:rsidR="00DC0E50" w:rsidRPr="00A14942" w14:paraId="3522F05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513A9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40EDE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(("randomized controlled trial" or "controlled clinical trial").pt. or (randomized or placebo or randomly).ab. or "clinical trials as topic".</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trial.ti</w:t>
            </w:r>
            <w:proofErr w:type="spellEnd"/>
            <w:r w:rsidRPr="00A14942">
              <w:rPr>
                <w:rFonts w:ascii="Times New Roman" w:hAnsi="Times New Roman" w:cs="Times New Roman"/>
                <w:lang w:val="en-CA"/>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6F44C6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2437504</w:t>
            </w:r>
          </w:p>
        </w:tc>
      </w:tr>
      <w:tr w:rsidR="00DC0E50" w:rsidRPr="00A14942" w14:paraId="4941DE5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6A2D6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5D1B1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 and 38 and 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E61F0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4814</w:t>
            </w:r>
          </w:p>
        </w:tc>
      </w:tr>
      <w:tr w:rsidR="00DC0E50" w:rsidRPr="00A14942" w14:paraId="3ABD39D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FB4DF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EA52C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76343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16335144</w:t>
            </w:r>
          </w:p>
        </w:tc>
      </w:tr>
      <w:tr w:rsidR="00DC0E50" w:rsidRPr="00A14942" w14:paraId="16F6ED4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6067F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80279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 not 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7AED8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4814</w:t>
            </w:r>
          </w:p>
        </w:tc>
      </w:tr>
      <w:tr w:rsidR="00DC0E50" w:rsidRPr="00A14942" w14:paraId="5F41822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FA384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4CDF9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29A23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3809700</w:t>
            </w:r>
          </w:p>
        </w:tc>
      </w:tr>
      <w:tr w:rsidR="00DC0E50" w:rsidRPr="00A14942" w14:paraId="36FC69B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2A1DE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C91E2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 not 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976B4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4691</w:t>
            </w:r>
          </w:p>
        </w:tc>
      </w:tr>
      <w:tr w:rsidR="00DC0E50" w:rsidRPr="00A14942" w14:paraId="353D2B0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6FD41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293F7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44 use </w:t>
            </w:r>
            <w:proofErr w:type="spellStart"/>
            <w:r w:rsidRPr="00A14942">
              <w:rPr>
                <w:rFonts w:ascii="Times New Roman" w:hAnsi="Times New Roman" w:cs="Times New Roman"/>
                <w:lang w:val="en-CA"/>
              </w:rPr>
              <w:t>cctr</w:t>
            </w:r>
            <w:proofErr w:type="spellEnd"/>
            <w:r w:rsidRPr="00A14942">
              <w:rPr>
                <w:rFonts w:ascii="Times New Roman" w:hAnsi="Times New Roman" w:cs="Times New Roman"/>
                <w:lang w:val="en-CA"/>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73A2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2627</w:t>
            </w:r>
          </w:p>
        </w:tc>
      </w:tr>
      <w:tr w:rsidR="00DC0E50" w:rsidRPr="00A14942" w14:paraId="304ECAC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6A8342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E5DE7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multiple sclerosis/ or (demyelinating disease/ and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xml:space="preserve">$ adj3 </w:t>
            </w:r>
            <w:r w:rsidRPr="00A14942">
              <w:rPr>
                <w:rFonts w:ascii="Times New Roman" w:hAnsi="Times New Roman" w:cs="Times New Roman"/>
                <w:lang w:val="en-CA"/>
              </w:rPr>
              <w:lastRenderedPageBreak/>
              <w:t>(Disorder? or disease?) adj4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943F5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940967</w:t>
            </w:r>
          </w:p>
        </w:tc>
      </w:tr>
      <w:tr w:rsidR="00DC0E50" w:rsidRPr="00A14942" w14:paraId="7D794B5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C68DA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3563E9"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46C17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284</w:t>
            </w:r>
          </w:p>
        </w:tc>
      </w:tr>
      <w:tr w:rsidR="00DC0E50" w:rsidRPr="00A14942" w14:paraId="5109E93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4D647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14D55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48705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20537</w:t>
            </w:r>
          </w:p>
        </w:tc>
      </w:tr>
      <w:tr w:rsidR="00DC0E50" w:rsidRPr="00A14942" w14:paraId="1231089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447F6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D8EFE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fumaric acid dimethyl ester/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786E6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23819</w:t>
            </w:r>
          </w:p>
        </w:tc>
      </w:tr>
      <w:tr w:rsidR="00DC0E50" w:rsidRPr="00A14942" w14:paraId="2EA00A1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235D2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B961E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BEDD8B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13807</w:t>
            </w:r>
          </w:p>
        </w:tc>
      </w:tr>
      <w:tr w:rsidR="00DC0E50" w:rsidRPr="00A14942" w14:paraId="46C437C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AF3EB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05B4B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F2C03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18192</w:t>
            </w:r>
          </w:p>
        </w:tc>
      </w:tr>
      <w:tr w:rsidR="00DC0E50" w:rsidRPr="00A14942" w14:paraId="5F1BE2D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9C793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E2844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beta1a interferon/ or peginterferon beta1a/ or interferon beta serine/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FA51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45904</w:t>
            </w:r>
          </w:p>
        </w:tc>
      </w:tr>
      <w:tr w:rsidR="00DC0E50" w:rsidRPr="00A14942" w14:paraId="7D3A923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DA242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A9C20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(natalizumab$2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85B34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14092</w:t>
            </w:r>
          </w:p>
        </w:tc>
      </w:tr>
      <w:tr w:rsidR="00DC0E50" w:rsidRPr="00A14942" w14:paraId="114DA02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090EE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8D2DD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 or (Ocrelizumab$2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24C2B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2241</w:t>
            </w:r>
          </w:p>
        </w:tc>
      </w:tr>
      <w:tr w:rsidR="00DC0E50" w:rsidRPr="00A14942" w14:paraId="3FDCBAA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058CD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F93FC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teriflunomide/ or (Teriflunomid$2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10215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3902</w:t>
            </w:r>
          </w:p>
        </w:tc>
      </w:tr>
      <w:tr w:rsidR="00DC0E50" w:rsidRPr="00A14942" w14:paraId="556738B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F0CE7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2E88FF"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siponimod</w:t>
            </w:r>
            <w:proofErr w:type="spellEnd"/>
            <w:r w:rsidRPr="00A14942">
              <w:rPr>
                <w:rFonts w:ascii="Times New Roman" w:hAnsi="Times New Roman" w:cs="Times New Roman"/>
                <w:lang w:val="en-CA"/>
              </w:rPr>
              <w:t>/ or (siponimod$2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4A749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581</w:t>
            </w:r>
          </w:p>
        </w:tc>
      </w:tr>
      <w:tr w:rsidR="00DC0E50" w:rsidRPr="00A14942" w14:paraId="2CED7ED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F7B45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CE9B7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 or (ozanimod$2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2E011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463</w:t>
            </w:r>
          </w:p>
        </w:tc>
      </w:tr>
      <w:tr w:rsidR="00DC0E50" w:rsidRPr="00A14942" w14:paraId="005E26A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26EFA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C3D19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4B49E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9463</w:t>
            </w:r>
          </w:p>
        </w:tc>
      </w:tr>
      <w:tr w:rsidR="00DC0E50" w:rsidRPr="00A14942" w14:paraId="13007D3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FD91A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C9D4B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 or (ofatumumab$2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F1596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3783</w:t>
            </w:r>
          </w:p>
        </w:tc>
      </w:tr>
      <w:tr w:rsidR="00DC0E50" w:rsidRPr="00A14942" w14:paraId="22B8BAB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D19AC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2B834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 or 48 or 49 or 50 or 51 or 52 or 53 or 54 or 55 or 56 or 57 or 58 or 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593E5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128874</w:t>
            </w:r>
          </w:p>
        </w:tc>
      </w:tr>
      <w:tr w:rsidR="00DC0E50" w:rsidRPr="00A14942" w14:paraId="4936624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DFB9A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E2E85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 and 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3F8C1F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40928</w:t>
            </w:r>
          </w:p>
        </w:tc>
      </w:tr>
      <w:tr w:rsidR="00DC0E50" w:rsidRPr="00A14942" w14:paraId="3E02F49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64D1B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CE8C3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Clinical Trial/ or Randomized Controlled Trial/ or controlled clinical trial/ or multicenter study/ or Phase 3 clinical trial/ or Phase 4 clinical trial/ or exp Randomization/ or Single Blind Procedure/ or </w:t>
            </w:r>
            <w:proofErr w:type="gramStart"/>
            <w:r w:rsidRPr="00A14942">
              <w:rPr>
                <w:rFonts w:ascii="Times New Roman" w:hAnsi="Times New Roman" w:cs="Times New Roman"/>
                <w:lang w:val="en-CA"/>
              </w:rPr>
              <w:t>Double Blind</w:t>
            </w:r>
            <w:proofErr w:type="gramEnd"/>
            <w:r w:rsidRPr="00A14942">
              <w:rPr>
                <w:rFonts w:ascii="Times New Roman" w:hAnsi="Times New Roman" w:cs="Times New Roman"/>
                <w:lang w:val="en-CA"/>
              </w:rPr>
              <w:t xml:space="preserve"> Procedure/ or Crossover Procedure/ or Placebo/ or Prospective Study/ or (</w:t>
            </w:r>
            <w:proofErr w:type="spellStart"/>
            <w:r w:rsidRPr="00A14942">
              <w:rPr>
                <w:rFonts w:ascii="Times New Roman" w:hAnsi="Times New Roman" w:cs="Times New Roman"/>
                <w:lang w:val="en-CA"/>
              </w:rPr>
              <w:t>randomi?ed</w:t>
            </w:r>
            <w:proofErr w:type="spellEnd"/>
            <w:r w:rsidRPr="00A14942">
              <w:rPr>
                <w:rFonts w:ascii="Times New Roman" w:hAnsi="Times New Roman" w:cs="Times New Roman"/>
                <w:lang w:val="en-CA"/>
              </w:rPr>
              <w:t xml:space="preserve"> controlled trial$ or </w:t>
            </w:r>
            <w:proofErr w:type="spellStart"/>
            <w:r w:rsidRPr="00A14942">
              <w:rPr>
                <w:rFonts w:ascii="Times New Roman" w:hAnsi="Times New Roman" w:cs="Times New Roman"/>
                <w:lang w:val="en-CA"/>
              </w:rPr>
              <w:t>rct</w:t>
            </w:r>
            <w:proofErr w:type="spellEnd"/>
            <w:r w:rsidRPr="00A14942">
              <w:rPr>
                <w:rFonts w:ascii="Times New Roman" w:hAnsi="Times New Roman" w:cs="Times New Roman"/>
                <w:lang w:val="en-CA"/>
              </w:rPr>
              <w:t xml:space="preserve"> or (random$ adj2 </w:t>
            </w:r>
            <w:proofErr w:type="spellStart"/>
            <w:r w:rsidRPr="00A14942">
              <w:rPr>
                <w:rFonts w:ascii="Times New Roman" w:hAnsi="Times New Roman" w:cs="Times New Roman"/>
                <w:lang w:val="en-CA"/>
              </w:rPr>
              <w:t>allocat</w:t>
            </w:r>
            <w:proofErr w:type="spellEnd"/>
            <w:r w:rsidRPr="00A14942">
              <w:rPr>
                <w:rFonts w:ascii="Times New Roman" w:hAnsi="Times New Roman" w:cs="Times New Roman"/>
                <w:lang w:val="en-CA"/>
              </w:rPr>
              <w:t>$) or single blind$ or double blind$ or ((treble or triple) adj blind$) or placebo$).</w:t>
            </w:r>
            <w:proofErr w:type="spellStart"/>
            <w:r w:rsidRPr="00A14942">
              <w:rPr>
                <w:rFonts w:ascii="Times New Roman" w:hAnsi="Times New Roman" w:cs="Times New Roman"/>
                <w:lang w:val="en-CA"/>
              </w:rPr>
              <w:t>tw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E4C91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4541749</w:t>
            </w:r>
          </w:p>
        </w:tc>
      </w:tr>
      <w:tr w:rsidR="00DC0E50" w:rsidRPr="00A14942" w14:paraId="0564E27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6DDCB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B7F64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Case Study/ or case report.tw. or abstract report/ or letter/ or (Conference proceeding or Conference abstract or Editorial or Letter or Note).pt.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6FA6F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10361191</w:t>
            </w:r>
          </w:p>
        </w:tc>
      </w:tr>
      <w:tr w:rsidR="00DC0E50" w:rsidRPr="00A14942" w14:paraId="65CBD6F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4FD00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EBB71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62 not 63 [SIGN RCT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DBC97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3901811</w:t>
            </w:r>
          </w:p>
        </w:tc>
      </w:tr>
      <w:tr w:rsidR="00DC0E50" w:rsidRPr="00A14942" w14:paraId="6C13ED7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0245D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3E95A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61 and 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00499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8795</w:t>
            </w:r>
          </w:p>
        </w:tc>
      </w:tr>
      <w:tr w:rsidR="00DC0E50" w:rsidRPr="00A14942" w14:paraId="0B62A83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8AA0C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46364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 or exp animal experimentation/ or exp animal model/ or exp animal experiment/ or nonhuman/ or exp vertebrate/) not (exp human/ or exp human experimentation/ or exp human experiment/)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9D08A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11161911</w:t>
            </w:r>
          </w:p>
        </w:tc>
      </w:tr>
      <w:tr w:rsidR="00DC0E50" w:rsidRPr="00A14942" w14:paraId="142562A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DD32B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F0127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65 not 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01339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8760</w:t>
            </w:r>
          </w:p>
        </w:tc>
      </w:tr>
      <w:tr w:rsidR="00DC0E50" w:rsidRPr="00A14942" w14:paraId="367CCE5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4673F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DC8A2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(editorial or letter).pt. not (letter.pt. and randomized controlled trial/)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ACBA8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3367902</w:t>
            </w:r>
          </w:p>
        </w:tc>
      </w:tr>
      <w:tr w:rsidR="00DC0E50" w:rsidRPr="00A14942" w14:paraId="6598D6A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05D99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7A6AB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67 not 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5C28D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8760</w:t>
            </w:r>
          </w:p>
        </w:tc>
      </w:tr>
      <w:tr w:rsidR="00DC0E50" w:rsidRPr="00A14942" w14:paraId="690D781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7027E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B885B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69 use </w:t>
            </w:r>
            <w:proofErr w:type="spellStart"/>
            <w:r w:rsidRPr="00A14942">
              <w:rPr>
                <w:rFonts w:ascii="Times New Roman" w:hAnsi="Times New Roman" w:cs="Times New Roman"/>
                <w:lang w:val="en-CA"/>
              </w:rPr>
              <w:t>oemezd</w:t>
            </w:r>
            <w:proofErr w:type="spellEnd"/>
            <w:r w:rsidRPr="00A14942">
              <w:rPr>
                <w:rFonts w:ascii="Times New Roman" w:hAnsi="Times New Roman" w:cs="Times New Roman"/>
                <w:lang w:val="en-CA"/>
              </w:rPr>
              <w:t xml:space="preserve"> [EMBASE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EE966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4748</w:t>
            </w:r>
          </w:p>
        </w:tc>
      </w:tr>
      <w:tr w:rsidR="00DC0E50" w:rsidRPr="00A14942" w14:paraId="5F3C489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C4CF8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59C78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22 use </w:t>
            </w:r>
            <w:proofErr w:type="spellStart"/>
            <w:r w:rsidRPr="00A14942">
              <w:rPr>
                <w:rFonts w:ascii="Times New Roman" w:hAnsi="Times New Roman" w:cs="Times New Roman"/>
                <w:lang w:val="en-CA"/>
              </w:rPr>
              <w:t>ppez</w:t>
            </w:r>
            <w:proofErr w:type="spellEnd"/>
            <w:r w:rsidRPr="00A14942">
              <w:rPr>
                <w:rFonts w:ascii="Times New Roman" w:hAnsi="Times New Roman" w:cs="Times New Roman"/>
                <w:lang w:val="en-CA"/>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48785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1799</w:t>
            </w:r>
          </w:p>
        </w:tc>
      </w:tr>
      <w:tr w:rsidR="00DC0E50" w:rsidRPr="00A14942" w14:paraId="6E9BE4B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BA87A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F3CD1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44 use </w:t>
            </w:r>
            <w:proofErr w:type="spellStart"/>
            <w:r w:rsidRPr="00A14942">
              <w:rPr>
                <w:rFonts w:ascii="Times New Roman" w:hAnsi="Times New Roman" w:cs="Times New Roman"/>
                <w:lang w:val="en-CA"/>
              </w:rPr>
              <w:t>cctr</w:t>
            </w:r>
            <w:proofErr w:type="spellEnd"/>
            <w:r w:rsidRPr="00A14942">
              <w:rPr>
                <w:rFonts w:ascii="Times New Roman" w:hAnsi="Times New Roman" w:cs="Times New Roman"/>
                <w:lang w:val="en-CA"/>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10C68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2627</w:t>
            </w:r>
          </w:p>
        </w:tc>
      </w:tr>
      <w:tr w:rsidR="00DC0E50" w:rsidRPr="00A14942" w14:paraId="24C902C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A2B7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66CFDF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57439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4648</w:t>
            </w:r>
          </w:p>
        </w:tc>
      </w:tr>
      <w:tr w:rsidR="00DC0E50" w:rsidRPr="00A14942" w14:paraId="3005CA1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7C36C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4E49C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706C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1789</w:t>
            </w:r>
          </w:p>
        </w:tc>
      </w:tr>
      <w:tr w:rsidR="00DC0E50" w:rsidRPr="00A14942" w14:paraId="61F624C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27AD4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2E4D9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643FF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2493</w:t>
            </w:r>
          </w:p>
        </w:tc>
      </w:tr>
      <w:tr w:rsidR="00DC0E50" w:rsidRPr="00A14942" w14:paraId="194D3BC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EE5F9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D596D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73 or 74 or 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07B8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8930</w:t>
            </w:r>
          </w:p>
        </w:tc>
      </w:tr>
      <w:tr w:rsidR="00DC0E50" w:rsidRPr="00A14942" w14:paraId="0308DA9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FA19A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B7F56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limit 76 to </w:t>
            </w:r>
            <w:proofErr w:type="spellStart"/>
            <w:r w:rsidRPr="00A14942">
              <w:rPr>
                <w:rFonts w:ascii="Times New Roman" w:hAnsi="Times New Roman" w:cs="Times New Roman"/>
                <w:lang w:val="en-CA"/>
              </w:rPr>
              <w:t>yr</w:t>
            </w:r>
            <w:proofErr w:type="spellEnd"/>
            <w:r w:rsidRPr="00A14942">
              <w:rPr>
                <w:rFonts w:ascii="Times New Roman" w:hAnsi="Times New Roman" w:cs="Times New Roman"/>
                <w:lang w:val="en-CA"/>
              </w:rPr>
              <w:t>="2012 -Current"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4DB44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4326</w:t>
            </w:r>
          </w:p>
        </w:tc>
      </w:tr>
      <w:tr w:rsidR="00DC0E50" w:rsidRPr="00A14942" w14:paraId="65F60DB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B57B9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5308F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76 not 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8B52D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4604</w:t>
            </w:r>
          </w:p>
        </w:tc>
      </w:tr>
      <w:tr w:rsidR="00DC0E50" w:rsidRPr="00A14942" w14:paraId="66F06E2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79BEB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95342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FEFB0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3335</w:t>
            </w:r>
          </w:p>
        </w:tc>
      </w:tr>
      <w:tr w:rsidR="00DC0E50" w:rsidRPr="00A14942" w14:paraId="6DAB721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BE42E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1A74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01F1F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3398</w:t>
            </w:r>
          </w:p>
        </w:tc>
      </w:tr>
      <w:tr w:rsidR="00DC0E50" w:rsidRPr="00A14942" w14:paraId="555F2E1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45618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BC663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79 or 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AA3FD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6733</w:t>
            </w:r>
          </w:p>
        </w:tc>
      </w:tr>
    </w:tbl>
    <w:p w14:paraId="3F77D0D1" w14:textId="77777777" w:rsidR="00DC0E50" w:rsidRPr="00A14942" w:rsidRDefault="00DC0E50" w:rsidP="00DC0E50">
      <w:pPr>
        <w:rPr>
          <w:rFonts w:ascii="Times New Roman" w:hAnsi="Times New Roman" w:cs="Times New Roman"/>
          <w:szCs w:val="22"/>
          <w:lang w:bidi="ar-SA"/>
        </w:rPr>
      </w:pPr>
    </w:p>
    <w:p w14:paraId="7292BF0F" w14:textId="77777777" w:rsidR="00DC0E50" w:rsidRPr="00A14942" w:rsidRDefault="00DC0E50" w:rsidP="00DC0E50">
      <w:pPr>
        <w:rPr>
          <w:rFonts w:ascii="Times New Roman" w:hAnsi="Times New Roman" w:cs="Times New Roman"/>
        </w:rPr>
      </w:pPr>
      <w:r w:rsidRPr="00A14942">
        <w:rPr>
          <w:rFonts w:ascii="Times New Roman" w:hAnsi="Times New Roman" w:cs="Times New Roman"/>
        </w:rPr>
        <w:t>Deduplicate search results from 20 May 2020 in Endnote.</w:t>
      </w:r>
    </w:p>
    <w:p w14:paraId="02B89A30" w14:textId="029B819D" w:rsidR="00DC0E50" w:rsidRPr="00A14942" w:rsidRDefault="00DC0E50" w:rsidP="00DC0E50">
      <w:pPr>
        <w:rPr>
          <w:rFonts w:ascii="Times New Roman" w:hAnsi="Times New Roman" w:cs="Times New Roman"/>
        </w:rPr>
      </w:pPr>
      <w:r w:rsidRPr="00A14942">
        <w:rPr>
          <w:rFonts w:ascii="Times New Roman" w:hAnsi="Times New Roman" w:cs="Times New Roman"/>
          <w:noProof/>
        </w:rPr>
        <w:lastRenderedPageBreak/>
        <w:drawing>
          <wp:inline distT="0" distB="0" distL="0" distR="0" wp14:anchorId="7B0A0A61" wp14:editId="349992A5">
            <wp:extent cx="2181225" cy="11334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81225" cy="1133475"/>
                    </a:xfrm>
                    <a:prstGeom prst="rect">
                      <a:avLst/>
                    </a:prstGeom>
                    <a:noFill/>
                    <a:ln>
                      <a:noFill/>
                    </a:ln>
                  </pic:spPr>
                </pic:pic>
              </a:graphicData>
            </a:graphic>
          </wp:inline>
        </w:drawing>
      </w:r>
    </w:p>
    <w:p w14:paraId="7EFFE11A" w14:textId="77777777" w:rsidR="00DC0E50" w:rsidRPr="00A14942" w:rsidRDefault="00DC0E50" w:rsidP="00DC0E50">
      <w:pPr>
        <w:rPr>
          <w:rFonts w:ascii="Times New Roman" w:hAnsi="Times New Roman" w:cs="Times New Roman"/>
        </w:rPr>
      </w:pPr>
    </w:p>
    <w:p w14:paraId="396B8F18" w14:textId="77777777" w:rsidR="00DC0E50" w:rsidRPr="00A14942" w:rsidRDefault="00DC0E50" w:rsidP="00DC0E50">
      <w:pPr>
        <w:rPr>
          <w:rFonts w:ascii="Times New Roman" w:hAnsi="Times New Roman" w:cs="Times New Roman"/>
        </w:rPr>
      </w:pPr>
      <w:r w:rsidRPr="00A14942">
        <w:rPr>
          <w:rFonts w:ascii="Times New Roman" w:hAnsi="Times New Roman" w:cs="Times New Roman"/>
        </w:rPr>
        <w:t>Deduplicate search results (2700) from March and Apr 2019 in Endnote.</w:t>
      </w:r>
    </w:p>
    <w:p w14:paraId="6E5D64CE" w14:textId="15B6D689" w:rsidR="00DC0E50" w:rsidRPr="00A14942" w:rsidRDefault="00DC0E50" w:rsidP="00DC0E50">
      <w:pPr>
        <w:rPr>
          <w:rFonts w:ascii="Times New Roman" w:hAnsi="Times New Roman" w:cs="Times New Roman"/>
        </w:rPr>
      </w:pPr>
      <w:r w:rsidRPr="00A14942">
        <w:rPr>
          <w:rFonts w:ascii="Times New Roman" w:hAnsi="Times New Roman" w:cs="Times New Roman"/>
          <w:noProof/>
        </w:rPr>
        <w:drawing>
          <wp:inline distT="0" distB="0" distL="0" distR="0" wp14:anchorId="4B3D19C2" wp14:editId="23E7FBE2">
            <wp:extent cx="2181225" cy="11239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81225" cy="1123950"/>
                    </a:xfrm>
                    <a:prstGeom prst="rect">
                      <a:avLst/>
                    </a:prstGeom>
                    <a:noFill/>
                    <a:ln>
                      <a:noFill/>
                    </a:ln>
                  </pic:spPr>
                </pic:pic>
              </a:graphicData>
            </a:graphic>
          </wp:inline>
        </w:drawing>
      </w:r>
    </w:p>
    <w:p w14:paraId="0FF131EB" w14:textId="77777777" w:rsidR="00DC0E50" w:rsidRPr="00A14942" w:rsidRDefault="00DC0E50" w:rsidP="00DC0E50">
      <w:pPr>
        <w:rPr>
          <w:rFonts w:ascii="Times New Roman" w:hAnsi="Times New Roman" w:cs="Times New Roman"/>
        </w:rPr>
      </w:pPr>
    </w:p>
    <w:p w14:paraId="3314BA3F" w14:textId="77777777" w:rsidR="00DC0E50" w:rsidRPr="00A14942" w:rsidRDefault="00DC0E50" w:rsidP="00DC0E50">
      <w:pPr>
        <w:rPr>
          <w:rFonts w:ascii="Times New Roman" w:hAnsi="Times New Roman" w:cs="Times New Roman"/>
        </w:rPr>
      </w:pPr>
      <w:r w:rsidRPr="00A14942">
        <w:rPr>
          <w:rFonts w:ascii="Times New Roman" w:hAnsi="Times New Roman" w:cs="Times New Roman"/>
        </w:rPr>
        <w:t xml:space="preserve">Endnote Library containing 2685 results from previous searches in </w:t>
      </w:r>
      <w:bookmarkStart w:id="8" w:name="_Hlk40889512"/>
      <w:r w:rsidRPr="00A14942">
        <w:rPr>
          <w:rFonts w:ascii="Times New Roman" w:hAnsi="Times New Roman" w:cs="Times New Roman"/>
        </w:rPr>
        <w:t>March and Apr 2019.</w:t>
      </w:r>
      <w:bookmarkEnd w:id="8"/>
    </w:p>
    <w:p w14:paraId="3D39CD5E" w14:textId="77777777" w:rsidR="00DC0E50" w:rsidRPr="00A14942" w:rsidRDefault="00DC0E50" w:rsidP="00DC0E50">
      <w:pPr>
        <w:rPr>
          <w:rFonts w:ascii="Times New Roman" w:hAnsi="Times New Roman" w:cs="Times New Roman"/>
        </w:rPr>
      </w:pPr>
      <w:r w:rsidRPr="00A14942">
        <w:rPr>
          <w:rFonts w:ascii="Times New Roman" w:hAnsi="Times New Roman" w:cs="Times New Roman"/>
        </w:rPr>
        <w:t>Imported results file with search results from 20 May 2020.</w:t>
      </w:r>
    </w:p>
    <w:p w14:paraId="6D8857C0" w14:textId="7037EABC" w:rsidR="00DC0E50" w:rsidRPr="00A14942" w:rsidRDefault="00DC0E50" w:rsidP="00DC0E50">
      <w:pPr>
        <w:rPr>
          <w:rFonts w:ascii="Times New Roman" w:hAnsi="Times New Roman" w:cs="Times New Roman"/>
        </w:rPr>
      </w:pPr>
      <w:r w:rsidRPr="00A14942">
        <w:rPr>
          <w:rFonts w:ascii="Times New Roman" w:hAnsi="Times New Roman" w:cs="Times New Roman"/>
          <w:noProof/>
        </w:rPr>
        <w:drawing>
          <wp:inline distT="0" distB="0" distL="0" distR="0" wp14:anchorId="0211FE53" wp14:editId="4642154C">
            <wp:extent cx="2171700" cy="11334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1700" cy="1133475"/>
                    </a:xfrm>
                    <a:prstGeom prst="rect">
                      <a:avLst/>
                    </a:prstGeom>
                    <a:noFill/>
                    <a:ln>
                      <a:noFill/>
                    </a:ln>
                  </pic:spPr>
                </pic:pic>
              </a:graphicData>
            </a:graphic>
          </wp:inline>
        </w:drawing>
      </w:r>
    </w:p>
    <w:p w14:paraId="39D14AC6" w14:textId="268DE149" w:rsidR="00DC0E50" w:rsidRPr="00A14942" w:rsidRDefault="00160246" w:rsidP="00223A29">
      <w:pPr>
        <w:pStyle w:val="Heading3"/>
        <w:pageBreakBefore/>
        <w:ind w:left="1368" w:hanging="1368"/>
        <w:rPr>
          <w:rFonts w:ascii="Times New Roman" w:hAnsi="Times New Roman" w:cs="Times New Roman"/>
        </w:rPr>
      </w:pPr>
      <w:bookmarkStart w:id="9" w:name="_Toc130240174"/>
      <w:r w:rsidRPr="00A14942">
        <w:rPr>
          <w:rFonts w:ascii="Times New Roman" w:hAnsi="Times New Roman" w:cs="Times New Roman"/>
        </w:rPr>
        <w:lastRenderedPageBreak/>
        <w:t xml:space="preserve">Update database search: </w:t>
      </w:r>
      <w:r w:rsidR="00DC0E50" w:rsidRPr="00A14942">
        <w:rPr>
          <w:rFonts w:ascii="Times New Roman" w:hAnsi="Times New Roman" w:cs="Times New Roman"/>
        </w:rPr>
        <w:t>October 16, 2020</w:t>
      </w:r>
      <w:bookmarkEnd w:id="9"/>
    </w:p>
    <w:p w14:paraId="29A3D058" w14:textId="77777777" w:rsidR="00DC0E50" w:rsidRPr="00A14942" w:rsidRDefault="00DC0E50" w:rsidP="00DC0E50">
      <w:pPr>
        <w:spacing w:after="0"/>
        <w:rPr>
          <w:rFonts w:ascii="Times New Roman" w:hAnsi="Times New Roman" w:cs="Times New Roman"/>
        </w:rPr>
      </w:pPr>
      <w:r w:rsidRPr="00A14942">
        <w:rPr>
          <w:rFonts w:ascii="Times New Roman" w:hAnsi="Times New Roman" w:cs="Times New Roman"/>
          <w:b/>
        </w:rPr>
        <w:t>Date of the search:</w:t>
      </w:r>
      <w:r w:rsidRPr="00A14942">
        <w:rPr>
          <w:rFonts w:ascii="Times New Roman" w:hAnsi="Times New Roman" w:cs="Times New Roman"/>
        </w:rPr>
        <w:t xml:space="preserve"> 16 October 2020 </w:t>
      </w:r>
    </w:p>
    <w:p w14:paraId="7FADB6CC" w14:textId="072A9E8F" w:rsidR="00DC0E50" w:rsidRPr="00A14942" w:rsidRDefault="00DC0E50" w:rsidP="00DC0E50">
      <w:pPr>
        <w:spacing w:after="0"/>
        <w:rPr>
          <w:rFonts w:ascii="Times New Roman" w:hAnsi="Times New Roman" w:cs="Times New Roman"/>
          <w:bCs/>
        </w:rPr>
      </w:pPr>
      <w:r w:rsidRPr="00A14942">
        <w:rPr>
          <w:rFonts w:ascii="Times New Roman" w:hAnsi="Times New Roman" w:cs="Times New Roman"/>
          <w:b/>
        </w:rPr>
        <w:t xml:space="preserve">Database searched: </w:t>
      </w:r>
      <w:r w:rsidRPr="00A14942">
        <w:rPr>
          <w:rFonts w:ascii="Times New Roman" w:hAnsi="Times New Roman" w:cs="Times New Roman"/>
          <w:bCs/>
        </w:rPr>
        <w:t>per previous</w:t>
      </w:r>
    </w:p>
    <w:p w14:paraId="464AB8A1" w14:textId="77777777" w:rsidR="00DC0E50" w:rsidRPr="00A14942" w:rsidRDefault="00DC0E50" w:rsidP="00DC0E50">
      <w:pPr>
        <w:spacing w:after="0" w:line="240" w:lineRule="auto"/>
        <w:rPr>
          <w:rFonts w:ascii="Times New Roman" w:hAnsi="Times New Roman" w:cs="Times New Roman"/>
        </w:rPr>
      </w:pPr>
    </w:p>
    <w:p w14:paraId="3B99D088" w14:textId="77777777" w:rsidR="00DC0E50" w:rsidRPr="00A14942" w:rsidRDefault="002E74AB" w:rsidP="00DC0E50">
      <w:pPr>
        <w:keepNext/>
        <w:keepLines/>
        <w:spacing w:after="0" w:line="240" w:lineRule="auto"/>
        <w:jc w:val="center"/>
        <w:rPr>
          <w:rFonts w:ascii="Times New Roman" w:hAnsi="Times New Roman" w:cs="Times New Roman"/>
        </w:rPr>
      </w:pPr>
      <w:r>
        <w:rPr>
          <w:rFonts w:ascii="Times New Roman" w:hAnsi="Times New Roman" w:cs="Times New Roman"/>
        </w:rPr>
        <w:pict w14:anchorId="05BD2076">
          <v:rect id="_x0000_i1026" style="width:468pt;height:1.5pt" o:hralign="center" o:hrstd="t" o:hr="t" fillcolor="#a0a0a0" stroked="f"/>
        </w:pict>
      </w:r>
    </w:p>
    <w:p w14:paraId="16E1B54B" w14:textId="77777777" w:rsidR="00DC0E50" w:rsidRPr="00A14942" w:rsidRDefault="00DC0E50" w:rsidP="00DC0E50">
      <w:pPr>
        <w:keepNext/>
        <w:keepLines/>
        <w:rPr>
          <w:rFonts w:ascii="Times New Roman" w:hAnsi="Times New Roman" w:cs="Times New Roman"/>
          <w:b/>
          <w:bCs/>
        </w:rPr>
      </w:pPr>
      <w:r w:rsidRPr="00A14942">
        <w:rPr>
          <w:rFonts w:ascii="Times New Roman" w:hAnsi="Times New Roman" w:cs="Times New Roman"/>
          <w:b/>
          <w:bCs/>
        </w:rPr>
        <w:t>MULTIFILE SEARCH</w:t>
      </w:r>
    </w:p>
    <w:p w14:paraId="6BF4C773" w14:textId="77777777" w:rsidR="00DC0E50" w:rsidRPr="00A14942" w:rsidRDefault="00DC0E50" w:rsidP="00DC0E50">
      <w:pPr>
        <w:rPr>
          <w:rFonts w:ascii="Times New Roman" w:hAnsi="Times New Roman" w:cs="Times New Roman"/>
          <w:lang w:val="en-CA"/>
        </w:rPr>
      </w:pPr>
      <w:r w:rsidRPr="00A14942">
        <w:rPr>
          <w:rFonts w:ascii="Times New Roman" w:hAnsi="Times New Roman" w:cs="Times New Roman"/>
          <w:lang w:val="en-CA"/>
        </w:rPr>
        <w:t>Database(s): </w:t>
      </w:r>
      <w:r w:rsidRPr="00A14942">
        <w:rPr>
          <w:rFonts w:ascii="Times New Roman" w:hAnsi="Times New Roman" w:cs="Times New Roman"/>
          <w:b/>
          <w:bCs/>
          <w:lang w:val="en-CA"/>
        </w:rPr>
        <w:t>EBM Reviews - Cochrane Central Register of Controlled Trials </w:t>
      </w:r>
      <w:r w:rsidRPr="00A14942">
        <w:rPr>
          <w:rFonts w:ascii="Times New Roman" w:hAnsi="Times New Roman" w:cs="Times New Roman"/>
          <w:lang w:val="en-CA"/>
        </w:rPr>
        <w:t>September 2020</w:t>
      </w:r>
      <w:r w:rsidRPr="00A14942">
        <w:rPr>
          <w:rFonts w:ascii="Times New Roman" w:hAnsi="Times New Roman" w:cs="Times New Roman"/>
          <w:b/>
          <w:bCs/>
          <w:lang w:val="en-CA"/>
        </w:rPr>
        <w:t>, Embase </w:t>
      </w:r>
      <w:r w:rsidRPr="00A14942">
        <w:rPr>
          <w:rFonts w:ascii="Times New Roman" w:hAnsi="Times New Roman" w:cs="Times New Roman"/>
          <w:lang w:val="en-CA"/>
        </w:rPr>
        <w:t>1974 to 2020 October 15</w:t>
      </w:r>
      <w:r w:rsidRPr="00A14942">
        <w:rPr>
          <w:rFonts w:ascii="Times New Roman" w:hAnsi="Times New Roman" w:cs="Times New Roman"/>
          <w:b/>
          <w:bCs/>
          <w:lang w:val="en-CA"/>
        </w:rPr>
        <w:t xml:space="preserve">, Ovid MEDLINE(R) and </w:t>
      </w:r>
      <w:proofErr w:type="spellStart"/>
      <w:r w:rsidRPr="00A14942">
        <w:rPr>
          <w:rFonts w:ascii="Times New Roman" w:hAnsi="Times New Roman" w:cs="Times New Roman"/>
          <w:b/>
          <w:bCs/>
          <w:lang w:val="en-CA"/>
        </w:rPr>
        <w:t>Epub</w:t>
      </w:r>
      <w:proofErr w:type="spellEnd"/>
      <w:r w:rsidRPr="00A14942">
        <w:rPr>
          <w:rFonts w:ascii="Times New Roman" w:hAnsi="Times New Roman" w:cs="Times New Roman"/>
          <w:b/>
          <w:bCs/>
          <w:lang w:val="en-CA"/>
        </w:rPr>
        <w:t xml:space="preserve"> Ahead of Print, In-Process &amp; Other Non-Indexed Citations and Daily </w:t>
      </w:r>
      <w:r w:rsidRPr="00A14942">
        <w:rPr>
          <w:rFonts w:ascii="Times New Roman" w:hAnsi="Times New Roman" w:cs="Times New Roman"/>
          <w:lang w:val="en-CA"/>
        </w:rPr>
        <w:t>1946 to October 15, 2020</w:t>
      </w:r>
      <w:r w:rsidRPr="00A14942">
        <w:rPr>
          <w:rFonts w:ascii="Times New Roman" w:hAnsi="Times New Roman" w:cs="Times New Roman"/>
          <w:lang w:val="en-CA"/>
        </w:rPr>
        <w:b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0"/>
        <w:gridCol w:w="7944"/>
        <w:gridCol w:w="1030"/>
      </w:tblGrid>
      <w:tr w:rsidR="00DC0E50" w:rsidRPr="00A14942" w14:paraId="246ECEB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28947260"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61F4A06B"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0BB1705"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Results</w:t>
            </w:r>
          </w:p>
        </w:tc>
      </w:tr>
      <w:tr w:rsidR="00DC0E50" w:rsidRPr="00A14942" w14:paraId="31A9E14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FE242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BD6B9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multiple sclerosis/ or (Demyelinating Autoimmune Diseases, CNS/ and (disseminated or insular or multiple? or relapsing-remitting or (relapsing adj remitting) or progressive).</w:t>
            </w:r>
            <w:proofErr w:type="spellStart"/>
            <w:r w:rsidRPr="00A14942">
              <w:rPr>
                <w:rFonts w:ascii="Times New Roman" w:hAnsi="Times New Roman" w:cs="Times New Roman"/>
                <w:lang w:val="en-CA"/>
              </w:rPr>
              <w:t>tw,kf</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adj3 (Disorder? or disease?) adj4 (disseminated or insular or multiple? or relapsing-remitting or (relapsing adj remitting) or progressive))).</w:t>
            </w:r>
            <w:proofErr w:type="spellStart"/>
            <w:r w:rsidRPr="00A14942">
              <w:rPr>
                <w:rFonts w:ascii="Times New Roman" w:hAnsi="Times New Roman" w:cs="Times New Roman"/>
                <w:lang w:val="en-CA"/>
              </w:rPr>
              <w:t>tw,kf</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D5F87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960555</w:t>
            </w:r>
          </w:p>
        </w:tc>
      </w:tr>
      <w:tr w:rsidR="00DC0E50" w:rsidRPr="00A14942" w14:paraId="262E858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34E1F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CCE9BD"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2FD5E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299</w:t>
            </w:r>
          </w:p>
        </w:tc>
      </w:tr>
      <w:tr w:rsidR="00DC0E50" w:rsidRPr="00A14942" w14:paraId="1C0C53F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C5F1E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DECF1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BA7AF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21065</w:t>
            </w:r>
          </w:p>
        </w:tc>
      </w:tr>
      <w:tr w:rsidR="00DC0E50" w:rsidRPr="00A14942" w14:paraId="6287EE7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FEDD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922F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Dimethyl Fumarate/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3B786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24419</w:t>
            </w:r>
          </w:p>
        </w:tc>
      </w:tr>
      <w:tr w:rsidR="00DC0E50" w:rsidRPr="00A14942" w14:paraId="55C2806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3D481F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8B54D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42DA6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14422</w:t>
            </w:r>
          </w:p>
        </w:tc>
      </w:tr>
      <w:tr w:rsidR="00DC0E50" w:rsidRPr="00A14942" w14:paraId="70B55E9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C401F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8B92A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86068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18510</w:t>
            </w:r>
          </w:p>
        </w:tc>
      </w:tr>
      <w:tr w:rsidR="00DC0E50" w:rsidRPr="00A14942" w14:paraId="23F2FD9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FB39E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E9F5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Interferon beta/ or Interferon beta-1a/ or Interferon beta-1b/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r w:rsidRPr="00A14942">
              <w:rPr>
                <w:rFonts w:ascii="Times New Roman" w:hAnsi="Times New Roman" w:cs="Times New Roman"/>
                <w:lang w:val="en-CA"/>
              </w:rPr>
              <w:lastRenderedPageBreak/>
              <w:t>"</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8A051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57665</w:t>
            </w:r>
          </w:p>
        </w:tc>
      </w:tr>
      <w:tr w:rsidR="00DC0E50" w:rsidRPr="00A14942" w14:paraId="5DB4E8A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BF7F58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9239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BB2CD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14539</w:t>
            </w:r>
          </w:p>
        </w:tc>
      </w:tr>
      <w:tr w:rsidR="00DC0E50" w:rsidRPr="00A14942" w14:paraId="0D27D3C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4E751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EE90B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33113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2524</w:t>
            </w:r>
          </w:p>
        </w:tc>
      </w:tr>
      <w:tr w:rsidR="00DC0E50" w:rsidRPr="00A14942" w14:paraId="330F7C5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F3611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E172B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FBE1B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4148</w:t>
            </w:r>
          </w:p>
        </w:tc>
      </w:tr>
      <w:tr w:rsidR="00DC0E50" w:rsidRPr="00A14942" w14:paraId="6DDAAF9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21819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75B7A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1453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651</w:t>
            </w:r>
          </w:p>
        </w:tc>
      </w:tr>
      <w:tr w:rsidR="00DC0E50" w:rsidRPr="00A14942" w14:paraId="71BAA8A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8E55F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84F48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A55BA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513</w:t>
            </w:r>
          </w:p>
        </w:tc>
      </w:tr>
      <w:tr w:rsidR="00DC0E50" w:rsidRPr="00A14942" w14:paraId="1283608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E5005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4AABD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AF7E0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9711</w:t>
            </w:r>
          </w:p>
        </w:tc>
      </w:tr>
      <w:tr w:rsidR="00DC0E50" w:rsidRPr="00A14942" w14:paraId="7C04EBC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1A466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0AA0F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ti,ab,kw,kf,rn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CE50F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3898</w:t>
            </w:r>
          </w:p>
        </w:tc>
      </w:tr>
      <w:tr w:rsidR="00DC0E50" w:rsidRPr="00A14942" w14:paraId="59AE8A2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3D5CEE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6ED11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 or 3 or 4 or 5 or 6 or 7 or 8 or 9 or 10 or 11 or 12 or 13 or 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57B45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141214</w:t>
            </w:r>
          </w:p>
        </w:tc>
      </w:tr>
      <w:tr w:rsidR="00DC0E50" w:rsidRPr="00A14942" w14:paraId="58C83F2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F5FEF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43F21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 and 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AA854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43489</w:t>
            </w:r>
          </w:p>
        </w:tc>
      </w:tr>
      <w:tr w:rsidR="00DC0E50" w:rsidRPr="00A14942" w14:paraId="3BD31B6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2C6C5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458BB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(("randomized controlled trial" or "controlled clinical trial").pt. or (randomized or placebo or randomly).ab. or "clinical trials as topic".</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trial.ti</w:t>
            </w:r>
            <w:proofErr w:type="spellEnd"/>
            <w:r w:rsidRPr="00A14942">
              <w:rPr>
                <w:rFonts w:ascii="Times New Roman" w:hAnsi="Times New Roman" w:cs="Times New Roman"/>
                <w:lang w:val="en-CA"/>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0DCF3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2505953</w:t>
            </w:r>
          </w:p>
        </w:tc>
      </w:tr>
      <w:tr w:rsidR="00DC0E50" w:rsidRPr="00A14942" w14:paraId="0A7A599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CE9DD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8980F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16 and 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25715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4951</w:t>
            </w:r>
          </w:p>
        </w:tc>
      </w:tr>
      <w:tr w:rsidR="00DC0E50" w:rsidRPr="00A14942" w14:paraId="0EF46CE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CB01C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1094B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265E1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17289923</w:t>
            </w:r>
          </w:p>
        </w:tc>
      </w:tr>
      <w:tr w:rsidR="00DC0E50" w:rsidRPr="00A14942" w14:paraId="687BEC5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01A30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D7C1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 not 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36482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4951</w:t>
            </w:r>
          </w:p>
        </w:tc>
      </w:tr>
      <w:tr w:rsidR="00DC0E50" w:rsidRPr="00A14942" w14:paraId="15C4C9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25D6E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B3842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E2041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3908999</w:t>
            </w:r>
          </w:p>
        </w:tc>
      </w:tr>
      <w:tr w:rsidR="00DC0E50" w:rsidRPr="00A14942" w14:paraId="4D405F5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84E51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56885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 not 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B84BC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4822</w:t>
            </w:r>
          </w:p>
        </w:tc>
      </w:tr>
      <w:tr w:rsidR="00DC0E50" w:rsidRPr="00A14942" w14:paraId="36D6C8C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96A07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95D0F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22 use </w:t>
            </w:r>
            <w:proofErr w:type="spellStart"/>
            <w:r w:rsidRPr="00A14942">
              <w:rPr>
                <w:rFonts w:ascii="Times New Roman" w:hAnsi="Times New Roman" w:cs="Times New Roman"/>
                <w:lang w:val="en-CA"/>
              </w:rPr>
              <w:t>ppez</w:t>
            </w:r>
            <w:proofErr w:type="spellEnd"/>
            <w:r w:rsidRPr="00A14942">
              <w:rPr>
                <w:rFonts w:ascii="Times New Roman" w:hAnsi="Times New Roman" w:cs="Times New Roman"/>
                <w:lang w:val="en-CA"/>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7F4DC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1839</w:t>
            </w:r>
          </w:p>
        </w:tc>
      </w:tr>
      <w:tr w:rsidR="00DC0E50" w:rsidRPr="00A14942" w14:paraId="6948953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E0F75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7ECE2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xml:space="preserve">$)) or </w:t>
            </w:r>
            <w:r w:rsidRPr="00A14942">
              <w:rPr>
                <w:rFonts w:ascii="Times New Roman" w:hAnsi="Times New Roman" w:cs="Times New Roman"/>
                <w:lang w:val="en-CA"/>
              </w:rPr>
              <w:lastRenderedPageBreak/>
              <w:t>(</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adj3 (Disorder? or disease?) adj4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B6A0E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967075</w:t>
            </w:r>
          </w:p>
        </w:tc>
      </w:tr>
      <w:tr w:rsidR="00DC0E50" w:rsidRPr="00A14942" w14:paraId="0294536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9229A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54424F"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80A05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295</w:t>
            </w:r>
          </w:p>
        </w:tc>
      </w:tr>
      <w:tr w:rsidR="00DC0E50" w:rsidRPr="00A14942" w14:paraId="43A21BC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50141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1FC4B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CABC2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21062</w:t>
            </w:r>
          </w:p>
        </w:tc>
      </w:tr>
      <w:tr w:rsidR="00DC0E50" w:rsidRPr="00A14942" w14:paraId="51CB75E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10B73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51F14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Dimethyl Fumarate/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A310E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24156</w:t>
            </w:r>
          </w:p>
        </w:tc>
      </w:tr>
      <w:tr w:rsidR="00DC0E50" w:rsidRPr="00A14942" w14:paraId="22FE21E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76398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8A463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B37E3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14395</w:t>
            </w:r>
          </w:p>
        </w:tc>
      </w:tr>
      <w:tr w:rsidR="00DC0E50" w:rsidRPr="00A14942" w14:paraId="32329F9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687D6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9FBF5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7D690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18332</w:t>
            </w:r>
          </w:p>
        </w:tc>
      </w:tr>
      <w:tr w:rsidR="00DC0E50" w:rsidRPr="00A14942" w14:paraId="30BA6BC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201A5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A09E2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Interferon beta/ or Interferon beta-1a/ or Interferon beta-1b/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E030B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57154</w:t>
            </w:r>
          </w:p>
        </w:tc>
      </w:tr>
      <w:tr w:rsidR="00DC0E50" w:rsidRPr="00A14942" w14:paraId="79459D3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C6403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9B107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D2A66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14535</w:t>
            </w:r>
          </w:p>
        </w:tc>
      </w:tr>
      <w:tr w:rsidR="00DC0E50" w:rsidRPr="00A14942" w14:paraId="4AC3450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AD603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50BCA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612B3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1490</w:t>
            </w:r>
          </w:p>
        </w:tc>
      </w:tr>
      <w:tr w:rsidR="00DC0E50" w:rsidRPr="00A14942" w14:paraId="078D24A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3B0C6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57D1D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19F9B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2675</w:t>
            </w:r>
          </w:p>
        </w:tc>
      </w:tr>
      <w:tr w:rsidR="00DC0E50" w:rsidRPr="00A14942" w14:paraId="032C679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C36E8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74582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65EC7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481</w:t>
            </w:r>
          </w:p>
        </w:tc>
      </w:tr>
      <w:tr w:rsidR="00DC0E50" w:rsidRPr="00A14942" w14:paraId="2DAEB70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8F0E9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2EB8C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7409F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377</w:t>
            </w:r>
          </w:p>
        </w:tc>
      </w:tr>
      <w:tr w:rsidR="00DC0E50" w:rsidRPr="00A14942" w14:paraId="06E1076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B1264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16EA6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2B657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9709</w:t>
            </w:r>
          </w:p>
        </w:tc>
      </w:tr>
      <w:tr w:rsidR="00DC0E50" w:rsidRPr="00A14942" w14:paraId="08FC986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E52E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44B71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300A0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2094</w:t>
            </w:r>
          </w:p>
        </w:tc>
      </w:tr>
      <w:tr w:rsidR="00DC0E50" w:rsidRPr="00A14942" w14:paraId="780971D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6EE78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B41C0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 or 26 or 27 or 28 or 29 or 30 or 31 or 32 or 33 or 34 or 35 or 36 or 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A3FC0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138620</w:t>
            </w:r>
          </w:p>
        </w:tc>
      </w:tr>
      <w:tr w:rsidR="00DC0E50" w:rsidRPr="00A14942" w14:paraId="476411A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60296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21438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(("randomized controlled trial" or "controlled clinical trial").pt. or (randomized or placebo or randomly).ab. or "clinical trials as topic".</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trial.ti</w:t>
            </w:r>
            <w:proofErr w:type="spellEnd"/>
            <w:r w:rsidRPr="00A14942">
              <w:rPr>
                <w:rFonts w:ascii="Times New Roman" w:hAnsi="Times New Roman" w:cs="Times New Roman"/>
                <w:lang w:val="en-CA"/>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28C6E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2505953</w:t>
            </w:r>
          </w:p>
        </w:tc>
      </w:tr>
      <w:tr w:rsidR="00DC0E50" w:rsidRPr="00A14942" w14:paraId="14F5588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05AC7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B68D6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 and 38 and 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5A798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4945</w:t>
            </w:r>
          </w:p>
        </w:tc>
      </w:tr>
      <w:tr w:rsidR="00DC0E50" w:rsidRPr="00A14942" w14:paraId="604EA7A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532CF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F17A8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F5F1E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17289923</w:t>
            </w:r>
          </w:p>
        </w:tc>
      </w:tr>
      <w:tr w:rsidR="00DC0E50" w:rsidRPr="00A14942" w14:paraId="1A61837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827F1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51A15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 not 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A8661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4945</w:t>
            </w:r>
          </w:p>
        </w:tc>
      </w:tr>
      <w:tr w:rsidR="00DC0E50" w:rsidRPr="00A14942" w14:paraId="28889BD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FDDA9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B731E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01AE4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3908999</w:t>
            </w:r>
          </w:p>
        </w:tc>
      </w:tr>
      <w:tr w:rsidR="00DC0E50" w:rsidRPr="00A14942" w14:paraId="02B3488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CF2EB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410C3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 not 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7F322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4819</w:t>
            </w:r>
          </w:p>
        </w:tc>
      </w:tr>
      <w:tr w:rsidR="00DC0E50" w:rsidRPr="00A14942" w14:paraId="72EA8C7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F308E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A9BB9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44 use </w:t>
            </w:r>
            <w:proofErr w:type="spellStart"/>
            <w:r w:rsidRPr="00A14942">
              <w:rPr>
                <w:rFonts w:ascii="Times New Roman" w:hAnsi="Times New Roman" w:cs="Times New Roman"/>
                <w:lang w:val="en-CA"/>
              </w:rPr>
              <w:t>cctr</w:t>
            </w:r>
            <w:proofErr w:type="spellEnd"/>
            <w:r w:rsidRPr="00A14942">
              <w:rPr>
                <w:rFonts w:ascii="Times New Roman" w:hAnsi="Times New Roman" w:cs="Times New Roman"/>
                <w:lang w:val="en-CA"/>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8F9F9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2715</w:t>
            </w:r>
          </w:p>
        </w:tc>
      </w:tr>
      <w:tr w:rsidR="00DC0E50" w:rsidRPr="00A14942" w14:paraId="1AD6862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1ABF9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33E28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multiple sclerosis/ or (demyelinating disease/ and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 or ((multiple adj2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or RRMS or PPMS or SPMS or HA-RMS or HDA-RMS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(acute adj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fulminat</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scleros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w:t>
            </w:r>
            <w:proofErr w:type="spellEnd"/>
            <w:r w:rsidRPr="00A14942">
              <w:rPr>
                <w:rFonts w:ascii="Times New Roman" w:hAnsi="Times New Roman" w:cs="Times New Roman"/>
                <w:lang w:val="en-CA"/>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lang w:val="en-CA"/>
              </w:rPr>
              <w:t>relaps</w:t>
            </w:r>
            <w:proofErr w:type="spellEnd"/>
            <w:r w:rsidRPr="00A14942">
              <w:rPr>
                <w:rFonts w:ascii="Times New Roman" w:hAnsi="Times New Roman" w:cs="Times New Roman"/>
                <w:lang w:val="en-CA"/>
              </w:rPr>
              <w:t xml:space="preserve">$ or remit$ or </w:t>
            </w:r>
            <w:proofErr w:type="spellStart"/>
            <w:r w:rsidRPr="00A14942">
              <w:rPr>
                <w:rFonts w:ascii="Times New Roman" w:hAnsi="Times New Roman" w:cs="Times New Roman"/>
                <w:lang w:val="en-CA"/>
              </w:rPr>
              <w:t>scleros#s</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scleroti</w:t>
            </w:r>
            <w:proofErr w:type="spellEnd"/>
            <w:r w:rsidRPr="00A14942">
              <w:rPr>
                <w:rFonts w:ascii="Times New Roman" w:hAnsi="Times New Roman" w:cs="Times New Roman"/>
                <w:lang w:val="en-CA"/>
              </w:rPr>
              <w:t>$)) or (</w:t>
            </w:r>
            <w:proofErr w:type="spellStart"/>
            <w:r w:rsidRPr="00A14942">
              <w:rPr>
                <w:rFonts w:ascii="Times New Roman" w:hAnsi="Times New Roman" w:cs="Times New Roman"/>
                <w:lang w:val="en-CA"/>
              </w:rPr>
              <w:t>Demyelina</w:t>
            </w:r>
            <w:proofErr w:type="spellEnd"/>
            <w:r w:rsidRPr="00A14942">
              <w:rPr>
                <w:rFonts w:ascii="Times New Roman" w:hAnsi="Times New Roman" w:cs="Times New Roman"/>
                <w:lang w:val="en-CA"/>
              </w:rPr>
              <w:t>$ adj3 (Disorder? or disease?) adj4 (disseminated or insular or multiple? or relapsing-remitting or (relapsing adj remitting) or progressive))).</w:t>
            </w:r>
            <w:proofErr w:type="spellStart"/>
            <w:r w:rsidRPr="00A14942">
              <w:rPr>
                <w:rFonts w:ascii="Times New Roman" w:hAnsi="Times New Roman" w:cs="Times New Roman"/>
                <w:lang w:val="en-CA"/>
              </w:rPr>
              <w:t>tw,kw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8678D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967884</w:t>
            </w:r>
          </w:p>
        </w:tc>
      </w:tr>
      <w:tr w:rsidR="00DC0E50" w:rsidRPr="00A14942" w14:paraId="6EE348E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E4786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EBEE26"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Ponesimod</w:t>
            </w:r>
            <w:proofErr w:type="spellEnd"/>
            <w:r w:rsidRPr="00A14942">
              <w:rPr>
                <w:rFonts w:ascii="Times New Roman" w:hAnsi="Times New Roman" w:cs="Times New Roman"/>
                <w:lang w:val="en-CA"/>
              </w:rPr>
              <w:t>/ or (ponesimod$2 or "act 128800" or act128800 or act-128800 or "</w:t>
            </w:r>
            <w:proofErr w:type="spellStart"/>
            <w:r w:rsidRPr="00A14942">
              <w:rPr>
                <w:rFonts w:ascii="Times New Roman" w:hAnsi="Times New Roman" w:cs="Times New Roman"/>
                <w:lang w:val="en-CA"/>
              </w:rPr>
              <w:t>rg</w:t>
            </w:r>
            <w:proofErr w:type="spellEnd"/>
            <w:r w:rsidRPr="00A14942">
              <w:rPr>
                <w:rFonts w:ascii="Times New Roman" w:hAnsi="Times New Roman" w:cs="Times New Roman"/>
                <w:lang w:val="en-CA"/>
              </w:rPr>
              <w:t xml:space="preserve"> 3477" or rg3477 or "854107-55-4" or "854107-55-4").</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1BDC6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302</w:t>
            </w:r>
          </w:p>
        </w:tc>
      </w:tr>
      <w:tr w:rsidR="00DC0E50" w:rsidRPr="00A14942" w14:paraId="36E75A6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702BC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4BEF6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Alemtuzumab/ or (alemtuzumab$2 or "3a189dh42v" or campath$4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103" or "</w:t>
            </w:r>
            <w:proofErr w:type="spellStart"/>
            <w:r w:rsidRPr="00A14942">
              <w:rPr>
                <w:rFonts w:ascii="Times New Roman" w:hAnsi="Times New Roman" w:cs="Times New Roman"/>
                <w:lang w:val="en-CA"/>
              </w:rPr>
              <w:t>ldp</w:t>
            </w:r>
            <w:proofErr w:type="spellEnd"/>
            <w:r w:rsidRPr="00A14942">
              <w:rPr>
                <w:rFonts w:ascii="Times New Roman" w:hAnsi="Times New Roman" w:cs="Times New Roman"/>
                <w:lang w:val="en-CA"/>
              </w:rPr>
              <w:t xml:space="preserve"> 03" or ldp103 or ldp03 or lemtrada$2 or mabcam#ath$2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CD52)).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2CC75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21071</w:t>
            </w:r>
          </w:p>
        </w:tc>
      </w:tr>
      <w:tr w:rsidR="00DC0E50" w:rsidRPr="00A14942" w14:paraId="4FC5418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83CB1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1297C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fumaric acid dimethyl ester/ or (dimethyl fumarate or "2756-87-8" or "</w:t>
            </w:r>
            <w:proofErr w:type="spellStart"/>
            <w:r w:rsidRPr="00A14942">
              <w:rPr>
                <w:rFonts w:ascii="Times New Roman" w:hAnsi="Times New Roman" w:cs="Times New Roman"/>
                <w:lang w:val="en-CA"/>
              </w:rPr>
              <w:t>azl</w:t>
            </w:r>
            <w:proofErr w:type="spellEnd"/>
            <w:r w:rsidRPr="00A14942">
              <w:rPr>
                <w:rFonts w:ascii="Times New Roman" w:hAnsi="Times New Roman" w:cs="Times New Roman"/>
                <w:lang w:val="en-CA"/>
              </w:rPr>
              <w:t xml:space="preserve"> o 211089"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00012" or bg-00012 or bg00012 or "</w:t>
            </w:r>
            <w:proofErr w:type="spellStart"/>
            <w:r w:rsidRPr="00A14942">
              <w:rPr>
                <w:rFonts w:ascii="Times New Roman" w:hAnsi="Times New Roman" w:cs="Times New Roman"/>
                <w:lang w:val="en-CA"/>
              </w:rPr>
              <w:t>bg</w:t>
            </w:r>
            <w:proofErr w:type="spellEnd"/>
            <w:r w:rsidRPr="00A14942">
              <w:rPr>
                <w:rFonts w:ascii="Times New Roman" w:hAnsi="Times New Roman" w:cs="Times New Roman"/>
                <w:lang w:val="en-CA"/>
              </w:rPr>
              <w:t xml:space="preserve"> 12" or bg12 or dimethyl ester fumaric acid? or dimethyl trans-</w:t>
            </w:r>
            <w:proofErr w:type="spellStart"/>
            <w:r w:rsidRPr="00A14942">
              <w:rPr>
                <w:rFonts w:ascii="Times New Roman" w:hAnsi="Times New Roman" w:cs="Times New Roman"/>
                <w:lang w:val="en-CA"/>
              </w:rPr>
              <w:t>ethylenedicarboxylate</w:t>
            </w:r>
            <w:proofErr w:type="spellEnd"/>
            <w:r w:rsidRPr="00A14942">
              <w:rPr>
                <w:rFonts w:ascii="Times New Roman" w:hAnsi="Times New Roman" w:cs="Times New Roman"/>
                <w:lang w:val="en-CA"/>
              </w:rPr>
              <w:t xml:space="preserve">? or dimethyl </w:t>
            </w:r>
            <w:proofErr w:type="spellStart"/>
            <w:r w:rsidRPr="00A14942">
              <w:rPr>
                <w:rFonts w:ascii="Times New Roman" w:hAnsi="Times New Roman" w:cs="Times New Roman"/>
                <w:lang w:val="en-CA"/>
              </w:rPr>
              <w:t>transethylenedicarboxylate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dimethylfumarate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dmf</w:t>
            </w:r>
            <w:proofErr w:type="spellEnd"/>
            <w:r w:rsidRPr="00A14942">
              <w:rPr>
                <w:rFonts w:ascii="Times New Roman" w:hAnsi="Times New Roman" w:cs="Times New Roman"/>
                <w:lang w:val="en-CA"/>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lang w:val="en-CA"/>
              </w:rPr>
              <w:t>butenedioic</w:t>
            </w:r>
            <w:proofErr w:type="spellEnd"/>
            <w:r w:rsidRPr="00A14942">
              <w:rPr>
                <w:rFonts w:ascii="Times New Roman" w:hAnsi="Times New Roman" w:cs="Times New Roman"/>
                <w:lang w:val="en-CA"/>
              </w:rPr>
              <w:t xml:space="preserve"> acid dimethyl ester?).</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5695F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24381</w:t>
            </w:r>
          </w:p>
        </w:tc>
      </w:tr>
      <w:tr w:rsidR="00DC0E50" w:rsidRPr="00A14942" w14:paraId="013A227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6F0B6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14DC2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Fingolimod/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4DF84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14416</w:t>
            </w:r>
          </w:p>
        </w:tc>
      </w:tr>
      <w:tr w:rsidR="00DC0E50" w:rsidRPr="00A14942" w14:paraId="1EA8D3F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49204C"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68E11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Glatiramer/ or (glatiramer$2 or glatiramyl$2 or "147245-92-9" or "28704-27-0" or cop1 or "cop 1" or copaxone$2 or copolymer1 or co-polymer1 or copolymer-1 or co-polymer-1 or </w:t>
            </w:r>
            <w:proofErr w:type="spellStart"/>
            <w:r w:rsidRPr="00A14942">
              <w:rPr>
                <w:rFonts w:ascii="Times New Roman" w:hAnsi="Times New Roman" w:cs="Times New Roman"/>
                <w:lang w:val="en-CA"/>
              </w:rPr>
              <w:t>copolymeri</w:t>
            </w:r>
            <w:proofErr w:type="spellEnd"/>
            <w:r w:rsidRPr="00A14942">
              <w:rPr>
                <w:rFonts w:ascii="Times New Roman" w:hAnsi="Times New Roman" w:cs="Times New Roman"/>
                <w:lang w:val="en-CA"/>
              </w:rPr>
              <w:t xml:space="preserve"> or co-</w:t>
            </w:r>
            <w:proofErr w:type="spellStart"/>
            <w:r w:rsidRPr="00A14942">
              <w:rPr>
                <w:rFonts w:ascii="Times New Roman" w:hAnsi="Times New Roman" w:cs="Times New Roman"/>
                <w:lang w:val="en-CA"/>
              </w:rPr>
              <w:t>polymeri</w:t>
            </w:r>
            <w:proofErr w:type="spellEnd"/>
            <w:r w:rsidRPr="00A14942">
              <w:rPr>
                <w:rFonts w:ascii="Times New Roman" w:hAnsi="Times New Roman" w:cs="Times New Roman"/>
                <w:lang w:val="en-CA"/>
              </w:rPr>
              <w:t xml:space="preserve"> or copolymer-i or co-polymer-</w:t>
            </w:r>
            <w:proofErr w:type="spellStart"/>
            <w:r w:rsidRPr="00A14942">
              <w:rPr>
                <w:rFonts w:ascii="Times New Roman" w:hAnsi="Times New Roman" w:cs="Times New Roman"/>
                <w:lang w:val="en-CA"/>
              </w:rPr>
              <w:t>i</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cpx</w:t>
            </w:r>
            <w:proofErr w:type="spellEnd"/>
            <w:r w:rsidRPr="00A14942">
              <w:rPr>
                <w:rFonts w:ascii="Times New Roman" w:hAnsi="Times New Roman" w:cs="Times New Roman"/>
                <w:lang w:val="en-CA"/>
              </w:rPr>
              <w:t xml:space="preserve"> or glatopa$2 or marcyto$2 or perscleran$2 or remurel$2 or sclerthon$2 or Glatect$2 or </w:t>
            </w:r>
            <w:r w:rsidRPr="00A14942">
              <w:rPr>
                <w:rFonts w:ascii="Times New Roman" w:hAnsi="Times New Roman" w:cs="Times New Roman"/>
                <w:lang w:val="en-CA"/>
              </w:rPr>
              <w:lastRenderedPageBreak/>
              <w:t>"Teva-glatiramer Acetate" or brabio$2 or clift$2 or "tv 5010" or "tv-5010" or tv5010).</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913B9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18732</w:t>
            </w:r>
          </w:p>
        </w:tc>
      </w:tr>
      <w:tr w:rsidR="00DC0E50" w:rsidRPr="00A14942" w14:paraId="6C5769D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D9AEE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18E3B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beta1a interferon/ or peginterferon beta1a/ or interferon beta serine/ or (Interferon-beta or FIF or </w:t>
            </w:r>
            <w:proofErr w:type="spellStart"/>
            <w:r w:rsidRPr="00A14942">
              <w:rPr>
                <w:rFonts w:ascii="Times New Roman" w:hAnsi="Times New Roman" w:cs="Times New Roman"/>
                <w:lang w:val="en-CA"/>
              </w:rPr>
              <w:t>Fiblaferon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naferon</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frone</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hemferon</w:t>
            </w:r>
            <w:proofErr w:type="spellEnd"/>
            <w:r w:rsidRPr="00A14942">
              <w:rPr>
                <w:rFonts w:ascii="Times New Roman" w:hAnsi="Times New Roman" w:cs="Times New Roman"/>
                <w:lang w:val="en-CA"/>
              </w:rPr>
              <w:t xml:space="preserve"> or "77238-31-4" or mr21 or mr-21 or "</w:t>
            </w:r>
            <w:proofErr w:type="spellStart"/>
            <w:r w:rsidRPr="00A14942">
              <w:rPr>
                <w:rFonts w:ascii="Times New Roman" w:hAnsi="Times New Roman" w:cs="Times New Roman"/>
                <w:lang w:val="en-CA"/>
              </w:rPr>
              <w:t>mr</w:t>
            </w:r>
            <w:proofErr w:type="spellEnd"/>
            <w:r w:rsidRPr="00A14942">
              <w:rPr>
                <w:rFonts w:ascii="Times New Roman" w:hAnsi="Times New Roman" w:cs="Times New Roman"/>
                <w:lang w:val="en-CA"/>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lang w:val="en-CA"/>
              </w:rPr>
              <w:t>biib</w:t>
            </w:r>
            <w:proofErr w:type="spellEnd"/>
            <w:r w:rsidRPr="00A14942">
              <w:rPr>
                <w:rFonts w:ascii="Times New Roman" w:hAnsi="Times New Roman" w:cs="Times New Roman"/>
                <w:lang w:val="en-CA"/>
              </w:rPr>
              <w:t xml:space="preserve"> 017" or biib017 or cinnovex$2 or neoferon$2 or neo feron$2 or plegridy$2 or rebif$2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 or "</w:t>
            </w:r>
            <w:proofErr w:type="spellStart"/>
            <w:r w:rsidRPr="00A14942">
              <w:rPr>
                <w:rFonts w:ascii="Times New Roman" w:hAnsi="Times New Roman" w:cs="Times New Roman"/>
                <w:lang w:val="en-CA"/>
              </w:rPr>
              <w:t>sampeginterferon</w:t>
            </w:r>
            <w:proofErr w:type="spellEnd"/>
            <w:r w:rsidRPr="00A14942">
              <w:rPr>
                <w:rFonts w:ascii="Times New Roman" w:hAnsi="Times New Roman" w:cs="Times New Roman"/>
                <w:lang w:val="en-CA"/>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lang w:val="en-CA"/>
              </w:rPr>
              <w:t>acto</w:t>
            </w:r>
            <w:proofErr w:type="spellEnd"/>
            <w:r w:rsidRPr="00A14942">
              <w:rPr>
                <w:rFonts w:ascii="Times New Roman" w:hAnsi="Times New Roman" w:cs="Times New Roman"/>
                <w:lang w:val="en-CA"/>
              </w:rPr>
              <w:t xml:space="preserve"> feron$2 or beneseron$2 or bene seron$2 or betaferon$2 or beta feron$2 or betaseron$2 or beta-seron$2 or blastoferon$2 or </w:t>
            </w:r>
            <w:proofErr w:type="spellStart"/>
            <w:r w:rsidRPr="00A14942">
              <w:rPr>
                <w:rFonts w:ascii="Times New Roman" w:hAnsi="Times New Roman" w:cs="Times New Roman"/>
                <w:lang w:val="en-CA"/>
              </w:rPr>
              <w:t>blasto</w:t>
            </w:r>
            <w:proofErr w:type="spellEnd"/>
            <w:r w:rsidRPr="00A14942">
              <w:rPr>
                <w:rFonts w:ascii="Times New Roman" w:hAnsi="Times New Roman" w:cs="Times New Roman"/>
                <w:lang w:val="en-CA"/>
              </w:rPr>
              <w:t xml:space="preserve"> feron$2 or extavia$2 or uribeta$2 or Plegridy$2 or </w:t>
            </w:r>
            <w:proofErr w:type="spellStart"/>
            <w:r w:rsidRPr="00A14942">
              <w:rPr>
                <w:rFonts w:ascii="Times New Roman" w:hAnsi="Times New Roman" w:cs="Times New Roman"/>
                <w:lang w:val="en-CA"/>
              </w:rPr>
              <w:t>betaifn</w:t>
            </w:r>
            <w:proofErr w:type="spellEnd"/>
            <w:r w:rsidRPr="00A14942">
              <w:rPr>
                <w:rFonts w:ascii="Times New Roman" w:hAnsi="Times New Roman" w:cs="Times New Roman"/>
                <w:lang w:val="en-CA"/>
              </w:rPr>
              <w:t xml:space="preserve"> or beta-</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 or beta-ifn-1b or </w:t>
            </w:r>
            <w:proofErr w:type="spellStart"/>
            <w:r w:rsidRPr="00A14942">
              <w:rPr>
                <w:rFonts w:ascii="Times New Roman" w:hAnsi="Times New Roman" w:cs="Times New Roman"/>
                <w:lang w:val="en-CA"/>
              </w:rPr>
              <w:t>ifnbeta</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 or </w:t>
            </w:r>
            <w:proofErr w:type="spellStart"/>
            <w:r w:rsidRPr="00A14942">
              <w:rPr>
                <w:rFonts w:ascii="Times New Roman" w:hAnsi="Times New Roman" w:cs="Times New Roman"/>
                <w:lang w:val="en-CA"/>
              </w:rPr>
              <w:t>ifn</w:t>
            </w:r>
            <w:proofErr w:type="spellEnd"/>
            <w:r w:rsidRPr="00A14942">
              <w:rPr>
                <w:rFonts w:ascii="Times New Roman" w:hAnsi="Times New Roman" w:cs="Times New Roman"/>
                <w:lang w:val="en-CA"/>
              </w:rPr>
              <w:t xml:space="preserve">-beta-ser or </w:t>
            </w:r>
            <w:proofErr w:type="spellStart"/>
            <w:r w:rsidRPr="00A14942">
              <w:rPr>
                <w:rFonts w:ascii="Times New Roman" w:hAnsi="Times New Roman" w:cs="Times New Roman"/>
                <w:lang w:val="en-CA"/>
              </w:rPr>
              <w:t>ifnb</w:t>
            </w:r>
            <w:proofErr w:type="spellEnd"/>
            <w:r w:rsidRPr="00A14942">
              <w:rPr>
                <w:rFonts w:ascii="Times New Roman" w:hAnsi="Times New Roman" w:cs="Times New Roman"/>
                <w:lang w:val="en-CA"/>
              </w:rPr>
              <w:t xml:space="preserve"> or "</w:t>
            </w:r>
            <w:proofErr w:type="spellStart"/>
            <w:r w:rsidRPr="00A14942">
              <w:rPr>
                <w:rFonts w:ascii="Times New Roman" w:hAnsi="Times New Roman" w:cs="Times New Roman"/>
                <w:lang w:val="en-CA"/>
              </w:rPr>
              <w:t>rifn</w:t>
            </w:r>
            <w:proofErr w:type="spellEnd"/>
            <w:r w:rsidRPr="00A14942">
              <w:rPr>
                <w:rFonts w:ascii="Times New Roman" w:hAnsi="Times New Roman" w:cs="Times New Roman"/>
                <w:lang w:val="en-CA"/>
              </w:rPr>
              <w:t xml:space="preserve"> beta-1b" or "</w:t>
            </w:r>
            <w:proofErr w:type="spellStart"/>
            <w:r w:rsidRPr="00A14942">
              <w:rPr>
                <w:rFonts w:ascii="Times New Roman" w:hAnsi="Times New Roman" w:cs="Times New Roman"/>
                <w:lang w:val="en-CA"/>
              </w:rPr>
              <w:t>sh</w:t>
            </w:r>
            <w:proofErr w:type="spellEnd"/>
            <w:r w:rsidRPr="00A14942">
              <w:rPr>
                <w:rFonts w:ascii="Times New Roman" w:hAnsi="Times New Roman" w:cs="Times New Roman"/>
                <w:lang w:val="en-CA"/>
              </w:rPr>
              <w:t xml:space="preserve"> 579" or sh579 or "</w:t>
            </w:r>
            <w:proofErr w:type="spellStart"/>
            <w:r w:rsidRPr="00A14942">
              <w:rPr>
                <w:rFonts w:ascii="Times New Roman" w:hAnsi="Times New Roman" w:cs="Times New Roman"/>
                <w:lang w:val="en-CA"/>
              </w:rPr>
              <w:t>zk</w:t>
            </w:r>
            <w:proofErr w:type="spellEnd"/>
            <w:r w:rsidRPr="00A14942">
              <w:rPr>
                <w:rFonts w:ascii="Times New Roman" w:hAnsi="Times New Roman" w:cs="Times New Roman"/>
                <w:lang w:val="en-CA"/>
              </w:rPr>
              <w:t xml:space="preserve"> 157046" or zk157046).</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E5862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46959</w:t>
            </w:r>
          </w:p>
        </w:tc>
      </w:tr>
      <w:tr w:rsidR="00DC0E50" w:rsidRPr="00A14942" w14:paraId="34B928F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85473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0A9DB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Natalizumab/ or (natalizumab$2 or "189261-10-7" or "an 100226" or an100226 or antegren$2 or anti-alpha4 integrin or anti-vla4 or "'anti-</w:t>
            </w:r>
            <w:proofErr w:type="spellStart"/>
            <w:r w:rsidRPr="00A14942">
              <w:rPr>
                <w:rFonts w:ascii="Times New Roman" w:hAnsi="Times New Roman" w:cs="Times New Roman"/>
                <w:lang w:val="en-CA"/>
              </w:rPr>
              <w:t>vla</w:t>
            </w:r>
            <w:proofErr w:type="spellEnd"/>
            <w:r w:rsidRPr="00A14942">
              <w:rPr>
                <w:rFonts w:ascii="Times New Roman" w:hAnsi="Times New Roman" w:cs="Times New Roman"/>
                <w:lang w:val="en-CA"/>
              </w:rPr>
              <w:t xml:space="preserve"> 4" or tysabri$2).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650617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14542</w:t>
            </w:r>
          </w:p>
        </w:tc>
      </w:tr>
      <w:tr w:rsidR="00DC0E50" w:rsidRPr="00A14942" w14:paraId="64BD12E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647D4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27749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ocrelizumab/ or (Ocrelizumab$2 or ocrevus$2 or "637334-45-3" or "</w:t>
            </w:r>
            <w:proofErr w:type="spellStart"/>
            <w:r w:rsidRPr="00A14942">
              <w:rPr>
                <w:rFonts w:ascii="Times New Roman" w:hAnsi="Times New Roman" w:cs="Times New Roman"/>
                <w:lang w:val="en-CA"/>
              </w:rPr>
              <w:t>rhumab</w:t>
            </w:r>
            <w:proofErr w:type="spellEnd"/>
            <w:r w:rsidRPr="00A14942">
              <w:rPr>
                <w:rFonts w:ascii="Times New Roman" w:hAnsi="Times New Roman" w:cs="Times New Roman"/>
                <w:lang w:val="en-CA"/>
              </w:rPr>
              <w:t xml:space="preserve"> 2H7" or (monoclonal </w:t>
            </w:r>
            <w:proofErr w:type="spellStart"/>
            <w:r w:rsidRPr="00A14942">
              <w:rPr>
                <w:rFonts w:ascii="Times New Roman" w:hAnsi="Times New Roman" w:cs="Times New Roman"/>
                <w:lang w:val="en-CA"/>
              </w:rPr>
              <w:t>antibod</w:t>
            </w:r>
            <w:proofErr w:type="spellEnd"/>
            <w:r w:rsidRPr="00A14942">
              <w:rPr>
                <w:rFonts w:ascii="Times New Roman" w:hAnsi="Times New Roman" w:cs="Times New Roman"/>
                <w:lang w:val="en-CA"/>
              </w:rPr>
              <w:t>* adj1 (2H7 or "PRO 70769" or PRO70769))).</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B1D17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2552</w:t>
            </w:r>
          </w:p>
        </w:tc>
      </w:tr>
      <w:tr w:rsidR="00DC0E50" w:rsidRPr="00A14942" w14:paraId="7BC792D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89FD0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BC033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teriflunomide/ or (Teriflunomid$2 or aubagio$2 or "163451-81-8" or "(Z)-2-cyano-alpha,alpha,alpha-trifluoro-3-hydroxy-p-crotonotoluidide" </w:t>
            </w:r>
            <w:proofErr w:type="spellStart"/>
            <w:r w:rsidRPr="00A14942">
              <w:rPr>
                <w:rFonts w:ascii="Times New Roman" w:hAnsi="Times New Roman" w:cs="Times New Roman"/>
                <w:lang w:val="en-CA"/>
              </w:rPr>
              <w:t>or</w:t>
            </w:r>
            <w:proofErr w:type="spellEnd"/>
            <w:r w:rsidRPr="00A14942">
              <w:rPr>
                <w:rFonts w:ascii="Times New Roman" w:hAnsi="Times New Roman" w:cs="Times New Roman"/>
                <w:lang w:val="en-CA"/>
              </w:rPr>
              <w:t xml:space="preserve"> "a 771726" or "a77 1726" or a771726 or "a77-1726" or "</w:t>
            </w:r>
            <w:proofErr w:type="spellStart"/>
            <w:r w:rsidRPr="00A14942">
              <w:rPr>
                <w:rFonts w:ascii="Times New Roman" w:hAnsi="Times New Roman" w:cs="Times New Roman"/>
                <w:lang w:val="en-CA"/>
              </w:rPr>
              <w:t>hmr</w:t>
            </w:r>
            <w:proofErr w:type="spellEnd"/>
            <w:r w:rsidRPr="00A14942">
              <w:rPr>
                <w:rFonts w:ascii="Times New Roman" w:hAnsi="Times New Roman" w:cs="Times New Roman"/>
                <w:lang w:val="en-CA"/>
              </w:rPr>
              <w:t xml:space="preserve"> 1726" or hmr1726 or "</w:t>
            </w:r>
            <w:proofErr w:type="spellStart"/>
            <w:r w:rsidRPr="00A14942">
              <w:rPr>
                <w:rFonts w:ascii="Times New Roman" w:hAnsi="Times New Roman" w:cs="Times New Roman"/>
                <w:lang w:val="en-CA"/>
              </w:rPr>
              <w:t>rs</w:t>
            </w:r>
            <w:proofErr w:type="spellEnd"/>
            <w:r w:rsidRPr="00A14942">
              <w:rPr>
                <w:rFonts w:ascii="Times New Roman" w:hAnsi="Times New Roman" w:cs="Times New Roman"/>
                <w:lang w:val="en-CA"/>
              </w:rPr>
              <w:t xml:space="preserve"> 61980" or rs61980 or "</w:t>
            </w:r>
            <w:proofErr w:type="spellStart"/>
            <w:r w:rsidRPr="00A14942">
              <w:rPr>
                <w:rFonts w:ascii="Times New Roman" w:hAnsi="Times New Roman" w:cs="Times New Roman"/>
                <w:lang w:val="en-CA"/>
              </w:rPr>
              <w:t>su</w:t>
            </w:r>
            <w:proofErr w:type="spellEnd"/>
            <w:r w:rsidRPr="00A14942">
              <w:rPr>
                <w:rFonts w:ascii="Times New Roman" w:hAnsi="Times New Roman" w:cs="Times New Roman"/>
                <w:lang w:val="en-CA"/>
              </w:rPr>
              <w:t xml:space="preserve"> 0020" or su0020).</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D3B4A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4148</w:t>
            </w:r>
          </w:p>
        </w:tc>
      </w:tr>
      <w:tr w:rsidR="00DC0E50" w:rsidRPr="00A14942" w14:paraId="7B6C5B4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58FFD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5BF516" w14:textId="77777777" w:rsidR="00DC0E50" w:rsidRPr="00A14942" w:rsidRDefault="00DC0E50">
            <w:pPr>
              <w:spacing w:after="0" w:line="240" w:lineRule="auto"/>
              <w:rPr>
                <w:rFonts w:ascii="Times New Roman" w:hAnsi="Times New Roman" w:cs="Times New Roman"/>
                <w:lang w:val="en-CA"/>
              </w:rPr>
            </w:pPr>
            <w:proofErr w:type="spellStart"/>
            <w:r w:rsidRPr="00A14942">
              <w:rPr>
                <w:rFonts w:ascii="Times New Roman" w:hAnsi="Times New Roman" w:cs="Times New Roman"/>
                <w:lang w:val="en-CA"/>
              </w:rPr>
              <w:t>siponimod</w:t>
            </w:r>
            <w:proofErr w:type="spellEnd"/>
            <w:r w:rsidRPr="00A14942">
              <w:rPr>
                <w:rFonts w:ascii="Times New Roman" w:hAnsi="Times New Roman" w:cs="Times New Roman"/>
                <w:lang w:val="en-CA"/>
              </w:rPr>
              <w:t>/ or (siponimod$2 or "1230487-00-9" or "1230487-85-0" or "</w:t>
            </w:r>
            <w:proofErr w:type="spellStart"/>
            <w:r w:rsidRPr="00A14942">
              <w:rPr>
                <w:rFonts w:ascii="Times New Roman" w:hAnsi="Times New Roman" w:cs="Times New Roman"/>
                <w:lang w:val="en-CA"/>
              </w:rPr>
              <w:t>baf</w:t>
            </w:r>
            <w:proofErr w:type="spellEnd"/>
            <w:r w:rsidRPr="00A14942">
              <w:rPr>
                <w:rFonts w:ascii="Times New Roman" w:hAnsi="Times New Roman" w:cs="Times New Roman"/>
                <w:lang w:val="en-CA"/>
              </w:rPr>
              <w:t xml:space="preserve"> 312" or baf312 or mayzent$2 or nvpbaf312nx).</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D60AE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661</w:t>
            </w:r>
          </w:p>
        </w:tc>
      </w:tr>
      <w:tr w:rsidR="00DC0E50" w:rsidRPr="00A14942" w14:paraId="41E8D81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6F701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108A2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ozanimod/ or (ozanimod$2 or "1306760-87-1" or "1618636-37-5" or "</w:t>
            </w:r>
            <w:proofErr w:type="spellStart"/>
            <w:r w:rsidRPr="00A14942">
              <w:rPr>
                <w:rFonts w:ascii="Times New Roman" w:hAnsi="Times New Roman" w:cs="Times New Roman"/>
                <w:lang w:val="en-CA"/>
              </w:rPr>
              <w:t>rpc</w:t>
            </w:r>
            <w:proofErr w:type="spellEnd"/>
            <w:r w:rsidRPr="00A14942">
              <w:rPr>
                <w:rFonts w:ascii="Times New Roman" w:hAnsi="Times New Roman" w:cs="Times New Roman"/>
                <w:lang w:val="en-CA"/>
              </w:rPr>
              <w:t xml:space="preserve"> 1063" or rpc1063 or Zeposia$2).</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8FE8F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524</w:t>
            </w:r>
          </w:p>
        </w:tc>
      </w:tr>
      <w:tr w:rsidR="00DC0E50" w:rsidRPr="00A14942" w14:paraId="2363D55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B6E97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26239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lang w:val="en-CA"/>
              </w:rPr>
              <w:t>rwj</w:t>
            </w:r>
            <w:proofErr w:type="spellEnd"/>
            <w:r w:rsidRPr="00A14942">
              <w:rPr>
                <w:rFonts w:ascii="Times New Roman" w:hAnsi="Times New Roman" w:cs="Times New Roman"/>
                <w:lang w:val="en-CA"/>
              </w:rPr>
              <w:t xml:space="preserve"> 26251 or rwj26251).</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2F15C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9718</w:t>
            </w:r>
          </w:p>
        </w:tc>
      </w:tr>
      <w:tr w:rsidR="00DC0E50" w:rsidRPr="00A14942" w14:paraId="6FE86A4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FCB7E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2833C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ofatumumab/ or (ofatumumab$2 or arzerra$2 or "</w:t>
            </w:r>
            <w:proofErr w:type="spellStart"/>
            <w:r w:rsidRPr="00A14942">
              <w:rPr>
                <w:rFonts w:ascii="Times New Roman" w:hAnsi="Times New Roman" w:cs="Times New Roman"/>
                <w:lang w:val="en-CA"/>
              </w:rPr>
              <w:t>gsk</w:t>
            </w:r>
            <w:proofErr w:type="spellEnd"/>
            <w:r w:rsidRPr="00A14942">
              <w:rPr>
                <w:rFonts w:ascii="Times New Roman" w:hAnsi="Times New Roman" w:cs="Times New Roman"/>
                <w:lang w:val="en-CA"/>
              </w:rPr>
              <w:t xml:space="preserve"> 1841157" or gsk1841157 or "</w:t>
            </w:r>
            <w:proofErr w:type="spellStart"/>
            <w:r w:rsidRPr="00A14942">
              <w:rPr>
                <w:rFonts w:ascii="Times New Roman" w:hAnsi="Times New Roman" w:cs="Times New Roman"/>
                <w:lang w:val="en-CA"/>
              </w:rPr>
              <w:t>humac</w:t>
            </w:r>
            <w:proofErr w:type="spellEnd"/>
            <w:r w:rsidRPr="00A14942">
              <w:rPr>
                <w:rFonts w:ascii="Times New Roman" w:hAnsi="Times New Roman" w:cs="Times New Roman"/>
                <w:lang w:val="en-CA"/>
              </w:rPr>
              <w:t xml:space="preserve"> CD20" or "</w:t>
            </w:r>
            <w:proofErr w:type="spellStart"/>
            <w:r w:rsidRPr="00A14942">
              <w:rPr>
                <w:rFonts w:ascii="Times New Roman" w:hAnsi="Times New Roman" w:cs="Times New Roman"/>
                <w:lang w:val="en-CA"/>
              </w:rPr>
              <w:t>HuMax</w:t>
            </w:r>
            <w:proofErr w:type="spellEnd"/>
            <w:r w:rsidRPr="00A14942">
              <w:rPr>
                <w:rFonts w:ascii="Times New Roman" w:hAnsi="Times New Roman" w:cs="Times New Roman"/>
                <w:lang w:val="en-CA"/>
              </w:rPr>
              <w:t xml:space="preserve"> CD20" or HuMax-CD20 or HuMaxCD20 or "</w:t>
            </w:r>
            <w:proofErr w:type="spellStart"/>
            <w:r w:rsidRPr="00A14942">
              <w:rPr>
                <w:rFonts w:ascii="Times New Roman" w:hAnsi="Times New Roman" w:cs="Times New Roman"/>
                <w:lang w:val="en-CA"/>
              </w:rPr>
              <w:t>omb</w:t>
            </w:r>
            <w:proofErr w:type="spellEnd"/>
            <w:r w:rsidRPr="00A14942">
              <w:rPr>
                <w:rFonts w:ascii="Times New Roman" w:hAnsi="Times New Roman" w:cs="Times New Roman"/>
                <w:lang w:val="en-CA"/>
              </w:rPr>
              <w:t xml:space="preserve"> 157" or omb157 or "679818-59-8").</w:t>
            </w:r>
            <w:proofErr w:type="spellStart"/>
            <w:r w:rsidRPr="00A14942">
              <w:rPr>
                <w:rFonts w:ascii="Times New Roman" w:hAnsi="Times New Roman" w:cs="Times New Roman"/>
                <w:lang w:val="en-CA"/>
              </w:rPr>
              <w:t>ti,ab,kw,du,dy,tn,rn</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57DD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3916</w:t>
            </w:r>
          </w:p>
        </w:tc>
      </w:tr>
      <w:tr w:rsidR="00DC0E50" w:rsidRPr="00A14942" w14:paraId="6B1CE34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42796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37C95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 or 48 or 49 or 50 or 51 or 52 or 53 or 54 or 55 or 56 or 57 or 58 or 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35056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132164</w:t>
            </w:r>
          </w:p>
        </w:tc>
      </w:tr>
      <w:tr w:rsidR="00DC0E50" w:rsidRPr="00A14942" w14:paraId="525085D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4746A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6E28E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 and 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23A3D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42244</w:t>
            </w:r>
          </w:p>
        </w:tc>
      </w:tr>
      <w:tr w:rsidR="00DC0E50" w:rsidRPr="00A14942" w14:paraId="643E655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2B0E5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D2619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Clinical Trial/ or Randomized Controlled Trial/ or controlled clinical trial/ or multicenter study/ or Phase 3 clinical trial/ or Phase 4 clinical trial/ or exp Randomization/ or Single Blind Procedure/ or </w:t>
            </w:r>
            <w:proofErr w:type="gramStart"/>
            <w:r w:rsidRPr="00A14942">
              <w:rPr>
                <w:rFonts w:ascii="Times New Roman" w:hAnsi="Times New Roman" w:cs="Times New Roman"/>
                <w:lang w:val="en-CA"/>
              </w:rPr>
              <w:t>Double Blind</w:t>
            </w:r>
            <w:proofErr w:type="gramEnd"/>
            <w:r w:rsidRPr="00A14942">
              <w:rPr>
                <w:rFonts w:ascii="Times New Roman" w:hAnsi="Times New Roman" w:cs="Times New Roman"/>
                <w:lang w:val="en-CA"/>
              </w:rPr>
              <w:t xml:space="preserve"> Procedure/ or Crossover Procedure/ or Placebo/ or Prospective Study/ or (</w:t>
            </w:r>
            <w:proofErr w:type="spellStart"/>
            <w:r w:rsidRPr="00A14942">
              <w:rPr>
                <w:rFonts w:ascii="Times New Roman" w:hAnsi="Times New Roman" w:cs="Times New Roman"/>
                <w:lang w:val="en-CA"/>
              </w:rPr>
              <w:t>randomi?ed</w:t>
            </w:r>
            <w:proofErr w:type="spellEnd"/>
            <w:r w:rsidRPr="00A14942">
              <w:rPr>
                <w:rFonts w:ascii="Times New Roman" w:hAnsi="Times New Roman" w:cs="Times New Roman"/>
                <w:lang w:val="en-CA"/>
              </w:rPr>
              <w:t xml:space="preserve"> controlled trial$ or </w:t>
            </w:r>
            <w:proofErr w:type="spellStart"/>
            <w:r w:rsidRPr="00A14942">
              <w:rPr>
                <w:rFonts w:ascii="Times New Roman" w:hAnsi="Times New Roman" w:cs="Times New Roman"/>
                <w:lang w:val="en-CA"/>
              </w:rPr>
              <w:t>rct</w:t>
            </w:r>
            <w:proofErr w:type="spellEnd"/>
            <w:r w:rsidRPr="00A14942">
              <w:rPr>
                <w:rFonts w:ascii="Times New Roman" w:hAnsi="Times New Roman" w:cs="Times New Roman"/>
                <w:lang w:val="en-CA"/>
              </w:rPr>
              <w:t xml:space="preserve"> or (random$ adj2 </w:t>
            </w:r>
            <w:proofErr w:type="spellStart"/>
            <w:r w:rsidRPr="00A14942">
              <w:rPr>
                <w:rFonts w:ascii="Times New Roman" w:hAnsi="Times New Roman" w:cs="Times New Roman"/>
                <w:lang w:val="en-CA"/>
              </w:rPr>
              <w:t>allocat</w:t>
            </w:r>
            <w:proofErr w:type="spellEnd"/>
            <w:r w:rsidRPr="00A14942">
              <w:rPr>
                <w:rFonts w:ascii="Times New Roman" w:hAnsi="Times New Roman" w:cs="Times New Roman"/>
                <w:lang w:val="en-CA"/>
              </w:rPr>
              <w:t>$) or single blind$ or double blind$ or ((treble or triple) adj blind$) or placebo$).</w:t>
            </w:r>
            <w:proofErr w:type="spellStart"/>
            <w:r w:rsidRPr="00A14942">
              <w:rPr>
                <w:rFonts w:ascii="Times New Roman" w:hAnsi="Times New Roman" w:cs="Times New Roman"/>
                <w:lang w:val="en-CA"/>
              </w:rPr>
              <w:t>tw</w:t>
            </w:r>
            <w:proofErr w:type="spellEnd"/>
            <w:r w:rsidRPr="00A14942">
              <w:rPr>
                <w:rFonts w:ascii="Times New Roman" w:hAnsi="Times New Roman" w:cs="Times New Roman"/>
                <w:lang w:val="en-CA"/>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F6E86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4680659</w:t>
            </w:r>
          </w:p>
        </w:tc>
      </w:tr>
      <w:tr w:rsidR="00DC0E50" w:rsidRPr="00A14942" w14:paraId="70ED757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C2EE6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41EFC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Case Study/ or case report.tw. or abstract report/ or letter/ or (Conference proceeding or Conference abstract or Editorial or Letter or Note).pt.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980B1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10616580</w:t>
            </w:r>
          </w:p>
        </w:tc>
      </w:tr>
      <w:tr w:rsidR="00DC0E50" w:rsidRPr="00A14942" w14:paraId="7C14326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C17FB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4EB0E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62 not 63 [SIGN RCT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E58B0D"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4015564</w:t>
            </w:r>
          </w:p>
        </w:tc>
      </w:tr>
      <w:tr w:rsidR="00DC0E50" w:rsidRPr="00A14942" w14:paraId="7ABF170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DDD07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9235D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61 and 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27B10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9052</w:t>
            </w:r>
          </w:p>
        </w:tc>
      </w:tr>
      <w:tr w:rsidR="00DC0E50" w:rsidRPr="00A14942" w14:paraId="47DBAE3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E4792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08E42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(exp animal/ or exp animal experimentation/ or exp animal model/ or exp animal experiment/ or nonhuman/ or exp vertebrate/) not (exp human/ or exp human experimentation/ or exp human experiment/)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255FD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11318567</w:t>
            </w:r>
          </w:p>
        </w:tc>
      </w:tr>
      <w:tr w:rsidR="00DC0E50" w:rsidRPr="00A14942" w14:paraId="358B757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B7B41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lastRenderedPageBreak/>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84F26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65 not 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554D8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9014</w:t>
            </w:r>
          </w:p>
        </w:tc>
      </w:tr>
      <w:tr w:rsidR="00DC0E50" w:rsidRPr="00A14942" w14:paraId="67DEB5D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26AF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36D79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(editorial or letter).pt. not (letter.pt. and randomized controlled trial/)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F93E7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3456902</w:t>
            </w:r>
          </w:p>
        </w:tc>
      </w:tr>
      <w:tr w:rsidR="00DC0E50" w:rsidRPr="00A14942" w14:paraId="315E0BB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F406E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B98C0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67 not 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3EE18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9014</w:t>
            </w:r>
          </w:p>
        </w:tc>
      </w:tr>
      <w:tr w:rsidR="00DC0E50" w:rsidRPr="00A14942" w14:paraId="769E633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F392D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55208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69 use </w:t>
            </w:r>
            <w:proofErr w:type="spellStart"/>
            <w:r w:rsidRPr="00A14942">
              <w:rPr>
                <w:rFonts w:ascii="Times New Roman" w:hAnsi="Times New Roman" w:cs="Times New Roman"/>
                <w:lang w:val="en-CA"/>
              </w:rPr>
              <w:t>oemezd</w:t>
            </w:r>
            <w:proofErr w:type="spellEnd"/>
            <w:r w:rsidRPr="00A14942">
              <w:rPr>
                <w:rFonts w:ascii="Times New Roman" w:hAnsi="Times New Roman" w:cs="Times New Roman"/>
                <w:lang w:val="en-CA"/>
              </w:rPr>
              <w:t xml:space="preserve"> [EMBASE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CD3CB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4869</w:t>
            </w:r>
          </w:p>
        </w:tc>
      </w:tr>
      <w:tr w:rsidR="00DC0E50" w:rsidRPr="00A14942" w14:paraId="07C9963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50F3B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A1CED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22 use </w:t>
            </w:r>
            <w:proofErr w:type="spellStart"/>
            <w:r w:rsidRPr="00A14942">
              <w:rPr>
                <w:rFonts w:ascii="Times New Roman" w:hAnsi="Times New Roman" w:cs="Times New Roman"/>
                <w:lang w:val="en-CA"/>
              </w:rPr>
              <w:t>ppez</w:t>
            </w:r>
            <w:proofErr w:type="spellEnd"/>
            <w:r w:rsidRPr="00A14942">
              <w:rPr>
                <w:rFonts w:ascii="Times New Roman" w:hAnsi="Times New Roman" w:cs="Times New Roman"/>
                <w:lang w:val="en-CA"/>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895D3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1839</w:t>
            </w:r>
          </w:p>
        </w:tc>
      </w:tr>
      <w:tr w:rsidR="00DC0E50" w:rsidRPr="00A14942" w14:paraId="1F136CA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93AAC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0B20A8"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44 use </w:t>
            </w:r>
            <w:proofErr w:type="spellStart"/>
            <w:r w:rsidRPr="00A14942">
              <w:rPr>
                <w:rFonts w:ascii="Times New Roman" w:hAnsi="Times New Roman" w:cs="Times New Roman"/>
                <w:lang w:val="en-CA"/>
              </w:rPr>
              <w:t>cctr</w:t>
            </w:r>
            <w:proofErr w:type="spellEnd"/>
            <w:r w:rsidRPr="00A14942">
              <w:rPr>
                <w:rFonts w:ascii="Times New Roman" w:hAnsi="Times New Roman" w:cs="Times New Roman"/>
                <w:lang w:val="en-CA"/>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F0A5C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2715</w:t>
            </w:r>
          </w:p>
        </w:tc>
      </w:tr>
      <w:tr w:rsidR="00DC0E50" w:rsidRPr="00A14942" w14:paraId="774649D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3B009B"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9302E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E3A539"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4757</w:t>
            </w:r>
          </w:p>
        </w:tc>
      </w:tr>
      <w:tr w:rsidR="00DC0E50" w:rsidRPr="00A14942" w14:paraId="3735103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8C41B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C18D01"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4B2772"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1831</w:t>
            </w:r>
          </w:p>
        </w:tc>
      </w:tr>
      <w:tr w:rsidR="00DC0E50" w:rsidRPr="00A14942" w14:paraId="18AE295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BBD29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8BB99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5A8BB3"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2581</w:t>
            </w:r>
          </w:p>
        </w:tc>
      </w:tr>
      <w:tr w:rsidR="00DC0E50" w:rsidRPr="00A14942" w14:paraId="3392B64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73F9B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3FD3E6" w14:textId="77777777" w:rsidR="00DC0E50" w:rsidRPr="002E74AB" w:rsidRDefault="00DC0E50">
            <w:pPr>
              <w:spacing w:after="0" w:line="240" w:lineRule="auto"/>
              <w:rPr>
                <w:rFonts w:ascii="Times New Roman" w:hAnsi="Times New Roman" w:cs="Times New Roman"/>
                <w:lang w:val="en-CA"/>
              </w:rPr>
            </w:pPr>
            <w:r w:rsidRPr="002E74AB">
              <w:rPr>
                <w:rFonts w:ascii="Times New Roman" w:hAnsi="Times New Roman" w:cs="Times New Roman"/>
                <w:lang w:val="en-CA"/>
              </w:rPr>
              <w:t>limit 73 to dd="20200519-20201231" [EMBASE RECORDS – 19 May 2020-Current]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B0E01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26</w:t>
            </w:r>
          </w:p>
        </w:tc>
      </w:tr>
      <w:tr w:rsidR="00DC0E50" w:rsidRPr="00A14942" w14:paraId="16D568E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67209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5A7BE0" w14:textId="77777777" w:rsidR="00DC0E50" w:rsidRPr="002E74AB" w:rsidRDefault="00DC0E50">
            <w:pPr>
              <w:spacing w:after="0" w:line="240" w:lineRule="auto"/>
              <w:rPr>
                <w:rFonts w:ascii="Times New Roman" w:hAnsi="Times New Roman" w:cs="Times New Roman"/>
                <w:lang w:val="en-CA"/>
              </w:rPr>
            </w:pPr>
            <w:r w:rsidRPr="002E74AB">
              <w:rPr>
                <w:rFonts w:ascii="Times New Roman" w:hAnsi="Times New Roman" w:cs="Times New Roman"/>
                <w:lang w:val="en-CA"/>
              </w:rPr>
              <w:t>limit 74 to dt="20200519-20201231" [MEDLINE RECORDS – 19 May 2020-Current]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4F289A"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43</w:t>
            </w:r>
          </w:p>
        </w:tc>
      </w:tr>
      <w:tr w:rsidR="00DC0E50" w:rsidRPr="00A14942" w14:paraId="288CA35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2607F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0B4780" w14:textId="77777777" w:rsidR="00DC0E50" w:rsidRPr="002E74AB" w:rsidRDefault="00DC0E50">
            <w:pPr>
              <w:spacing w:after="0" w:line="240" w:lineRule="auto"/>
              <w:rPr>
                <w:rFonts w:ascii="Times New Roman" w:hAnsi="Times New Roman" w:cs="Times New Roman"/>
                <w:lang w:val="en-CA"/>
              </w:rPr>
            </w:pPr>
            <w:r w:rsidRPr="002E74AB">
              <w:rPr>
                <w:rFonts w:ascii="Times New Roman" w:hAnsi="Times New Roman" w:cs="Times New Roman"/>
                <w:lang w:val="en-CA"/>
              </w:rPr>
              <w:t>75 and ("20200519" or "20200520" or "20200521" or "20200522" or "20200523" or "20200524" or "20200525" or "20200526" or "20200527" or "20200528" or "20200529" or "20200530" or 202006* or 202007* or 202008* or 202009* or 202010* or 202011* or 202012*).up. [CENTRAL RECORDS – 19 May 2020-Current]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C2ADA6"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64</w:t>
            </w:r>
          </w:p>
        </w:tc>
      </w:tr>
      <w:tr w:rsidR="00DC0E50" w:rsidRPr="00A14942" w14:paraId="51220A9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62A82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DABE50"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76 or 77 or 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C3AF1F"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133</w:t>
            </w:r>
          </w:p>
        </w:tc>
      </w:tr>
      <w:tr w:rsidR="00DC0E50" w:rsidRPr="00A14942" w14:paraId="305D994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FDE50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491085"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remove duplicates from 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0B8E44"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122</w:t>
            </w:r>
          </w:p>
        </w:tc>
      </w:tr>
      <w:tr w:rsidR="00DC0E50" w:rsidRPr="00A14942" w14:paraId="244AB26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CDF2B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E5199E"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 xml:space="preserve">limit 79 to </w:t>
            </w:r>
            <w:proofErr w:type="spellStart"/>
            <w:r w:rsidRPr="00A14942">
              <w:rPr>
                <w:rFonts w:ascii="Times New Roman" w:hAnsi="Times New Roman" w:cs="Times New Roman"/>
                <w:lang w:val="en-CA"/>
              </w:rPr>
              <w:t>yr</w:t>
            </w:r>
            <w:proofErr w:type="spellEnd"/>
            <w:r w:rsidRPr="00A14942">
              <w:rPr>
                <w:rFonts w:ascii="Times New Roman" w:hAnsi="Times New Roman" w:cs="Times New Roman"/>
                <w:lang w:val="en-CA"/>
              </w:rPr>
              <w:t>="2020 -Current"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1492A7" w14:textId="77777777" w:rsidR="00DC0E50" w:rsidRPr="00A14942" w:rsidRDefault="00DC0E50">
            <w:pPr>
              <w:spacing w:after="0" w:line="240" w:lineRule="auto"/>
              <w:rPr>
                <w:rFonts w:ascii="Times New Roman" w:hAnsi="Times New Roman" w:cs="Times New Roman"/>
                <w:lang w:val="en-CA"/>
              </w:rPr>
            </w:pPr>
            <w:r w:rsidRPr="00A14942">
              <w:rPr>
                <w:rFonts w:ascii="Times New Roman" w:hAnsi="Times New Roman" w:cs="Times New Roman"/>
                <w:lang w:val="en-CA"/>
              </w:rPr>
              <w:t>102</w:t>
            </w:r>
          </w:p>
        </w:tc>
      </w:tr>
      <w:tr w:rsidR="00DC0E50" w:rsidRPr="00A14942" w14:paraId="4281F17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AA4FC3"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C2D6D7"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remove duplicates from 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B8B844" w14:textId="77777777" w:rsidR="00DC0E50" w:rsidRPr="00A14942" w:rsidRDefault="00DC0E50">
            <w:pPr>
              <w:spacing w:after="0" w:line="240" w:lineRule="auto"/>
              <w:rPr>
                <w:rFonts w:ascii="Times New Roman" w:hAnsi="Times New Roman" w:cs="Times New Roman"/>
                <w:b/>
                <w:bCs/>
                <w:lang w:val="en-CA"/>
              </w:rPr>
            </w:pPr>
            <w:r w:rsidRPr="00A14942">
              <w:rPr>
                <w:rFonts w:ascii="Times New Roman" w:hAnsi="Times New Roman" w:cs="Times New Roman"/>
                <w:b/>
                <w:bCs/>
                <w:lang w:val="en-CA"/>
              </w:rPr>
              <w:t>91</w:t>
            </w:r>
          </w:p>
        </w:tc>
      </w:tr>
    </w:tbl>
    <w:p w14:paraId="0E18D1E6" w14:textId="77777777" w:rsidR="00DC0E50" w:rsidRPr="00A14942" w:rsidRDefault="00DC0E50" w:rsidP="00DC0E50">
      <w:pPr>
        <w:rPr>
          <w:rFonts w:ascii="Times New Roman" w:hAnsi="Times New Roman" w:cs="Times New Roman"/>
          <w:szCs w:val="22"/>
          <w:lang w:val="en-CA" w:bidi="ar-SA"/>
        </w:rPr>
      </w:pPr>
    </w:p>
    <w:p w14:paraId="48A300E5" w14:textId="365D9D17" w:rsidR="00DC0E50" w:rsidRPr="00A14942" w:rsidRDefault="00160246" w:rsidP="00223A29">
      <w:pPr>
        <w:pStyle w:val="Heading3"/>
        <w:pageBreakBefore/>
        <w:ind w:left="1368" w:hanging="1368"/>
        <w:rPr>
          <w:rFonts w:ascii="Times New Roman" w:hAnsi="Times New Roman" w:cs="Times New Roman"/>
        </w:rPr>
      </w:pPr>
      <w:bookmarkStart w:id="10" w:name="_Toc130240175"/>
      <w:r w:rsidRPr="00A14942">
        <w:rPr>
          <w:rFonts w:ascii="Times New Roman" w:hAnsi="Times New Roman" w:cs="Times New Roman"/>
        </w:rPr>
        <w:lastRenderedPageBreak/>
        <w:t xml:space="preserve">Update database search: </w:t>
      </w:r>
      <w:r w:rsidR="00DC0E50" w:rsidRPr="00A14942">
        <w:rPr>
          <w:rFonts w:ascii="Times New Roman" w:hAnsi="Times New Roman" w:cs="Times New Roman"/>
        </w:rPr>
        <w:t>January 14, 2021</w:t>
      </w:r>
      <w:bookmarkEnd w:id="10"/>
    </w:p>
    <w:p w14:paraId="474A765D" w14:textId="77777777" w:rsidR="00DC0E50" w:rsidRPr="00A14942" w:rsidRDefault="00DC0E50" w:rsidP="00DC0E50">
      <w:pPr>
        <w:spacing w:after="0"/>
        <w:rPr>
          <w:rFonts w:ascii="Times New Roman" w:hAnsi="Times New Roman" w:cs="Times New Roman"/>
          <w:b/>
        </w:rPr>
      </w:pPr>
      <w:r w:rsidRPr="00A14942">
        <w:rPr>
          <w:rFonts w:ascii="Times New Roman" w:hAnsi="Times New Roman" w:cs="Times New Roman"/>
          <w:b/>
        </w:rPr>
        <w:t xml:space="preserve">Date of the search: </w:t>
      </w:r>
      <w:r w:rsidRPr="00A14942">
        <w:rPr>
          <w:rFonts w:ascii="Times New Roman" w:hAnsi="Times New Roman" w:cs="Times New Roman"/>
          <w:bCs/>
        </w:rPr>
        <w:t>14 Jan 2021</w:t>
      </w:r>
    </w:p>
    <w:p w14:paraId="0EABB69D" w14:textId="77777777" w:rsidR="00DC0E50" w:rsidRPr="00A14942" w:rsidRDefault="00DC0E50" w:rsidP="00DC0E50">
      <w:pPr>
        <w:spacing w:after="0"/>
        <w:rPr>
          <w:rFonts w:ascii="Times New Roman" w:hAnsi="Times New Roman" w:cs="Times New Roman"/>
        </w:rPr>
      </w:pPr>
      <w:r w:rsidRPr="00A14942">
        <w:rPr>
          <w:rFonts w:ascii="Times New Roman" w:hAnsi="Times New Roman" w:cs="Times New Roman"/>
          <w:b/>
        </w:rPr>
        <w:t xml:space="preserve">Date range of the search update: </w:t>
      </w:r>
      <w:r w:rsidRPr="00A14942">
        <w:rPr>
          <w:rFonts w:ascii="Times New Roman" w:hAnsi="Times New Roman" w:cs="Times New Roman"/>
        </w:rPr>
        <w:t>16 Oct 2020 - Current</w:t>
      </w:r>
    </w:p>
    <w:p w14:paraId="7F79DE4B" w14:textId="77777777" w:rsidR="00DC0E50" w:rsidRPr="00A14942" w:rsidRDefault="00DC0E50" w:rsidP="00DC0E50">
      <w:pPr>
        <w:spacing w:after="0"/>
        <w:rPr>
          <w:rFonts w:ascii="Times New Roman" w:hAnsi="Times New Roman" w:cs="Times New Roman"/>
          <w:bCs/>
        </w:rPr>
      </w:pPr>
      <w:r w:rsidRPr="00A14942">
        <w:rPr>
          <w:rFonts w:ascii="Times New Roman" w:hAnsi="Times New Roman" w:cs="Times New Roman"/>
          <w:b/>
        </w:rPr>
        <w:t xml:space="preserve">Database searched: </w:t>
      </w:r>
      <w:r w:rsidRPr="00A14942">
        <w:rPr>
          <w:rFonts w:ascii="Times New Roman" w:hAnsi="Times New Roman" w:cs="Times New Roman"/>
          <w:bCs/>
        </w:rPr>
        <w:t>per previous</w:t>
      </w:r>
    </w:p>
    <w:p w14:paraId="6C895CEE" w14:textId="0151E2A1" w:rsidR="00DC0E50" w:rsidRPr="00A14942" w:rsidRDefault="00DC0E50" w:rsidP="00DC0E50">
      <w:pPr>
        <w:spacing w:after="0"/>
        <w:rPr>
          <w:rFonts w:ascii="Times New Roman" w:hAnsi="Times New Roman" w:cs="Times New Roman"/>
          <w:bCs/>
        </w:rPr>
      </w:pPr>
    </w:p>
    <w:p w14:paraId="42B41FBA" w14:textId="77777777" w:rsidR="00DC0E50" w:rsidRPr="00A14942" w:rsidRDefault="002E74AB" w:rsidP="00DC0E50">
      <w:pPr>
        <w:spacing w:after="0" w:line="240" w:lineRule="auto"/>
        <w:jc w:val="center"/>
        <w:rPr>
          <w:rFonts w:ascii="Times New Roman" w:hAnsi="Times New Roman" w:cs="Times New Roman"/>
        </w:rPr>
      </w:pPr>
      <w:r>
        <w:rPr>
          <w:rFonts w:ascii="Times New Roman" w:hAnsi="Times New Roman" w:cs="Times New Roman"/>
        </w:rPr>
        <w:pict w14:anchorId="07B9C30C">
          <v:rect id="_x0000_i1027" style="width:468pt;height:1.5pt" o:hralign="center" o:hrstd="t" o:hr="t" fillcolor="#a0a0a0" stroked="f"/>
        </w:pict>
      </w:r>
    </w:p>
    <w:p w14:paraId="1331F79E" w14:textId="77777777" w:rsidR="00DC0E50" w:rsidRPr="00A14942" w:rsidRDefault="00DC0E50" w:rsidP="00DC0E50">
      <w:pPr>
        <w:rPr>
          <w:rFonts w:ascii="Times New Roman" w:hAnsi="Times New Roman" w:cs="Times New Roman"/>
          <w:b/>
          <w:bCs/>
        </w:rPr>
      </w:pPr>
      <w:r w:rsidRPr="00A14942">
        <w:rPr>
          <w:rFonts w:ascii="Times New Roman" w:hAnsi="Times New Roman" w:cs="Times New Roman"/>
          <w:b/>
          <w:bCs/>
        </w:rPr>
        <w:t>MULTIFILE SEARCH</w:t>
      </w:r>
    </w:p>
    <w:p w14:paraId="7EF52217" w14:textId="77777777" w:rsidR="00DC0E50" w:rsidRPr="00A14942" w:rsidRDefault="00DC0E50" w:rsidP="00DC0E50">
      <w:pPr>
        <w:spacing w:after="0"/>
        <w:rPr>
          <w:rFonts w:ascii="Times New Roman" w:hAnsi="Times New Roman" w:cs="Times New Roman"/>
        </w:rPr>
      </w:pPr>
      <w:r w:rsidRPr="00A14942">
        <w:rPr>
          <w:rFonts w:ascii="Times New Roman" w:hAnsi="Times New Roman" w:cs="Times New Roman"/>
        </w:rPr>
        <w:t>Database(s): </w:t>
      </w:r>
      <w:r w:rsidRPr="00A14942">
        <w:rPr>
          <w:rFonts w:ascii="Times New Roman" w:hAnsi="Times New Roman" w:cs="Times New Roman"/>
          <w:b/>
          <w:bCs/>
        </w:rPr>
        <w:t>EBM Reviews - Cochrane Central Register of Controlled Trials </w:t>
      </w:r>
      <w:r w:rsidRPr="00A14942">
        <w:rPr>
          <w:rFonts w:ascii="Times New Roman" w:hAnsi="Times New Roman" w:cs="Times New Roman"/>
        </w:rPr>
        <w:t>November 2020</w:t>
      </w:r>
      <w:r w:rsidRPr="00A14942">
        <w:rPr>
          <w:rFonts w:ascii="Times New Roman" w:hAnsi="Times New Roman" w:cs="Times New Roman"/>
          <w:b/>
          <w:bCs/>
        </w:rPr>
        <w:t>, Embase </w:t>
      </w:r>
      <w:r w:rsidRPr="00A14942">
        <w:rPr>
          <w:rFonts w:ascii="Times New Roman" w:hAnsi="Times New Roman" w:cs="Times New Roman"/>
        </w:rPr>
        <w:t>1974 to 2021 January 13</w:t>
      </w:r>
      <w:r w:rsidRPr="00A14942">
        <w:rPr>
          <w:rFonts w:ascii="Times New Roman" w:hAnsi="Times New Roman" w:cs="Times New Roman"/>
          <w:b/>
          <w:bCs/>
        </w:rPr>
        <w:t xml:space="preserve">, Ovid MEDLINE(R) and </w:t>
      </w:r>
      <w:proofErr w:type="spellStart"/>
      <w:r w:rsidRPr="00A14942">
        <w:rPr>
          <w:rFonts w:ascii="Times New Roman" w:hAnsi="Times New Roman" w:cs="Times New Roman"/>
          <w:b/>
          <w:bCs/>
        </w:rPr>
        <w:t>Epub</w:t>
      </w:r>
      <w:proofErr w:type="spellEnd"/>
      <w:r w:rsidRPr="00A14942">
        <w:rPr>
          <w:rFonts w:ascii="Times New Roman" w:hAnsi="Times New Roman" w:cs="Times New Roman"/>
          <w:b/>
          <w:bCs/>
        </w:rPr>
        <w:t xml:space="preserve"> Ahead of Print, In-Process &amp; Other Non-Indexed Citations and Daily </w:t>
      </w:r>
      <w:r w:rsidRPr="00A14942">
        <w:rPr>
          <w:rFonts w:ascii="Times New Roman" w:hAnsi="Times New Roman" w:cs="Times New Roman"/>
        </w:rPr>
        <w:t>1946 to January 13, 2021</w:t>
      </w:r>
    </w:p>
    <w:p w14:paraId="1D29C751" w14:textId="67815D7F" w:rsidR="00DC0E50" w:rsidRPr="00A14942" w:rsidRDefault="00DC0E50" w:rsidP="00DC0E50">
      <w:pPr>
        <w:spacing w:after="0"/>
        <w:rPr>
          <w:rFonts w:ascii="Times New Roman" w:hAnsi="Times New Roman" w:cs="Times New Roman"/>
        </w:rPr>
      </w:pPr>
      <w:r w:rsidRPr="00A14942">
        <w:rPr>
          <w:rFonts w:ascii="Times New Roman" w:hAnsi="Times New Roman" w:cs="Times New Roman"/>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0"/>
        <w:gridCol w:w="7944"/>
        <w:gridCol w:w="1030"/>
      </w:tblGrid>
      <w:tr w:rsidR="00DC0E50" w:rsidRPr="00A14942" w14:paraId="357344D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66D024BF" w14:textId="77777777" w:rsidR="00DC0E50" w:rsidRPr="00A14942" w:rsidRDefault="00DC0E50">
            <w:pPr>
              <w:spacing w:after="0" w:line="240" w:lineRule="auto"/>
              <w:rPr>
                <w:rFonts w:ascii="Times New Roman" w:hAnsi="Times New Roman" w:cs="Times New Roman"/>
                <w:b/>
                <w:bCs/>
              </w:rPr>
            </w:pPr>
            <w:r w:rsidRPr="00A14942">
              <w:rPr>
                <w:rFonts w:ascii="Times New Roman" w:hAnsi="Times New Roman" w:cs="Times New Roman"/>
                <w:b/>
                <w:bCs/>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5A1EA7AD" w14:textId="77777777" w:rsidR="00DC0E50" w:rsidRPr="00A14942" w:rsidRDefault="00DC0E50">
            <w:pPr>
              <w:spacing w:after="0" w:line="240" w:lineRule="auto"/>
              <w:rPr>
                <w:rFonts w:ascii="Times New Roman" w:hAnsi="Times New Roman" w:cs="Times New Roman"/>
                <w:b/>
                <w:bCs/>
              </w:rPr>
            </w:pPr>
            <w:r w:rsidRPr="00A14942">
              <w:rPr>
                <w:rFonts w:ascii="Times New Roman" w:hAnsi="Times New Roman" w:cs="Times New Roman"/>
                <w:b/>
                <w:bCs/>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65136E17" w14:textId="77777777" w:rsidR="00DC0E50" w:rsidRPr="00A14942" w:rsidRDefault="00DC0E50">
            <w:pPr>
              <w:spacing w:after="0" w:line="240" w:lineRule="auto"/>
              <w:rPr>
                <w:rFonts w:ascii="Times New Roman" w:hAnsi="Times New Roman" w:cs="Times New Roman"/>
                <w:b/>
                <w:bCs/>
              </w:rPr>
            </w:pPr>
            <w:r w:rsidRPr="00A14942">
              <w:rPr>
                <w:rFonts w:ascii="Times New Roman" w:hAnsi="Times New Roman" w:cs="Times New Roman"/>
                <w:b/>
                <w:bCs/>
              </w:rPr>
              <w:t>Results</w:t>
            </w:r>
          </w:p>
        </w:tc>
      </w:tr>
      <w:tr w:rsidR="00DC0E50" w:rsidRPr="00A14942" w14:paraId="1A4CE97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23E55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20EA4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exp multiple sclerosis/ or (Demyelinating Autoimmune Diseases, CNS/ and (disseminated or insular or multiple? or relapsing-remitting or (relapsing adj remitting) or progressive).</w:t>
            </w:r>
            <w:proofErr w:type="spellStart"/>
            <w:r w:rsidRPr="00A14942">
              <w:rPr>
                <w:rFonts w:ascii="Times New Roman" w:hAnsi="Times New Roman" w:cs="Times New Roman"/>
              </w:rPr>
              <w:t>tw,kf</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or RRMS or PPMS 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or (</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tw,kf</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C98DA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979432</w:t>
            </w:r>
          </w:p>
        </w:tc>
      </w:tr>
      <w:tr w:rsidR="00DC0E50" w:rsidRPr="00A14942" w14:paraId="317700C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3A41B0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AD6489" w14:textId="77777777" w:rsidR="00DC0E50" w:rsidRPr="00A14942" w:rsidRDefault="00DC0E50">
            <w:pPr>
              <w:spacing w:after="0" w:line="240" w:lineRule="auto"/>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F6ADD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308</w:t>
            </w:r>
          </w:p>
        </w:tc>
      </w:tr>
      <w:tr w:rsidR="00DC0E50" w:rsidRPr="00A14942" w14:paraId="609D782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664BB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74129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F8D8A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21414</w:t>
            </w:r>
          </w:p>
        </w:tc>
      </w:tr>
      <w:tr w:rsidR="00DC0E50" w:rsidRPr="00A14942" w14:paraId="4ED2906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17746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D9F73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Dimethyl Fumarate/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ED408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24974</w:t>
            </w:r>
          </w:p>
        </w:tc>
      </w:tr>
      <w:tr w:rsidR="00DC0E50" w:rsidRPr="00A14942" w14:paraId="7758301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FAB32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B8DDE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25B9D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14755</w:t>
            </w:r>
          </w:p>
        </w:tc>
      </w:tr>
      <w:tr w:rsidR="00DC0E50" w:rsidRPr="00A14942" w14:paraId="2327805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3AF12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4126C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79651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18810</w:t>
            </w:r>
          </w:p>
        </w:tc>
      </w:tr>
      <w:tr w:rsidR="00DC0E50" w:rsidRPr="00A14942" w14:paraId="375F8DC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74504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39254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Interferon beta/ or Interferon beta-1a/ or Interferon beta-1b/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r w:rsidRPr="00A14942">
              <w:rPr>
                <w:rFonts w:ascii="Times New Roman" w:hAnsi="Times New Roman" w:cs="Times New Roman"/>
              </w:rPr>
              <w:lastRenderedPageBreak/>
              <w:t>"</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584BC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lastRenderedPageBreak/>
              <w:t>58698</w:t>
            </w:r>
          </w:p>
        </w:tc>
      </w:tr>
      <w:tr w:rsidR="00DC0E50" w:rsidRPr="00A14942" w14:paraId="4FA5B5D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CEAA2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62E0C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Natalizumab/ or (natalizumab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57069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14785</w:t>
            </w:r>
          </w:p>
        </w:tc>
      </w:tr>
      <w:tr w:rsidR="00DC0E50" w:rsidRPr="00A14942" w14:paraId="05AF8B7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3DB5C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7431E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AAEF6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2654</w:t>
            </w:r>
          </w:p>
        </w:tc>
      </w:tr>
      <w:tr w:rsidR="00DC0E50" w:rsidRPr="00A14942" w14:paraId="7E49662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85A1B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9A4C7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7345C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4273</w:t>
            </w:r>
          </w:p>
        </w:tc>
      </w:tr>
      <w:tr w:rsidR="00DC0E50" w:rsidRPr="00A14942" w14:paraId="290629B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E16F4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76500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EA067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705</w:t>
            </w:r>
          </w:p>
        </w:tc>
      </w:tr>
      <w:tr w:rsidR="00DC0E50" w:rsidRPr="00A14942" w14:paraId="4105DEE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7A42D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622BC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35979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551</w:t>
            </w:r>
          </w:p>
        </w:tc>
      </w:tr>
      <w:tr w:rsidR="00DC0E50" w:rsidRPr="00A14942" w14:paraId="02CE47B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44928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B69D6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C29B5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9868</w:t>
            </w:r>
          </w:p>
        </w:tc>
      </w:tr>
      <w:tr w:rsidR="00DC0E50" w:rsidRPr="00A14942" w14:paraId="7618C0E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A26C5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23CB5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3C586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3990</w:t>
            </w:r>
          </w:p>
        </w:tc>
      </w:tr>
      <w:tr w:rsidR="00DC0E50" w:rsidRPr="00A14942" w14:paraId="40C9844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AE764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FC598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 or 3 or 4 or 5 or 6 or 7 or 8 or 9 or 10 or 11 or 12 or 13 or 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03AB2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143845</w:t>
            </w:r>
          </w:p>
        </w:tc>
      </w:tr>
      <w:tr w:rsidR="00DC0E50" w:rsidRPr="00A14942" w14:paraId="095E95A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E48FE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71714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 and 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137AE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44276</w:t>
            </w:r>
          </w:p>
        </w:tc>
      </w:tr>
      <w:tr w:rsidR="00DC0E50" w:rsidRPr="00A14942" w14:paraId="347B62A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A1230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C9B63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(("randomized controlled trial" or "controlled clinical trial").pt. or (randomized or placebo or randomly).ab. or "clinical trials as topic".</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trial.ti</w:t>
            </w:r>
            <w:proofErr w:type="spellEnd"/>
            <w:r w:rsidRPr="00A14942">
              <w:rPr>
                <w:rFonts w:ascii="Times New Roman" w:hAnsi="Times New Roman" w:cs="Times New Roman"/>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5EFF7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2553106</w:t>
            </w:r>
          </w:p>
        </w:tc>
      </w:tr>
      <w:tr w:rsidR="00DC0E50" w:rsidRPr="00A14942" w14:paraId="6A5B681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8391A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76BC5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16 and 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245EF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5035</w:t>
            </w:r>
          </w:p>
        </w:tc>
      </w:tr>
      <w:tr w:rsidR="00DC0E50" w:rsidRPr="00A14942" w14:paraId="2C714C4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B5361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E7D96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8B48B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17917840</w:t>
            </w:r>
          </w:p>
        </w:tc>
      </w:tr>
      <w:tr w:rsidR="00DC0E50" w:rsidRPr="00A14942" w14:paraId="6E546C1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1890C2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A4EAE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 not 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D4372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5035</w:t>
            </w:r>
          </w:p>
        </w:tc>
      </w:tr>
      <w:tr w:rsidR="00DC0E50" w:rsidRPr="00A14942" w14:paraId="2A38CDC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C4A76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56A82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7CDD0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3975538</w:t>
            </w:r>
          </w:p>
        </w:tc>
      </w:tr>
      <w:tr w:rsidR="00DC0E50" w:rsidRPr="00A14942" w14:paraId="3CB5E5C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3B42E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8187A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20 not 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3F052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4907</w:t>
            </w:r>
          </w:p>
        </w:tc>
      </w:tr>
      <w:tr w:rsidR="00DC0E50" w:rsidRPr="00A14942" w14:paraId="6CDB31D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3C4B0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16EF3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22 use </w:t>
            </w:r>
            <w:proofErr w:type="spellStart"/>
            <w:r w:rsidRPr="00A14942">
              <w:rPr>
                <w:rFonts w:ascii="Times New Roman" w:hAnsi="Times New Roman" w:cs="Times New Roman"/>
              </w:rPr>
              <w:t>ppez</w:t>
            </w:r>
            <w:proofErr w:type="spellEnd"/>
            <w:r w:rsidRPr="00A14942">
              <w:rPr>
                <w:rFonts w:ascii="Times New Roman" w:hAnsi="Times New Roman" w:cs="Times New Roman"/>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E3AFC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1874</w:t>
            </w:r>
          </w:p>
        </w:tc>
      </w:tr>
      <w:tr w:rsidR="00DC0E50" w:rsidRPr="00A14942" w14:paraId="340B090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1503E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4401F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or RRMS or PPMS 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xml:space="preserve">$)) or </w:t>
            </w:r>
            <w:r w:rsidRPr="00A14942">
              <w:rPr>
                <w:rFonts w:ascii="Times New Roman" w:hAnsi="Times New Roman" w:cs="Times New Roman"/>
              </w:rPr>
              <w:lastRenderedPageBreak/>
              <w:t>(</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0D733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lastRenderedPageBreak/>
              <w:t>985850</w:t>
            </w:r>
          </w:p>
        </w:tc>
      </w:tr>
      <w:tr w:rsidR="00DC0E50" w:rsidRPr="00A14942" w14:paraId="14DE06C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666D3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79CE99" w14:textId="77777777" w:rsidR="00DC0E50" w:rsidRPr="00A14942" w:rsidRDefault="00DC0E50">
            <w:pPr>
              <w:spacing w:after="0" w:line="240" w:lineRule="auto"/>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F78CB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304</w:t>
            </w:r>
          </w:p>
        </w:tc>
      </w:tr>
      <w:tr w:rsidR="00DC0E50" w:rsidRPr="00A14942" w14:paraId="2587B9D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B5A50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89D17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36AC9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21411</w:t>
            </w:r>
          </w:p>
        </w:tc>
      </w:tr>
      <w:tr w:rsidR="00DC0E50" w:rsidRPr="00A14942" w14:paraId="51AB346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F1C55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2CC96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Dimethyl Fumarate/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37B86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24705</w:t>
            </w:r>
          </w:p>
        </w:tc>
      </w:tr>
      <w:tr w:rsidR="00DC0E50" w:rsidRPr="00A14942" w14:paraId="34017FE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05D7C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334DA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37A6A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14728</w:t>
            </w:r>
          </w:p>
        </w:tc>
      </w:tr>
      <w:tr w:rsidR="00DC0E50" w:rsidRPr="00A14942" w14:paraId="6E93378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93B67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CB403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6AF05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18628</w:t>
            </w:r>
          </w:p>
        </w:tc>
      </w:tr>
      <w:tr w:rsidR="00DC0E50" w:rsidRPr="00A14942" w14:paraId="654F8C9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C74FC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4B5AA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Interferon beta/ or Interferon beta-1a/ or Interferon beta-1b/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E2AE8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58191</w:t>
            </w:r>
          </w:p>
        </w:tc>
      </w:tr>
      <w:tr w:rsidR="00DC0E50" w:rsidRPr="00A14942" w14:paraId="03C929E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D2A68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4B38B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Natalizumab/ or (natalizumab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CAF29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14781</w:t>
            </w:r>
          </w:p>
        </w:tc>
      </w:tr>
      <w:tr w:rsidR="00DC0E50" w:rsidRPr="00A14942" w14:paraId="0B4EB96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5857D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2F527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7B53E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1565</w:t>
            </w:r>
          </w:p>
        </w:tc>
      </w:tr>
      <w:tr w:rsidR="00DC0E50" w:rsidRPr="00A14942" w14:paraId="219BC8A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62C9C2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708E2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09D77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2754</w:t>
            </w:r>
          </w:p>
        </w:tc>
      </w:tr>
      <w:tr w:rsidR="00DC0E50" w:rsidRPr="00A14942" w14:paraId="3C27492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6D48A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89A31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424A3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513</w:t>
            </w:r>
          </w:p>
        </w:tc>
      </w:tr>
      <w:tr w:rsidR="00DC0E50" w:rsidRPr="00A14942" w14:paraId="33AD816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2D1C3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A0C17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2B281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404</w:t>
            </w:r>
          </w:p>
        </w:tc>
      </w:tr>
      <w:tr w:rsidR="00DC0E50" w:rsidRPr="00A14942" w14:paraId="749D0AC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4A02B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lastRenderedPageBreak/>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5800F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29408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9866</w:t>
            </w:r>
          </w:p>
        </w:tc>
      </w:tr>
      <w:tr w:rsidR="00DC0E50" w:rsidRPr="00A14942" w14:paraId="3213EB2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B353A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9DF68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077B5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2154</w:t>
            </w:r>
          </w:p>
        </w:tc>
      </w:tr>
      <w:tr w:rsidR="00DC0E50" w:rsidRPr="00A14942" w14:paraId="415ED0A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3157F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0870E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25 or 26 or 27 or 28 or 29 or 30 or 31 or 32 or 33 or 34 or 35 or 36 or 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E117E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141194</w:t>
            </w:r>
          </w:p>
        </w:tc>
      </w:tr>
      <w:tr w:rsidR="00DC0E50" w:rsidRPr="00A14942" w14:paraId="5535BE9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77B1C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EBAC4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(("randomized controlled trial" or "controlled clinical trial").pt. or (randomized or placebo or randomly).ab. or "clinical trials as topic".</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trial.ti</w:t>
            </w:r>
            <w:proofErr w:type="spellEnd"/>
            <w:r w:rsidRPr="00A14942">
              <w:rPr>
                <w:rFonts w:ascii="Times New Roman" w:hAnsi="Times New Roman" w:cs="Times New Roman"/>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3C23C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2553106</w:t>
            </w:r>
          </w:p>
        </w:tc>
      </w:tr>
      <w:tr w:rsidR="00DC0E50" w:rsidRPr="00A14942" w14:paraId="6E3020F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DEA31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24891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 and 38 and 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AB42D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5028</w:t>
            </w:r>
          </w:p>
        </w:tc>
      </w:tr>
      <w:tr w:rsidR="00DC0E50" w:rsidRPr="00A14942" w14:paraId="466F3DD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6ED03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37D33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AF702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17917840</w:t>
            </w:r>
          </w:p>
        </w:tc>
      </w:tr>
      <w:tr w:rsidR="00DC0E50" w:rsidRPr="00A14942" w14:paraId="6B2163F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A4886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1261D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40 not 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74131D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5028</w:t>
            </w:r>
          </w:p>
        </w:tc>
      </w:tr>
      <w:tr w:rsidR="00DC0E50" w:rsidRPr="00A14942" w14:paraId="30336D8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05AFC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367C6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4E698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3975538</w:t>
            </w:r>
          </w:p>
        </w:tc>
      </w:tr>
      <w:tr w:rsidR="00DC0E50" w:rsidRPr="00A14942" w14:paraId="4A94237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FCEBA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E9D7F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42 not 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0FC8B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4903</w:t>
            </w:r>
          </w:p>
        </w:tc>
      </w:tr>
      <w:tr w:rsidR="00DC0E50" w:rsidRPr="00A14942" w14:paraId="06B1565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2095C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1E79B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44 use </w:t>
            </w:r>
            <w:proofErr w:type="spellStart"/>
            <w:r w:rsidRPr="00A14942">
              <w:rPr>
                <w:rFonts w:ascii="Times New Roman" w:hAnsi="Times New Roman" w:cs="Times New Roman"/>
              </w:rPr>
              <w:t>cctr</w:t>
            </w:r>
            <w:proofErr w:type="spellEnd"/>
            <w:r w:rsidRPr="00A14942">
              <w:rPr>
                <w:rFonts w:ascii="Times New Roman" w:hAnsi="Times New Roman" w:cs="Times New Roman"/>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3112F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2763</w:t>
            </w:r>
          </w:p>
        </w:tc>
      </w:tr>
      <w:tr w:rsidR="00DC0E50" w:rsidRPr="00A14942" w14:paraId="6E941C0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49FB7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4085A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multiple sclerosis/ or (demyelinating disease/ and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or RRMS or PPMS 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or (</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5442D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986659</w:t>
            </w:r>
          </w:p>
        </w:tc>
      </w:tr>
      <w:tr w:rsidR="00DC0E50" w:rsidRPr="00A14942" w14:paraId="1F4BA1B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03F2B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8221FB" w14:textId="77777777" w:rsidR="00DC0E50" w:rsidRPr="00A14942" w:rsidRDefault="00DC0E50">
            <w:pPr>
              <w:spacing w:after="0" w:line="240" w:lineRule="auto"/>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5E5E1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312</w:t>
            </w:r>
          </w:p>
        </w:tc>
      </w:tr>
      <w:tr w:rsidR="00DC0E50" w:rsidRPr="00A14942" w14:paraId="770B32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88E19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44644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C8F27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21420</w:t>
            </w:r>
          </w:p>
        </w:tc>
      </w:tr>
      <w:tr w:rsidR="00DC0E50" w:rsidRPr="00A14942" w14:paraId="1D51847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AF4F9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8CA16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fumaric acid dimethyl ester/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19C96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24930</w:t>
            </w:r>
          </w:p>
        </w:tc>
      </w:tr>
      <w:tr w:rsidR="00DC0E50" w:rsidRPr="00A14942" w14:paraId="28BBAC3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53743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9F2C0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Fingolimod/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695A5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14749</w:t>
            </w:r>
          </w:p>
        </w:tc>
      </w:tr>
      <w:tr w:rsidR="00DC0E50" w:rsidRPr="00A14942" w14:paraId="50D9EEF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CAE0C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1DCC2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Glatiramer/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w:t>
            </w:r>
            <w:r w:rsidRPr="00A14942">
              <w:rPr>
                <w:rFonts w:ascii="Times New Roman" w:hAnsi="Times New Roman" w:cs="Times New Roman"/>
              </w:rPr>
              <w:lastRenderedPageBreak/>
              <w:t>"Teva-glatiramer Acetate" or brabio$2 or clift$2 or "tv 5010" or "tv-5010" or tv5010).</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2D747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lastRenderedPageBreak/>
              <w:t>19046</w:t>
            </w:r>
          </w:p>
        </w:tc>
      </w:tr>
      <w:tr w:rsidR="00DC0E50" w:rsidRPr="00A14942" w14:paraId="030ED3A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B07B1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6F6F5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beta1a interferon/ or peginterferon beta1a/ or interferon beta serine/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0EF66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47797</w:t>
            </w:r>
          </w:p>
        </w:tc>
      </w:tr>
      <w:tr w:rsidR="00DC0E50" w:rsidRPr="00A14942" w14:paraId="0AD217D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DACDD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187E7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Natalizumab/ or (natalizumab$2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B86A4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14789</w:t>
            </w:r>
          </w:p>
        </w:tc>
      </w:tr>
      <w:tr w:rsidR="00DC0E50" w:rsidRPr="00A14942" w14:paraId="45CFEC2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E931C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2677C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ocrelizumab/ or (Ocrelizumab$2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CCFB4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2682</w:t>
            </w:r>
          </w:p>
        </w:tc>
      </w:tr>
      <w:tr w:rsidR="00DC0E50" w:rsidRPr="00A14942" w14:paraId="26552A0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A300C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6110F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teriflunomide/ or (Teriflunomid$2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D451D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4273</w:t>
            </w:r>
          </w:p>
        </w:tc>
      </w:tr>
      <w:tr w:rsidR="00DC0E50" w:rsidRPr="00A14942" w14:paraId="4C74F41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39545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654E45" w14:textId="77777777" w:rsidR="00DC0E50" w:rsidRPr="00A14942" w:rsidRDefault="00DC0E50">
            <w:pPr>
              <w:spacing w:after="0" w:line="240" w:lineRule="auto"/>
              <w:rPr>
                <w:rFonts w:ascii="Times New Roman" w:hAnsi="Times New Roman" w:cs="Times New Roman"/>
              </w:rPr>
            </w:pPr>
            <w:proofErr w:type="spellStart"/>
            <w:r w:rsidRPr="00A14942">
              <w:rPr>
                <w:rFonts w:ascii="Times New Roman" w:hAnsi="Times New Roman" w:cs="Times New Roman"/>
              </w:rPr>
              <w:t>siponimod</w:t>
            </w:r>
            <w:proofErr w:type="spellEnd"/>
            <w:r w:rsidRPr="00A14942">
              <w:rPr>
                <w:rFonts w:ascii="Times New Roman" w:hAnsi="Times New Roman" w:cs="Times New Roman"/>
              </w:rPr>
              <w:t>/ or (siponimod$2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787D8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716</w:t>
            </w:r>
          </w:p>
        </w:tc>
      </w:tr>
      <w:tr w:rsidR="00DC0E50" w:rsidRPr="00A14942" w14:paraId="2610DEC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C60CC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E4D4A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ozanimod/ or (ozanimod$2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BF0AD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562</w:t>
            </w:r>
          </w:p>
        </w:tc>
      </w:tr>
      <w:tr w:rsidR="00DC0E50" w:rsidRPr="00A14942" w14:paraId="70B9B0C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3E98E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7CF3B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9EA20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9875</w:t>
            </w:r>
          </w:p>
        </w:tc>
      </w:tr>
      <w:tr w:rsidR="00DC0E50" w:rsidRPr="00A14942" w14:paraId="4C2F8DF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BF361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8A863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ofatumumab/ or (ofatumumab$2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4CBE5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4008</w:t>
            </w:r>
          </w:p>
        </w:tc>
      </w:tr>
      <w:tr w:rsidR="00DC0E50" w:rsidRPr="00A14942" w14:paraId="2585391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66F01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15594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47 or 48 or 49 or 50 or 51 or 52 or 53 or 54 or 55 or 56 or 57 or 58 or 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0ED81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134645</w:t>
            </w:r>
          </w:p>
        </w:tc>
      </w:tr>
      <w:tr w:rsidR="00DC0E50" w:rsidRPr="00A14942" w14:paraId="6009182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EBBA1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4EC79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46 and 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4ADCE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43013</w:t>
            </w:r>
          </w:p>
        </w:tc>
      </w:tr>
      <w:tr w:rsidR="00DC0E50" w:rsidRPr="00A14942" w14:paraId="3F09932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F07DC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167E4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Clinical Trial/ or Randomized Controlled Trial/ or controlled clinical trial/ or multicenter study/ or Phase 3 clinical trial/ or Phase 4 clinical trial/ or exp Randomization/ or Single Blind Procedure/ or Double Blind Procedure/ or Crossover Procedure/ or Placebo/ or Prospective Study/ or (</w:t>
            </w:r>
            <w:proofErr w:type="spellStart"/>
            <w:r w:rsidRPr="00A14942">
              <w:rPr>
                <w:rFonts w:ascii="Times New Roman" w:hAnsi="Times New Roman" w:cs="Times New Roman"/>
              </w:rPr>
              <w:t>randomi?ed</w:t>
            </w:r>
            <w:proofErr w:type="spellEnd"/>
            <w:r w:rsidRPr="00A14942">
              <w:rPr>
                <w:rFonts w:ascii="Times New Roman" w:hAnsi="Times New Roman" w:cs="Times New Roman"/>
              </w:rPr>
              <w:t xml:space="preserve"> controlled trial$ or </w:t>
            </w:r>
            <w:proofErr w:type="spellStart"/>
            <w:r w:rsidRPr="00A14942">
              <w:rPr>
                <w:rFonts w:ascii="Times New Roman" w:hAnsi="Times New Roman" w:cs="Times New Roman"/>
              </w:rPr>
              <w:t>rct</w:t>
            </w:r>
            <w:proofErr w:type="spellEnd"/>
            <w:r w:rsidRPr="00A14942">
              <w:rPr>
                <w:rFonts w:ascii="Times New Roman" w:hAnsi="Times New Roman" w:cs="Times New Roman"/>
              </w:rPr>
              <w:t xml:space="preserve"> or (random$ adj2 </w:t>
            </w:r>
            <w:proofErr w:type="spellStart"/>
            <w:r w:rsidRPr="00A14942">
              <w:rPr>
                <w:rFonts w:ascii="Times New Roman" w:hAnsi="Times New Roman" w:cs="Times New Roman"/>
              </w:rPr>
              <w:t>allocat</w:t>
            </w:r>
            <w:proofErr w:type="spellEnd"/>
            <w:r w:rsidRPr="00A14942">
              <w:rPr>
                <w:rFonts w:ascii="Times New Roman" w:hAnsi="Times New Roman" w:cs="Times New Roman"/>
              </w:rPr>
              <w:t>$) or single blind$ or double blind$ or ((treble or triple) adj blind$) or placebo$).</w:t>
            </w:r>
            <w:proofErr w:type="spellStart"/>
            <w:r w:rsidRPr="00A14942">
              <w:rPr>
                <w:rFonts w:ascii="Times New Roman" w:hAnsi="Times New Roman" w:cs="Times New Roman"/>
              </w:rPr>
              <w:t>tw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F6759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4774671</w:t>
            </w:r>
          </w:p>
        </w:tc>
      </w:tr>
      <w:tr w:rsidR="00DC0E50" w:rsidRPr="00A14942" w14:paraId="7C8F910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5FC1B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98902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Case Study/ or case report.tw. or abstract report/ or letter/ or (Conference proceeding or Conference abstract or Editorial or Letter or Note).pt.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DF2B5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10830367</w:t>
            </w:r>
          </w:p>
        </w:tc>
      </w:tr>
      <w:tr w:rsidR="00DC0E50" w:rsidRPr="00A14942" w14:paraId="4B6CF71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BAEE1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4CC5A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62 not 63 [SIGN RCT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4703E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4087580</w:t>
            </w:r>
          </w:p>
        </w:tc>
      </w:tr>
      <w:tr w:rsidR="00DC0E50" w:rsidRPr="00A14942" w14:paraId="4E1B767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E507FF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4A8A5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61 and 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AAE4E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9189</w:t>
            </w:r>
          </w:p>
        </w:tc>
      </w:tr>
      <w:tr w:rsidR="00DC0E50" w:rsidRPr="00A14942" w14:paraId="1A6E12A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9B735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A4A37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(exp animal/ or exp animal experimentation/ or exp animal model/ or exp animal experiment/ or nonhuman/ or exp vertebrate/) not (exp human/ or exp human experimentation/ or exp human experiment/)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20551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11434512</w:t>
            </w:r>
          </w:p>
        </w:tc>
      </w:tr>
      <w:tr w:rsidR="00DC0E50" w:rsidRPr="00A14942" w14:paraId="57B5566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CD5CD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lastRenderedPageBreak/>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6F805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65 not 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9B7A7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9151</w:t>
            </w:r>
          </w:p>
        </w:tc>
      </w:tr>
      <w:tr w:rsidR="00DC0E50" w:rsidRPr="00A14942" w14:paraId="565CF9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BFC7D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616B1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(editorial or letter).pt. not (letter.pt. and randomized controlled trial/)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55A30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3516637</w:t>
            </w:r>
          </w:p>
        </w:tc>
      </w:tr>
      <w:tr w:rsidR="00DC0E50" w:rsidRPr="00A14942" w14:paraId="7847780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EE8D8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B8B6E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67 not 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4EB37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9151</w:t>
            </w:r>
          </w:p>
        </w:tc>
      </w:tr>
      <w:tr w:rsidR="00DC0E50" w:rsidRPr="00A14942" w14:paraId="14B56FA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D48D4A"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3D4DB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69 use </w:t>
            </w:r>
            <w:proofErr w:type="spellStart"/>
            <w:r w:rsidRPr="00A14942">
              <w:rPr>
                <w:rFonts w:ascii="Times New Roman" w:hAnsi="Times New Roman" w:cs="Times New Roman"/>
              </w:rPr>
              <w:t>oemezd</w:t>
            </w:r>
            <w:proofErr w:type="spellEnd"/>
            <w:r w:rsidRPr="00A14942">
              <w:rPr>
                <w:rFonts w:ascii="Times New Roman" w:hAnsi="Times New Roman" w:cs="Times New Roman"/>
              </w:rPr>
              <w:t xml:space="preserve"> [EMBASE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DA31CD"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4926</w:t>
            </w:r>
          </w:p>
        </w:tc>
      </w:tr>
      <w:tr w:rsidR="00DC0E50" w:rsidRPr="00A14942" w14:paraId="3C0405A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88F59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437EB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22 use </w:t>
            </w:r>
            <w:proofErr w:type="spellStart"/>
            <w:r w:rsidRPr="00A14942">
              <w:rPr>
                <w:rFonts w:ascii="Times New Roman" w:hAnsi="Times New Roman" w:cs="Times New Roman"/>
              </w:rPr>
              <w:t>ppez</w:t>
            </w:r>
            <w:proofErr w:type="spellEnd"/>
            <w:r w:rsidRPr="00A14942">
              <w:rPr>
                <w:rFonts w:ascii="Times New Roman" w:hAnsi="Times New Roman" w:cs="Times New Roman"/>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614E4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1874</w:t>
            </w:r>
          </w:p>
        </w:tc>
      </w:tr>
      <w:tr w:rsidR="00DC0E50" w:rsidRPr="00A14942" w14:paraId="601B3E9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59C33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A1FB6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44 use </w:t>
            </w:r>
            <w:proofErr w:type="spellStart"/>
            <w:r w:rsidRPr="00A14942">
              <w:rPr>
                <w:rFonts w:ascii="Times New Roman" w:hAnsi="Times New Roman" w:cs="Times New Roman"/>
              </w:rPr>
              <w:t>cctr</w:t>
            </w:r>
            <w:proofErr w:type="spellEnd"/>
            <w:r w:rsidRPr="00A14942">
              <w:rPr>
                <w:rFonts w:ascii="Times New Roman" w:hAnsi="Times New Roman" w:cs="Times New Roman"/>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358424"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2763</w:t>
            </w:r>
          </w:p>
        </w:tc>
      </w:tr>
      <w:tr w:rsidR="00DC0E50" w:rsidRPr="00A14942" w14:paraId="6CE8AB1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3D9ED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048D55"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remove duplicates from 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AEB1D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4809</w:t>
            </w:r>
          </w:p>
        </w:tc>
      </w:tr>
      <w:tr w:rsidR="00DC0E50" w:rsidRPr="00A14942" w14:paraId="44FDD4C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F9720B"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98E93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remove duplicates from 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38897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1856</w:t>
            </w:r>
          </w:p>
        </w:tc>
      </w:tr>
      <w:tr w:rsidR="00DC0E50" w:rsidRPr="00A14942" w14:paraId="0447BCE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D87B2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F9957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remove duplicates from 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E780D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2629</w:t>
            </w:r>
          </w:p>
        </w:tc>
      </w:tr>
      <w:tr w:rsidR="00DC0E50" w:rsidRPr="00A14942" w14:paraId="38C68D9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26FE9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0135A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limit 73 to dd="20201016-20211231" [Limit not valid in </w:t>
            </w:r>
            <w:proofErr w:type="spellStart"/>
            <w:r w:rsidRPr="00A14942">
              <w:rPr>
                <w:rFonts w:ascii="Times New Roman" w:hAnsi="Times New Roman" w:cs="Times New Roman"/>
              </w:rPr>
              <w:t>CCTR,Ovid</w:t>
            </w:r>
            <w:proofErr w:type="spellEnd"/>
            <w:r w:rsidRPr="00A14942">
              <w:rPr>
                <w:rFonts w:ascii="Times New Roman" w:hAnsi="Times New Roman" w:cs="Times New Roman"/>
              </w:rPr>
              <w:t xml:space="preserve"> MEDLINE(R),Ovid MEDLINE(R) Daily </w:t>
            </w:r>
            <w:proofErr w:type="spellStart"/>
            <w:r w:rsidRPr="00A14942">
              <w:rPr>
                <w:rFonts w:ascii="Times New Roman" w:hAnsi="Times New Roman" w:cs="Times New Roman"/>
              </w:rPr>
              <w:t>Update,Ovid</w:t>
            </w:r>
            <w:proofErr w:type="spellEnd"/>
            <w:r w:rsidRPr="00A14942">
              <w:rPr>
                <w:rFonts w:ascii="Times New Roman" w:hAnsi="Times New Roman" w:cs="Times New Roman"/>
              </w:rPr>
              <w:t xml:space="preserve"> MEDLINE(R) In-</w:t>
            </w:r>
            <w:proofErr w:type="spellStart"/>
            <w:r w:rsidRPr="00A14942">
              <w:rPr>
                <w:rFonts w:ascii="Times New Roman" w:hAnsi="Times New Roman" w:cs="Times New Roman"/>
              </w:rPr>
              <w:t>Process,Ovid</w:t>
            </w:r>
            <w:proofErr w:type="spellEnd"/>
            <w:r w:rsidRPr="00A14942">
              <w:rPr>
                <w:rFonts w:ascii="Times New Roman" w:hAnsi="Times New Roman" w:cs="Times New Roman"/>
              </w:rPr>
              <w:t xml:space="preserve"> MEDLINE(R) Publisher; records were retained]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732E5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24</w:t>
            </w:r>
          </w:p>
        </w:tc>
      </w:tr>
      <w:tr w:rsidR="00DC0E50" w:rsidRPr="00A14942" w14:paraId="6C985B1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3196BE"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70D12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limit 74 to dt="20201016-20211231" [Limit not valid in </w:t>
            </w:r>
            <w:proofErr w:type="spellStart"/>
            <w:r w:rsidRPr="00A14942">
              <w:rPr>
                <w:rFonts w:ascii="Times New Roman" w:hAnsi="Times New Roman" w:cs="Times New Roman"/>
              </w:rPr>
              <w:t>CCTR,Embase</w:t>
            </w:r>
            <w:proofErr w:type="spellEnd"/>
            <w:r w:rsidRPr="00A14942">
              <w:rPr>
                <w:rFonts w:ascii="Times New Roman" w:hAnsi="Times New Roman" w:cs="Times New Roman"/>
              </w:rPr>
              <w:t>; records were retained]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14FF71"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18</w:t>
            </w:r>
          </w:p>
        </w:tc>
      </w:tr>
      <w:tr w:rsidR="00DC0E50" w:rsidRPr="00A14942" w14:paraId="7A7D80F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EBF878"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6A7EF89"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75 and ("20201016" or "20201017" or "20201018" or "20201019" or "20201020" or "20201021" or "20201022" or "20201023" or "20201024" or "20201025" or "20201026" or "20201027" or "20201028" or "20201029" or "20201030" or "20201031" or 202011* or 202012* or 202101* or 202102* or 202103* or 202104* or 202105* or 202106* or 202107* or 202108* or 202109* or 202110* or 202111* or 202112*).up.</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9D0960"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42</w:t>
            </w:r>
          </w:p>
        </w:tc>
      </w:tr>
      <w:tr w:rsidR="00DC0E50" w:rsidRPr="00A14942" w14:paraId="18136C6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BC95C72"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EC5DA7"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76 or 77 or 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D19A26"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84</w:t>
            </w:r>
          </w:p>
        </w:tc>
      </w:tr>
      <w:tr w:rsidR="00DC0E50" w:rsidRPr="00A14942" w14:paraId="2A69C68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32D25C"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BCE193"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 xml:space="preserve">limit 79 to </w:t>
            </w:r>
            <w:proofErr w:type="spellStart"/>
            <w:r w:rsidRPr="00A14942">
              <w:rPr>
                <w:rFonts w:ascii="Times New Roman" w:hAnsi="Times New Roman" w:cs="Times New Roman"/>
              </w:rPr>
              <w:t>yr</w:t>
            </w:r>
            <w:proofErr w:type="spellEnd"/>
            <w:r w:rsidRPr="00A14942">
              <w:rPr>
                <w:rFonts w:ascii="Times New Roman" w:hAnsi="Times New Roman" w:cs="Times New Roman"/>
              </w:rPr>
              <w:t>="2020 -Current"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26892F" w14:textId="77777777" w:rsidR="00DC0E50" w:rsidRPr="00A14942" w:rsidRDefault="00DC0E50">
            <w:pPr>
              <w:spacing w:after="0" w:line="240" w:lineRule="auto"/>
              <w:rPr>
                <w:rFonts w:ascii="Times New Roman" w:hAnsi="Times New Roman" w:cs="Times New Roman"/>
              </w:rPr>
            </w:pPr>
            <w:r w:rsidRPr="00A14942">
              <w:rPr>
                <w:rFonts w:ascii="Times New Roman" w:hAnsi="Times New Roman" w:cs="Times New Roman"/>
              </w:rPr>
              <w:t>74</w:t>
            </w:r>
          </w:p>
        </w:tc>
      </w:tr>
      <w:tr w:rsidR="00DC0E50" w:rsidRPr="00A14942" w14:paraId="4A368BB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36F25647" w14:textId="77777777" w:rsidR="00DC0E50" w:rsidRPr="00A14942" w:rsidRDefault="00DC0E50">
            <w:pPr>
              <w:spacing w:after="0" w:line="240" w:lineRule="auto"/>
              <w:rPr>
                <w:rFonts w:ascii="Times New Roman" w:hAnsi="Times New Roman" w:cs="Times New Roman"/>
                <w:b/>
              </w:rPr>
            </w:pPr>
            <w:r w:rsidRPr="00A14942">
              <w:rPr>
                <w:rFonts w:ascii="Times New Roman" w:hAnsi="Times New Roman" w:cs="Times New Roman"/>
                <w:b/>
              </w:rPr>
              <w:t>81</w:t>
            </w:r>
          </w:p>
        </w:tc>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09E4B9D6" w14:textId="77777777" w:rsidR="00DC0E50" w:rsidRPr="00A14942" w:rsidRDefault="00DC0E50">
            <w:pPr>
              <w:spacing w:after="0" w:line="240" w:lineRule="auto"/>
              <w:rPr>
                <w:rFonts w:ascii="Times New Roman" w:hAnsi="Times New Roman" w:cs="Times New Roman"/>
                <w:b/>
              </w:rPr>
            </w:pPr>
            <w:r w:rsidRPr="00A14942">
              <w:rPr>
                <w:rFonts w:ascii="Times New Roman" w:hAnsi="Times New Roman" w:cs="Times New Roman"/>
                <w:b/>
              </w:rPr>
              <w:t>remove duplicates from 80</w:t>
            </w:r>
          </w:p>
        </w:tc>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26BA0AA1" w14:textId="77777777" w:rsidR="00DC0E50" w:rsidRPr="00A14942" w:rsidRDefault="00DC0E50">
            <w:pPr>
              <w:spacing w:after="0" w:line="240" w:lineRule="auto"/>
              <w:rPr>
                <w:rFonts w:ascii="Times New Roman" w:hAnsi="Times New Roman" w:cs="Times New Roman"/>
                <w:b/>
              </w:rPr>
            </w:pPr>
            <w:r w:rsidRPr="00A14942">
              <w:rPr>
                <w:rFonts w:ascii="Times New Roman" w:hAnsi="Times New Roman" w:cs="Times New Roman"/>
                <w:b/>
              </w:rPr>
              <w:t>66</w:t>
            </w:r>
          </w:p>
        </w:tc>
      </w:tr>
    </w:tbl>
    <w:p w14:paraId="1AB17B83" w14:textId="72525ED8" w:rsidR="00DC0E50" w:rsidRPr="00A14942" w:rsidRDefault="00DC0E50" w:rsidP="00DC0E50">
      <w:pPr>
        <w:rPr>
          <w:rFonts w:ascii="Times New Roman" w:hAnsi="Times New Roman" w:cs="Times New Roman"/>
          <w:lang w:bidi="ar-SA"/>
        </w:rPr>
      </w:pPr>
    </w:p>
    <w:p w14:paraId="5D0D790E" w14:textId="44E25F37" w:rsidR="00DC0E50" w:rsidRPr="00A14942" w:rsidRDefault="00160246" w:rsidP="00223A29">
      <w:pPr>
        <w:pStyle w:val="Heading3"/>
        <w:pageBreakBefore/>
        <w:ind w:left="1368" w:hanging="1368"/>
        <w:rPr>
          <w:rFonts w:ascii="Times New Roman" w:hAnsi="Times New Roman" w:cs="Times New Roman"/>
        </w:rPr>
      </w:pPr>
      <w:bookmarkStart w:id="11" w:name="_Toc130240176"/>
      <w:r w:rsidRPr="00A14942">
        <w:rPr>
          <w:rFonts w:ascii="Times New Roman" w:hAnsi="Times New Roman" w:cs="Times New Roman"/>
        </w:rPr>
        <w:lastRenderedPageBreak/>
        <w:t xml:space="preserve">Update database search: </w:t>
      </w:r>
      <w:r w:rsidR="00DC0E50" w:rsidRPr="00A14942">
        <w:rPr>
          <w:rFonts w:ascii="Times New Roman" w:hAnsi="Times New Roman" w:cs="Times New Roman"/>
        </w:rPr>
        <w:t>August 1</w:t>
      </w:r>
      <w:r w:rsidRPr="00A14942">
        <w:rPr>
          <w:rFonts w:ascii="Times New Roman" w:hAnsi="Times New Roman" w:cs="Times New Roman"/>
        </w:rPr>
        <w:t>6</w:t>
      </w:r>
      <w:r w:rsidR="00DC0E50" w:rsidRPr="00A14942">
        <w:rPr>
          <w:rFonts w:ascii="Times New Roman" w:hAnsi="Times New Roman" w:cs="Times New Roman"/>
        </w:rPr>
        <w:t>, 2021</w:t>
      </w:r>
      <w:bookmarkEnd w:id="11"/>
    </w:p>
    <w:p w14:paraId="5BFF2763" w14:textId="77777777" w:rsidR="00DC0E50" w:rsidRPr="00A14942" w:rsidRDefault="00DC0E50" w:rsidP="00DC0E50">
      <w:pPr>
        <w:spacing w:after="0"/>
        <w:rPr>
          <w:rFonts w:ascii="Times New Roman" w:hAnsi="Times New Roman" w:cs="Times New Roman"/>
          <w:b/>
        </w:rPr>
      </w:pPr>
      <w:r w:rsidRPr="00A14942">
        <w:rPr>
          <w:rFonts w:ascii="Times New Roman" w:hAnsi="Times New Roman" w:cs="Times New Roman"/>
          <w:b/>
        </w:rPr>
        <w:t xml:space="preserve">Date of the search: </w:t>
      </w:r>
      <w:r w:rsidRPr="00A14942">
        <w:rPr>
          <w:rFonts w:ascii="Times New Roman" w:hAnsi="Times New Roman" w:cs="Times New Roman"/>
          <w:bCs/>
        </w:rPr>
        <w:t>16 Aug 2021</w:t>
      </w:r>
    </w:p>
    <w:p w14:paraId="6696F8A0" w14:textId="2E26020D" w:rsidR="00DC0E50" w:rsidRPr="00A14942" w:rsidRDefault="00DC0E50" w:rsidP="00DC0E50">
      <w:pPr>
        <w:spacing w:after="0"/>
        <w:rPr>
          <w:rFonts w:ascii="Times New Roman" w:hAnsi="Times New Roman" w:cs="Times New Roman"/>
        </w:rPr>
      </w:pPr>
      <w:r w:rsidRPr="00A14942">
        <w:rPr>
          <w:rFonts w:ascii="Times New Roman" w:hAnsi="Times New Roman" w:cs="Times New Roman"/>
          <w:b/>
        </w:rPr>
        <w:t xml:space="preserve">Date range of the search update: </w:t>
      </w:r>
      <w:r w:rsidRPr="00A14942">
        <w:rPr>
          <w:rFonts w:ascii="Times New Roman" w:hAnsi="Times New Roman" w:cs="Times New Roman"/>
        </w:rPr>
        <w:t>2021 - Current</w:t>
      </w:r>
    </w:p>
    <w:p w14:paraId="34B99239" w14:textId="755CE9F1" w:rsidR="00DC0E50" w:rsidRPr="00A14942" w:rsidRDefault="00DC0E50" w:rsidP="00160246">
      <w:pPr>
        <w:spacing w:after="0"/>
        <w:rPr>
          <w:rFonts w:ascii="Times New Roman" w:hAnsi="Times New Roman" w:cs="Times New Roman"/>
          <w:lang w:val="en-CA"/>
        </w:rPr>
      </w:pPr>
      <w:r w:rsidRPr="00A14942">
        <w:rPr>
          <w:rFonts w:ascii="Times New Roman" w:hAnsi="Times New Roman" w:cs="Times New Roman"/>
          <w:b/>
        </w:rPr>
        <w:t xml:space="preserve">Database searched: </w:t>
      </w:r>
      <w:r w:rsidR="00160246" w:rsidRPr="00A14942">
        <w:rPr>
          <w:rFonts w:ascii="Times New Roman" w:hAnsi="Times New Roman" w:cs="Times New Roman"/>
          <w:bCs/>
        </w:rPr>
        <w:t>per previous</w:t>
      </w:r>
    </w:p>
    <w:p w14:paraId="4E2B57C4" w14:textId="77777777" w:rsidR="00DC0E50" w:rsidRPr="00A14942" w:rsidRDefault="002E74AB" w:rsidP="00DC0E50">
      <w:pPr>
        <w:spacing w:after="0" w:line="240" w:lineRule="auto"/>
        <w:jc w:val="center"/>
        <w:rPr>
          <w:rFonts w:ascii="Times New Roman" w:hAnsi="Times New Roman" w:cs="Times New Roman"/>
        </w:rPr>
      </w:pPr>
      <w:r>
        <w:rPr>
          <w:rFonts w:ascii="Times New Roman" w:hAnsi="Times New Roman" w:cs="Times New Roman"/>
        </w:rPr>
        <w:pict w14:anchorId="65EE6053">
          <v:rect id="_x0000_i1028" style="width:468pt;height:1.5pt" o:hralign="center" o:hrstd="t" o:hr="t" fillcolor="#a0a0a0" stroked="f"/>
        </w:pict>
      </w:r>
    </w:p>
    <w:p w14:paraId="6FD2E9D8" w14:textId="77777777" w:rsidR="00DC0E50" w:rsidRPr="00A14942" w:rsidRDefault="00DC0E50" w:rsidP="00DC0E50">
      <w:pPr>
        <w:rPr>
          <w:rFonts w:ascii="Times New Roman" w:hAnsi="Times New Roman" w:cs="Times New Roman"/>
          <w:b/>
          <w:bCs/>
        </w:rPr>
      </w:pPr>
      <w:r w:rsidRPr="00A14942">
        <w:rPr>
          <w:rFonts w:ascii="Times New Roman" w:hAnsi="Times New Roman" w:cs="Times New Roman"/>
          <w:b/>
          <w:bCs/>
        </w:rPr>
        <w:t>MULTIFILE SEARCH</w:t>
      </w:r>
    </w:p>
    <w:p w14:paraId="0961F60A" w14:textId="77777777" w:rsidR="00DC0E50" w:rsidRPr="00A14942" w:rsidRDefault="00DC0E50" w:rsidP="00DC0E50">
      <w:pPr>
        <w:spacing w:after="0"/>
        <w:rPr>
          <w:rFonts w:ascii="Times New Roman" w:hAnsi="Times New Roman" w:cs="Times New Roman"/>
        </w:rPr>
      </w:pPr>
      <w:r w:rsidRPr="00A14942">
        <w:rPr>
          <w:rFonts w:ascii="Times New Roman" w:hAnsi="Times New Roman" w:cs="Times New Roman"/>
        </w:rPr>
        <w:t>Database(s): </w:t>
      </w:r>
      <w:r w:rsidRPr="00A14942">
        <w:rPr>
          <w:rFonts w:ascii="Times New Roman" w:hAnsi="Times New Roman" w:cs="Times New Roman"/>
          <w:b/>
          <w:bCs/>
        </w:rPr>
        <w:t>EBM Reviews - Cochrane Central Register of Controlled Trials </w:t>
      </w:r>
      <w:r w:rsidRPr="00A14942">
        <w:rPr>
          <w:rFonts w:ascii="Times New Roman" w:hAnsi="Times New Roman" w:cs="Times New Roman"/>
        </w:rPr>
        <w:t>July 2021</w:t>
      </w:r>
      <w:r w:rsidRPr="00A14942">
        <w:rPr>
          <w:rFonts w:ascii="Times New Roman" w:hAnsi="Times New Roman" w:cs="Times New Roman"/>
          <w:b/>
          <w:bCs/>
        </w:rPr>
        <w:t>, Embase </w:t>
      </w:r>
      <w:r w:rsidRPr="00A14942">
        <w:rPr>
          <w:rFonts w:ascii="Times New Roman" w:hAnsi="Times New Roman" w:cs="Times New Roman"/>
        </w:rPr>
        <w:t>1974 to 2021 August 13</w:t>
      </w:r>
      <w:r w:rsidRPr="00A14942">
        <w:rPr>
          <w:rFonts w:ascii="Times New Roman" w:hAnsi="Times New Roman" w:cs="Times New Roman"/>
          <w:b/>
          <w:bCs/>
        </w:rPr>
        <w:t xml:space="preserve"> , Ovid MEDLINE(R) and </w:t>
      </w:r>
      <w:proofErr w:type="spellStart"/>
      <w:r w:rsidRPr="00A14942">
        <w:rPr>
          <w:rFonts w:ascii="Times New Roman" w:hAnsi="Times New Roman" w:cs="Times New Roman"/>
          <w:b/>
          <w:bCs/>
        </w:rPr>
        <w:t>Epub</w:t>
      </w:r>
      <w:proofErr w:type="spellEnd"/>
      <w:r w:rsidRPr="00A14942">
        <w:rPr>
          <w:rFonts w:ascii="Times New Roman" w:hAnsi="Times New Roman" w:cs="Times New Roman"/>
          <w:b/>
          <w:bCs/>
        </w:rPr>
        <w:t xml:space="preserve"> Ahead of Print, In-Process, In-Data-Review &amp; Other Non-Indexed Citations and Daily </w:t>
      </w:r>
      <w:r w:rsidRPr="00A14942">
        <w:rPr>
          <w:rFonts w:ascii="Times New Roman" w:hAnsi="Times New Roman" w:cs="Times New Roman"/>
        </w:rPr>
        <w:t>1946 to August 13, 2021</w:t>
      </w:r>
      <w:r w:rsidRPr="00A14942">
        <w:rPr>
          <w:rFonts w:ascii="Times New Roman" w:hAnsi="Times New Roman" w:cs="Times New Roman"/>
        </w:rPr>
        <w:b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0"/>
        <w:gridCol w:w="7944"/>
        <w:gridCol w:w="1030"/>
      </w:tblGrid>
      <w:tr w:rsidR="00DC0E50" w:rsidRPr="00A14942" w14:paraId="7146B52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E2886C6"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3C702B1"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4BF12F2"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Results</w:t>
            </w:r>
          </w:p>
        </w:tc>
      </w:tr>
      <w:tr w:rsidR="00DC0E50" w:rsidRPr="00A14942" w14:paraId="09DEEB3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0A0F1A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62CAE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exp multiple sclerosis/ or (Demyelinating Autoimmune Diseases, CNS/ and (disseminated or insular or multiple? or relapsing-remitting or (relapsing adj remitting) or progressive).</w:t>
            </w:r>
            <w:proofErr w:type="spellStart"/>
            <w:r w:rsidRPr="00A14942">
              <w:rPr>
                <w:rFonts w:ascii="Times New Roman" w:hAnsi="Times New Roman" w:cs="Times New Roman"/>
              </w:rPr>
              <w:t>tw,kf</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or RRMS or PPMS 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or (</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tw,kf</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0F3E8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1016977</w:t>
            </w:r>
          </w:p>
        </w:tc>
      </w:tr>
      <w:tr w:rsidR="00DC0E50" w:rsidRPr="00A14942" w14:paraId="7E278AC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F2172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6E6D1D" w14:textId="77777777" w:rsidR="00DC0E50" w:rsidRPr="00A14942" w:rsidRDefault="00DC0E50">
            <w:pPr>
              <w:spacing w:after="0"/>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5CAB6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363</w:t>
            </w:r>
          </w:p>
        </w:tc>
      </w:tr>
      <w:tr w:rsidR="00DC0E50" w:rsidRPr="00A14942" w14:paraId="661C8ED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037BF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B67C4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CAA4A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22274</w:t>
            </w:r>
          </w:p>
        </w:tc>
      </w:tr>
      <w:tr w:rsidR="00DC0E50" w:rsidRPr="00A14942" w14:paraId="1943911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A0899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CB94F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Dimethyl Fumarate/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1E8E3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26292</w:t>
            </w:r>
          </w:p>
        </w:tc>
      </w:tr>
      <w:tr w:rsidR="00DC0E50" w:rsidRPr="00A14942" w14:paraId="6E8B534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217AB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6D9F2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7EE7B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15642</w:t>
            </w:r>
          </w:p>
        </w:tc>
      </w:tr>
      <w:tr w:rsidR="00DC0E50" w:rsidRPr="00A14942" w14:paraId="028D201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07C7A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83364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C6D95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19664</w:t>
            </w:r>
          </w:p>
        </w:tc>
      </w:tr>
      <w:tr w:rsidR="00DC0E50" w:rsidRPr="00A14942" w14:paraId="1D0D994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142C3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F1972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Interferon beta/ or Interferon beta-1a/ or Interferon beta-1b/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w:t>
            </w:r>
            <w:r w:rsidRPr="00A14942">
              <w:rPr>
                <w:rFonts w:ascii="Times New Roman" w:hAnsi="Times New Roman" w:cs="Times New Roman"/>
              </w:rPr>
              <w:lastRenderedPageBreak/>
              <w:t>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41455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lastRenderedPageBreak/>
              <w:t>60580</w:t>
            </w:r>
          </w:p>
        </w:tc>
      </w:tr>
      <w:tr w:rsidR="00DC0E50" w:rsidRPr="00A14942" w14:paraId="2923E22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BD487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92567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Natalizumab/ or (natalizumab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0B435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15536</w:t>
            </w:r>
          </w:p>
        </w:tc>
      </w:tr>
      <w:tr w:rsidR="00DC0E50" w:rsidRPr="00A14942" w14:paraId="0F41FFC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A717B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46318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E7FF8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3226</w:t>
            </w:r>
          </w:p>
        </w:tc>
      </w:tr>
      <w:tr w:rsidR="00DC0E50" w:rsidRPr="00A14942" w14:paraId="73F3B2B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FE88A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CE39B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8874C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4709</w:t>
            </w:r>
          </w:p>
        </w:tc>
      </w:tr>
      <w:tr w:rsidR="00DC0E50" w:rsidRPr="00A14942" w14:paraId="5F51DDD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1C86A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65881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2367C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848</w:t>
            </w:r>
          </w:p>
        </w:tc>
      </w:tr>
      <w:tr w:rsidR="00DC0E50" w:rsidRPr="00A14942" w14:paraId="649A463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B86E2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65A67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B082E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680</w:t>
            </w:r>
          </w:p>
        </w:tc>
      </w:tr>
      <w:tr w:rsidR="00DC0E50" w:rsidRPr="00A14942" w14:paraId="21CD3D9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854AB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90C71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32B16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10421</w:t>
            </w:r>
          </w:p>
        </w:tc>
      </w:tr>
      <w:tr w:rsidR="00DC0E50" w:rsidRPr="00A14942" w14:paraId="73061F8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BFF2D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D4E68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ti,ab,kw,kf,rn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9D4FA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4263</w:t>
            </w:r>
          </w:p>
        </w:tc>
      </w:tr>
      <w:tr w:rsidR="00DC0E50" w:rsidRPr="00A14942" w14:paraId="7A05D08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F5223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2D6DA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 or 3 or 4 or 5 or 6 or 7 or 8 or 9 or 10 or 11 or 12 or 13 or 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D517F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149712</w:t>
            </w:r>
          </w:p>
        </w:tc>
      </w:tr>
      <w:tr w:rsidR="00DC0E50" w:rsidRPr="00A14942" w14:paraId="42512FF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1D847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6E9BE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 and 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60816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46429</w:t>
            </w:r>
          </w:p>
        </w:tc>
      </w:tr>
      <w:tr w:rsidR="00DC0E50" w:rsidRPr="00A14942" w14:paraId="61E6768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AB32D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CA167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(("randomized controlled trial" or "controlled clinical trial").pt. or (randomized or placebo or randomly).ab. or "clinical trials as topic".</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trial.ti</w:t>
            </w:r>
            <w:proofErr w:type="spellEnd"/>
            <w:r w:rsidRPr="00A14942">
              <w:rPr>
                <w:rFonts w:ascii="Times New Roman" w:hAnsi="Times New Roman" w:cs="Times New Roman"/>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CD453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2655541</w:t>
            </w:r>
          </w:p>
        </w:tc>
      </w:tr>
      <w:tr w:rsidR="00DC0E50" w:rsidRPr="00A14942" w14:paraId="457A35A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5ED1F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A8F8C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16 and 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5C7ED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5233</w:t>
            </w:r>
          </w:p>
        </w:tc>
      </w:tr>
      <w:tr w:rsidR="00DC0E50" w:rsidRPr="00A14942" w14:paraId="58E59FE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6908B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7FD4B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0FEC3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16118552</w:t>
            </w:r>
          </w:p>
        </w:tc>
      </w:tr>
      <w:tr w:rsidR="00DC0E50" w:rsidRPr="00A14942" w14:paraId="4E08B88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33EA9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BB408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18 not 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A7523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5233</w:t>
            </w:r>
          </w:p>
        </w:tc>
      </w:tr>
      <w:tr w:rsidR="00DC0E50" w:rsidRPr="00A14942" w14:paraId="6676F0F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9B082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93969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05901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4079102</w:t>
            </w:r>
          </w:p>
        </w:tc>
      </w:tr>
      <w:tr w:rsidR="00DC0E50" w:rsidRPr="00A14942" w14:paraId="2C352BA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072FB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BF30B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20 not 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BD9CC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5104</w:t>
            </w:r>
          </w:p>
        </w:tc>
      </w:tr>
      <w:tr w:rsidR="00DC0E50" w:rsidRPr="00A14942" w14:paraId="236CE32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D894F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D68AE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22 use </w:t>
            </w:r>
            <w:proofErr w:type="spellStart"/>
            <w:r w:rsidRPr="00A14942">
              <w:rPr>
                <w:rFonts w:ascii="Times New Roman" w:hAnsi="Times New Roman" w:cs="Times New Roman"/>
              </w:rPr>
              <w:t>ppez</w:t>
            </w:r>
            <w:proofErr w:type="spellEnd"/>
            <w:r w:rsidRPr="00A14942">
              <w:rPr>
                <w:rFonts w:ascii="Times New Roman" w:hAnsi="Times New Roman" w:cs="Times New Roman"/>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9BF0A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1927</w:t>
            </w:r>
          </w:p>
        </w:tc>
      </w:tr>
      <w:tr w:rsidR="00DC0E50" w:rsidRPr="00A14942" w14:paraId="4F8EF11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52515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08379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xml:space="preserve">$)) or MS or RRMS or PPMS </w:t>
            </w:r>
            <w:r w:rsidRPr="00A14942">
              <w:rPr>
                <w:rFonts w:ascii="Times New Roman" w:hAnsi="Times New Roman" w:cs="Times New Roman"/>
              </w:rPr>
              <w:lastRenderedPageBreak/>
              <w:t>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or (</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49C81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lastRenderedPageBreak/>
              <w:t>1023324</w:t>
            </w:r>
          </w:p>
        </w:tc>
      </w:tr>
      <w:tr w:rsidR="00DC0E50" w:rsidRPr="00A14942" w14:paraId="62301FE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C35F5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2E371F" w14:textId="77777777" w:rsidR="00DC0E50" w:rsidRPr="00A14942" w:rsidRDefault="00DC0E50">
            <w:pPr>
              <w:spacing w:after="0"/>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3056CE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359</w:t>
            </w:r>
          </w:p>
        </w:tc>
      </w:tr>
      <w:tr w:rsidR="00DC0E50" w:rsidRPr="00A14942" w14:paraId="6077178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43D08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A3CA6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9962F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22272</w:t>
            </w:r>
          </w:p>
        </w:tc>
      </w:tr>
      <w:tr w:rsidR="00DC0E50" w:rsidRPr="00A14942" w14:paraId="3DCBCFB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CEF99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4A551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Dimethyl Fumarate/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AE825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25937</w:t>
            </w:r>
          </w:p>
        </w:tc>
      </w:tr>
      <w:tr w:rsidR="00DC0E50" w:rsidRPr="00A14942" w14:paraId="7BF1A19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EBDC6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73DF4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Fingolimod Hydrochloride/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49313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15617</w:t>
            </w:r>
          </w:p>
        </w:tc>
      </w:tr>
      <w:tr w:rsidR="00DC0E50" w:rsidRPr="00A14942" w14:paraId="126FE45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D1B21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AAF7A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Glatiramer Acetate/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EB718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19474</w:t>
            </w:r>
          </w:p>
        </w:tc>
      </w:tr>
      <w:tr w:rsidR="00DC0E50" w:rsidRPr="00A14942" w14:paraId="77F0A92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96FD5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81235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Interferon beta/ or Interferon beta-1a/ or Interferon beta-1b/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3546F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60054</w:t>
            </w:r>
          </w:p>
        </w:tc>
      </w:tr>
      <w:tr w:rsidR="00DC0E50" w:rsidRPr="00A14942" w14:paraId="6A2AECA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696302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C34E0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Natalizumab/ or (natalizumab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94F29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15532</w:t>
            </w:r>
          </w:p>
        </w:tc>
      </w:tr>
      <w:tr w:rsidR="00DC0E50" w:rsidRPr="00A14942" w14:paraId="680164E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C5E18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6961C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D95E4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1993</w:t>
            </w:r>
          </w:p>
        </w:tc>
      </w:tr>
      <w:tr w:rsidR="00DC0E50" w:rsidRPr="00A14942" w14:paraId="29483CA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8835A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801D3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w:t>
            </w:r>
            <w:r w:rsidRPr="00A14942">
              <w:rPr>
                <w:rFonts w:ascii="Times New Roman" w:hAnsi="Times New Roman" w:cs="Times New Roman"/>
              </w:rPr>
              <w:lastRenderedPageBreak/>
              <w:t>"a77-1726"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ECB77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lastRenderedPageBreak/>
              <w:t>3025</w:t>
            </w:r>
          </w:p>
        </w:tc>
      </w:tr>
      <w:tr w:rsidR="00DC0E50" w:rsidRPr="00A14942" w14:paraId="554634C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4CCC3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43D84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CD551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612</w:t>
            </w:r>
          </w:p>
        </w:tc>
      </w:tr>
      <w:tr w:rsidR="00DC0E50" w:rsidRPr="00A14942" w14:paraId="0783564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62FBC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61BA1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2CD20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498</w:t>
            </w:r>
          </w:p>
        </w:tc>
      </w:tr>
      <w:tr w:rsidR="00DC0E50" w:rsidRPr="00A14942" w14:paraId="1C78C1E9"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90B60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A52B0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6F78C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10419</w:t>
            </w:r>
          </w:p>
        </w:tc>
      </w:tr>
      <w:tr w:rsidR="00DC0E50" w:rsidRPr="00A14942" w14:paraId="6F08752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B3BEC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AB3F9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B39FD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2291</w:t>
            </w:r>
          </w:p>
        </w:tc>
      </w:tr>
      <w:tr w:rsidR="00DC0E50" w:rsidRPr="00A14942" w14:paraId="007FEB4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82C52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D2A31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25 or 26 or 27 or 28 or 29 or 30 or 31 or 32 or 33 or 34 or 35 or 36 or 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C68F9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146878</w:t>
            </w:r>
          </w:p>
        </w:tc>
      </w:tr>
      <w:tr w:rsidR="00DC0E50" w:rsidRPr="00A14942" w14:paraId="76C595D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71BEA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AC384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(("randomized controlled trial" or "controlled clinical trial").pt. or (randomized or placebo or randomly).ab. or "clinical trials as topic".</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trial.ti</w:t>
            </w:r>
            <w:proofErr w:type="spellEnd"/>
            <w:r w:rsidRPr="00A14942">
              <w:rPr>
                <w:rFonts w:ascii="Times New Roman" w:hAnsi="Times New Roman" w:cs="Times New Roman"/>
              </w:rPr>
              <w:t>.) not (exp animals/ not humans.sh.) [RCTs Filter MEDLINE – Balanced, sensitive vs precise - Cochrane Handbook]</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F6F94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2655541</w:t>
            </w:r>
          </w:p>
        </w:tc>
      </w:tr>
      <w:tr w:rsidR="00DC0E50" w:rsidRPr="00A14942" w14:paraId="03FD102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1362A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BB936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24 and 38 and 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13ADB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5226</w:t>
            </w:r>
          </w:p>
        </w:tc>
      </w:tr>
      <w:tr w:rsidR="00DC0E50" w:rsidRPr="00A14942" w14:paraId="4FA012C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60FEE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1EFAB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exp Animals/ not Humans/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853DC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16118552</w:t>
            </w:r>
          </w:p>
        </w:tc>
      </w:tr>
      <w:tr w:rsidR="00DC0E50" w:rsidRPr="00A14942" w14:paraId="24E65E2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FE009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696A9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40 not 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2ACC2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5226</w:t>
            </w:r>
          </w:p>
        </w:tc>
      </w:tr>
      <w:tr w:rsidR="00DC0E50" w:rsidRPr="00A14942" w14:paraId="66DD426B"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B6557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FA37A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(comment or editorial or news or newspaper article or (letter not (letter and randomized controlled trial))).pt.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73712E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4079102</w:t>
            </w:r>
          </w:p>
        </w:tc>
      </w:tr>
      <w:tr w:rsidR="00DC0E50" w:rsidRPr="00A14942" w14:paraId="27EDD38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49F18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C41FD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42 not 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06336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5100</w:t>
            </w:r>
          </w:p>
        </w:tc>
      </w:tr>
      <w:tr w:rsidR="00DC0E50" w:rsidRPr="00A14942" w14:paraId="54213AF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D899D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93997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44 use </w:t>
            </w:r>
            <w:proofErr w:type="spellStart"/>
            <w:r w:rsidRPr="00A14942">
              <w:rPr>
                <w:rFonts w:ascii="Times New Roman" w:hAnsi="Times New Roman" w:cs="Times New Roman"/>
              </w:rPr>
              <w:t>cctr</w:t>
            </w:r>
            <w:proofErr w:type="spellEnd"/>
            <w:r w:rsidRPr="00A14942">
              <w:rPr>
                <w:rFonts w:ascii="Times New Roman" w:hAnsi="Times New Roman" w:cs="Times New Roman"/>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7420F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2906</w:t>
            </w:r>
          </w:p>
        </w:tc>
      </w:tr>
      <w:tr w:rsidR="00DC0E50" w:rsidRPr="00A14942" w14:paraId="767E4A4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DFAED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42F57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multiple sclerosis/ or (demyelinating disease/ and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 or ((multiple adj2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or RRMS or PPMS or SPMS or HA-RMS or HDA-RMS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(acute adj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fulminat</w:t>
            </w:r>
            <w:proofErr w:type="spellEnd"/>
            <w:r w:rsidRPr="00A14942">
              <w:rPr>
                <w:rFonts w:ascii="Times New Roman" w:hAnsi="Times New Roman" w:cs="Times New Roman"/>
              </w:rPr>
              <w:t>$))) or ((</w:t>
            </w:r>
            <w:proofErr w:type="spellStart"/>
            <w:r w:rsidRPr="00A14942">
              <w:rPr>
                <w:rFonts w:ascii="Times New Roman" w:hAnsi="Times New Roman" w:cs="Times New Roman"/>
              </w:rPr>
              <w:t>scleros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w:t>
            </w:r>
            <w:proofErr w:type="spellEnd"/>
            <w:r w:rsidRPr="00A14942">
              <w:rPr>
                <w:rFonts w:ascii="Times New Roman" w:hAnsi="Times New Roman" w:cs="Times New Roman"/>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rPr>
              <w:t>relaps</w:t>
            </w:r>
            <w:proofErr w:type="spellEnd"/>
            <w:r w:rsidRPr="00A14942">
              <w:rPr>
                <w:rFonts w:ascii="Times New Roman" w:hAnsi="Times New Roman" w:cs="Times New Roman"/>
              </w:rPr>
              <w:t xml:space="preserve">$ or remit$ or </w:t>
            </w:r>
            <w:proofErr w:type="spellStart"/>
            <w:r w:rsidRPr="00A14942">
              <w:rPr>
                <w:rFonts w:ascii="Times New Roman" w:hAnsi="Times New Roman" w:cs="Times New Roman"/>
              </w:rPr>
              <w:t>scleros#s</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scleroti</w:t>
            </w:r>
            <w:proofErr w:type="spellEnd"/>
            <w:r w:rsidRPr="00A14942">
              <w:rPr>
                <w:rFonts w:ascii="Times New Roman" w:hAnsi="Times New Roman" w:cs="Times New Roman"/>
              </w:rPr>
              <w:t>$)) or (</w:t>
            </w:r>
            <w:proofErr w:type="spellStart"/>
            <w:r w:rsidRPr="00A14942">
              <w:rPr>
                <w:rFonts w:ascii="Times New Roman" w:hAnsi="Times New Roman" w:cs="Times New Roman"/>
              </w:rPr>
              <w:t>Demyelina</w:t>
            </w:r>
            <w:proofErr w:type="spellEnd"/>
            <w:r w:rsidRPr="00A14942">
              <w:rPr>
                <w:rFonts w:ascii="Times New Roman" w:hAnsi="Times New Roman" w:cs="Times New Roman"/>
              </w:rPr>
              <w:t>$ adj3 (Disorder? or disease?) adj4 (disseminated or insular or multiple? or relapsing-remitting or (relapsing adj remitting) or progressive))).</w:t>
            </w:r>
            <w:proofErr w:type="spellStart"/>
            <w:r w:rsidRPr="00A14942">
              <w:rPr>
                <w:rFonts w:ascii="Times New Roman" w:hAnsi="Times New Roman" w:cs="Times New Roman"/>
              </w:rPr>
              <w:t>tw,kw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CF0EF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1024125</w:t>
            </w:r>
          </w:p>
        </w:tc>
      </w:tr>
      <w:tr w:rsidR="00DC0E50" w:rsidRPr="00A14942" w14:paraId="589BAEB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F3C41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B62814" w14:textId="77777777" w:rsidR="00DC0E50" w:rsidRPr="00A14942" w:rsidRDefault="00DC0E50">
            <w:pPr>
              <w:spacing w:after="0"/>
              <w:rPr>
                <w:rFonts w:ascii="Times New Roman" w:hAnsi="Times New Roman" w:cs="Times New Roman"/>
              </w:rPr>
            </w:pPr>
            <w:proofErr w:type="spellStart"/>
            <w:r w:rsidRPr="00A14942">
              <w:rPr>
                <w:rFonts w:ascii="Times New Roman" w:hAnsi="Times New Roman" w:cs="Times New Roman"/>
              </w:rPr>
              <w:t>Ponesimod</w:t>
            </w:r>
            <w:proofErr w:type="spellEnd"/>
            <w:r w:rsidRPr="00A14942">
              <w:rPr>
                <w:rFonts w:ascii="Times New Roman" w:hAnsi="Times New Roman" w:cs="Times New Roman"/>
              </w:rPr>
              <w:t>/ or (ponesimod$2 or "act 128800" or act128800 or act-128800 or "</w:t>
            </w:r>
            <w:proofErr w:type="spellStart"/>
            <w:r w:rsidRPr="00A14942">
              <w:rPr>
                <w:rFonts w:ascii="Times New Roman" w:hAnsi="Times New Roman" w:cs="Times New Roman"/>
              </w:rPr>
              <w:t>rg</w:t>
            </w:r>
            <w:proofErr w:type="spellEnd"/>
            <w:r w:rsidRPr="00A14942">
              <w:rPr>
                <w:rFonts w:ascii="Times New Roman" w:hAnsi="Times New Roman" w:cs="Times New Roman"/>
              </w:rPr>
              <w:t xml:space="preserve"> 3477" or rg3477 or "854107-55-4" or "854107-55-4").</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2C67E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366</w:t>
            </w:r>
          </w:p>
        </w:tc>
      </w:tr>
      <w:tr w:rsidR="00DC0E50" w:rsidRPr="00A14942" w14:paraId="2B75777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8A5E1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49BB9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Alemtuzumab/ or (alemtuzumab$2 or "3a189dh42v" or campath$4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103" or "</w:t>
            </w:r>
            <w:proofErr w:type="spellStart"/>
            <w:r w:rsidRPr="00A14942">
              <w:rPr>
                <w:rFonts w:ascii="Times New Roman" w:hAnsi="Times New Roman" w:cs="Times New Roman"/>
              </w:rPr>
              <w:t>ldp</w:t>
            </w:r>
            <w:proofErr w:type="spellEnd"/>
            <w:r w:rsidRPr="00A14942">
              <w:rPr>
                <w:rFonts w:ascii="Times New Roman" w:hAnsi="Times New Roman" w:cs="Times New Roman"/>
              </w:rPr>
              <w:t xml:space="preserve"> 03" or ldp103 or ldp03 or lemtrada$2 or mabcam#ath$2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CD52)).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AE015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22280</w:t>
            </w:r>
          </w:p>
        </w:tc>
      </w:tr>
      <w:tr w:rsidR="00DC0E50" w:rsidRPr="00A14942" w14:paraId="35FC761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75C1F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9DF1A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fumaric acid dimethyl ester/ or (dimethyl fumarate or "2756-87-8" or "</w:t>
            </w:r>
            <w:proofErr w:type="spellStart"/>
            <w:r w:rsidRPr="00A14942">
              <w:rPr>
                <w:rFonts w:ascii="Times New Roman" w:hAnsi="Times New Roman" w:cs="Times New Roman"/>
              </w:rPr>
              <w:t>azl</w:t>
            </w:r>
            <w:proofErr w:type="spellEnd"/>
            <w:r w:rsidRPr="00A14942">
              <w:rPr>
                <w:rFonts w:ascii="Times New Roman" w:hAnsi="Times New Roman" w:cs="Times New Roman"/>
              </w:rPr>
              <w:t xml:space="preserve"> o 211089"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00012" or bg-00012 or bg00012 or "</w:t>
            </w:r>
            <w:proofErr w:type="spellStart"/>
            <w:r w:rsidRPr="00A14942">
              <w:rPr>
                <w:rFonts w:ascii="Times New Roman" w:hAnsi="Times New Roman" w:cs="Times New Roman"/>
              </w:rPr>
              <w:t>bg</w:t>
            </w:r>
            <w:proofErr w:type="spellEnd"/>
            <w:r w:rsidRPr="00A14942">
              <w:rPr>
                <w:rFonts w:ascii="Times New Roman" w:hAnsi="Times New Roman" w:cs="Times New Roman"/>
              </w:rPr>
              <w:t xml:space="preserve"> 12" or bg12 or dimethyl ester fumaric acid? or dimethyl trans-</w:t>
            </w:r>
            <w:proofErr w:type="spellStart"/>
            <w:r w:rsidRPr="00A14942">
              <w:rPr>
                <w:rFonts w:ascii="Times New Roman" w:hAnsi="Times New Roman" w:cs="Times New Roman"/>
              </w:rPr>
              <w:t>ethylenedicarboxylate</w:t>
            </w:r>
            <w:proofErr w:type="spellEnd"/>
            <w:r w:rsidRPr="00A14942">
              <w:rPr>
                <w:rFonts w:ascii="Times New Roman" w:hAnsi="Times New Roman" w:cs="Times New Roman"/>
              </w:rPr>
              <w:t xml:space="preserve">? or dimethyl </w:t>
            </w:r>
            <w:proofErr w:type="spellStart"/>
            <w:r w:rsidRPr="00A14942">
              <w:rPr>
                <w:rFonts w:ascii="Times New Roman" w:hAnsi="Times New Roman" w:cs="Times New Roman"/>
              </w:rPr>
              <w:t>transethylenedicarboxylate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dimethylfumarate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dmf</w:t>
            </w:r>
            <w:proofErr w:type="spellEnd"/>
            <w:r w:rsidRPr="00A14942">
              <w:rPr>
                <w:rFonts w:ascii="Times New Roman" w:hAnsi="Times New Roman" w:cs="Times New Roman"/>
              </w:rPr>
              <w:t xml:space="preserve"> or "fag 201" or fag-201 or fag201 or fp187 or fp-187 or fumaderm$2 or fumaric acid dimethyl ester? or panaclar$2 or psorinovo$2 or </w:t>
            </w:r>
            <w:r w:rsidRPr="00A14942">
              <w:rPr>
                <w:rFonts w:ascii="Times New Roman" w:hAnsi="Times New Roman" w:cs="Times New Roman"/>
              </w:rPr>
              <w:lastRenderedPageBreak/>
              <w:t xml:space="preserve">skilarence$2 or tecfidera$2 or trans </w:t>
            </w:r>
            <w:proofErr w:type="spellStart"/>
            <w:r w:rsidRPr="00A14942">
              <w:rPr>
                <w:rFonts w:ascii="Times New Roman" w:hAnsi="Times New Roman" w:cs="Times New Roman"/>
              </w:rPr>
              <w:t>butenedioic</w:t>
            </w:r>
            <w:proofErr w:type="spellEnd"/>
            <w:r w:rsidRPr="00A14942">
              <w:rPr>
                <w:rFonts w:ascii="Times New Roman" w:hAnsi="Times New Roman" w:cs="Times New Roman"/>
              </w:rPr>
              <w:t xml:space="preserve"> acid dimethyl ester?).</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4B4E0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lastRenderedPageBreak/>
              <w:t>26271</w:t>
            </w:r>
          </w:p>
        </w:tc>
      </w:tr>
      <w:tr w:rsidR="00DC0E50" w:rsidRPr="00A14942" w14:paraId="05784E8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4C638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93B4F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Fingolimod/ or (fingolimod$2 or "162359-56-0" or "FTY 720" or "FTY-720" or FTY720 or Gilenia$2 or Gilenya$2 or Ach-fingolimod$2 or Mar-fingolimod$2 or Mylan-fingolimod$2 or PMS-fingolimod$2 or Taro-fingolimod$2 or Teva-fingolimod$2).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936AE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15636</w:t>
            </w:r>
          </w:p>
        </w:tc>
      </w:tr>
      <w:tr w:rsidR="00DC0E50" w:rsidRPr="00A14942" w14:paraId="6AD14E1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6A20C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7977C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Glatiramer/ or (glatiramer$2 or glatiramyl$2 or "147245-92-9" or "28704-27-0" or cop1 or "cop 1" or copaxone$2 or copolymer1 or co-polymer1 or copolymer-1 or co-polymer-1 or </w:t>
            </w:r>
            <w:proofErr w:type="spellStart"/>
            <w:r w:rsidRPr="00A14942">
              <w:rPr>
                <w:rFonts w:ascii="Times New Roman" w:hAnsi="Times New Roman" w:cs="Times New Roman"/>
              </w:rPr>
              <w:t>copolymeri</w:t>
            </w:r>
            <w:proofErr w:type="spellEnd"/>
            <w:r w:rsidRPr="00A14942">
              <w:rPr>
                <w:rFonts w:ascii="Times New Roman" w:hAnsi="Times New Roman" w:cs="Times New Roman"/>
              </w:rPr>
              <w:t xml:space="preserve"> or co-</w:t>
            </w:r>
            <w:proofErr w:type="spellStart"/>
            <w:r w:rsidRPr="00A14942">
              <w:rPr>
                <w:rFonts w:ascii="Times New Roman" w:hAnsi="Times New Roman" w:cs="Times New Roman"/>
              </w:rPr>
              <w:t>polymeri</w:t>
            </w:r>
            <w:proofErr w:type="spellEnd"/>
            <w:r w:rsidRPr="00A14942">
              <w:rPr>
                <w:rFonts w:ascii="Times New Roman" w:hAnsi="Times New Roman" w:cs="Times New Roman"/>
              </w:rPr>
              <w:t xml:space="preserve"> or copolymer-i or co-polymer-</w:t>
            </w:r>
            <w:proofErr w:type="spellStart"/>
            <w:r w:rsidRPr="00A14942">
              <w:rPr>
                <w:rFonts w:ascii="Times New Roman" w:hAnsi="Times New Roman" w:cs="Times New Roman"/>
              </w:rPr>
              <w:t>i</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cpx</w:t>
            </w:r>
            <w:proofErr w:type="spellEnd"/>
            <w:r w:rsidRPr="00A14942">
              <w:rPr>
                <w:rFonts w:ascii="Times New Roman" w:hAnsi="Times New Roman" w:cs="Times New Roman"/>
              </w:rPr>
              <w:t xml:space="preserve"> or glatopa$2 or marcyto$2 or perscleran$2 or remurel$2 or sclerthon$2 or Glatect$2 or "Teva-glatiramer Acetate" or brabio$2 or clift$2 or "tv 5010" or "tv-5010" or tv5010).</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F4A10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19921</w:t>
            </w:r>
          </w:p>
        </w:tc>
      </w:tr>
      <w:tr w:rsidR="00DC0E50" w:rsidRPr="00A14942" w14:paraId="645390D0"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ACF6E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89118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beta1a interferon/ or peginterferon beta1a/ or interferon beta serine/ or (Interferon-beta or FIF or </w:t>
            </w:r>
            <w:proofErr w:type="spellStart"/>
            <w:r w:rsidRPr="00A14942">
              <w:rPr>
                <w:rFonts w:ascii="Times New Roman" w:hAnsi="Times New Roman" w:cs="Times New Roman"/>
              </w:rPr>
              <w:t>Fiblaferon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naferon</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frone</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hemferon</w:t>
            </w:r>
            <w:proofErr w:type="spellEnd"/>
            <w:r w:rsidRPr="00A14942">
              <w:rPr>
                <w:rFonts w:ascii="Times New Roman" w:hAnsi="Times New Roman" w:cs="Times New Roman"/>
              </w:rPr>
              <w:t xml:space="preserve"> or "77238-31-4" or mr21 or mr-21 or "</w:t>
            </w:r>
            <w:proofErr w:type="spellStart"/>
            <w:r w:rsidRPr="00A14942">
              <w:rPr>
                <w:rFonts w:ascii="Times New Roman" w:hAnsi="Times New Roman" w:cs="Times New Roman"/>
              </w:rPr>
              <w:t>mr</w:t>
            </w:r>
            <w:proofErr w:type="spellEnd"/>
            <w:r w:rsidRPr="00A14942">
              <w:rPr>
                <w:rFonts w:ascii="Times New Roman" w:hAnsi="Times New Roman" w:cs="Times New Roman"/>
              </w:rPr>
              <w:t xml:space="preserve"> 21" or bm532 or bm-532 or "bm 532" or ((peginterferon or pegylated interferon or interferon) adj1 (beta 1a or beta-1a or beta1a)) or (avonex$2 or "74899-71-1" or "</w:t>
            </w:r>
            <w:proofErr w:type="spellStart"/>
            <w:r w:rsidRPr="00A14942">
              <w:rPr>
                <w:rFonts w:ascii="Times New Roman" w:hAnsi="Times New Roman" w:cs="Times New Roman"/>
              </w:rPr>
              <w:t>biib</w:t>
            </w:r>
            <w:proofErr w:type="spellEnd"/>
            <w:r w:rsidRPr="00A14942">
              <w:rPr>
                <w:rFonts w:ascii="Times New Roman" w:hAnsi="Times New Roman" w:cs="Times New Roman"/>
              </w:rPr>
              <w:t xml:space="preserve"> 017" or biib017 or cinnovex$2 or neoferon$2 or neo feron$2 or plegridy$2 or rebif$2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 or "</w:t>
            </w:r>
            <w:proofErr w:type="spellStart"/>
            <w:r w:rsidRPr="00A14942">
              <w:rPr>
                <w:rFonts w:ascii="Times New Roman" w:hAnsi="Times New Roman" w:cs="Times New Roman"/>
              </w:rPr>
              <w:t>sampeginterferon</w:t>
            </w:r>
            <w:proofErr w:type="spellEnd"/>
            <w:r w:rsidRPr="00A14942">
              <w:rPr>
                <w:rFonts w:ascii="Times New Roman" w:hAnsi="Times New Roman" w:cs="Times New Roman"/>
              </w:rPr>
              <w:t xml:space="preserve"> beta-1a") or ((peginterferon or pegylated interferon or interferon) adj1 ("beta 1b" or beta-1b or beta1b or "beta serine")) or "145155-23-3" or actoferon$2 or </w:t>
            </w:r>
            <w:proofErr w:type="spellStart"/>
            <w:r w:rsidRPr="00A14942">
              <w:rPr>
                <w:rFonts w:ascii="Times New Roman" w:hAnsi="Times New Roman" w:cs="Times New Roman"/>
              </w:rPr>
              <w:t>acto</w:t>
            </w:r>
            <w:proofErr w:type="spellEnd"/>
            <w:r w:rsidRPr="00A14942">
              <w:rPr>
                <w:rFonts w:ascii="Times New Roman" w:hAnsi="Times New Roman" w:cs="Times New Roman"/>
              </w:rPr>
              <w:t xml:space="preserve"> feron$2 or beneseron$2 or bene seron$2 or betaferon$2 or beta feron$2 or betaseron$2 or beta-seron$2 or blastoferon$2 or </w:t>
            </w:r>
            <w:proofErr w:type="spellStart"/>
            <w:r w:rsidRPr="00A14942">
              <w:rPr>
                <w:rFonts w:ascii="Times New Roman" w:hAnsi="Times New Roman" w:cs="Times New Roman"/>
              </w:rPr>
              <w:t>blasto</w:t>
            </w:r>
            <w:proofErr w:type="spellEnd"/>
            <w:r w:rsidRPr="00A14942">
              <w:rPr>
                <w:rFonts w:ascii="Times New Roman" w:hAnsi="Times New Roman" w:cs="Times New Roman"/>
              </w:rPr>
              <w:t xml:space="preserve"> feron$2 or extavia$2 or uribeta$2 or Plegridy$2 or </w:t>
            </w:r>
            <w:proofErr w:type="spellStart"/>
            <w:r w:rsidRPr="00A14942">
              <w:rPr>
                <w:rFonts w:ascii="Times New Roman" w:hAnsi="Times New Roman" w:cs="Times New Roman"/>
              </w:rPr>
              <w:t>betaifn</w:t>
            </w:r>
            <w:proofErr w:type="spellEnd"/>
            <w:r w:rsidRPr="00A14942">
              <w:rPr>
                <w:rFonts w:ascii="Times New Roman" w:hAnsi="Times New Roman" w:cs="Times New Roman"/>
              </w:rPr>
              <w:t xml:space="preserve"> or beta-</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 or beta-ifn-1b or </w:t>
            </w:r>
            <w:proofErr w:type="spellStart"/>
            <w:r w:rsidRPr="00A14942">
              <w:rPr>
                <w:rFonts w:ascii="Times New Roman" w:hAnsi="Times New Roman" w:cs="Times New Roman"/>
              </w:rPr>
              <w:t>ifnbeta</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 or </w:t>
            </w:r>
            <w:proofErr w:type="spellStart"/>
            <w:r w:rsidRPr="00A14942">
              <w:rPr>
                <w:rFonts w:ascii="Times New Roman" w:hAnsi="Times New Roman" w:cs="Times New Roman"/>
              </w:rPr>
              <w:t>ifn</w:t>
            </w:r>
            <w:proofErr w:type="spellEnd"/>
            <w:r w:rsidRPr="00A14942">
              <w:rPr>
                <w:rFonts w:ascii="Times New Roman" w:hAnsi="Times New Roman" w:cs="Times New Roman"/>
              </w:rPr>
              <w:t xml:space="preserve">-beta-ser or </w:t>
            </w:r>
            <w:proofErr w:type="spellStart"/>
            <w:r w:rsidRPr="00A14942">
              <w:rPr>
                <w:rFonts w:ascii="Times New Roman" w:hAnsi="Times New Roman" w:cs="Times New Roman"/>
              </w:rPr>
              <w:t>ifnb</w:t>
            </w:r>
            <w:proofErr w:type="spellEnd"/>
            <w:r w:rsidRPr="00A14942">
              <w:rPr>
                <w:rFonts w:ascii="Times New Roman" w:hAnsi="Times New Roman" w:cs="Times New Roman"/>
              </w:rPr>
              <w:t xml:space="preserve"> or "</w:t>
            </w:r>
            <w:proofErr w:type="spellStart"/>
            <w:r w:rsidRPr="00A14942">
              <w:rPr>
                <w:rFonts w:ascii="Times New Roman" w:hAnsi="Times New Roman" w:cs="Times New Roman"/>
              </w:rPr>
              <w:t>rifn</w:t>
            </w:r>
            <w:proofErr w:type="spellEnd"/>
            <w:r w:rsidRPr="00A14942">
              <w:rPr>
                <w:rFonts w:ascii="Times New Roman" w:hAnsi="Times New Roman" w:cs="Times New Roman"/>
              </w:rPr>
              <w:t xml:space="preserve"> beta-1b" or "</w:t>
            </w:r>
            <w:proofErr w:type="spellStart"/>
            <w:r w:rsidRPr="00A14942">
              <w:rPr>
                <w:rFonts w:ascii="Times New Roman" w:hAnsi="Times New Roman" w:cs="Times New Roman"/>
              </w:rPr>
              <w:t>sh</w:t>
            </w:r>
            <w:proofErr w:type="spellEnd"/>
            <w:r w:rsidRPr="00A14942">
              <w:rPr>
                <w:rFonts w:ascii="Times New Roman" w:hAnsi="Times New Roman" w:cs="Times New Roman"/>
              </w:rPr>
              <w:t xml:space="preserve"> 579" or sh579 or "</w:t>
            </w:r>
            <w:proofErr w:type="spellStart"/>
            <w:r w:rsidRPr="00A14942">
              <w:rPr>
                <w:rFonts w:ascii="Times New Roman" w:hAnsi="Times New Roman" w:cs="Times New Roman"/>
              </w:rPr>
              <w:t>zk</w:t>
            </w:r>
            <w:proofErr w:type="spellEnd"/>
            <w:r w:rsidRPr="00A14942">
              <w:rPr>
                <w:rFonts w:ascii="Times New Roman" w:hAnsi="Times New Roman" w:cs="Times New Roman"/>
              </w:rPr>
              <w:t xml:space="preserve"> 157046" or zk157046).</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731E0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49199</w:t>
            </w:r>
          </w:p>
        </w:tc>
      </w:tr>
      <w:tr w:rsidR="00DC0E50" w:rsidRPr="00A14942" w14:paraId="17C2862C"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E7641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F788B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Natalizumab/ or (natalizumab$2 or "189261-10-7" or "an 100226" or an100226 or antegren$2 or anti-alpha4 integrin or anti-vla4 or "'anti-</w:t>
            </w:r>
            <w:proofErr w:type="spellStart"/>
            <w:r w:rsidRPr="00A14942">
              <w:rPr>
                <w:rFonts w:ascii="Times New Roman" w:hAnsi="Times New Roman" w:cs="Times New Roman"/>
              </w:rPr>
              <w:t>vla</w:t>
            </w:r>
            <w:proofErr w:type="spellEnd"/>
            <w:r w:rsidRPr="00A14942">
              <w:rPr>
                <w:rFonts w:ascii="Times New Roman" w:hAnsi="Times New Roman" w:cs="Times New Roman"/>
              </w:rPr>
              <w:t xml:space="preserve"> 4" or tysabri$2).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45B87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15540</w:t>
            </w:r>
          </w:p>
        </w:tc>
      </w:tr>
      <w:tr w:rsidR="00DC0E50" w:rsidRPr="00A14942" w14:paraId="1632B9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A210C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69ED5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ocrelizumab/ or (Ocrelizumab$2 or ocrevus$2 or "637334-45-3" or "</w:t>
            </w:r>
            <w:proofErr w:type="spellStart"/>
            <w:r w:rsidRPr="00A14942">
              <w:rPr>
                <w:rFonts w:ascii="Times New Roman" w:hAnsi="Times New Roman" w:cs="Times New Roman"/>
              </w:rPr>
              <w:t>rhumab</w:t>
            </w:r>
            <w:proofErr w:type="spellEnd"/>
            <w:r w:rsidRPr="00A14942">
              <w:rPr>
                <w:rFonts w:ascii="Times New Roman" w:hAnsi="Times New Roman" w:cs="Times New Roman"/>
              </w:rPr>
              <w:t xml:space="preserve"> 2H7" or (monoclonal </w:t>
            </w:r>
            <w:proofErr w:type="spellStart"/>
            <w:r w:rsidRPr="00A14942">
              <w:rPr>
                <w:rFonts w:ascii="Times New Roman" w:hAnsi="Times New Roman" w:cs="Times New Roman"/>
              </w:rPr>
              <w:t>antibod</w:t>
            </w:r>
            <w:proofErr w:type="spellEnd"/>
            <w:r w:rsidRPr="00A14942">
              <w:rPr>
                <w:rFonts w:ascii="Times New Roman" w:hAnsi="Times New Roman" w:cs="Times New Roman"/>
              </w:rPr>
              <w:t>* adj1 (2H7 or "PRO 70769" or PRO70769))).</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C22C8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3254</w:t>
            </w:r>
          </w:p>
        </w:tc>
      </w:tr>
      <w:tr w:rsidR="00DC0E50" w:rsidRPr="00A14942" w14:paraId="0040212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1515C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F1D72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teriflunomide/ or (Teriflunomid$2 or aubagio$2 or "163451-81-8" or "(Z)-2-cyano-alpha,alpha,alpha-trifluoro-3-hydroxy-p-crotonotoluidide" </w:t>
            </w:r>
            <w:proofErr w:type="spellStart"/>
            <w:r w:rsidRPr="00A14942">
              <w:rPr>
                <w:rFonts w:ascii="Times New Roman" w:hAnsi="Times New Roman" w:cs="Times New Roman"/>
              </w:rPr>
              <w:t>or</w:t>
            </w:r>
            <w:proofErr w:type="spellEnd"/>
            <w:r w:rsidRPr="00A14942">
              <w:rPr>
                <w:rFonts w:ascii="Times New Roman" w:hAnsi="Times New Roman" w:cs="Times New Roman"/>
              </w:rPr>
              <w:t xml:space="preserve"> "a 771726" or "a77 1726" or a771726 or "a77-1726" or "</w:t>
            </w:r>
            <w:proofErr w:type="spellStart"/>
            <w:r w:rsidRPr="00A14942">
              <w:rPr>
                <w:rFonts w:ascii="Times New Roman" w:hAnsi="Times New Roman" w:cs="Times New Roman"/>
              </w:rPr>
              <w:t>hmr</w:t>
            </w:r>
            <w:proofErr w:type="spellEnd"/>
            <w:r w:rsidRPr="00A14942">
              <w:rPr>
                <w:rFonts w:ascii="Times New Roman" w:hAnsi="Times New Roman" w:cs="Times New Roman"/>
              </w:rPr>
              <w:t xml:space="preserve"> 1726" or hmr1726 or "</w:t>
            </w:r>
            <w:proofErr w:type="spellStart"/>
            <w:r w:rsidRPr="00A14942">
              <w:rPr>
                <w:rFonts w:ascii="Times New Roman" w:hAnsi="Times New Roman" w:cs="Times New Roman"/>
              </w:rPr>
              <w:t>rs</w:t>
            </w:r>
            <w:proofErr w:type="spellEnd"/>
            <w:r w:rsidRPr="00A14942">
              <w:rPr>
                <w:rFonts w:ascii="Times New Roman" w:hAnsi="Times New Roman" w:cs="Times New Roman"/>
              </w:rPr>
              <w:t xml:space="preserve"> 61980" or rs61980 or "</w:t>
            </w:r>
            <w:proofErr w:type="spellStart"/>
            <w:r w:rsidRPr="00A14942">
              <w:rPr>
                <w:rFonts w:ascii="Times New Roman" w:hAnsi="Times New Roman" w:cs="Times New Roman"/>
              </w:rPr>
              <w:t>su</w:t>
            </w:r>
            <w:proofErr w:type="spellEnd"/>
            <w:r w:rsidRPr="00A14942">
              <w:rPr>
                <w:rFonts w:ascii="Times New Roman" w:hAnsi="Times New Roman" w:cs="Times New Roman"/>
              </w:rPr>
              <w:t xml:space="preserve"> 0020" or su0020).</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D7B4C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4709</w:t>
            </w:r>
          </w:p>
        </w:tc>
      </w:tr>
      <w:tr w:rsidR="00DC0E50" w:rsidRPr="00A14942" w14:paraId="542FB43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4562C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BEA9B25" w14:textId="77777777" w:rsidR="00DC0E50" w:rsidRPr="00A14942" w:rsidRDefault="00DC0E50">
            <w:pPr>
              <w:spacing w:after="0"/>
              <w:rPr>
                <w:rFonts w:ascii="Times New Roman" w:hAnsi="Times New Roman" w:cs="Times New Roman"/>
              </w:rPr>
            </w:pPr>
            <w:proofErr w:type="spellStart"/>
            <w:r w:rsidRPr="00A14942">
              <w:rPr>
                <w:rFonts w:ascii="Times New Roman" w:hAnsi="Times New Roman" w:cs="Times New Roman"/>
              </w:rPr>
              <w:t>siponimod</w:t>
            </w:r>
            <w:proofErr w:type="spellEnd"/>
            <w:r w:rsidRPr="00A14942">
              <w:rPr>
                <w:rFonts w:ascii="Times New Roman" w:hAnsi="Times New Roman" w:cs="Times New Roman"/>
              </w:rPr>
              <w:t>/ or (siponimod$2 or "1230487-00-9" or "1230487-85-0" or "</w:t>
            </w:r>
            <w:proofErr w:type="spellStart"/>
            <w:r w:rsidRPr="00A14942">
              <w:rPr>
                <w:rFonts w:ascii="Times New Roman" w:hAnsi="Times New Roman" w:cs="Times New Roman"/>
              </w:rPr>
              <w:t>baf</w:t>
            </w:r>
            <w:proofErr w:type="spellEnd"/>
            <w:r w:rsidRPr="00A14942">
              <w:rPr>
                <w:rFonts w:ascii="Times New Roman" w:hAnsi="Times New Roman" w:cs="Times New Roman"/>
              </w:rPr>
              <w:t xml:space="preserve"> 312" or baf312 or mayzent$2 or nvpbaf312nx).</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4ECD8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858</w:t>
            </w:r>
          </w:p>
        </w:tc>
      </w:tr>
      <w:tr w:rsidR="00DC0E50" w:rsidRPr="00A14942" w14:paraId="1F781F5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22A6A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5F753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ozanimod/ or (ozanimod$2 or "1306760-87-1" or "1618636-37-5" or "</w:t>
            </w:r>
            <w:proofErr w:type="spellStart"/>
            <w:r w:rsidRPr="00A14942">
              <w:rPr>
                <w:rFonts w:ascii="Times New Roman" w:hAnsi="Times New Roman" w:cs="Times New Roman"/>
              </w:rPr>
              <w:t>rpc</w:t>
            </w:r>
            <w:proofErr w:type="spellEnd"/>
            <w:r w:rsidRPr="00A14942">
              <w:rPr>
                <w:rFonts w:ascii="Times New Roman" w:hAnsi="Times New Roman" w:cs="Times New Roman"/>
              </w:rPr>
              <w:t xml:space="preserve"> 1063" or rpc1063 or Zeposia$2).</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2062B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691</w:t>
            </w:r>
          </w:p>
        </w:tc>
      </w:tr>
      <w:tr w:rsidR="00DC0E50" w:rsidRPr="00A14942" w14:paraId="3616F4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56EEB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10154E"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Cladribine/ or (cladribin$3 or "4291-63-8" or CldAdo$2 or biodribin$2 or intocel$2 or leustat$2 or leustatin$2 or leustatine$2 or litak$2 or litax$2 or mavenclad$2 or movectro$2 or mylinax$2 or </w:t>
            </w:r>
            <w:proofErr w:type="spellStart"/>
            <w:r w:rsidRPr="00A14942">
              <w:rPr>
                <w:rFonts w:ascii="Times New Roman" w:hAnsi="Times New Roman" w:cs="Times New Roman"/>
              </w:rPr>
              <w:t>rwj</w:t>
            </w:r>
            <w:proofErr w:type="spellEnd"/>
            <w:r w:rsidRPr="00A14942">
              <w:rPr>
                <w:rFonts w:ascii="Times New Roman" w:hAnsi="Times New Roman" w:cs="Times New Roman"/>
              </w:rPr>
              <w:t xml:space="preserve"> 26251 or rwj26251).</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0E27B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10427</w:t>
            </w:r>
          </w:p>
        </w:tc>
      </w:tr>
      <w:tr w:rsidR="00DC0E50" w:rsidRPr="00A14942" w14:paraId="5164F3F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C0A53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8FD22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ofatumumab/ or (ofatumumab$2 or arzerra$2 or "</w:t>
            </w:r>
            <w:proofErr w:type="spellStart"/>
            <w:r w:rsidRPr="00A14942">
              <w:rPr>
                <w:rFonts w:ascii="Times New Roman" w:hAnsi="Times New Roman" w:cs="Times New Roman"/>
              </w:rPr>
              <w:t>gsk</w:t>
            </w:r>
            <w:proofErr w:type="spellEnd"/>
            <w:r w:rsidRPr="00A14942">
              <w:rPr>
                <w:rFonts w:ascii="Times New Roman" w:hAnsi="Times New Roman" w:cs="Times New Roman"/>
              </w:rPr>
              <w:t xml:space="preserve"> 1841157" or gsk1841157 or "</w:t>
            </w:r>
            <w:proofErr w:type="spellStart"/>
            <w:r w:rsidRPr="00A14942">
              <w:rPr>
                <w:rFonts w:ascii="Times New Roman" w:hAnsi="Times New Roman" w:cs="Times New Roman"/>
              </w:rPr>
              <w:t>humac</w:t>
            </w:r>
            <w:proofErr w:type="spellEnd"/>
            <w:r w:rsidRPr="00A14942">
              <w:rPr>
                <w:rFonts w:ascii="Times New Roman" w:hAnsi="Times New Roman" w:cs="Times New Roman"/>
              </w:rPr>
              <w:t xml:space="preserve"> CD20" or "</w:t>
            </w:r>
            <w:proofErr w:type="spellStart"/>
            <w:r w:rsidRPr="00A14942">
              <w:rPr>
                <w:rFonts w:ascii="Times New Roman" w:hAnsi="Times New Roman" w:cs="Times New Roman"/>
              </w:rPr>
              <w:t>HuMax</w:t>
            </w:r>
            <w:proofErr w:type="spellEnd"/>
            <w:r w:rsidRPr="00A14942">
              <w:rPr>
                <w:rFonts w:ascii="Times New Roman" w:hAnsi="Times New Roman" w:cs="Times New Roman"/>
              </w:rPr>
              <w:t xml:space="preserve"> CD20" or HuMax-CD20 or HuMaxCD20 or "</w:t>
            </w:r>
            <w:proofErr w:type="spellStart"/>
            <w:r w:rsidRPr="00A14942">
              <w:rPr>
                <w:rFonts w:ascii="Times New Roman" w:hAnsi="Times New Roman" w:cs="Times New Roman"/>
              </w:rPr>
              <w:t>omb</w:t>
            </w:r>
            <w:proofErr w:type="spellEnd"/>
            <w:r w:rsidRPr="00A14942">
              <w:rPr>
                <w:rFonts w:ascii="Times New Roman" w:hAnsi="Times New Roman" w:cs="Times New Roman"/>
              </w:rPr>
              <w:t xml:space="preserve"> 157" or omb157 or "679818-59-8").</w:t>
            </w:r>
            <w:proofErr w:type="spellStart"/>
            <w:r w:rsidRPr="00A14942">
              <w:rPr>
                <w:rFonts w:ascii="Times New Roman" w:hAnsi="Times New Roman" w:cs="Times New Roman"/>
              </w:rPr>
              <w:t>ti,ab,kw,du,dy,tn,rn</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7DF67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4281</w:t>
            </w:r>
          </w:p>
        </w:tc>
      </w:tr>
      <w:tr w:rsidR="00DC0E50" w:rsidRPr="00A14942" w14:paraId="6ADC63C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F0488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1B88A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47 or 48 or 49 or 50 or 51 or 52 or 53 or 54 or 55 or 56 or 57 or 58 or 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55990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140108</w:t>
            </w:r>
          </w:p>
        </w:tc>
      </w:tr>
      <w:tr w:rsidR="00DC0E50" w:rsidRPr="00A14942" w14:paraId="2796E05D"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ECB90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B827B5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46 and 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C2648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45146</w:t>
            </w:r>
          </w:p>
        </w:tc>
      </w:tr>
      <w:tr w:rsidR="00DC0E50" w:rsidRPr="00A14942" w14:paraId="6EA70AE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2A236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lastRenderedPageBreak/>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9D1B89"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Clinical Trial/ or Randomized Controlled Trial/ or controlled clinical trial/ or multicenter study/ or Phase 3 clinical trial/ or Phase 4 clinical trial/ or exp Randomization/ or Single Blind Procedure/ or Double Blind Procedure/ or Crossover Procedure/ or Placebo/ or Prospective Study/ or (</w:t>
            </w:r>
            <w:proofErr w:type="spellStart"/>
            <w:r w:rsidRPr="00A14942">
              <w:rPr>
                <w:rFonts w:ascii="Times New Roman" w:hAnsi="Times New Roman" w:cs="Times New Roman"/>
              </w:rPr>
              <w:t>randomi?ed</w:t>
            </w:r>
            <w:proofErr w:type="spellEnd"/>
            <w:r w:rsidRPr="00A14942">
              <w:rPr>
                <w:rFonts w:ascii="Times New Roman" w:hAnsi="Times New Roman" w:cs="Times New Roman"/>
              </w:rPr>
              <w:t xml:space="preserve"> controlled trial$ or </w:t>
            </w:r>
            <w:proofErr w:type="spellStart"/>
            <w:r w:rsidRPr="00A14942">
              <w:rPr>
                <w:rFonts w:ascii="Times New Roman" w:hAnsi="Times New Roman" w:cs="Times New Roman"/>
              </w:rPr>
              <w:t>rct</w:t>
            </w:r>
            <w:proofErr w:type="spellEnd"/>
            <w:r w:rsidRPr="00A14942">
              <w:rPr>
                <w:rFonts w:ascii="Times New Roman" w:hAnsi="Times New Roman" w:cs="Times New Roman"/>
              </w:rPr>
              <w:t xml:space="preserve"> or (random$ adj2 </w:t>
            </w:r>
            <w:proofErr w:type="spellStart"/>
            <w:r w:rsidRPr="00A14942">
              <w:rPr>
                <w:rFonts w:ascii="Times New Roman" w:hAnsi="Times New Roman" w:cs="Times New Roman"/>
              </w:rPr>
              <w:t>allocat</w:t>
            </w:r>
            <w:proofErr w:type="spellEnd"/>
            <w:r w:rsidRPr="00A14942">
              <w:rPr>
                <w:rFonts w:ascii="Times New Roman" w:hAnsi="Times New Roman" w:cs="Times New Roman"/>
              </w:rPr>
              <w:t>$) or single blind$ or double blind$ or ((treble or triple) adj blind$) or placebo$).</w:t>
            </w:r>
            <w:proofErr w:type="spellStart"/>
            <w:r w:rsidRPr="00A14942">
              <w:rPr>
                <w:rFonts w:ascii="Times New Roman" w:hAnsi="Times New Roman" w:cs="Times New Roman"/>
              </w:rPr>
              <w:t>tw</w:t>
            </w:r>
            <w:proofErr w:type="spellEnd"/>
            <w:r w:rsidRPr="00A14942">
              <w:rPr>
                <w:rFonts w:ascii="Times New Roman" w:hAnsi="Times New Roman" w:cs="Times New Roman"/>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36069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4973805</w:t>
            </w:r>
          </w:p>
        </w:tc>
      </w:tr>
      <w:tr w:rsidR="00DC0E50" w:rsidRPr="00A14942" w14:paraId="75BBA101"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59D6C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912CD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Case Study/ or case report.tw. or abstract report/ or letter/ or (Conference proceeding or Conference abstract or Editorial or Letter or Note).pt.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7215D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11174186</w:t>
            </w:r>
          </w:p>
        </w:tc>
      </w:tr>
      <w:tr w:rsidR="00DC0E50" w:rsidRPr="00A14942" w14:paraId="662ADB2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1C986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0F76C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62 not 63 [SIGN RCT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4C24C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4245710</w:t>
            </w:r>
          </w:p>
        </w:tc>
      </w:tr>
      <w:tr w:rsidR="00DC0E50" w:rsidRPr="00A14942" w14:paraId="498EE0CE"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26353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D56FB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61 and 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2B209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9523</w:t>
            </w:r>
          </w:p>
        </w:tc>
      </w:tr>
      <w:tr w:rsidR="00DC0E50" w:rsidRPr="00A14942" w14:paraId="2E8613A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531A6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28938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(exp animal/ or exp animal experimentation/ or exp animal model/ or exp animal experiment/ or nonhuman/ or exp vertebrate/) not (exp human/ or exp human experimentation/ or exp human experiment/) [ANIMAL-ONLY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B1293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11606827</w:t>
            </w:r>
          </w:p>
        </w:tc>
      </w:tr>
      <w:tr w:rsidR="00DC0E50" w:rsidRPr="00A14942" w14:paraId="0C471FD5"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AC686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2EDC03"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65 not 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BB44B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9485</w:t>
            </w:r>
          </w:p>
        </w:tc>
      </w:tr>
      <w:tr w:rsidR="00DC0E50" w:rsidRPr="00A14942" w14:paraId="3FF979A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9CE694"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46781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(editorial or letter).pt. not (letter.pt. and randomized controlled trial/) [OPINION PIECES REMOVED]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799FE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3605341</w:t>
            </w:r>
          </w:p>
        </w:tc>
      </w:tr>
      <w:tr w:rsidR="00DC0E50" w:rsidRPr="00A14942" w14:paraId="54DCD786"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BCCFB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7A57D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67 not 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89505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9485</w:t>
            </w:r>
          </w:p>
        </w:tc>
      </w:tr>
      <w:tr w:rsidR="00DC0E50" w:rsidRPr="00A14942" w14:paraId="0E99CBF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45246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92F68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69 use </w:t>
            </w:r>
            <w:proofErr w:type="spellStart"/>
            <w:r w:rsidRPr="00A14942">
              <w:rPr>
                <w:rFonts w:ascii="Times New Roman" w:hAnsi="Times New Roman" w:cs="Times New Roman"/>
              </w:rPr>
              <w:t>oemezd</w:t>
            </w:r>
            <w:proofErr w:type="spellEnd"/>
            <w:r w:rsidRPr="00A14942">
              <w:rPr>
                <w:rFonts w:ascii="Times New Roman" w:hAnsi="Times New Roman" w:cs="Times New Roman"/>
              </w:rPr>
              <w:t xml:space="preserve"> [EMBASE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09B60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5071</w:t>
            </w:r>
          </w:p>
        </w:tc>
      </w:tr>
      <w:tr w:rsidR="00DC0E50" w:rsidRPr="00A14942" w14:paraId="03057FB7"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339CC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011448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22 use </w:t>
            </w:r>
            <w:proofErr w:type="spellStart"/>
            <w:r w:rsidRPr="00A14942">
              <w:rPr>
                <w:rFonts w:ascii="Times New Roman" w:hAnsi="Times New Roman" w:cs="Times New Roman"/>
              </w:rPr>
              <w:t>ppez</w:t>
            </w:r>
            <w:proofErr w:type="spellEnd"/>
            <w:r w:rsidRPr="00A14942">
              <w:rPr>
                <w:rFonts w:ascii="Times New Roman" w:hAnsi="Times New Roman" w:cs="Times New Roman"/>
              </w:rPr>
              <w:t xml:space="preserve"> [MEDLINE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7F7DA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1927</w:t>
            </w:r>
          </w:p>
        </w:tc>
      </w:tr>
      <w:tr w:rsidR="00DC0E50" w:rsidRPr="00A14942" w14:paraId="7E75ACB2"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01482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38D9C2"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44 use </w:t>
            </w:r>
            <w:proofErr w:type="spellStart"/>
            <w:r w:rsidRPr="00A14942">
              <w:rPr>
                <w:rFonts w:ascii="Times New Roman" w:hAnsi="Times New Roman" w:cs="Times New Roman"/>
              </w:rPr>
              <w:t>cctr</w:t>
            </w:r>
            <w:proofErr w:type="spellEnd"/>
            <w:r w:rsidRPr="00A14942">
              <w:rPr>
                <w:rFonts w:ascii="Times New Roman" w:hAnsi="Times New Roman" w:cs="Times New Roman"/>
              </w:rPr>
              <w:t xml:space="preserve"> [CENTRAL RECORDS]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06A1B0"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2906</w:t>
            </w:r>
          </w:p>
        </w:tc>
      </w:tr>
      <w:tr w:rsidR="00DC0E50" w:rsidRPr="00A14942" w14:paraId="5AFAA5FA"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6F235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AC57D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remove duplicates from 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B39226"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4979</w:t>
            </w:r>
          </w:p>
        </w:tc>
      </w:tr>
      <w:tr w:rsidR="00DC0E50" w:rsidRPr="00A14942" w14:paraId="5D3543D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BE506B"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20089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remove duplicates from 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F65C07"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1920</w:t>
            </w:r>
          </w:p>
        </w:tc>
      </w:tr>
      <w:tr w:rsidR="00DC0E50" w:rsidRPr="00A14942" w14:paraId="545EC91F"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78A45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465708"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remove duplicates from 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85A02D"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2772</w:t>
            </w:r>
          </w:p>
        </w:tc>
      </w:tr>
      <w:tr w:rsidR="00DC0E50" w:rsidRPr="00A14942" w14:paraId="15C21F48"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567DE1"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2815D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73 or 74 or 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DB225C"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9671</w:t>
            </w:r>
          </w:p>
        </w:tc>
      </w:tr>
      <w:tr w:rsidR="00DC0E50" w:rsidRPr="00A14942" w14:paraId="47044933"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36CA5F"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FE87B5"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 xml:space="preserve">limit 76 to </w:t>
            </w:r>
            <w:proofErr w:type="spellStart"/>
            <w:r w:rsidRPr="00A14942">
              <w:rPr>
                <w:rFonts w:ascii="Times New Roman" w:hAnsi="Times New Roman" w:cs="Times New Roman"/>
              </w:rPr>
              <w:t>yr</w:t>
            </w:r>
            <w:proofErr w:type="spellEnd"/>
            <w:r w:rsidRPr="00A14942">
              <w:rPr>
                <w:rFonts w:ascii="Times New Roman" w:hAnsi="Times New Roman" w:cs="Times New Roman"/>
              </w:rPr>
              <w:t>="2021 -Current"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A92BDA" w14:textId="77777777" w:rsidR="00DC0E50" w:rsidRPr="00A14942" w:rsidRDefault="00DC0E50">
            <w:pPr>
              <w:spacing w:after="0"/>
              <w:rPr>
                <w:rFonts w:ascii="Times New Roman" w:hAnsi="Times New Roman" w:cs="Times New Roman"/>
              </w:rPr>
            </w:pPr>
            <w:r w:rsidRPr="00A14942">
              <w:rPr>
                <w:rFonts w:ascii="Times New Roman" w:hAnsi="Times New Roman" w:cs="Times New Roman"/>
              </w:rPr>
              <w:t>298</w:t>
            </w:r>
          </w:p>
        </w:tc>
      </w:tr>
      <w:tr w:rsidR="00DC0E50" w:rsidRPr="00A14942" w14:paraId="7DC2F044" w14:textId="77777777" w:rsidTr="00DC0E50">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0A78FEE0"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78</w:t>
            </w:r>
          </w:p>
        </w:tc>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5ED68694"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remove duplicates from 77</w:t>
            </w:r>
          </w:p>
        </w:tc>
        <w:tc>
          <w:tcPr>
            <w:tcW w:w="0" w:type="auto"/>
            <w:tcBorders>
              <w:top w:val="single" w:sz="6" w:space="0" w:color="757575"/>
              <w:left w:val="single" w:sz="6" w:space="0" w:color="757575"/>
              <w:bottom w:val="single" w:sz="6" w:space="0" w:color="757575"/>
              <w:right w:val="single" w:sz="6" w:space="0" w:color="757575"/>
            </w:tcBorders>
            <w:shd w:val="clear" w:color="auto" w:fill="EDEDED" w:themeFill="accent3" w:themeFillTint="33"/>
            <w:tcMar>
              <w:top w:w="15" w:type="dxa"/>
              <w:left w:w="75" w:type="dxa"/>
              <w:bottom w:w="15" w:type="dxa"/>
              <w:right w:w="75" w:type="dxa"/>
            </w:tcMar>
            <w:vAlign w:val="center"/>
            <w:hideMark/>
          </w:tcPr>
          <w:p w14:paraId="66F5C63D" w14:textId="77777777" w:rsidR="00DC0E50" w:rsidRPr="00A14942" w:rsidRDefault="00DC0E50">
            <w:pPr>
              <w:spacing w:after="0"/>
              <w:rPr>
                <w:rFonts w:ascii="Times New Roman" w:hAnsi="Times New Roman" w:cs="Times New Roman"/>
                <w:b/>
                <w:bCs/>
              </w:rPr>
            </w:pPr>
            <w:r w:rsidRPr="00A14942">
              <w:rPr>
                <w:rFonts w:ascii="Times New Roman" w:hAnsi="Times New Roman" w:cs="Times New Roman"/>
                <w:b/>
                <w:bCs/>
              </w:rPr>
              <w:t>238</w:t>
            </w:r>
          </w:p>
        </w:tc>
      </w:tr>
    </w:tbl>
    <w:p w14:paraId="73B4B0C7" w14:textId="77777777" w:rsidR="00DC0E50" w:rsidRPr="00A14942" w:rsidRDefault="00DC0E50" w:rsidP="00DC0E50">
      <w:pPr>
        <w:rPr>
          <w:rFonts w:ascii="Times New Roman" w:hAnsi="Times New Roman" w:cs="Times New Roman"/>
          <w:lang w:bidi="ar-SA"/>
        </w:rPr>
      </w:pPr>
    </w:p>
    <w:p w14:paraId="73E1E28A" w14:textId="1AEC39AD" w:rsidR="00DC0E50" w:rsidRPr="00A14942" w:rsidRDefault="00DC0E50" w:rsidP="00223A29">
      <w:pPr>
        <w:pStyle w:val="Heading3"/>
        <w:pageBreakBefore/>
        <w:ind w:left="1368" w:hanging="1368"/>
        <w:rPr>
          <w:rFonts w:ascii="Times New Roman" w:hAnsi="Times New Roman" w:cs="Times New Roman"/>
        </w:rPr>
      </w:pPr>
      <w:bookmarkStart w:id="12" w:name="_Toc130240177"/>
      <w:r w:rsidRPr="00A14942">
        <w:rPr>
          <w:rFonts w:ascii="Times New Roman" w:hAnsi="Times New Roman" w:cs="Times New Roman"/>
        </w:rPr>
        <w:lastRenderedPageBreak/>
        <w:t>Supplementary database search for additional comparators</w:t>
      </w:r>
      <w:bookmarkEnd w:id="12"/>
    </w:p>
    <w:p w14:paraId="1FC4BF9F" w14:textId="6E8C63F4" w:rsidR="00160246" w:rsidRPr="00A14942" w:rsidRDefault="00160246" w:rsidP="00160246">
      <w:pPr>
        <w:spacing w:after="0"/>
        <w:rPr>
          <w:rFonts w:ascii="Times New Roman" w:hAnsi="Times New Roman" w:cs="Times New Roman"/>
          <w:b/>
        </w:rPr>
      </w:pPr>
      <w:r w:rsidRPr="00A14942">
        <w:rPr>
          <w:rFonts w:ascii="Times New Roman" w:hAnsi="Times New Roman" w:cs="Times New Roman"/>
          <w:b/>
        </w:rPr>
        <w:t xml:space="preserve">Date of the search: </w:t>
      </w:r>
      <w:r w:rsidRPr="00A14942">
        <w:rPr>
          <w:rFonts w:ascii="Times New Roman" w:hAnsi="Times New Roman" w:cs="Times New Roman"/>
          <w:bCs/>
        </w:rPr>
        <w:t>31 Aug 2021</w:t>
      </w:r>
    </w:p>
    <w:p w14:paraId="59F80C41" w14:textId="6394D1A2" w:rsidR="00160246" w:rsidRPr="00A14942" w:rsidRDefault="00160246" w:rsidP="00160246">
      <w:pPr>
        <w:spacing w:after="0"/>
        <w:rPr>
          <w:rFonts w:ascii="Times New Roman" w:hAnsi="Times New Roman" w:cs="Times New Roman"/>
        </w:rPr>
      </w:pPr>
      <w:r w:rsidRPr="00A14942">
        <w:rPr>
          <w:rFonts w:ascii="Times New Roman" w:hAnsi="Times New Roman" w:cs="Times New Roman"/>
          <w:b/>
        </w:rPr>
        <w:t xml:space="preserve">Date range of the search update: </w:t>
      </w:r>
      <w:r w:rsidRPr="00A14942">
        <w:rPr>
          <w:rFonts w:ascii="Times New Roman" w:hAnsi="Times New Roman" w:cs="Times New Roman"/>
          <w:bCs/>
        </w:rPr>
        <w:t>inception to</w:t>
      </w:r>
      <w:r w:rsidRPr="00A14942">
        <w:rPr>
          <w:rFonts w:ascii="Times New Roman" w:hAnsi="Times New Roman" w:cs="Times New Roman"/>
          <w:b/>
        </w:rPr>
        <w:t xml:space="preserve"> </w:t>
      </w:r>
      <w:r w:rsidRPr="00A14942">
        <w:rPr>
          <w:rFonts w:ascii="Times New Roman" w:hAnsi="Times New Roman" w:cs="Times New Roman"/>
          <w:bCs/>
        </w:rPr>
        <w:t>31 Aug 2021</w:t>
      </w:r>
    </w:p>
    <w:p w14:paraId="1BFAFD1F" w14:textId="77777777" w:rsidR="00160246" w:rsidRPr="00A14942" w:rsidRDefault="00160246" w:rsidP="00160246">
      <w:pPr>
        <w:spacing w:after="0"/>
        <w:rPr>
          <w:rFonts w:ascii="Times New Roman" w:hAnsi="Times New Roman" w:cs="Times New Roman"/>
          <w:szCs w:val="22"/>
          <w:lang w:val="en-CA"/>
        </w:rPr>
      </w:pPr>
      <w:r w:rsidRPr="00A14942">
        <w:rPr>
          <w:rFonts w:ascii="Times New Roman" w:hAnsi="Times New Roman" w:cs="Times New Roman"/>
          <w:b/>
          <w:szCs w:val="22"/>
        </w:rPr>
        <w:t xml:space="preserve">Database searched: </w:t>
      </w:r>
      <w:r w:rsidRPr="00A14942">
        <w:rPr>
          <w:rFonts w:ascii="Times New Roman" w:hAnsi="Times New Roman" w:cs="Times New Roman"/>
          <w:bCs/>
          <w:szCs w:val="22"/>
        </w:rPr>
        <w:t>per previous</w:t>
      </w:r>
    </w:p>
    <w:p w14:paraId="06CD4A22" w14:textId="77777777" w:rsidR="00160246" w:rsidRPr="00A14942" w:rsidRDefault="002E74AB" w:rsidP="00160246">
      <w:pPr>
        <w:spacing w:after="0" w:line="240" w:lineRule="auto"/>
        <w:jc w:val="center"/>
        <w:rPr>
          <w:rFonts w:ascii="Times New Roman" w:hAnsi="Times New Roman" w:cs="Times New Roman"/>
          <w:szCs w:val="22"/>
        </w:rPr>
      </w:pPr>
      <w:r>
        <w:rPr>
          <w:rFonts w:ascii="Times New Roman" w:hAnsi="Times New Roman" w:cs="Times New Roman"/>
          <w:szCs w:val="22"/>
        </w:rPr>
        <w:pict w14:anchorId="270B1C9E">
          <v:rect id="_x0000_i1029" style="width:468pt;height:1.5pt" o:hralign="center" o:hrstd="t" o:hr="t" fillcolor="#a0a0a0" stroked="f"/>
        </w:pict>
      </w:r>
    </w:p>
    <w:p w14:paraId="0CA1B2DA" w14:textId="77777777" w:rsidR="00160246" w:rsidRPr="00A14942" w:rsidRDefault="00160246" w:rsidP="00160246">
      <w:pPr>
        <w:rPr>
          <w:rFonts w:ascii="Times New Roman" w:hAnsi="Times New Roman" w:cs="Times New Roman"/>
          <w:b/>
          <w:bCs/>
          <w:szCs w:val="22"/>
        </w:rPr>
      </w:pPr>
      <w:r w:rsidRPr="00A14942">
        <w:rPr>
          <w:rFonts w:ascii="Times New Roman" w:hAnsi="Times New Roman" w:cs="Times New Roman"/>
          <w:b/>
          <w:bCs/>
          <w:szCs w:val="22"/>
        </w:rPr>
        <w:t>MULTIFILE SEARCH</w:t>
      </w:r>
    </w:p>
    <w:p w14:paraId="1E76279C"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Database: EBM Reviews - Cochrane Central Register of Controlled Trials &lt;July 2021&gt;, Embase &lt;1974 to 2021 August 30&gt; , Ovid MEDLINE(R) and </w:t>
      </w:r>
      <w:proofErr w:type="spellStart"/>
      <w:r w:rsidRPr="00A14942">
        <w:rPr>
          <w:rFonts w:ascii="Times New Roman" w:hAnsi="Times New Roman" w:cs="Times New Roman"/>
          <w:sz w:val="22"/>
        </w:rPr>
        <w:t>Epub</w:t>
      </w:r>
      <w:proofErr w:type="spellEnd"/>
      <w:r w:rsidRPr="00A14942">
        <w:rPr>
          <w:rFonts w:ascii="Times New Roman" w:hAnsi="Times New Roman" w:cs="Times New Roman"/>
          <w:sz w:val="22"/>
        </w:rPr>
        <w:t xml:space="preserve"> Ahead of Print, In-Process, In-Data-Review &amp; Other Non-Indexed Citations and Daily &lt;1946 to August 30, 2021&gt;</w:t>
      </w:r>
    </w:p>
    <w:p w14:paraId="35DA5913"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Search Strategy:</w:t>
      </w:r>
    </w:p>
    <w:p w14:paraId="1497F9BC"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w:t>
      </w:r>
    </w:p>
    <w:p w14:paraId="25544DE2"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     exp multiple sclerosis/ or (Demyelinating Autoimmune Diseases, CNS/ and (disseminated or insular or multiple? or relapsing-remitting or (relapsing adj remitting) or progressive).</w:t>
      </w:r>
      <w:proofErr w:type="spellStart"/>
      <w:r w:rsidRPr="00A14942">
        <w:rPr>
          <w:rFonts w:ascii="Times New Roman" w:hAnsi="Times New Roman" w:cs="Times New Roman"/>
          <w:sz w:val="22"/>
        </w:rPr>
        <w:t>tw,kf</w:t>
      </w:r>
      <w:proofErr w:type="spellEnd"/>
      <w:r w:rsidRPr="00A14942">
        <w:rPr>
          <w:rFonts w:ascii="Times New Roman" w:hAnsi="Times New Roman" w:cs="Times New Roman"/>
          <w:sz w:val="22"/>
        </w:rPr>
        <w:t>.) or ((multiple adj2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or RRMS or PPMS or SPMS or HA-RMS or HDA-RMS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(acute adj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fulminat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remit$ or </w:t>
      </w:r>
      <w:proofErr w:type="spellStart"/>
      <w:r w:rsidRPr="00A14942">
        <w:rPr>
          <w:rFonts w:ascii="Times New Roman" w:hAnsi="Times New Roman" w:cs="Times New Roman"/>
          <w:sz w:val="22"/>
        </w:rPr>
        <w:t>scleros#s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scleroti</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Demyelina</w:t>
      </w:r>
      <w:proofErr w:type="spellEnd"/>
      <w:r w:rsidRPr="00A14942">
        <w:rPr>
          <w:rFonts w:ascii="Times New Roman" w:hAnsi="Times New Roman" w:cs="Times New Roman"/>
          <w:sz w:val="22"/>
        </w:rPr>
        <w:t>$ adj3 (Disorder? or disease?) adj4 (disseminated or insular or multiple? or relapsing-remitting or (relapsing adj remitting) or progressive))).</w:t>
      </w:r>
      <w:proofErr w:type="spellStart"/>
      <w:r w:rsidRPr="00A14942">
        <w:rPr>
          <w:rFonts w:ascii="Times New Roman" w:hAnsi="Times New Roman" w:cs="Times New Roman"/>
          <w:sz w:val="22"/>
        </w:rPr>
        <w:t>tw,kf</w:t>
      </w:r>
      <w:proofErr w:type="spellEnd"/>
      <w:r w:rsidRPr="00A14942">
        <w:rPr>
          <w:rFonts w:ascii="Times New Roman" w:hAnsi="Times New Roman" w:cs="Times New Roman"/>
          <w:sz w:val="22"/>
        </w:rPr>
        <w:t>. [MS] (1020186)</w:t>
      </w:r>
    </w:p>
    <w:p w14:paraId="2E3C8D80"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2     (diroximel fumarate or </w:t>
      </w:r>
      <w:proofErr w:type="spellStart"/>
      <w:r w:rsidRPr="00A14942">
        <w:rPr>
          <w:rFonts w:ascii="Times New Roman" w:hAnsi="Times New Roman" w:cs="Times New Roman"/>
          <w:sz w:val="22"/>
        </w:rPr>
        <w:t>alks</w:t>
      </w:r>
      <w:proofErr w:type="spellEnd"/>
      <w:r w:rsidRPr="00A14942">
        <w:rPr>
          <w:rFonts w:ascii="Times New Roman" w:hAnsi="Times New Roman" w:cs="Times New Roman"/>
          <w:sz w:val="22"/>
        </w:rPr>
        <w:t xml:space="preserve"> 8700 or alks8700 or </w:t>
      </w:r>
      <w:proofErr w:type="spellStart"/>
      <w:r w:rsidRPr="00A14942">
        <w:rPr>
          <w:rFonts w:ascii="Times New Roman" w:hAnsi="Times New Roman" w:cs="Times New Roman"/>
          <w:sz w:val="22"/>
        </w:rPr>
        <w:t>rdc</w:t>
      </w:r>
      <w:proofErr w:type="spellEnd"/>
      <w:r w:rsidRPr="00A14942">
        <w:rPr>
          <w:rFonts w:ascii="Times New Roman" w:hAnsi="Times New Roman" w:cs="Times New Roman"/>
          <w:sz w:val="22"/>
        </w:rPr>
        <w:t xml:space="preserve"> 5108 or rdc5108 or vumerity$2 or 1577222-14-0 or K0N0Z40J3W).</w:t>
      </w:r>
      <w:proofErr w:type="spellStart"/>
      <w:r w:rsidRPr="00A14942">
        <w:rPr>
          <w:rFonts w:ascii="Times New Roman" w:hAnsi="Times New Roman" w:cs="Times New Roman"/>
          <w:sz w:val="22"/>
        </w:rPr>
        <w:t>ti,ab,kw,kf,rn</w:t>
      </w:r>
      <w:proofErr w:type="spellEnd"/>
      <w:r w:rsidRPr="00A14942">
        <w:rPr>
          <w:rFonts w:ascii="Times New Roman" w:hAnsi="Times New Roman" w:cs="Times New Roman"/>
          <w:sz w:val="22"/>
        </w:rPr>
        <w:t>. (100)</w:t>
      </w:r>
    </w:p>
    <w:p w14:paraId="640D3C64"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3     (monomethyl fumarate or bafiertam$2 or fumaric acid methyl ester or fumaric acid monomethyl ester or fumaric acid </w:t>
      </w:r>
      <w:proofErr w:type="spellStart"/>
      <w:r w:rsidRPr="00A14942">
        <w:rPr>
          <w:rFonts w:ascii="Times New Roman" w:hAnsi="Times New Roman" w:cs="Times New Roman"/>
          <w:sz w:val="22"/>
        </w:rPr>
        <w:t>monomethylester</w:t>
      </w:r>
      <w:proofErr w:type="spellEnd"/>
      <w:r w:rsidRPr="00A14942">
        <w:rPr>
          <w:rFonts w:ascii="Times New Roman" w:hAnsi="Times New Roman" w:cs="Times New Roman"/>
          <w:sz w:val="22"/>
        </w:rPr>
        <w:t xml:space="preserve"> or (methyl adj2 fumarate) or monomethylfumarate or (</w:t>
      </w:r>
      <w:proofErr w:type="spellStart"/>
      <w:r w:rsidRPr="00A14942">
        <w:rPr>
          <w:rFonts w:ascii="Times New Roman" w:hAnsi="Times New Roman" w:cs="Times New Roman"/>
          <w:sz w:val="22"/>
        </w:rPr>
        <w:t>butenedioic</w:t>
      </w:r>
      <w:proofErr w:type="spellEnd"/>
      <w:r w:rsidRPr="00A14942">
        <w:rPr>
          <w:rFonts w:ascii="Times New Roman" w:hAnsi="Times New Roman" w:cs="Times New Roman"/>
          <w:sz w:val="22"/>
        </w:rPr>
        <w:t xml:space="preserve"> acid adj2 (methyl ester or monomethyl ester)) or ("but 2 </w:t>
      </w:r>
      <w:proofErr w:type="spellStart"/>
      <w:r w:rsidRPr="00A14942">
        <w:rPr>
          <w:rFonts w:ascii="Times New Roman" w:hAnsi="Times New Roman" w:cs="Times New Roman"/>
          <w:sz w:val="22"/>
        </w:rPr>
        <w:t>enedioic</w:t>
      </w:r>
      <w:proofErr w:type="spellEnd"/>
      <w:r w:rsidRPr="00A14942">
        <w:rPr>
          <w:rFonts w:ascii="Times New Roman" w:hAnsi="Times New Roman" w:cs="Times New Roman"/>
          <w:sz w:val="22"/>
        </w:rPr>
        <w:t xml:space="preserve"> acid" adj2 (methyl ester or monomethyl ester)) or ("2 </w:t>
      </w:r>
      <w:proofErr w:type="spellStart"/>
      <w:r w:rsidRPr="00A14942">
        <w:rPr>
          <w:rFonts w:ascii="Times New Roman" w:hAnsi="Times New Roman" w:cs="Times New Roman"/>
          <w:sz w:val="22"/>
        </w:rPr>
        <w:t>enoic</w:t>
      </w:r>
      <w:proofErr w:type="spellEnd"/>
      <w:r w:rsidRPr="00A14942">
        <w:rPr>
          <w:rFonts w:ascii="Times New Roman" w:hAnsi="Times New Roman" w:cs="Times New Roman"/>
          <w:sz w:val="22"/>
        </w:rPr>
        <w:t xml:space="preserve"> acid" adj2 (methoxycarbonyl or "methoxy 4 </w:t>
      </w:r>
      <w:proofErr w:type="spellStart"/>
      <w:r w:rsidRPr="00A14942">
        <w:rPr>
          <w:rFonts w:ascii="Times New Roman" w:hAnsi="Times New Roman" w:cs="Times New Roman"/>
          <w:sz w:val="22"/>
        </w:rPr>
        <w:t>oxobut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butenoic</w:t>
      </w:r>
      <w:proofErr w:type="spellEnd"/>
      <w:r w:rsidRPr="00A14942">
        <w:rPr>
          <w:rFonts w:ascii="Times New Roman" w:hAnsi="Times New Roman" w:cs="Times New Roman"/>
          <w:sz w:val="22"/>
        </w:rPr>
        <w:t xml:space="preserve"> acid adj2 "methoxy 4 oxo 2 ") or (</w:t>
      </w:r>
      <w:proofErr w:type="spellStart"/>
      <w:r w:rsidRPr="00A14942">
        <w:rPr>
          <w:rFonts w:ascii="Times New Roman" w:hAnsi="Times New Roman" w:cs="Times New Roman"/>
          <w:sz w:val="22"/>
        </w:rPr>
        <w:t>propenoic</w:t>
      </w:r>
      <w:proofErr w:type="spellEnd"/>
      <w:r w:rsidRPr="00A14942">
        <w:rPr>
          <w:rFonts w:ascii="Times New Roman" w:hAnsi="Times New Roman" w:cs="Times New Roman"/>
          <w:sz w:val="22"/>
        </w:rPr>
        <w:t xml:space="preserve"> acid adj2 methoxycarbonyl) or 2756-87-8 or 45IUB1PX8R).</w:t>
      </w:r>
      <w:proofErr w:type="spellStart"/>
      <w:r w:rsidRPr="00A14942">
        <w:rPr>
          <w:rFonts w:ascii="Times New Roman" w:hAnsi="Times New Roman" w:cs="Times New Roman"/>
          <w:sz w:val="22"/>
        </w:rPr>
        <w:t>ti,ab,kw,kf,rn</w:t>
      </w:r>
      <w:proofErr w:type="spellEnd"/>
      <w:r w:rsidRPr="00A14942">
        <w:rPr>
          <w:rFonts w:ascii="Times New Roman" w:hAnsi="Times New Roman" w:cs="Times New Roman"/>
          <w:sz w:val="22"/>
        </w:rPr>
        <w:t>. (569)</w:t>
      </w:r>
    </w:p>
    <w:p w14:paraId="6AD2C0CF"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4     2 or 3 [SUPPLEMENTARY DRUGS] (616)</w:t>
      </w:r>
    </w:p>
    <w:p w14:paraId="323BC866"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5     1 and 4 [MS - SUPPLEMENTARY DRUGS] (360)</w:t>
      </w:r>
    </w:p>
    <w:p w14:paraId="3A83CCFE"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6     (("randomized controlled trial" or "controlled clinical trial").pt. or (randomized or placebo or randomly).ab. or "clinical trials as topic".</w:t>
      </w:r>
      <w:proofErr w:type="spellStart"/>
      <w:r w:rsidRPr="00A14942">
        <w:rPr>
          <w:rFonts w:ascii="Times New Roman" w:hAnsi="Times New Roman" w:cs="Times New Roman"/>
          <w:sz w:val="22"/>
        </w:rPr>
        <w:t>sh</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trial.ti</w:t>
      </w:r>
      <w:proofErr w:type="spellEnd"/>
      <w:r w:rsidRPr="00A14942">
        <w:rPr>
          <w:rFonts w:ascii="Times New Roman" w:hAnsi="Times New Roman" w:cs="Times New Roman"/>
          <w:sz w:val="22"/>
        </w:rPr>
        <w:t>.) not (exp animals/ not humans.sh.) [RCTs Filter MEDLINE – Balanced, sensitive vs precise - Cochrane Handbook] (2659423)</w:t>
      </w:r>
    </w:p>
    <w:p w14:paraId="6D5C013D"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7     5 and 6 [MS - SUPPLEMENTARY DRUGS - RCTs] (38)</w:t>
      </w:r>
    </w:p>
    <w:p w14:paraId="7DA8809C"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8     exp Animals/ not Humans/ (17472420)</w:t>
      </w:r>
    </w:p>
    <w:p w14:paraId="445ADFD3"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9     7 not 8 [ANIMAL-ONLY REMOVED] (38)</w:t>
      </w:r>
    </w:p>
    <w:p w14:paraId="6D4984EE"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10     (comment or editorial or news or newspaper article or (letter not (letter and randomized controlled trial))).pt. (4088962)</w:t>
      </w:r>
    </w:p>
    <w:p w14:paraId="387D9227"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11     9 not 10 [OPINION PIECES REMOVED] (38)</w:t>
      </w:r>
    </w:p>
    <w:p w14:paraId="445CA707"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12     11 use </w:t>
      </w:r>
      <w:proofErr w:type="spellStart"/>
      <w:r w:rsidRPr="00A14942">
        <w:rPr>
          <w:rFonts w:ascii="Times New Roman" w:hAnsi="Times New Roman" w:cs="Times New Roman"/>
          <w:sz w:val="22"/>
        </w:rPr>
        <w:t>ppez</w:t>
      </w:r>
      <w:proofErr w:type="spellEnd"/>
      <w:r w:rsidRPr="00A14942">
        <w:rPr>
          <w:rFonts w:ascii="Times New Roman" w:hAnsi="Times New Roman" w:cs="Times New Roman"/>
          <w:sz w:val="22"/>
        </w:rPr>
        <w:t xml:space="preserve"> [MEDLINE RECORDS] (10)</w:t>
      </w:r>
    </w:p>
    <w:p w14:paraId="31808E9C"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13     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sz w:val="22"/>
        </w:rPr>
        <w:t>tw,kw</w:t>
      </w:r>
      <w:proofErr w:type="spellEnd"/>
      <w:r w:rsidRPr="00A14942">
        <w:rPr>
          <w:rFonts w:ascii="Times New Roman" w:hAnsi="Times New Roman" w:cs="Times New Roman"/>
          <w:sz w:val="22"/>
        </w:rPr>
        <w:t>.) or ((multiple adj2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or RRMS or PPMS or SPMS or HA-RMS or HDA-RMS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(acute adj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fulminat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remit$ or </w:t>
      </w:r>
      <w:proofErr w:type="spellStart"/>
      <w:r w:rsidRPr="00A14942">
        <w:rPr>
          <w:rFonts w:ascii="Times New Roman" w:hAnsi="Times New Roman" w:cs="Times New Roman"/>
          <w:sz w:val="22"/>
        </w:rPr>
        <w:t>scleros#s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scleroti</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Demyelina</w:t>
      </w:r>
      <w:proofErr w:type="spellEnd"/>
      <w:r w:rsidRPr="00A14942">
        <w:rPr>
          <w:rFonts w:ascii="Times New Roman" w:hAnsi="Times New Roman" w:cs="Times New Roman"/>
          <w:sz w:val="22"/>
        </w:rPr>
        <w:t>$ adj3 (Disorder? or disease?) adj4 (disseminated or insular or multiple? or relapsing-remitting or (relapsing adj remitting) or progressive))).</w:t>
      </w:r>
      <w:proofErr w:type="spellStart"/>
      <w:r w:rsidRPr="00A14942">
        <w:rPr>
          <w:rFonts w:ascii="Times New Roman" w:hAnsi="Times New Roman" w:cs="Times New Roman"/>
          <w:sz w:val="22"/>
        </w:rPr>
        <w:t>tw,kw</w:t>
      </w:r>
      <w:proofErr w:type="spellEnd"/>
      <w:r w:rsidRPr="00A14942">
        <w:rPr>
          <w:rFonts w:ascii="Times New Roman" w:hAnsi="Times New Roman" w:cs="Times New Roman"/>
          <w:sz w:val="22"/>
        </w:rPr>
        <w:t>. (1026520)</w:t>
      </w:r>
    </w:p>
    <w:p w14:paraId="2BEBD30F"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14     diroximel fumarate/ or (diroximel fumarate or </w:t>
      </w:r>
      <w:proofErr w:type="spellStart"/>
      <w:r w:rsidRPr="00A14942">
        <w:rPr>
          <w:rFonts w:ascii="Times New Roman" w:hAnsi="Times New Roman" w:cs="Times New Roman"/>
          <w:sz w:val="22"/>
        </w:rPr>
        <w:t>alks</w:t>
      </w:r>
      <w:proofErr w:type="spellEnd"/>
      <w:r w:rsidRPr="00A14942">
        <w:rPr>
          <w:rFonts w:ascii="Times New Roman" w:hAnsi="Times New Roman" w:cs="Times New Roman"/>
          <w:sz w:val="22"/>
        </w:rPr>
        <w:t xml:space="preserve"> 8700 or alks8700 or </w:t>
      </w:r>
      <w:proofErr w:type="spellStart"/>
      <w:r w:rsidRPr="00A14942">
        <w:rPr>
          <w:rFonts w:ascii="Times New Roman" w:hAnsi="Times New Roman" w:cs="Times New Roman"/>
          <w:sz w:val="22"/>
        </w:rPr>
        <w:t>rdc</w:t>
      </w:r>
      <w:proofErr w:type="spellEnd"/>
      <w:r w:rsidRPr="00A14942">
        <w:rPr>
          <w:rFonts w:ascii="Times New Roman" w:hAnsi="Times New Roman" w:cs="Times New Roman"/>
          <w:sz w:val="22"/>
        </w:rPr>
        <w:t xml:space="preserve"> 5108 or rdc5108 or vumerity$2 or 1577222-14-0 or K0N0Z40J3W).</w:t>
      </w:r>
      <w:proofErr w:type="spellStart"/>
      <w:r w:rsidRPr="00A14942">
        <w:rPr>
          <w:rFonts w:ascii="Times New Roman" w:hAnsi="Times New Roman" w:cs="Times New Roman"/>
          <w:sz w:val="22"/>
        </w:rPr>
        <w:t>ti,ab,kw,rn</w:t>
      </w:r>
      <w:proofErr w:type="spellEnd"/>
      <w:r w:rsidRPr="00A14942">
        <w:rPr>
          <w:rFonts w:ascii="Times New Roman" w:hAnsi="Times New Roman" w:cs="Times New Roman"/>
          <w:sz w:val="22"/>
        </w:rPr>
        <w:t>. (100)</w:t>
      </w:r>
    </w:p>
    <w:p w14:paraId="110CBEDE"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lastRenderedPageBreak/>
        <w:t xml:space="preserve">15     monomethyl fumarate/ or (monomethyl fumarate or bafiertam$2 or fumaric acid methyl ester or fumaric acid monomethyl ester or fumaric acid </w:t>
      </w:r>
      <w:proofErr w:type="spellStart"/>
      <w:r w:rsidRPr="00A14942">
        <w:rPr>
          <w:rFonts w:ascii="Times New Roman" w:hAnsi="Times New Roman" w:cs="Times New Roman"/>
          <w:sz w:val="22"/>
        </w:rPr>
        <w:t>monomethylester</w:t>
      </w:r>
      <w:proofErr w:type="spellEnd"/>
      <w:r w:rsidRPr="00A14942">
        <w:rPr>
          <w:rFonts w:ascii="Times New Roman" w:hAnsi="Times New Roman" w:cs="Times New Roman"/>
          <w:sz w:val="22"/>
        </w:rPr>
        <w:t xml:space="preserve"> or (methyl adj2 fumarate) or monomethylfumarate or (</w:t>
      </w:r>
      <w:proofErr w:type="spellStart"/>
      <w:r w:rsidRPr="00A14942">
        <w:rPr>
          <w:rFonts w:ascii="Times New Roman" w:hAnsi="Times New Roman" w:cs="Times New Roman"/>
          <w:sz w:val="22"/>
        </w:rPr>
        <w:t>butenedioic</w:t>
      </w:r>
      <w:proofErr w:type="spellEnd"/>
      <w:r w:rsidRPr="00A14942">
        <w:rPr>
          <w:rFonts w:ascii="Times New Roman" w:hAnsi="Times New Roman" w:cs="Times New Roman"/>
          <w:sz w:val="22"/>
        </w:rPr>
        <w:t xml:space="preserve"> acid adj2 (methyl ester or monomethyl ester)) or ("but 2 </w:t>
      </w:r>
      <w:proofErr w:type="spellStart"/>
      <w:r w:rsidRPr="00A14942">
        <w:rPr>
          <w:rFonts w:ascii="Times New Roman" w:hAnsi="Times New Roman" w:cs="Times New Roman"/>
          <w:sz w:val="22"/>
        </w:rPr>
        <w:t>enedioic</w:t>
      </w:r>
      <w:proofErr w:type="spellEnd"/>
      <w:r w:rsidRPr="00A14942">
        <w:rPr>
          <w:rFonts w:ascii="Times New Roman" w:hAnsi="Times New Roman" w:cs="Times New Roman"/>
          <w:sz w:val="22"/>
        </w:rPr>
        <w:t xml:space="preserve"> acid" adj2 (methyl ester or monomethyl ester)) or ("2 </w:t>
      </w:r>
      <w:proofErr w:type="spellStart"/>
      <w:r w:rsidRPr="00A14942">
        <w:rPr>
          <w:rFonts w:ascii="Times New Roman" w:hAnsi="Times New Roman" w:cs="Times New Roman"/>
          <w:sz w:val="22"/>
        </w:rPr>
        <w:t>enoic</w:t>
      </w:r>
      <w:proofErr w:type="spellEnd"/>
      <w:r w:rsidRPr="00A14942">
        <w:rPr>
          <w:rFonts w:ascii="Times New Roman" w:hAnsi="Times New Roman" w:cs="Times New Roman"/>
          <w:sz w:val="22"/>
        </w:rPr>
        <w:t xml:space="preserve"> acid" adj2 (methoxycarbonyl or "methoxy 4 </w:t>
      </w:r>
      <w:proofErr w:type="spellStart"/>
      <w:r w:rsidRPr="00A14942">
        <w:rPr>
          <w:rFonts w:ascii="Times New Roman" w:hAnsi="Times New Roman" w:cs="Times New Roman"/>
          <w:sz w:val="22"/>
        </w:rPr>
        <w:t>oxobut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butenoic</w:t>
      </w:r>
      <w:proofErr w:type="spellEnd"/>
      <w:r w:rsidRPr="00A14942">
        <w:rPr>
          <w:rFonts w:ascii="Times New Roman" w:hAnsi="Times New Roman" w:cs="Times New Roman"/>
          <w:sz w:val="22"/>
        </w:rPr>
        <w:t xml:space="preserve"> acid adj2 "methoxy 4 oxo 2 ") or (</w:t>
      </w:r>
      <w:proofErr w:type="spellStart"/>
      <w:r w:rsidRPr="00A14942">
        <w:rPr>
          <w:rFonts w:ascii="Times New Roman" w:hAnsi="Times New Roman" w:cs="Times New Roman"/>
          <w:sz w:val="22"/>
        </w:rPr>
        <w:t>propenoic</w:t>
      </w:r>
      <w:proofErr w:type="spellEnd"/>
      <w:r w:rsidRPr="00A14942">
        <w:rPr>
          <w:rFonts w:ascii="Times New Roman" w:hAnsi="Times New Roman" w:cs="Times New Roman"/>
          <w:sz w:val="22"/>
        </w:rPr>
        <w:t xml:space="preserve"> acid adj2 methoxycarbonyl) or 2756-87-8 or 45IUB1PX8R).</w:t>
      </w:r>
      <w:proofErr w:type="spellStart"/>
      <w:r w:rsidRPr="00A14942">
        <w:rPr>
          <w:rFonts w:ascii="Times New Roman" w:hAnsi="Times New Roman" w:cs="Times New Roman"/>
          <w:sz w:val="22"/>
        </w:rPr>
        <w:t>ti,ab,kw,rn</w:t>
      </w:r>
      <w:proofErr w:type="spellEnd"/>
      <w:r w:rsidRPr="00A14942">
        <w:rPr>
          <w:rFonts w:ascii="Times New Roman" w:hAnsi="Times New Roman" w:cs="Times New Roman"/>
          <w:sz w:val="22"/>
        </w:rPr>
        <w:t>. (567)</w:t>
      </w:r>
    </w:p>
    <w:p w14:paraId="31030B03"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16     14 or 15 [SUPPLEMENTARY DRUGS] (614)</w:t>
      </w:r>
    </w:p>
    <w:p w14:paraId="5CCA4D0D"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17     13 and 16 [MS - SUPPLEMENTARY DRUGS] (363)</w:t>
      </w:r>
    </w:p>
    <w:p w14:paraId="57FAD931"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18     Clinical Trial/ or Randomized Controlled Trial/ or controlled clinical trial/ or multicenter study/ or Phase 3 clinical trial/ or Phase 4 clinical trial/ or exp Randomization/ or Single Blind Procedure/ or </w:t>
      </w:r>
      <w:proofErr w:type="gramStart"/>
      <w:r w:rsidRPr="00A14942">
        <w:rPr>
          <w:rFonts w:ascii="Times New Roman" w:hAnsi="Times New Roman" w:cs="Times New Roman"/>
          <w:sz w:val="22"/>
        </w:rPr>
        <w:t>Double Blind</w:t>
      </w:r>
      <w:proofErr w:type="gramEnd"/>
      <w:r w:rsidRPr="00A14942">
        <w:rPr>
          <w:rFonts w:ascii="Times New Roman" w:hAnsi="Times New Roman" w:cs="Times New Roman"/>
          <w:sz w:val="22"/>
        </w:rPr>
        <w:t xml:space="preserve"> Procedure/ or Crossover Procedure/ or Placebo/ or Prospective Study/ or (</w:t>
      </w:r>
      <w:proofErr w:type="spellStart"/>
      <w:r w:rsidRPr="00A14942">
        <w:rPr>
          <w:rFonts w:ascii="Times New Roman" w:hAnsi="Times New Roman" w:cs="Times New Roman"/>
          <w:sz w:val="22"/>
        </w:rPr>
        <w:t>randomi?ed</w:t>
      </w:r>
      <w:proofErr w:type="spellEnd"/>
      <w:r w:rsidRPr="00A14942">
        <w:rPr>
          <w:rFonts w:ascii="Times New Roman" w:hAnsi="Times New Roman" w:cs="Times New Roman"/>
          <w:sz w:val="22"/>
        </w:rPr>
        <w:t xml:space="preserve"> controlled trial$ or </w:t>
      </w:r>
      <w:proofErr w:type="spellStart"/>
      <w:r w:rsidRPr="00A14942">
        <w:rPr>
          <w:rFonts w:ascii="Times New Roman" w:hAnsi="Times New Roman" w:cs="Times New Roman"/>
          <w:sz w:val="22"/>
        </w:rPr>
        <w:t>rct</w:t>
      </w:r>
      <w:proofErr w:type="spellEnd"/>
      <w:r w:rsidRPr="00A14942">
        <w:rPr>
          <w:rFonts w:ascii="Times New Roman" w:hAnsi="Times New Roman" w:cs="Times New Roman"/>
          <w:sz w:val="22"/>
        </w:rPr>
        <w:t xml:space="preserve"> or (random$ adj2 </w:t>
      </w:r>
      <w:proofErr w:type="spellStart"/>
      <w:r w:rsidRPr="00A14942">
        <w:rPr>
          <w:rFonts w:ascii="Times New Roman" w:hAnsi="Times New Roman" w:cs="Times New Roman"/>
          <w:sz w:val="22"/>
        </w:rPr>
        <w:t>allocat</w:t>
      </w:r>
      <w:proofErr w:type="spellEnd"/>
      <w:r w:rsidRPr="00A14942">
        <w:rPr>
          <w:rFonts w:ascii="Times New Roman" w:hAnsi="Times New Roman" w:cs="Times New Roman"/>
          <w:sz w:val="22"/>
        </w:rPr>
        <w:t>$) or single blind$ or double blind$ or ((treble or triple) adj blind$) or placebo$).</w:t>
      </w:r>
      <w:proofErr w:type="spellStart"/>
      <w:r w:rsidRPr="00A14942">
        <w:rPr>
          <w:rFonts w:ascii="Times New Roman" w:hAnsi="Times New Roman" w:cs="Times New Roman"/>
          <w:sz w:val="22"/>
        </w:rPr>
        <w:t>tw</w:t>
      </w:r>
      <w:proofErr w:type="spellEnd"/>
      <w:r w:rsidRPr="00A14942">
        <w:rPr>
          <w:rFonts w:ascii="Times New Roman" w:hAnsi="Times New Roman" w:cs="Times New Roman"/>
          <w:sz w:val="22"/>
        </w:rPr>
        <w:t>. (4988067)</w:t>
      </w:r>
    </w:p>
    <w:p w14:paraId="4D6B151A"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19     Case Study/ or case report.tw. or abstract report/ or letter/ or (Conference proceeding or Conference abstract or Editorial or Letter or Note).pt. (11202612)</w:t>
      </w:r>
    </w:p>
    <w:p w14:paraId="20155A4B"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20     18 not 19 [SIGN RCT Filter] (4257627)</w:t>
      </w:r>
    </w:p>
    <w:p w14:paraId="6E35AC89"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21     17 and 20 [MS - SUPPLEMENTARY DRUGS - RCTs] (48)</w:t>
      </w:r>
    </w:p>
    <w:p w14:paraId="1C28F3F1"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22     (exp animal/ or exp animal experimentation/ or exp animal model/ or exp animal experiment/ or nonhuman/ or exp vertebrate/) not (exp human/ or exp human experimentation/ or exp human experiment/) (11625344)</w:t>
      </w:r>
    </w:p>
    <w:p w14:paraId="6A2314E1"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23     21 not 22 [ANIMAL-ONLY REMOVED] (48)</w:t>
      </w:r>
    </w:p>
    <w:p w14:paraId="5EE4DBA5"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24     (editorial or letter).pt. not (letter.pt. and randomized controlled trial/) (3614227)</w:t>
      </w:r>
    </w:p>
    <w:p w14:paraId="0CCB35F7"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25     23 not 24 [OPINION PIECES REMOVED] (48)</w:t>
      </w:r>
    </w:p>
    <w:p w14:paraId="6AE20338"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26     25 use </w:t>
      </w:r>
      <w:proofErr w:type="spellStart"/>
      <w:r w:rsidRPr="00A14942">
        <w:rPr>
          <w:rFonts w:ascii="Times New Roman" w:hAnsi="Times New Roman" w:cs="Times New Roman"/>
          <w:sz w:val="22"/>
        </w:rPr>
        <w:t>oemezd</w:t>
      </w:r>
      <w:proofErr w:type="spellEnd"/>
      <w:r w:rsidRPr="00A14942">
        <w:rPr>
          <w:rFonts w:ascii="Times New Roman" w:hAnsi="Times New Roman" w:cs="Times New Roman"/>
          <w:sz w:val="22"/>
        </w:rPr>
        <w:t xml:space="preserve"> [EMBASE RECORDS] (23)</w:t>
      </w:r>
    </w:p>
    <w:p w14:paraId="7BA267E9"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27     exp multiple sclerosis/ or (Demyelinating Autoimmune Diseases, CNS/ and (disseminated or insular or multiple? or relapsing-remitting or "relapsing remitting" or progressive).</w:t>
      </w:r>
      <w:proofErr w:type="spellStart"/>
      <w:r w:rsidRPr="00A14942">
        <w:rPr>
          <w:rFonts w:ascii="Times New Roman" w:hAnsi="Times New Roman" w:cs="Times New Roman"/>
          <w:sz w:val="22"/>
        </w:rPr>
        <w:t>tw,kw</w:t>
      </w:r>
      <w:proofErr w:type="spellEnd"/>
      <w:r w:rsidRPr="00A14942">
        <w:rPr>
          <w:rFonts w:ascii="Times New Roman" w:hAnsi="Times New Roman" w:cs="Times New Roman"/>
          <w:sz w:val="22"/>
        </w:rPr>
        <w:t>.) or ((multiple adj2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or RRMS or PPMS or SPMS or HA-RMS or HDA-RMS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(acute adj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fulminat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scleros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w:t>
      </w:r>
      <w:proofErr w:type="spellEnd"/>
      <w:r w:rsidRPr="00A14942">
        <w:rPr>
          <w:rFonts w:ascii="Times New Roman" w:hAnsi="Times New Roman" w:cs="Times New Roman"/>
          <w:sz w:val="22"/>
        </w:rPr>
        <w:t>$ or MS) adj2 (disseminated or insular or multiple? or relapsing-remitting or (relapsing adj remitting) or progressive)) or "chariot disease" or ((RMS or SPMS) adj10 (</w:t>
      </w:r>
      <w:proofErr w:type="spellStart"/>
      <w:r w:rsidRPr="00A14942">
        <w:rPr>
          <w:rFonts w:ascii="Times New Roman" w:hAnsi="Times New Roman" w:cs="Times New Roman"/>
          <w:sz w:val="22"/>
        </w:rPr>
        <w:t>relaps</w:t>
      </w:r>
      <w:proofErr w:type="spellEnd"/>
      <w:r w:rsidRPr="00A14942">
        <w:rPr>
          <w:rFonts w:ascii="Times New Roman" w:hAnsi="Times New Roman" w:cs="Times New Roman"/>
          <w:sz w:val="22"/>
        </w:rPr>
        <w:t xml:space="preserve">$ or remit$ or </w:t>
      </w:r>
      <w:proofErr w:type="spellStart"/>
      <w:r w:rsidRPr="00A14942">
        <w:rPr>
          <w:rFonts w:ascii="Times New Roman" w:hAnsi="Times New Roman" w:cs="Times New Roman"/>
          <w:sz w:val="22"/>
        </w:rPr>
        <w:t>scleros#s</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scleroti</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Demyelina</w:t>
      </w:r>
      <w:proofErr w:type="spellEnd"/>
      <w:r w:rsidRPr="00A14942">
        <w:rPr>
          <w:rFonts w:ascii="Times New Roman" w:hAnsi="Times New Roman" w:cs="Times New Roman"/>
          <w:sz w:val="22"/>
        </w:rPr>
        <w:t>$ adj3 (Disorder? or disease?) adj4 (disseminated or insular or multiple? or relapsing-remitting or (relapsing adj remitting) or progressive))).</w:t>
      </w:r>
      <w:proofErr w:type="spellStart"/>
      <w:r w:rsidRPr="00A14942">
        <w:rPr>
          <w:rFonts w:ascii="Times New Roman" w:hAnsi="Times New Roman" w:cs="Times New Roman"/>
          <w:sz w:val="22"/>
        </w:rPr>
        <w:t>tw,kw</w:t>
      </w:r>
      <w:proofErr w:type="spellEnd"/>
      <w:r w:rsidRPr="00A14942">
        <w:rPr>
          <w:rFonts w:ascii="Times New Roman" w:hAnsi="Times New Roman" w:cs="Times New Roman"/>
          <w:sz w:val="22"/>
        </w:rPr>
        <w:t>. [MS] (1026520)</w:t>
      </w:r>
    </w:p>
    <w:p w14:paraId="20795D7E"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28     (diroximel fumarate or </w:t>
      </w:r>
      <w:proofErr w:type="spellStart"/>
      <w:r w:rsidRPr="00A14942">
        <w:rPr>
          <w:rFonts w:ascii="Times New Roman" w:hAnsi="Times New Roman" w:cs="Times New Roman"/>
          <w:sz w:val="22"/>
        </w:rPr>
        <w:t>alks</w:t>
      </w:r>
      <w:proofErr w:type="spellEnd"/>
      <w:r w:rsidRPr="00A14942">
        <w:rPr>
          <w:rFonts w:ascii="Times New Roman" w:hAnsi="Times New Roman" w:cs="Times New Roman"/>
          <w:sz w:val="22"/>
        </w:rPr>
        <w:t xml:space="preserve"> 8700 or alks8700 or </w:t>
      </w:r>
      <w:proofErr w:type="spellStart"/>
      <w:r w:rsidRPr="00A14942">
        <w:rPr>
          <w:rFonts w:ascii="Times New Roman" w:hAnsi="Times New Roman" w:cs="Times New Roman"/>
          <w:sz w:val="22"/>
        </w:rPr>
        <w:t>rdc</w:t>
      </w:r>
      <w:proofErr w:type="spellEnd"/>
      <w:r w:rsidRPr="00A14942">
        <w:rPr>
          <w:rFonts w:ascii="Times New Roman" w:hAnsi="Times New Roman" w:cs="Times New Roman"/>
          <w:sz w:val="22"/>
        </w:rPr>
        <w:t xml:space="preserve"> 5108 or rdc5108 or vumerity$2 or 1577222-14-0 or K0N0Z40J3W).</w:t>
      </w:r>
      <w:proofErr w:type="spellStart"/>
      <w:r w:rsidRPr="00A14942">
        <w:rPr>
          <w:rFonts w:ascii="Times New Roman" w:hAnsi="Times New Roman" w:cs="Times New Roman"/>
          <w:sz w:val="22"/>
        </w:rPr>
        <w:t>ti,ab,kw</w:t>
      </w:r>
      <w:proofErr w:type="spellEnd"/>
      <w:r w:rsidRPr="00A14942">
        <w:rPr>
          <w:rFonts w:ascii="Times New Roman" w:hAnsi="Times New Roman" w:cs="Times New Roman"/>
          <w:sz w:val="22"/>
        </w:rPr>
        <w:t>. (82)</w:t>
      </w:r>
    </w:p>
    <w:p w14:paraId="6B046A63"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29     (monomethyl fumarate or bafiertam$2 or fumaric acid methyl ester or fumaric acid monomethyl ester or fumaric acid </w:t>
      </w:r>
      <w:proofErr w:type="spellStart"/>
      <w:r w:rsidRPr="00A14942">
        <w:rPr>
          <w:rFonts w:ascii="Times New Roman" w:hAnsi="Times New Roman" w:cs="Times New Roman"/>
          <w:sz w:val="22"/>
        </w:rPr>
        <w:t>monomethylester</w:t>
      </w:r>
      <w:proofErr w:type="spellEnd"/>
      <w:r w:rsidRPr="00A14942">
        <w:rPr>
          <w:rFonts w:ascii="Times New Roman" w:hAnsi="Times New Roman" w:cs="Times New Roman"/>
          <w:sz w:val="22"/>
        </w:rPr>
        <w:t xml:space="preserve"> or (methyl adj2 fumarate) or monomethylfumarate or (</w:t>
      </w:r>
      <w:proofErr w:type="spellStart"/>
      <w:r w:rsidRPr="00A14942">
        <w:rPr>
          <w:rFonts w:ascii="Times New Roman" w:hAnsi="Times New Roman" w:cs="Times New Roman"/>
          <w:sz w:val="22"/>
        </w:rPr>
        <w:t>butenedioic</w:t>
      </w:r>
      <w:proofErr w:type="spellEnd"/>
      <w:r w:rsidRPr="00A14942">
        <w:rPr>
          <w:rFonts w:ascii="Times New Roman" w:hAnsi="Times New Roman" w:cs="Times New Roman"/>
          <w:sz w:val="22"/>
        </w:rPr>
        <w:t xml:space="preserve"> acid adj2 (methyl ester or monomethyl ester)) or ("but 2 </w:t>
      </w:r>
      <w:proofErr w:type="spellStart"/>
      <w:r w:rsidRPr="00A14942">
        <w:rPr>
          <w:rFonts w:ascii="Times New Roman" w:hAnsi="Times New Roman" w:cs="Times New Roman"/>
          <w:sz w:val="22"/>
        </w:rPr>
        <w:t>enedioic</w:t>
      </w:r>
      <w:proofErr w:type="spellEnd"/>
      <w:r w:rsidRPr="00A14942">
        <w:rPr>
          <w:rFonts w:ascii="Times New Roman" w:hAnsi="Times New Roman" w:cs="Times New Roman"/>
          <w:sz w:val="22"/>
        </w:rPr>
        <w:t xml:space="preserve"> acid" adj2 (methyl ester or monomethyl ester)) or ("2 </w:t>
      </w:r>
      <w:proofErr w:type="spellStart"/>
      <w:r w:rsidRPr="00A14942">
        <w:rPr>
          <w:rFonts w:ascii="Times New Roman" w:hAnsi="Times New Roman" w:cs="Times New Roman"/>
          <w:sz w:val="22"/>
        </w:rPr>
        <w:t>enoic</w:t>
      </w:r>
      <w:proofErr w:type="spellEnd"/>
      <w:r w:rsidRPr="00A14942">
        <w:rPr>
          <w:rFonts w:ascii="Times New Roman" w:hAnsi="Times New Roman" w:cs="Times New Roman"/>
          <w:sz w:val="22"/>
        </w:rPr>
        <w:t xml:space="preserve"> acid" adj2 (methoxycarbonyl or "methoxy 4 </w:t>
      </w:r>
      <w:proofErr w:type="spellStart"/>
      <w:r w:rsidRPr="00A14942">
        <w:rPr>
          <w:rFonts w:ascii="Times New Roman" w:hAnsi="Times New Roman" w:cs="Times New Roman"/>
          <w:sz w:val="22"/>
        </w:rPr>
        <w:t>oxobut</w:t>
      </w:r>
      <w:proofErr w:type="spellEnd"/>
      <w:r w:rsidRPr="00A14942">
        <w:rPr>
          <w:rFonts w:ascii="Times New Roman" w:hAnsi="Times New Roman" w:cs="Times New Roman"/>
          <w:sz w:val="22"/>
        </w:rPr>
        <w:t>")) or (</w:t>
      </w:r>
      <w:proofErr w:type="spellStart"/>
      <w:r w:rsidRPr="00A14942">
        <w:rPr>
          <w:rFonts w:ascii="Times New Roman" w:hAnsi="Times New Roman" w:cs="Times New Roman"/>
          <w:sz w:val="22"/>
        </w:rPr>
        <w:t>butenoic</w:t>
      </w:r>
      <w:proofErr w:type="spellEnd"/>
      <w:r w:rsidRPr="00A14942">
        <w:rPr>
          <w:rFonts w:ascii="Times New Roman" w:hAnsi="Times New Roman" w:cs="Times New Roman"/>
          <w:sz w:val="22"/>
        </w:rPr>
        <w:t xml:space="preserve"> acid adj2 "methoxy 4 oxo 2 ") or (</w:t>
      </w:r>
      <w:proofErr w:type="spellStart"/>
      <w:r w:rsidRPr="00A14942">
        <w:rPr>
          <w:rFonts w:ascii="Times New Roman" w:hAnsi="Times New Roman" w:cs="Times New Roman"/>
          <w:sz w:val="22"/>
        </w:rPr>
        <w:t>propenoic</w:t>
      </w:r>
      <w:proofErr w:type="spellEnd"/>
      <w:r w:rsidRPr="00A14942">
        <w:rPr>
          <w:rFonts w:ascii="Times New Roman" w:hAnsi="Times New Roman" w:cs="Times New Roman"/>
          <w:sz w:val="22"/>
        </w:rPr>
        <w:t xml:space="preserve"> acid adj2 methoxycarbonyl) or 2756-87-8 or 45IUB1PX8R).</w:t>
      </w:r>
      <w:proofErr w:type="spellStart"/>
      <w:r w:rsidRPr="00A14942">
        <w:rPr>
          <w:rFonts w:ascii="Times New Roman" w:hAnsi="Times New Roman" w:cs="Times New Roman"/>
          <w:sz w:val="22"/>
        </w:rPr>
        <w:t>ti,ab,kw</w:t>
      </w:r>
      <w:proofErr w:type="spellEnd"/>
      <w:r w:rsidRPr="00A14942">
        <w:rPr>
          <w:rFonts w:ascii="Times New Roman" w:hAnsi="Times New Roman" w:cs="Times New Roman"/>
          <w:sz w:val="22"/>
        </w:rPr>
        <w:t>. (516)</w:t>
      </w:r>
    </w:p>
    <w:p w14:paraId="237239F9"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30     28 or 29 [SUPPLEMENTARY DRUGS] (549)</w:t>
      </w:r>
    </w:p>
    <w:p w14:paraId="7026CF69"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31     (("randomized controlled trial" or "controlled clinical trial").pt. or (randomized or placebo or randomly).ab. or "clinical trials as topic".</w:t>
      </w:r>
      <w:proofErr w:type="spellStart"/>
      <w:r w:rsidRPr="00A14942">
        <w:rPr>
          <w:rFonts w:ascii="Times New Roman" w:hAnsi="Times New Roman" w:cs="Times New Roman"/>
          <w:sz w:val="22"/>
        </w:rPr>
        <w:t>sh</w:t>
      </w:r>
      <w:proofErr w:type="spellEnd"/>
      <w:r w:rsidRPr="00A14942">
        <w:rPr>
          <w:rFonts w:ascii="Times New Roman" w:hAnsi="Times New Roman" w:cs="Times New Roman"/>
          <w:sz w:val="22"/>
        </w:rPr>
        <w:t xml:space="preserve">. or </w:t>
      </w:r>
      <w:proofErr w:type="spellStart"/>
      <w:r w:rsidRPr="00A14942">
        <w:rPr>
          <w:rFonts w:ascii="Times New Roman" w:hAnsi="Times New Roman" w:cs="Times New Roman"/>
          <w:sz w:val="22"/>
        </w:rPr>
        <w:t>trial.ti</w:t>
      </w:r>
      <w:proofErr w:type="spellEnd"/>
      <w:r w:rsidRPr="00A14942">
        <w:rPr>
          <w:rFonts w:ascii="Times New Roman" w:hAnsi="Times New Roman" w:cs="Times New Roman"/>
          <w:sz w:val="22"/>
        </w:rPr>
        <w:t>.) not (exp animals/ not humans.sh.) [RCTs Filter MEDLINE – Balanced, sensitive vs precise - Cochrane Handbook] (2659423)</w:t>
      </w:r>
    </w:p>
    <w:p w14:paraId="1BEFD3B3"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32     27 and 30 and 31 [MS - SUPPLEMENTARY DRUGS - RCTS] (38)</w:t>
      </w:r>
    </w:p>
    <w:p w14:paraId="5A994AE0"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33     exp Animals/ not Humans/ (17472420)</w:t>
      </w:r>
    </w:p>
    <w:p w14:paraId="45DA4CD7"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34     32 not 33 [ANIMAL-ONLY REMOVED] (38)</w:t>
      </w:r>
    </w:p>
    <w:p w14:paraId="62C2A94C"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35     (comment or editorial or news or newspaper article or (letter not (letter and randomized controlled trial))).pt. (4088962)</w:t>
      </w:r>
    </w:p>
    <w:p w14:paraId="60E5B69A"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36     34 not 35 [OPINION PIECES REMOVED] (38)</w:t>
      </w:r>
    </w:p>
    <w:p w14:paraId="679B24A9"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37     36 use </w:t>
      </w:r>
      <w:proofErr w:type="spellStart"/>
      <w:r w:rsidRPr="00A14942">
        <w:rPr>
          <w:rFonts w:ascii="Times New Roman" w:hAnsi="Times New Roman" w:cs="Times New Roman"/>
          <w:sz w:val="22"/>
        </w:rPr>
        <w:t>cctr</w:t>
      </w:r>
      <w:proofErr w:type="spellEnd"/>
      <w:r w:rsidRPr="00A14942">
        <w:rPr>
          <w:rFonts w:ascii="Times New Roman" w:hAnsi="Times New Roman" w:cs="Times New Roman"/>
          <w:sz w:val="22"/>
        </w:rPr>
        <w:t xml:space="preserve"> [CENTRAL RECORDS] (28)</w:t>
      </w:r>
    </w:p>
    <w:p w14:paraId="45DA44C1"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lastRenderedPageBreak/>
        <w:t>38     12 or 26 or 37 [ALL DATABASES] (61)</w:t>
      </w:r>
    </w:p>
    <w:p w14:paraId="618C8664"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39     remove duplicates from 38 (44) [TOTAL UNIQUE RECORDS]</w:t>
      </w:r>
    </w:p>
    <w:p w14:paraId="670C81D8"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40     39 use </w:t>
      </w:r>
      <w:proofErr w:type="spellStart"/>
      <w:r w:rsidRPr="00A14942">
        <w:rPr>
          <w:rFonts w:ascii="Times New Roman" w:hAnsi="Times New Roman" w:cs="Times New Roman"/>
          <w:sz w:val="22"/>
        </w:rPr>
        <w:t>ppez</w:t>
      </w:r>
      <w:proofErr w:type="spellEnd"/>
      <w:r w:rsidRPr="00A14942">
        <w:rPr>
          <w:rFonts w:ascii="Times New Roman" w:hAnsi="Times New Roman" w:cs="Times New Roman"/>
          <w:sz w:val="22"/>
        </w:rPr>
        <w:t xml:space="preserve"> [MEDLINE UNIQUE RECORDS] (10)</w:t>
      </w:r>
    </w:p>
    <w:p w14:paraId="65DE1B4D"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41     39 use </w:t>
      </w:r>
      <w:proofErr w:type="spellStart"/>
      <w:r w:rsidRPr="00A14942">
        <w:rPr>
          <w:rFonts w:ascii="Times New Roman" w:hAnsi="Times New Roman" w:cs="Times New Roman"/>
          <w:sz w:val="22"/>
        </w:rPr>
        <w:t>oemezd</w:t>
      </w:r>
      <w:proofErr w:type="spellEnd"/>
      <w:r w:rsidRPr="00A14942">
        <w:rPr>
          <w:rFonts w:ascii="Times New Roman" w:hAnsi="Times New Roman" w:cs="Times New Roman"/>
          <w:sz w:val="22"/>
        </w:rPr>
        <w:t xml:space="preserve"> [EMBASE UNIQUE RECORDS] (13)</w:t>
      </w:r>
    </w:p>
    <w:p w14:paraId="14CA3F07" w14:textId="77777777" w:rsidR="00160246" w:rsidRPr="00A14942" w:rsidRDefault="00160246" w:rsidP="00160246">
      <w:pPr>
        <w:pStyle w:val="NoSpacing"/>
        <w:rPr>
          <w:rFonts w:ascii="Times New Roman" w:hAnsi="Times New Roman" w:cs="Times New Roman"/>
          <w:sz w:val="22"/>
        </w:rPr>
      </w:pPr>
      <w:r w:rsidRPr="00A14942">
        <w:rPr>
          <w:rFonts w:ascii="Times New Roman" w:hAnsi="Times New Roman" w:cs="Times New Roman"/>
          <w:sz w:val="22"/>
        </w:rPr>
        <w:t xml:space="preserve">42     39 use </w:t>
      </w:r>
      <w:proofErr w:type="spellStart"/>
      <w:r w:rsidRPr="00A14942">
        <w:rPr>
          <w:rFonts w:ascii="Times New Roman" w:hAnsi="Times New Roman" w:cs="Times New Roman"/>
          <w:sz w:val="22"/>
        </w:rPr>
        <w:t>cctr</w:t>
      </w:r>
      <w:proofErr w:type="spellEnd"/>
      <w:r w:rsidRPr="00A14942">
        <w:rPr>
          <w:rFonts w:ascii="Times New Roman" w:hAnsi="Times New Roman" w:cs="Times New Roman"/>
          <w:sz w:val="22"/>
        </w:rPr>
        <w:t xml:space="preserve"> [CENTRAL UNIQUE RECORDS] (21)</w:t>
      </w:r>
    </w:p>
    <w:p w14:paraId="736D631B" w14:textId="77777777" w:rsidR="00160246" w:rsidRPr="00A14942" w:rsidRDefault="00160246" w:rsidP="00160246">
      <w:pPr>
        <w:rPr>
          <w:rFonts w:ascii="Times New Roman" w:hAnsi="Times New Roman" w:cs="Times New Roman"/>
          <w:szCs w:val="22"/>
          <w:lang w:bidi="ar-SA"/>
        </w:rPr>
      </w:pPr>
    </w:p>
    <w:p w14:paraId="766BF483" w14:textId="5B7FAA54" w:rsidR="00DC0E50" w:rsidRPr="00A14942" w:rsidRDefault="00DC0E50" w:rsidP="00223A29">
      <w:pPr>
        <w:pStyle w:val="Heading2"/>
        <w:pageBreakBefore/>
        <w:ind w:left="965" w:hanging="965"/>
        <w:rPr>
          <w:rFonts w:ascii="Times New Roman" w:hAnsi="Times New Roman" w:cs="Times New Roman"/>
        </w:rPr>
      </w:pPr>
      <w:bookmarkStart w:id="13" w:name="_Toc130240178"/>
      <w:r w:rsidRPr="00A14942">
        <w:rPr>
          <w:rFonts w:ascii="Times New Roman" w:hAnsi="Times New Roman" w:cs="Times New Roman"/>
        </w:rPr>
        <w:lastRenderedPageBreak/>
        <w:t xml:space="preserve">List of </w:t>
      </w:r>
      <w:r w:rsidR="00DC12BB" w:rsidRPr="00A14942">
        <w:rPr>
          <w:rFonts w:ascii="Times New Roman" w:hAnsi="Times New Roman" w:cs="Times New Roman"/>
        </w:rPr>
        <w:t>additional sources</w:t>
      </w:r>
      <w:bookmarkEnd w:id="13"/>
    </w:p>
    <w:p w14:paraId="13FE03EF" w14:textId="433CC43B" w:rsidR="00160246" w:rsidRPr="00A14942" w:rsidRDefault="00160246" w:rsidP="00977BDD">
      <w:pPr>
        <w:spacing w:after="100" w:afterAutospacing="1" w:line="240" w:lineRule="auto"/>
        <w:rPr>
          <w:rFonts w:ascii="Times New Roman" w:hAnsi="Times New Roman" w:cs="Times New Roman"/>
          <w:b/>
          <w:szCs w:val="22"/>
          <w:lang w:val="en-GB"/>
        </w:rPr>
      </w:pPr>
      <w:r w:rsidRPr="00A14942">
        <w:rPr>
          <w:rFonts w:ascii="Times New Roman" w:hAnsi="Times New Roman" w:cs="Times New Roman"/>
          <w:b/>
          <w:szCs w:val="22"/>
          <w:lang w:val="en-GB"/>
        </w:rPr>
        <w:t>Trial Registries</w:t>
      </w:r>
    </w:p>
    <w:p w14:paraId="408A9468" w14:textId="44122C62" w:rsidR="00160246" w:rsidRPr="00A14942" w:rsidRDefault="00160246" w:rsidP="00223A29">
      <w:pPr>
        <w:pStyle w:val="ListParagraph"/>
        <w:numPr>
          <w:ilvl w:val="0"/>
          <w:numId w:val="10"/>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ClinicalTrials.gov registry</w:t>
      </w:r>
      <w:r w:rsidR="00FE2125">
        <w:rPr>
          <w:rFonts w:ascii="Times New Roman" w:hAnsi="Times New Roman" w:cs="Times New Roman"/>
          <w:bCs/>
          <w:szCs w:val="22"/>
          <w:lang w:val="en-GB"/>
        </w:rPr>
        <w:t xml:space="preserve"> (November 9, 2021)</w:t>
      </w:r>
    </w:p>
    <w:p w14:paraId="5665A124" w14:textId="4D68F010" w:rsidR="00160246" w:rsidRPr="00A14942" w:rsidRDefault="00160246" w:rsidP="00223A29">
      <w:pPr>
        <w:pStyle w:val="ListParagraph"/>
        <w:numPr>
          <w:ilvl w:val="0"/>
          <w:numId w:val="10"/>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European Union Clinical Trials Register (EUCTR</w:t>
      </w:r>
      <w:r w:rsidR="00FE2125">
        <w:rPr>
          <w:rFonts w:ascii="Times New Roman" w:hAnsi="Times New Roman" w:cs="Times New Roman"/>
          <w:bCs/>
          <w:szCs w:val="22"/>
          <w:lang w:val="en-GB"/>
        </w:rPr>
        <w:t>; November 9, 2021)</w:t>
      </w:r>
    </w:p>
    <w:p w14:paraId="15EB2217" w14:textId="70D45E37" w:rsidR="00160246" w:rsidRPr="00A14942" w:rsidRDefault="00160246" w:rsidP="00223A29">
      <w:pPr>
        <w:pStyle w:val="ListParagraph"/>
        <w:numPr>
          <w:ilvl w:val="0"/>
          <w:numId w:val="10"/>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World Health Organization International Clinical Trials Registry Platform (WHO ICTRP)</w:t>
      </w:r>
      <w:r w:rsidR="00FE2125">
        <w:rPr>
          <w:rFonts w:ascii="Times New Roman" w:hAnsi="Times New Roman" w:cs="Times New Roman"/>
          <w:bCs/>
          <w:szCs w:val="22"/>
          <w:lang w:val="en-GB"/>
        </w:rPr>
        <w:t>; November 8, 2021)</w:t>
      </w:r>
    </w:p>
    <w:p w14:paraId="38975115" w14:textId="10631046" w:rsidR="00160246" w:rsidRPr="00A14942" w:rsidRDefault="00160246" w:rsidP="00977BDD">
      <w:pPr>
        <w:spacing w:after="100" w:afterAutospacing="1" w:line="240" w:lineRule="auto"/>
        <w:rPr>
          <w:rFonts w:ascii="Times New Roman" w:hAnsi="Times New Roman" w:cs="Times New Roman"/>
          <w:b/>
          <w:szCs w:val="22"/>
          <w:lang w:val="en-GB"/>
        </w:rPr>
      </w:pPr>
      <w:r w:rsidRPr="00A14942">
        <w:rPr>
          <w:rFonts w:ascii="Times New Roman" w:hAnsi="Times New Roman" w:cs="Times New Roman"/>
          <w:b/>
          <w:szCs w:val="22"/>
          <w:lang w:val="en-GB"/>
        </w:rPr>
        <w:t>Health Technology Assessment Agency Websites</w:t>
      </w:r>
    </w:p>
    <w:p w14:paraId="78878EF7" w14:textId="43AEC322" w:rsidR="00160246" w:rsidRPr="00A14942" w:rsidRDefault="00160246" w:rsidP="00223A29">
      <w:pPr>
        <w:pStyle w:val="ListParagraph"/>
        <w:numPr>
          <w:ilvl w:val="0"/>
          <w:numId w:val="23"/>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National Institute for Health and Care Excellence (NICE, United Kingdom</w:t>
      </w:r>
      <w:r w:rsidR="00FE2125">
        <w:rPr>
          <w:rFonts w:ascii="Times New Roman" w:hAnsi="Times New Roman" w:cs="Times New Roman"/>
          <w:bCs/>
          <w:szCs w:val="22"/>
          <w:lang w:val="en-GB"/>
        </w:rPr>
        <w:t>; November 2, 2021</w:t>
      </w:r>
      <w:r w:rsidRPr="00A14942">
        <w:rPr>
          <w:rFonts w:ascii="Times New Roman" w:hAnsi="Times New Roman" w:cs="Times New Roman"/>
          <w:bCs/>
          <w:szCs w:val="22"/>
          <w:lang w:val="en-GB"/>
        </w:rPr>
        <w:t xml:space="preserve">) </w:t>
      </w:r>
    </w:p>
    <w:p w14:paraId="038485EE" w14:textId="1775CB0A" w:rsidR="00160246" w:rsidRPr="00A14942" w:rsidRDefault="00160246" w:rsidP="00223A29">
      <w:pPr>
        <w:pStyle w:val="ListParagraph"/>
        <w:numPr>
          <w:ilvl w:val="0"/>
          <w:numId w:val="23"/>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Pharmaceutical Benefits Advisory Committee (PBAC, Australia</w:t>
      </w:r>
      <w:r w:rsidR="00FE2125">
        <w:rPr>
          <w:rFonts w:ascii="Times New Roman" w:hAnsi="Times New Roman" w:cs="Times New Roman"/>
          <w:bCs/>
          <w:szCs w:val="22"/>
          <w:lang w:val="en-GB"/>
        </w:rPr>
        <w:t>; November 3, 2021</w:t>
      </w:r>
      <w:r w:rsidRPr="00A14942">
        <w:rPr>
          <w:rFonts w:ascii="Times New Roman" w:hAnsi="Times New Roman" w:cs="Times New Roman"/>
          <w:bCs/>
          <w:szCs w:val="22"/>
          <w:lang w:val="en-GB"/>
        </w:rPr>
        <w:t>)</w:t>
      </w:r>
    </w:p>
    <w:p w14:paraId="0E12BA08" w14:textId="7D78648B" w:rsidR="00160246" w:rsidRPr="00A14942" w:rsidRDefault="00160246" w:rsidP="00223A29">
      <w:pPr>
        <w:pStyle w:val="ListParagraph"/>
        <w:numPr>
          <w:ilvl w:val="0"/>
          <w:numId w:val="23"/>
        </w:numPr>
        <w:spacing w:after="100" w:afterAutospacing="1" w:line="240" w:lineRule="auto"/>
        <w:rPr>
          <w:rFonts w:ascii="Times New Roman" w:hAnsi="Times New Roman" w:cs="Times New Roman"/>
          <w:bCs/>
          <w:szCs w:val="22"/>
          <w:lang w:val="fr-FR"/>
        </w:rPr>
      </w:pPr>
      <w:r w:rsidRPr="00A14942">
        <w:rPr>
          <w:rFonts w:ascii="Times New Roman" w:hAnsi="Times New Roman" w:cs="Times New Roman"/>
          <w:bCs/>
          <w:szCs w:val="22"/>
          <w:lang w:val="en-GB"/>
        </w:rPr>
        <w:t xml:space="preserve"> </w:t>
      </w:r>
      <w:r w:rsidRPr="00A14942">
        <w:rPr>
          <w:rFonts w:ascii="Times New Roman" w:hAnsi="Times New Roman" w:cs="Times New Roman"/>
          <w:bCs/>
          <w:szCs w:val="22"/>
          <w:lang w:val="fr-FR"/>
        </w:rPr>
        <w:t xml:space="preserve">Haute Autorité de Santé (HAS, </w:t>
      </w:r>
      <w:r w:rsidR="00FE2125">
        <w:rPr>
          <w:rFonts w:ascii="Times New Roman" w:hAnsi="Times New Roman" w:cs="Times New Roman"/>
          <w:bCs/>
          <w:szCs w:val="22"/>
          <w:lang w:val="fr-FR"/>
        </w:rPr>
        <w:t xml:space="preserve">France ; </w:t>
      </w:r>
      <w:proofErr w:type="spellStart"/>
      <w:r w:rsidR="00FE2125">
        <w:rPr>
          <w:rFonts w:ascii="Times New Roman" w:hAnsi="Times New Roman" w:cs="Times New Roman"/>
          <w:bCs/>
          <w:szCs w:val="22"/>
          <w:lang w:val="fr-FR"/>
        </w:rPr>
        <w:t>November</w:t>
      </w:r>
      <w:proofErr w:type="spellEnd"/>
      <w:r w:rsidR="00FE2125">
        <w:rPr>
          <w:rFonts w:ascii="Times New Roman" w:hAnsi="Times New Roman" w:cs="Times New Roman"/>
          <w:bCs/>
          <w:szCs w:val="22"/>
          <w:lang w:val="fr-FR"/>
        </w:rPr>
        <w:t xml:space="preserve"> 7, 2021</w:t>
      </w:r>
      <w:r w:rsidRPr="00A14942">
        <w:rPr>
          <w:rFonts w:ascii="Times New Roman" w:hAnsi="Times New Roman" w:cs="Times New Roman"/>
          <w:bCs/>
          <w:szCs w:val="22"/>
          <w:lang w:val="fr-FR"/>
        </w:rPr>
        <w:t>)</w:t>
      </w:r>
    </w:p>
    <w:p w14:paraId="7F776BB7" w14:textId="782D45D3" w:rsidR="00160246" w:rsidRPr="00A14942" w:rsidRDefault="00160246" w:rsidP="00223A29">
      <w:pPr>
        <w:pStyle w:val="ListParagraph"/>
        <w:numPr>
          <w:ilvl w:val="0"/>
          <w:numId w:val="23"/>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fr-FR"/>
        </w:rPr>
        <w:t xml:space="preserve"> </w:t>
      </w:r>
      <w:r w:rsidRPr="00A14942">
        <w:rPr>
          <w:rFonts w:ascii="Times New Roman" w:hAnsi="Times New Roman" w:cs="Times New Roman"/>
          <w:bCs/>
          <w:szCs w:val="22"/>
          <w:lang w:val="en-GB"/>
        </w:rPr>
        <w:t>Institute for Quality and Efficiency in Health Care (</w:t>
      </w:r>
      <w:proofErr w:type="spellStart"/>
      <w:r w:rsidRPr="00A14942">
        <w:rPr>
          <w:rFonts w:ascii="Times New Roman" w:hAnsi="Times New Roman" w:cs="Times New Roman"/>
          <w:bCs/>
          <w:szCs w:val="22"/>
          <w:lang w:val="en-GB"/>
        </w:rPr>
        <w:t>IQWiG</w:t>
      </w:r>
      <w:proofErr w:type="spellEnd"/>
      <w:r w:rsidRPr="00A14942">
        <w:rPr>
          <w:rFonts w:ascii="Times New Roman" w:hAnsi="Times New Roman" w:cs="Times New Roman"/>
          <w:bCs/>
          <w:szCs w:val="22"/>
          <w:lang w:val="en-GB"/>
        </w:rPr>
        <w:t>, Germany</w:t>
      </w:r>
      <w:r w:rsidR="00FE2125">
        <w:rPr>
          <w:rFonts w:ascii="Times New Roman" w:hAnsi="Times New Roman" w:cs="Times New Roman"/>
          <w:bCs/>
          <w:szCs w:val="22"/>
          <w:lang w:val="en-GB"/>
        </w:rPr>
        <w:t>; November 4, 2021</w:t>
      </w:r>
      <w:r w:rsidRPr="00A14942">
        <w:rPr>
          <w:rFonts w:ascii="Times New Roman" w:hAnsi="Times New Roman" w:cs="Times New Roman"/>
          <w:bCs/>
          <w:szCs w:val="22"/>
          <w:lang w:val="en-GB"/>
        </w:rPr>
        <w:t>)</w:t>
      </w:r>
    </w:p>
    <w:p w14:paraId="236C4F22" w14:textId="0D8D08F4" w:rsidR="00160246" w:rsidRPr="00A14942" w:rsidRDefault="00FE2125" w:rsidP="00223A29">
      <w:pPr>
        <w:pStyle w:val="ListParagraph"/>
        <w:numPr>
          <w:ilvl w:val="0"/>
          <w:numId w:val="23"/>
        </w:numPr>
        <w:spacing w:after="100" w:afterAutospacing="1" w:line="240" w:lineRule="auto"/>
        <w:rPr>
          <w:rFonts w:ascii="Times New Roman" w:hAnsi="Times New Roman" w:cs="Times New Roman"/>
          <w:bCs/>
          <w:szCs w:val="22"/>
          <w:lang w:val="en-GB"/>
        </w:rPr>
      </w:pPr>
      <w:r>
        <w:rPr>
          <w:rFonts w:ascii="Times New Roman" w:hAnsi="Times New Roman" w:cs="Times New Roman"/>
          <w:bCs/>
          <w:szCs w:val="22"/>
          <w:lang w:val="en-GB"/>
        </w:rPr>
        <w:t xml:space="preserve"> </w:t>
      </w:r>
      <w:r w:rsidR="00160246" w:rsidRPr="00A14942">
        <w:rPr>
          <w:rFonts w:ascii="Times New Roman" w:hAnsi="Times New Roman" w:cs="Times New Roman"/>
          <w:bCs/>
          <w:szCs w:val="22"/>
          <w:lang w:val="en-GB"/>
        </w:rPr>
        <w:t>Institute for Clinical and Economic Review (ICER, United States</w:t>
      </w:r>
      <w:r>
        <w:rPr>
          <w:rFonts w:ascii="Times New Roman" w:hAnsi="Times New Roman" w:cs="Times New Roman"/>
          <w:bCs/>
          <w:szCs w:val="22"/>
          <w:lang w:val="en-GB"/>
        </w:rPr>
        <w:t>; November 7, 2021</w:t>
      </w:r>
      <w:r w:rsidR="00160246" w:rsidRPr="00A14942">
        <w:rPr>
          <w:rFonts w:ascii="Times New Roman" w:hAnsi="Times New Roman" w:cs="Times New Roman"/>
          <w:bCs/>
          <w:szCs w:val="22"/>
          <w:lang w:val="en-GB"/>
        </w:rPr>
        <w:t xml:space="preserve">) </w:t>
      </w:r>
    </w:p>
    <w:p w14:paraId="0D248460" w14:textId="505FC7B0" w:rsidR="00160246" w:rsidRPr="00A14942" w:rsidRDefault="00160246" w:rsidP="00223A29">
      <w:pPr>
        <w:pStyle w:val="ListParagraph"/>
        <w:numPr>
          <w:ilvl w:val="0"/>
          <w:numId w:val="23"/>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Canadian Agency for Drugs and Technologies in Health (CADTH</w:t>
      </w:r>
      <w:r w:rsidR="00FE2125">
        <w:rPr>
          <w:rFonts w:ascii="Times New Roman" w:hAnsi="Times New Roman" w:cs="Times New Roman"/>
          <w:bCs/>
          <w:szCs w:val="22"/>
          <w:lang w:val="en-GB"/>
        </w:rPr>
        <w:t>; November 2, 2021</w:t>
      </w:r>
      <w:r w:rsidRPr="00A14942">
        <w:rPr>
          <w:rFonts w:ascii="Times New Roman" w:hAnsi="Times New Roman" w:cs="Times New Roman"/>
          <w:bCs/>
          <w:szCs w:val="22"/>
          <w:lang w:val="en-GB"/>
        </w:rPr>
        <w:t>)</w:t>
      </w:r>
    </w:p>
    <w:p w14:paraId="48C04848" w14:textId="4CC721A8" w:rsidR="00160246" w:rsidRPr="00A14942" w:rsidRDefault="00160246" w:rsidP="00977BDD">
      <w:pPr>
        <w:spacing w:after="100" w:afterAutospacing="1" w:line="240" w:lineRule="auto"/>
        <w:rPr>
          <w:rFonts w:ascii="Times New Roman" w:hAnsi="Times New Roman" w:cs="Times New Roman"/>
          <w:b/>
          <w:szCs w:val="22"/>
          <w:lang w:val="en-GB"/>
        </w:rPr>
      </w:pPr>
      <w:r w:rsidRPr="00A14942">
        <w:rPr>
          <w:rFonts w:ascii="Times New Roman" w:hAnsi="Times New Roman" w:cs="Times New Roman"/>
          <w:b/>
          <w:szCs w:val="22"/>
          <w:lang w:val="en-GB"/>
        </w:rPr>
        <w:t>Regulatory Agency Websites</w:t>
      </w:r>
    </w:p>
    <w:p w14:paraId="4CF7131E" w14:textId="067E85E6" w:rsidR="00160246" w:rsidRPr="00A14942" w:rsidRDefault="00160246" w:rsidP="00223A29">
      <w:pPr>
        <w:pStyle w:val="ListParagraph"/>
        <w:numPr>
          <w:ilvl w:val="0"/>
          <w:numId w:val="24"/>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European Medicines Agency (EMA</w:t>
      </w:r>
      <w:r w:rsidR="00FE2125">
        <w:rPr>
          <w:rFonts w:ascii="Times New Roman" w:hAnsi="Times New Roman" w:cs="Times New Roman"/>
          <w:bCs/>
          <w:szCs w:val="22"/>
          <w:lang w:val="en-GB"/>
        </w:rPr>
        <w:t>; November 24, 2021</w:t>
      </w:r>
      <w:r w:rsidRPr="00A14942">
        <w:rPr>
          <w:rFonts w:ascii="Times New Roman" w:hAnsi="Times New Roman" w:cs="Times New Roman"/>
          <w:bCs/>
          <w:szCs w:val="22"/>
          <w:lang w:val="en-GB"/>
        </w:rPr>
        <w:t>)</w:t>
      </w:r>
    </w:p>
    <w:p w14:paraId="3DA5413D" w14:textId="4A1F6A79" w:rsidR="00160246" w:rsidRPr="00A14942" w:rsidRDefault="00160246" w:rsidP="00223A29">
      <w:pPr>
        <w:pStyle w:val="ListParagraph"/>
        <w:numPr>
          <w:ilvl w:val="0"/>
          <w:numId w:val="24"/>
        </w:numPr>
        <w:spacing w:after="100" w:afterAutospacing="1" w:line="240" w:lineRule="auto"/>
        <w:rPr>
          <w:rFonts w:ascii="Times New Roman" w:hAnsi="Times New Roman" w:cs="Times New Roman"/>
          <w:bCs/>
          <w:szCs w:val="22"/>
          <w:lang w:val="en-GB"/>
        </w:rPr>
      </w:pPr>
      <w:r w:rsidRPr="00A14942">
        <w:rPr>
          <w:rFonts w:ascii="Times New Roman" w:hAnsi="Times New Roman" w:cs="Times New Roman"/>
          <w:bCs/>
          <w:szCs w:val="22"/>
          <w:lang w:val="en-GB"/>
        </w:rPr>
        <w:t xml:space="preserve"> United States Food and Drug Administration (FDA</w:t>
      </w:r>
      <w:r w:rsidR="00FE2125">
        <w:rPr>
          <w:rFonts w:ascii="Times New Roman" w:hAnsi="Times New Roman" w:cs="Times New Roman"/>
          <w:bCs/>
          <w:szCs w:val="22"/>
          <w:lang w:val="en-GB"/>
        </w:rPr>
        <w:t>; November 24, 2021</w:t>
      </w:r>
      <w:r w:rsidRPr="00A14942">
        <w:rPr>
          <w:rFonts w:ascii="Times New Roman" w:hAnsi="Times New Roman" w:cs="Times New Roman"/>
          <w:bCs/>
          <w:szCs w:val="22"/>
          <w:lang w:val="en-GB"/>
        </w:rPr>
        <w:t>)</w:t>
      </w:r>
    </w:p>
    <w:p w14:paraId="3EA45A13" w14:textId="7F48797B" w:rsidR="00160246" w:rsidRPr="00A14942" w:rsidRDefault="00160246" w:rsidP="00977BDD">
      <w:pPr>
        <w:spacing w:after="100" w:afterAutospacing="1" w:line="240" w:lineRule="auto"/>
        <w:rPr>
          <w:rFonts w:ascii="Times New Roman" w:hAnsi="Times New Roman" w:cs="Times New Roman"/>
          <w:b/>
          <w:szCs w:val="22"/>
          <w:lang w:val="en-GB"/>
        </w:rPr>
      </w:pPr>
      <w:r w:rsidRPr="00A14942">
        <w:rPr>
          <w:rFonts w:ascii="Times New Roman" w:hAnsi="Times New Roman" w:cs="Times New Roman"/>
          <w:b/>
          <w:szCs w:val="22"/>
          <w:lang w:val="en-GB"/>
        </w:rPr>
        <w:t>Conference proceedings</w:t>
      </w:r>
    </w:p>
    <w:p w14:paraId="19256716" w14:textId="5B391577" w:rsidR="00160246" w:rsidRPr="00A14942" w:rsidRDefault="00160246" w:rsidP="00223A29">
      <w:pPr>
        <w:pStyle w:val="CommentText"/>
        <w:numPr>
          <w:ilvl w:val="0"/>
          <w:numId w:val="11"/>
        </w:numPr>
        <w:spacing w:after="100" w:afterAutospacing="1"/>
        <w:rPr>
          <w:rFonts w:ascii="Times New Roman" w:hAnsi="Times New Roman" w:cs="Times New Roman"/>
          <w:sz w:val="22"/>
          <w:szCs w:val="22"/>
        </w:rPr>
      </w:pPr>
      <w:r w:rsidRPr="00A14942">
        <w:rPr>
          <w:rFonts w:ascii="Times New Roman" w:hAnsi="Times New Roman" w:cs="Times New Roman"/>
          <w:sz w:val="22"/>
          <w:szCs w:val="22"/>
        </w:rPr>
        <w:t>American Academy of Neurology (AAN) Annual Meeting</w:t>
      </w:r>
      <w:r w:rsidR="00FE2125">
        <w:rPr>
          <w:rFonts w:ascii="Times New Roman" w:hAnsi="Times New Roman" w:cs="Times New Roman"/>
          <w:sz w:val="22"/>
          <w:szCs w:val="22"/>
        </w:rPr>
        <w:t>; 2020 and 2021</w:t>
      </w:r>
    </w:p>
    <w:p w14:paraId="4AF06659" w14:textId="5990C326" w:rsidR="00160246" w:rsidRPr="00A14942" w:rsidRDefault="00160246" w:rsidP="00223A29">
      <w:pPr>
        <w:pStyle w:val="CommentText"/>
        <w:numPr>
          <w:ilvl w:val="0"/>
          <w:numId w:val="11"/>
        </w:numPr>
        <w:spacing w:after="100" w:afterAutospacing="1"/>
        <w:rPr>
          <w:rFonts w:ascii="Times New Roman" w:hAnsi="Times New Roman" w:cs="Times New Roman"/>
          <w:sz w:val="22"/>
          <w:szCs w:val="22"/>
        </w:rPr>
      </w:pPr>
      <w:r w:rsidRPr="00A14942">
        <w:rPr>
          <w:rFonts w:ascii="Times New Roman" w:hAnsi="Times New Roman" w:cs="Times New Roman"/>
          <w:sz w:val="22"/>
          <w:szCs w:val="22"/>
        </w:rPr>
        <w:t>Americas Committee for Treatment and Research in Multiple Sclerosis (ACTRIMS) Annual Forum</w:t>
      </w:r>
      <w:r w:rsidR="00FE2125">
        <w:rPr>
          <w:rFonts w:ascii="Times New Roman" w:hAnsi="Times New Roman" w:cs="Times New Roman"/>
          <w:sz w:val="22"/>
          <w:szCs w:val="22"/>
        </w:rPr>
        <w:t>; 2019 and 2021</w:t>
      </w:r>
    </w:p>
    <w:p w14:paraId="03933662" w14:textId="4133BC09" w:rsidR="00160246" w:rsidRPr="00A14942" w:rsidRDefault="00160246" w:rsidP="00223A29">
      <w:pPr>
        <w:pStyle w:val="CommentText"/>
        <w:numPr>
          <w:ilvl w:val="0"/>
          <w:numId w:val="11"/>
        </w:numPr>
        <w:spacing w:after="100" w:afterAutospacing="1"/>
        <w:rPr>
          <w:rFonts w:ascii="Times New Roman" w:hAnsi="Times New Roman" w:cs="Times New Roman"/>
          <w:sz w:val="22"/>
          <w:szCs w:val="22"/>
        </w:rPr>
      </w:pPr>
      <w:r w:rsidRPr="00A14942">
        <w:rPr>
          <w:rFonts w:ascii="Times New Roman" w:hAnsi="Times New Roman" w:cs="Times New Roman"/>
          <w:sz w:val="22"/>
          <w:szCs w:val="22"/>
        </w:rPr>
        <w:t>European Committee for Treatment and Research in Multiple Sclerosis (ECTRIMS) Annual Congress</w:t>
      </w:r>
      <w:r w:rsidR="00FE2125">
        <w:rPr>
          <w:rFonts w:ascii="Times New Roman" w:hAnsi="Times New Roman" w:cs="Times New Roman"/>
          <w:sz w:val="22"/>
          <w:szCs w:val="22"/>
        </w:rPr>
        <w:t>; 2019 and 2021</w:t>
      </w:r>
    </w:p>
    <w:p w14:paraId="32C55050" w14:textId="6A635FCA" w:rsidR="00160246" w:rsidRPr="00A14942" w:rsidRDefault="00160246" w:rsidP="00223A29">
      <w:pPr>
        <w:pStyle w:val="CommentText"/>
        <w:numPr>
          <w:ilvl w:val="0"/>
          <w:numId w:val="11"/>
        </w:numPr>
        <w:spacing w:after="100" w:afterAutospacing="1"/>
        <w:rPr>
          <w:rFonts w:ascii="Times New Roman" w:hAnsi="Times New Roman" w:cs="Times New Roman"/>
          <w:sz w:val="22"/>
          <w:szCs w:val="22"/>
        </w:rPr>
      </w:pPr>
      <w:r w:rsidRPr="00A14942">
        <w:rPr>
          <w:rFonts w:ascii="Times New Roman" w:hAnsi="Times New Roman" w:cs="Times New Roman"/>
          <w:sz w:val="22"/>
          <w:szCs w:val="22"/>
        </w:rPr>
        <w:t>Joint ACTRIMS-ECTRIMS Meeting</w:t>
      </w:r>
      <w:r w:rsidR="00FE2125">
        <w:rPr>
          <w:rFonts w:ascii="Times New Roman" w:hAnsi="Times New Roman" w:cs="Times New Roman"/>
          <w:sz w:val="22"/>
          <w:szCs w:val="22"/>
        </w:rPr>
        <w:t xml:space="preserve"> 2020</w:t>
      </w:r>
    </w:p>
    <w:p w14:paraId="4DB31D13" w14:textId="2957C6C0" w:rsidR="00160246" w:rsidRPr="00A14942" w:rsidRDefault="00160246" w:rsidP="00223A29">
      <w:pPr>
        <w:pStyle w:val="CommentText"/>
        <w:numPr>
          <w:ilvl w:val="0"/>
          <w:numId w:val="11"/>
        </w:numPr>
        <w:spacing w:after="100" w:afterAutospacing="1"/>
        <w:rPr>
          <w:rFonts w:ascii="Times New Roman" w:hAnsi="Times New Roman" w:cs="Times New Roman"/>
          <w:sz w:val="22"/>
          <w:szCs w:val="22"/>
        </w:rPr>
      </w:pPr>
      <w:r w:rsidRPr="00A14942">
        <w:rPr>
          <w:rFonts w:ascii="Times New Roman" w:hAnsi="Times New Roman" w:cs="Times New Roman"/>
          <w:sz w:val="22"/>
          <w:szCs w:val="22"/>
        </w:rPr>
        <w:t>The Consortium of Multiple Sclerosis Centers (CMSC) Annual Meeting</w:t>
      </w:r>
      <w:r w:rsidR="00FE2125">
        <w:rPr>
          <w:rFonts w:ascii="Times New Roman" w:hAnsi="Times New Roman" w:cs="Times New Roman"/>
          <w:sz w:val="22"/>
          <w:szCs w:val="22"/>
        </w:rPr>
        <w:t>; 2020 and 2021</w:t>
      </w:r>
    </w:p>
    <w:p w14:paraId="5DCA9A34" w14:textId="43D69F14" w:rsidR="00160246" w:rsidRPr="00A14942" w:rsidRDefault="00160246" w:rsidP="00223A29">
      <w:pPr>
        <w:pStyle w:val="CommentText"/>
        <w:numPr>
          <w:ilvl w:val="0"/>
          <w:numId w:val="11"/>
        </w:numPr>
        <w:spacing w:after="100" w:afterAutospacing="1"/>
        <w:rPr>
          <w:rFonts w:ascii="Times New Roman" w:hAnsi="Times New Roman" w:cs="Times New Roman"/>
          <w:sz w:val="22"/>
          <w:szCs w:val="22"/>
          <w:lang w:bidi="ar-SA"/>
        </w:rPr>
      </w:pPr>
      <w:r w:rsidRPr="00A14942">
        <w:rPr>
          <w:rFonts w:ascii="Times New Roman" w:hAnsi="Times New Roman" w:cs="Times New Roman"/>
          <w:sz w:val="22"/>
          <w:szCs w:val="22"/>
        </w:rPr>
        <w:t>European Academy of Neurology</w:t>
      </w:r>
      <w:r w:rsidR="00FE2125">
        <w:rPr>
          <w:rFonts w:ascii="Times New Roman" w:hAnsi="Times New Roman" w:cs="Times New Roman"/>
          <w:sz w:val="22"/>
          <w:szCs w:val="22"/>
        </w:rPr>
        <w:t xml:space="preserve"> </w:t>
      </w:r>
      <w:r w:rsidRPr="00A14942">
        <w:rPr>
          <w:rFonts w:ascii="Times New Roman" w:hAnsi="Times New Roman" w:cs="Times New Roman"/>
          <w:sz w:val="22"/>
          <w:szCs w:val="22"/>
        </w:rPr>
        <w:t>(EAN) Annual Congress</w:t>
      </w:r>
      <w:r w:rsidR="00FE2125">
        <w:rPr>
          <w:rFonts w:ascii="Times New Roman" w:hAnsi="Times New Roman" w:cs="Times New Roman"/>
          <w:sz w:val="22"/>
          <w:szCs w:val="22"/>
        </w:rPr>
        <w:t>; 2020 and 2021</w:t>
      </w:r>
    </w:p>
    <w:p w14:paraId="6C62F45B" w14:textId="476C6F51" w:rsidR="00DC12BB" w:rsidRPr="00A14942" w:rsidRDefault="00DC12BB" w:rsidP="00977BDD">
      <w:pPr>
        <w:pStyle w:val="CommentText"/>
        <w:spacing w:after="100" w:afterAutospacing="1"/>
        <w:rPr>
          <w:rFonts w:ascii="Times New Roman" w:hAnsi="Times New Roman" w:cs="Times New Roman"/>
          <w:b/>
          <w:bCs/>
          <w:sz w:val="22"/>
          <w:szCs w:val="22"/>
        </w:rPr>
      </w:pPr>
      <w:r w:rsidRPr="00A14942">
        <w:rPr>
          <w:rFonts w:ascii="Times New Roman" w:hAnsi="Times New Roman" w:cs="Times New Roman"/>
          <w:b/>
          <w:bCs/>
          <w:sz w:val="22"/>
          <w:szCs w:val="22"/>
        </w:rPr>
        <w:t>Systematic Literature Review Publications (Bibliography Screen)</w:t>
      </w:r>
    </w:p>
    <w:p w14:paraId="5D6B4915" w14:textId="7586857C"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Berardi A, Siddiqui MK, Treharne C, Harty G, Wong SL (2019) Estimating the comparative efficacy of cladribine tablets versus alternative disease modifying treatments in active relapsing-remitting multiple sclerosis: adjusting for patient characteristics using meta-regression and matching-adjusted indirect treatment comparison approaches. </w:t>
      </w:r>
      <w:r w:rsidRPr="00977BDD">
        <w:rPr>
          <w:rFonts w:ascii="Times New Roman" w:hAnsi="Times New Roman" w:cs="Times New Roman"/>
          <w:i/>
          <w:iCs/>
          <w:szCs w:val="22"/>
        </w:rPr>
        <w:t>Current Medical Research and Opinion</w:t>
      </w:r>
      <w:r w:rsidRPr="00977BDD">
        <w:rPr>
          <w:rFonts w:ascii="Times New Roman" w:hAnsi="Times New Roman" w:cs="Times New Roman"/>
          <w:szCs w:val="22"/>
        </w:rPr>
        <w:t xml:space="preserve"> 35 (8): 1371-1378.</w:t>
      </w:r>
    </w:p>
    <w:p w14:paraId="77DF8ECE" w14:textId="3AFF770A"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Claflin SB, Tan B, Taylor BV (2019) The long-term effects of disease modifying therapies on disability in people living with multiple sclerosis: A systematic review and meta-analysis. </w:t>
      </w:r>
      <w:r w:rsidRPr="00977BDD">
        <w:rPr>
          <w:rFonts w:ascii="Times New Roman" w:hAnsi="Times New Roman" w:cs="Times New Roman"/>
          <w:i/>
          <w:iCs/>
          <w:szCs w:val="22"/>
        </w:rPr>
        <w:t>Multiple Sclerosis and Related Disorders</w:t>
      </w:r>
      <w:r w:rsidRPr="00977BDD">
        <w:rPr>
          <w:rFonts w:ascii="Times New Roman" w:hAnsi="Times New Roman" w:cs="Times New Roman"/>
          <w:szCs w:val="22"/>
        </w:rPr>
        <w:t xml:space="preserve"> 36 (no pagination) </w:t>
      </w:r>
    </w:p>
    <w:p w14:paraId="56766F6B" w14:textId="717BF1FD"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proofErr w:type="spellStart"/>
      <w:r w:rsidRPr="00977BDD">
        <w:rPr>
          <w:rFonts w:ascii="Times New Roman" w:hAnsi="Times New Roman" w:cs="Times New Roman"/>
          <w:szCs w:val="22"/>
        </w:rPr>
        <w:t>Gklinos</w:t>
      </w:r>
      <w:proofErr w:type="spellEnd"/>
      <w:r w:rsidRPr="00977BDD">
        <w:rPr>
          <w:rFonts w:ascii="Times New Roman" w:hAnsi="Times New Roman" w:cs="Times New Roman"/>
          <w:szCs w:val="22"/>
        </w:rPr>
        <w:t xml:space="preserve"> P, Papadopoulos D, </w:t>
      </w:r>
      <w:proofErr w:type="spellStart"/>
      <w:r w:rsidRPr="00977BDD">
        <w:rPr>
          <w:rFonts w:ascii="Times New Roman" w:hAnsi="Times New Roman" w:cs="Times New Roman"/>
          <w:szCs w:val="22"/>
        </w:rPr>
        <w:t>Mitsikostas</w:t>
      </w:r>
      <w:proofErr w:type="spellEnd"/>
      <w:r w:rsidRPr="00977BDD">
        <w:rPr>
          <w:rFonts w:ascii="Times New Roman" w:hAnsi="Times New Roman" w:cs="Times New Roman"/>
          <w:szCs w:val="22"/>
        </w:rPr>
        <w:t xml:space="preserve"> DD (2019) Nocebo in multiple sclerosis trials: A meta-analysis on oral and newer injectable disease-modifying treatments. </w:t>
      </w:r>
      <w:r w:rsidRPr="00977BDD">
        <w:rPr>
          <w:rFonts w:ascii="Times New Roman" w:hAnsi="Times New Roman" w:cs="Times New Roman"/>
          <w:i/>
          <w:iCs/>
          <w:szCs w:val="22"/>
        </w:rPr>
        <w:t>Multiple Sclerosis and Related Disorders</w:t>
      </w:r>
      <w:r w:rsidRPr="00977BDD">
        <w:rPr>
          <w:rFonts w:ascii="Times New Roman" w:hAnsi="Times New Roman" w:cs="Times New Roman"/>
          <w:szCs w:val="22"/>
        </w:rPr>
        <w:t xml:space="preserve"> 36 (no pagination) </w:t>
      </w:r>
    </w:p>
    <w:p w14:paraId="189D3C02" w14:textId="55246D24"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Li H, Hu F, Zhang Y, Li K (2019) Comparative efficacy and acceptability of disease-modifying therapies in patients with relapsing-remitting multiple sclerosis: a systematic review and network meta-analysis. </w:t>
      </w:r>
      <w:r w:rsidRPr="00977BDD">
        <w:rPr>
          <w:rFonts w:ascii="Times New Roman" w:hAnsi="Times New Roman" w:cs="Times New Roman"/>
          <w:i/>
          <w:iCs/>
          <w:szCs w:val="22"/>
        </w:rPr>
        <w:t>Journal of Neurology</w:t>
      </w:r>
      <w:r w:rsidRPr="00977BDD">
        <w:rPr>
          <w:rFonts w:ascii="Times New Roman" w:hAnsi="Times New Roman" w:cs="Times New Roman"/>
          <w:szCs w:val="22"/>
        </w:rPr>
        <w:t xml:space="preserve"> </w:t>
      </w:r>
    </w:p>
    <w:p w14:paraId="6313CDED" w14:textId="26458C4F" w:rsidR="00A14942" w:rsidRPr="00977BDD" w:rsidRDefault="00977BDD"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lastRenderedPageBreak/>
        <w:t>L</w:t>
      </w:r>
      <w:r w:rsidR="00A14942" w:rsidRPr="00977BDD">
        <w:rPr>
          <w:rFonts w:ascii="Times New Roman" w:hAnsi="Times New Roman" w:cs="Times New Roman"/>
          <w:szCs w:val="22"/>
        </w:rPr>
        <w:t xml:space="preserve">ucchetta RC, Leonart LP, Becker J, </w:t>
      </w:r>
      <w:proofErr w:type="spellStart"/>
      <w:r w:rsidR="00A14942" w:rsidRPr="00977BDD">
        <w:rPr>
          <w:rFonts w:ascii="Times New Roman" w:hAnsi="Times New Roman" w:cs="Times New Roman"/>
          <w:szCs w:val="22"/>
        </w:rPr>
        <w:t>Pontarolo</w:t>
      </w:r>
      <w:proofErr w:type="spellEnd"/>
      <w:r w:rsidR="00A14942" w:rsidRPr="00977BDD">
        <w:rPr>
          <w:rFonts w:ascii="Times New Roman" w:hAnsi="Times New Roman" w:cs="Times New Roman"/>
          <w:szCs w:val="22"/>
        </w:rPr>
        <w:t xml:space="preserve"> R, Fernandez-</w:t>
      </w:r>
      <w:proofErr w:type="spellStart"/>
      <w:r w:rsidR="00A14942" w:rsidRPr="00977BDD">
        <w:rPr>
          <w:rFonts w:ascii="Times New Roman" w:hAnsi="Times New Roman" w:cs="Times New Roman"/>
          <w:szCs w:val="22"/>
        </w:rPr>
        <w:t>Llimos</w:t>
      </w:r>
      <w:proofErr w:type="spellEnd"/>
      <w:r w:rsidR="00A14942" w:rsidRPr="00977BDD">
        <w:rPr>
          <w:rFonts w:ascii="Times New Roman" w:hAnsi="Times New Roman" w:cs="Times New Roman"/>
          <w:szCs w:val="22"/>
        </w:rPr>
        <w:t xml:space="preserve"> F et al. (2019) Safety outcomes of disease-modifying therapies for relapsing-remitting multiple sclerosis: A network meta-analysis. </w:t>
      </w:r>
      <w:r w:rsidR="00A14942" w:rsidRPr="00977BDD">
        <w:rPr>
          <w:rFonts w:ascii="Times New Roman" w:hAnsi="Times New Roman" w:cs="Times New Roman"/>
          <w:i/>
          <w:iCs/>
          <w:szCs w:val="22"/>
        </w:rPr>
        <w:t>Multiple Sclerosis and Related Disorders</w:t>
      </w:r>
      <w:r w:rsidR="00A14942" w:rsidRPr="00977BDD">
        <w:rPr>
          <w:rFonts w:ascii="Times New Roman" w:hAnsi="Times New Roman" w:cs="Times New Roman"/>
          <w:szCs w:val="22"/>
        </w:rPr>
        <w:t xml:space="preserve"> 35 7-15.</w:t>
      </w:r>
    </w:p>
    <w:p w14:paraId="09CFD597" w14:textId="0DC45C63"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McCool R, Wilson K, Arber M, Fleetwood K, Toupin S et al. (2019) Systematic review and network meta-analysis comparing ocrelizumab with other treatments for relapsing multiple sclerosis. </w:t>
      </w:r>
      <w:r w:rsidRPr="00977BDD">
        <w:rPr>
          <w:rFonts w:ascii="Times New Roman" w:hAnsi="Times New Roman" w:cs="Times New Roman"/>
          <w:i/>
          <w:iCs/>
          <w:szCs w:val="22"/>
        </w:rPr>
        <w:t>Multiple Sclerosis and Related Disorders</w:t>
      </w:r>
      <w:r w:rsidRPr="00977BDD">
        <w:rPr>
          <w:rFonts w:ascii="Times New Roman" w:hAnsi="Times New Roman" w:cs="Times New Roman"/>
          <w:szCs w:val="22"/>
        </w:rPr>
        <w:t xml:space="preserve"> 29 55-61.</w:t>
      </w:r>
    </w:p>
    <w:p w14:paraId="0541C931" w14:textId="051B9233"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Samjoo IA, Worthington E, Drudge C, Zhao M, Cameron C et al. (2020) Comparison of ofatumumab and other disease-modifying therapies for relapsing multiple sclerosis: a network meta-analysis. </w:t>
      </w:r>
      <w:r w:rsidRPr="00977BDD">
        <w:rPr>
          <w:rFonts w:ascii="Times New Roman" w:hAnsi="Times New Roman" w:cs="Times New Roman"/>
          <w:i/>
          <w:iCs/>
          <w:szCs w:val="22"/>
        </w:rPr>
        <w:t>Journal of Comparative Effectiveness Research</w:t>
      </w:r>
      <w:r w:rsidRPr="00977BDD">
        <w:rPr>
          <w:rFonts w:ascii="Times New Roman" w:hAnsi="Times New Roman" w:cs="Times New Roman"/>
          <w:szCs w:val="22"/>
        </w:rPr>
        <w:t xml:space="preserve"> 9 (18): 1255-1274.</w:t>
      </w:r>
    </w:p>
    <w:p w14:paraId="47D00D47" w14:textId="69C9FDD4"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Samjoo IA, Worthington E, Drudge C, Zhao M, Cameron C et al. (2021) Efficacy classification of modern therapies in multiple sclerosis. </w:t>
      </w:r>
      <w:r w:rsidRPr="00977BDD">
        <w:rPr>
          <w:rFonts w:ascii="Times New Roman" w:hAnsi="Times New Roman" w:cs="Times New Roman"/>
          <w:i/>
          <w:iCs/>
          <w:szCs w:val="22"/>
        </w:rPr>
        <w:t>Journal of Comparative Effectiveness Research</w:t>
      </w:r>
      <w:r w:rsidRPr="00977BDD">
        <w:rPr>
          <w:rFonts w:ascii="Times New Roman" w:hAnsi="Times New Roman" w:cs="Times New Roman"/>
          <w:szCs w:val="22"/>
        </w:rPr>
        <w:t xml:space="preserve"> 10 (6): 495-507.</w:t>
      </w:r>
    </w:p>
    <w:p w14:paraId="139A4AA4" w14:textId="38E950B5"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Samjoo IA, Worthington E, Haltner A, Cameron C, Nicholas R et al. (2020) Matching-adjusted indirect treatment comparison of </w:t>
      </w:r>
      <w:proofErr w:type="spellStart"/>
      <w:r w:rsidRPr="00977BDD">
        <w:rPr>
          <w:rFonts w:ascii="Times New Roman" w:hAnsi="Times New Roman" w:cs="Times New Roman"/>
          <w:szCs w:val="22"/>
        </w:rPr>
        <w:t>siponimod</w:t>
      </w:r>
      <w:proofErr w:type="spellEnd"/>
      <w:r w:rsidRPr="00977BDD">
        <w:rPr>
          <w:rFonts w:ascii="Times New Roman" w:hAnsi="Times New Roman" w:cs="Times New Roman"/>
          <w:szCs w:val="22"/>
        </w:rPr>
        <w:t xml:space="preserve"> and other disease modifying treatments in secondary progressive multiple sclerosis. </w:t>
      </w:r>
      <w:r w:rsidRPr="00977BDD">
        <w:rPr>
          <w:rFonts w:ascii="Times New Roman" w:hAnsi="Times New Roman" w:cs="Times New Roman"/>
          <w:i/>
          <w:iCs/>
          <w:szCs w:val="22"/>
        </w:rPr>
        <w:t>Current Medical Research and Opinion</w:t>
      </w:r>
      <w:r w:rsidRPr="00977BDD">
        <w:rPr>
          <w:rFonts w:ascii="Times New Roman" w:hAnsi="Times New Roman" w:cs="Times New Roman"/>
          <w:szCs w:val="22"/>
        </w:rPr>
        <w:t xml:space="preserve"> 36 (7): 1157-1166.</w:t>
      </w:r>
    </w:p>
    <w:p w14:paraId="212E33FF" w14:textId="41DC3BA7"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Siddiqui MK, Singh B, </w:t>
      </w:r>
      <w:proofErr w:type="spellStart"/>
      <w:r w:rsidRPr="00977BDD">
        <w:rPr>
          <w:rFonts w:ascii="Times New Roman" w:hAnsi="Times New Roman" w:cs="Times New Roman"/>
          <w:szCs w:val="22"/>
        </w:rPr>
        <w:t>Attri</w:t>
      </w:r>
      <w:proofErr w:type="spellEnd"/>
      <w:r w:rsidRPr="00977BDD">
        <w:rPr>
          <w:rFonts w:ascii="Times New Roman" w:hAnsi="Times New Roman" w:cs="Times New Roman"/>
          <w:szCs w:val="22"/>
        </w:rPr>
        <w:t xml:space="preserve"> S, </w:t>
      </w:r>
      <w:proofErr w:type="spellStart"/>
      <w:r w:rsidRPr="00977BDD">
        <w:rPr>
          <w:rFonts w:ascii="Times New Roman" w:hAnsi="Times New Roman" w:cs="Times New Roman"/>
          <w:szCs w:val="22"/>
        </w:rPr>
        <w:t>Veraart</w:t>
      </w:r>
      <w:proofErr w:type="spellEnd"/>
      <w:r w:rsidRPr="00977BDD">
        <w:rPr>
          <w:rFonts w:ascii="Times New Roman" w:hAnsi="Times New Roman" w:cs="Times New Roman"/>
          <w:szCs w:val="22"/>
        </w:rPr>
        <w:t xml:space="preserve"> C, Harty G et al. (2020) Use of rituximab in adults with relapsing-remitting multiple sclerosis: a systematic literature review. </w:t>
      </w:r>
      <w:r w:rsidRPr="00977BDD">
        <w:rPr>
          <w:rFonts w:ascii="Times New Roman" w:hAnsi="Times New Roman" w:cs="Times New Roman"/>
          <w:i/>
          <w:iCs/>
          <w:szCs w:val="22"/>
        </w:rPr>
        <w:t>Current Medical Research and Opinion</w:t>
      </w:r>
      <w:r w:rsidRPr="00977BDD">
        <w:rPr>
          <w:rFonts w:ascii="Times New Roman" w:hAnsi="Times New Roman" w:cs="Times New Roman"/>
          <w:szCs w:val="22"/>
        </w:rPr>
        <w:t xml:space="preserve"> </w:t>
      </w:r>
    </w:p>
    <w:p w14:paraId="048D7CE1" w14:textId="2FAF731D"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fr-FR"/>
        </w:rPr>
        <w:t xml:space="preserve">Yang T, Tian X, Chen CY, Ma LY, Zhou S et al. </w:t>
      </w:r>
      <w:r w:rsidRPr="00977BDD">
        <w:rPr>
          <w:rFonts w:ascii="Times New Roman" w:hAnsi="Times New Roman" w:cs="Times New Roman"/>
          <w:szCs w:val="22"/>
        </w:rPr>
        <w:t xml:space="preserve">(2019) The efficacy and safety of fingolimod in patients with relapsing multiple sclerosis: a meta-analysis. </w:t>
      </w:r>
      <w:r w:rsidRPr="00977BDD">
        <w:rPr>
          <w:rFonts w:ascii="Times New Roman" w:hAnsi="Times New Roman" w:cs="Times New Roman"/>
          <w:i/>
          <w:iCs/>
          <w:szCs w:val="22"/>
        </w:rPr>
        <w:t>British journal of clinical pharmacology</w:t>
      </w:r>
      <w:r w:rsidRPr="00977BDD">
        <w:rPr>
          <w:rFonts w:ascii="Times New Roman" w:hAnsi="Times New Roman" w:cs="Times New Roman"/>
          <w:szCs w:val="22"/>
        </w:rPr>
        <w:t xml:space="preserve"> 23 </w:t>
      </w:r>
    </w:p>
    <w:p w14:paraId="42FC82E7" w14:textId="4EF73DD6"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pl-PL"/>
        </w:rPr>
        <w:t xml:space="preserve">Bartosik-Psujek H, Kaczynski L, Gorecka M, Rolka M, Wojcik R et al. </w:t>
      </w:r>
      <w:r w:rsidRPr="00977BDD">
        <w:rPr>
          <w:rFonts w:ascii="Times New Roman" w:hAnsi="Times New Roman" w:cs="Times New Roman"/>
          <w:szCs w:val="22"/>
        </w:rPr>
        <w:t xml:space="preserve">(2021) Cladribine tablets versus other disease-modifying oral drugs in achieving no evidence of disease activity (NEDA) in multiple sclerosis-A systematic review and network meta-analysis. </w:t>
      </w:r>
      <w:r w:rsidRPr="00977BDD">
        <w:rPr>
          <w:rFonts w:ascii="Times New Roman" w:hAnsi="Times New Roman" w:cs="Times New Roman"/>
          <w:i/>
          <w:iCs/>
          <w:szCs w:val="22"/>
        </w:rPr>
        <w:t>Multiple Sclerosis and Related Disorders</w:t>
      </w:r>
      <w:r w:rsidRPr="00977BDD">
        <w:rPr>
          <w:rFonts w:ascii="Times New Roman" w:hAnsi="Times New Roman" w:cs="Times New Roman"/>
          <w:szCs w:val="22"/>
        </w:rPr>
        <w:t xml:space="preserve"> 49 102769.</w:t>
      </w:r>
    </w:p>
    <w:p w14:paraId="6C36B67A" w14:textId="57CB499B"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it-IT"/>
        </w:rPr>
        <w:t xml:space="preserve">Chalkou K, Salanti G, Steyerberg E, Egger M, Manca A et al. </w:t>
      </w:r>
      <w:r w:rsidRPr="00977BDD">
        <w:rPr>
          <w:rFonts w:ascii="Times New Roman" w:hAnsi="Times New Roman" w:cs="Times New Roman"/>
          <w:szCs w:val="22"/>
        </w:rPr>
        <w:t xml:space="preserve">(2021) A two-stage prediction model for heterogeneous effects of treatments. </w:t>
      </w:r>
      <w:r w:rsidRPr="00977BDD">
        <w:rPr>
          <w:rFonts w:ascii="Times New Roman" w:hAnsi="Times New Roman" w:cs="Times New Roman"/>
          <w:i/>
          <w:iCs/>
          <w:szCs w:val="22"/>
        </w:rPr>
        <w:t>Statistics in Medicine</w:t>
      </w:r>
      <w:r w:rsidRPr="00977BDD">
        <w:rPr>
          <w:rFonts w:ascii="Times New Roman" w:hAnsi="Times New Roman" w:cs="Times New Roman"/>
          <w:szCs w:val="22"/>
        </w:rPr>
        <w:t xml:space="preserve"> </w:t>
      </w:r>
    </w:p>
    <w:p w14:paraId="0A034901" w14:textId="4FFC141E"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Cohan S, Kumar J, Tencer T, Arndorfer S, Zhu X et al. (2021) Comparative Efficacy and Safety of Ozanimod and Dimethyl Fumarate for Relapsing-Remitting Multiple Sclerosis Using Matching-Adjusted Indirect Comparison. </w:t>
      </w:r>
      <w:r w:rsidRPr="00977BDD">
        <w:rPr>
          <w:rFonts w:ascii="Times New Roman" w:hAnsi="Times New Roman" w:cs="Times New Roman"/>
          <w:i/>
          <w:iCs/>
          <w:szCs w:val="22"/>
        </w:rPr>
        <w:t>CNS Drugs</w:t>
      </w:r>
      <w:r w:rsidRPr="00977BDD">
        <w:rPr>
          <w:rFonts w:ascii="Times New Roman" w:hAnsi="Times New Roman" w:cs="Times New Roman"/>
          <w:szCs w:val="22"/>
        </w:rPr>
        <w:t xml:space="preserve"> 35 (7): 795-804.</w:t>
      </w:r>
    </w:p>
    <w:p w14:paraId="3B146762" w14:textId="542776E8"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Cohan S, Tencer T, Kumar J, Arndorfer S, Zhu X et al. (2021) Matching-adjusted indirect treatment comparison of ozanimod versus teriflunomide for relapsing multiple sclerosis. </w:t>
      </w:r>
      <w:r w:rsidRPr="00977BDD">
        <w:rPr>
          <w:rFonts w:ascii="Times New Roman" w:hAnsi="Times New Roman" w:cs="Times New Roman"/>
          <w:i/>
          <w:iCs/>
          <w:szCs w:val="22"/>
        </w:rPr>
        <w:t>Multiple Sclerosis and Related Disorders</w:t>
      </w:r>
      <w:r w:rsidRPr="00977BDD">
        <w:rPr>
          <w:rFonts w:ascii="Times New Roman" w:hAnsi="Times New Roman" w:cs="Times New Roman"/>
          <w:szCs w:val="22"/>
        </w:rPr>
        <w:t xml:space="preserve"> 52 102972.</w:t>
      </w:r>
    </w:p>
    <w:p w14:paraId="18CEE109" w14:textId="62CCAD90"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Liu Z, Liao Q, Wen H, Zhang Y (2021) Disease modifying therapies in relapsing-remitting multiple sclerosis: A systematic review and network meta-analysis. </w:t>
      </w:r>
      <w:r w:rsidRPr="00977BDD">
        <w:rPr>
          <w:rFonts w:ascii="Times New Roman" w:hAnsi="Times New Roman" w:cs="Times New Roman"/>
          <w:i/>
          <w:iCs/>
          <w:szCs w:val="22"/>
        </w:rPr>
        <w:t>Autoimmunity Reviews</w:t>
      </w:r>
      <w:r w:rsidRPr="00977BDD">
        <w:rPr>
          <w:rFonts w:ascii="Times New Roman" w:hAnsi="Times New Roman" w:cs="Times New Roman"/>
          <w:szCs w:val="22"/>
        </w:rPr>
        <w:t xml:space="preserve"> 20 (6): 102826.</w:t>
      </w:r>
    </w:p>
    <w:p w14:paraId="539BE638" w14:textId="3F578263"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977BDD">
        <w:rPr>
          <w:rFonts w:ascii="Times New Roman" w:hAnsi="Times New Roman" w:cs="Times New Roman"/>
          <w:szCs w:val="22"/>
        </w:rPr>
        <w:t xml:space="preserve">Samjoo IA, Worthington E, Haltner A, Spin P, Drudge C et al. (2021) Indirect comparisons of </w:t>
      </w:r>
      <w:proofErr w:type="spellStart"/>
      <w:r w:rsidRPr="00977BDD">
        <w:rPr>
          <w:rFonts w:ascii="Times New Roman" w:hAnsi="Times New Roman" w:cs="Times New Roman"/>
          <w:szCs w:val="22"/>
        </w:rPr>
        <w:t>siponimod</w:t>
      </w:r>
      <w:proofErr w:type="spellEnd"/>
      <w:r w:rsidRPr="00977BDD">
        <w:rPr>
          <w:rFonts w:ascii="Times New Roman" w:hAnsi="Times New Roman" w:cs="Times New Roman"/>
          <w:szCs w:val="22"/>
        </w:rPr>
        <w:t xml:space="preserve"> with fingolimod and ofatumumab in multiple sclerosis: assessing the feasibility of propensity score matching analyses. </w:t>
      </w:r>
      <w:r w:rsidRPr="00977BDD">
        <w:rPr>
          <w:rFonts w:ascii="Times New Roman" w:hAnsi="Times New Roman" w:cs="Times New Roman"/>
          <w:i/>
          <w:iCs/>
          <w:szCs w:val="22"/>
        </w:rPr>
        <w:t>Current Medical Research and Opinion</w:t>
      </w:r>
      <w:r w:rsidRPr="00977BDD">
        <w:rPr>
          <w:rFonts w:ascii="Times New Roman" w:hAnsi="Times New Roman" w:cs="Times New Roman"/>
          <w:szCs w:val="22"/>
        </w:rPr>
        <w:t xml:space="preserve"> 1.</w:t>
      </w:r>
    </w:p>
    <w:p w14:paraId="1EDBC4EB" w14:textId="697AAD99"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fr-FR"/>
        </w:rPr>
        <w:t xml:space="preserve">Tong J, Chen Y, Liao X, Chen R, Ma L et al. </w:t>
      </w:r>
      <w:r w:rsidRPr="00977BDD">
        <w:rPr>
          <w:rFonts w:ascii="Times New Roman" w:hAnsi="Times New Roman" w:cs="Times New Roman"/>
          <w:szCs w:val="22"/>
        </w:rPr>
        <w:t xml:space="preserve">(2021) Efficacy and acceptability of the S1P receptor in the treatment of multiple sclerosis: a meta-analysis. </w:t>
      </w:r>
      <w:r w:rsidRPr="00977BDD">
        <w:rPr>
          <w:rFonts w:ascii="Times New Roman" w:hAnsi="Times New Roman" w:cs="Times New Roman"/>
          <w:i/>
          <w:iCs/>
          <w:szCs w:val="22"/>
        </w:rPr>
        <w:t>Neurological Sciences</w:t>
      </w:r>
      <w:r w:rsidRPr="00977BDD">
        <w:rPr>
          <w:rFonts w:ascii="Times New Roman" w:hAnsi="Times New Roman" w:cs="Times New Roman"/>
          <w:szCs w:val="22"/>
        </w:rPr>
        <w:t xml:space="preserve"> 42 (5): 1687-1695.</w:t>
      </w:r>
    </w:p>
    <w:p w14:paraId="701E254A" w14:textId="51871307" w:rsidR="00A14942"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de-DE"/>
        </w:rPr>
        <w:t xml:space="preserve">Xue T, Wang Z, Chen Z, Wang Z, Wu X et al. </w:t>
      </w:r>
      <w:r w:rsidRPr="00977BDD">
        <w:rPr>
          <w:rFonts w:ascii="Times New Roman" w:hAnsi="Times New Roman" w:cs="Times New Roman"/>
          <w:szCs w:val="22"/>
        </w:rPr>
        <w:t xml:space="preserve">(2021) Different Doses of Fingolimod in Relapsing-Remitting Multiple Sclerosis: A Systematic Review and Meta-Analysis of Randomized Controlled Trials. </w:t>
      </w:r>
      <w:r w:rsidRPr="00977BDD">
        <w:rPr>
          <w:rFonts w:ascii="Times New Roman" w:hAnsi="Times New Roman" w:cs="Times New Roman"/>
          <w:i/>
          <w:iCs/>
          <w:szCs w:val="22"/>
        </w:rPr>
        <w:t>Frontiers in Pharmacology</w:t>
      </w:r>
      <w:r w:rsidRPr="00977BDD">
        <w:rPr>
          <w:rFonts w:ascii="Times New Roman" w:hAnsi="Times New Roman" w:cs="Times New Roman"/>
          <w:szCs w:val="22"/>
        </w:rPr>
        <w:t xml:space="preserve"> 12 621856.</w:t>
      </w:r>
    </w:p>
    <w:p w14:paraId="75713712" w14:textId="4923CC56" w:rsidR="00DC12BB" w:rsidRPr="00977BDD" w:rsidRDefault="00A14942" w:rsidP="00223A29">
      <w:pPr>
        <w:pStyle w:val="ListParagraph"/>
        <w:numPr>
          <w:ilvl w:val="0"/>
          <w:numId w:val="20"/>
        </w:numPr>
        <w:autoSpaceDE w:val="0"/>
        <w:autoSpaceDN w:val="0"/>
        <w:adjustRightInd w:val="0"/>
        <w:spacing w:after="100" w:afterAutospacing="1" w:line="240" w:lineRule="auto"/>
        <w:rPr>
          <w:rFonts w:ascii="Times New Roman" w:hAnsi="Times New Roman" w:cs="Times New Roman"/>
          <w:szCs w:val="22"/>
        </w:rPr>
      </w:pPr>
      <w:r w:rsidRPr="00713F1E">
        <w:rPr>
          <w:rFonts w:ascii="Times New Roman" w:hAnsi="Times New Roman" w:cs="Times New Roman"/>
          <w:szCs w:val="22"/>
          <w:lang w:val="pl-PL"/>
        </w:rPr>
        <w:t xml:space="preserve">Zhao Z, Ma C-L, Dong Y, Zhong M-K, Gu Z-C et al. </w:t>
      </w:r>
      <w:r w:rsidRPr="00977BDD">
        <w:rPr>
          <w:rFonts w:ascii="Times New Roman" w:hAnsi="Times New Roman" w:cs="Times New Roman"/>
          <w:szCs w:val="22"/>
        </w:rPr>
        <w:t xml:space="preserve">(2021) Incidence and Risk of Infection Associated With Fingolimod in Patients With Multiple Sclerosis: A Systematic Review and Meta-Analysis of 8,448 Patients From 12 Randomized Controlled Trials. </w:t>
      </w:r>
      <w:r w:rsidRPr="00977BDD">
        <w:rPr>
          <w:rFonts w:ascii="Times New Roman" w:hAnsi="Times New Roman" w:cs="Times New Roman"/>
          <w:i/>
          <w:iCs/>
          <w:szCs w:val="22"/>
        </w:rPr>
        <w:t>Frontiers in Immunology</w:t>
      </w:r>
      <w:r w:rsidRPr="00977BDD">
        <w:rPr>
          <w:rFonts w:ascii="Times New Roman" w:hAnsi="Times New Roman" w:cs="Times New Roman"/>
          <w:szCs w:val="22"/>
        </w:rPr>
        <w:t xml:space="preserve"> 12 611711.</w:t>
      </w:r>
    </w:p>
    <w:p w14:paraId="25F76446" w14:textId="77777777" w:rsidR="00DC12BB" w:rsidRPr="00977BDD" w:rsidRDefault="00DC12BB" w:rsidP="00977BDD">
      <w:pPr>
        <w:pStyle w:val="CommentText"/>
        <w:spacing w:after="100" w:afterAutospacing="1"/>
        <w:rPr>
          <w:rFonts w:ascii="Times New Roman" w:hAnsi="Times New Roman" w:cs="Times New Roman"/>
          <w:b/>
          <w:bCs/>
          <w:sz w:val="22"/>
          <w:szCs w:val="22"/>
          <w:lang w:bidi="ar-SA"/>
        </w:rPr>
      </w:pPr>
    </w:p>
    <w:p w14:paraId="266BDC3B" w14:textId="2AA7AB69" w:rsidR="00DC0E50" w:rsidRPr="00A14942" w:rsidRDefault="00DC0E50" w:rsidP="00223A29">
      <w:pPr>
        <w:pStyle w:val="Heading2"/>
        <w:pageBreakBefore/>
        <w:ind w:left="965" w:hanging="965"/>
        <w:rPr>
          <w:rFonts w:ascii="Times New Roman" w:hAnsi="Times New Roman" w:cs="Times New Roman"/>
        </w:rPr>
      </w:pPr>
      <w:bookmarkStart w:id="14" w:name="_Toc130240179"/>
      <w:r w:rsidRPr="00A14942">
        <w:rPr>
          <w:rFonts w:ascii="Times New Roman" w:hAnsi="Times New Roman" w:cs="Times New Roman"/>
        </w:rPr>
        <w:lastRenderedPageBreak/>
        <w:t xml:space="preserve">Eligibility </w:t>
      </w:r>
      <w:r w:rsidR="00DC12BB" w:rsidRPr="00A14942">
        <w:rPr>
          <w:rFonts w:ascii="Times New Roman" w:hAnsi="Times New Roman" w:cs="Times New Roman"/>
        </w:rPr>
        <w:t xml:space="preserve">criteria for the </w:t>
      </w:r>
      <w:r w:rsidR="00E83127">
        <w:rPr>
          <w:rFonts w:ascii="Times New Roman" w:hAnsi="Times New Roman" w:cs="Times New Roman"/>
        </w:rPr>
        <w:t>systematic literature review</w:t>
      </w:r>
      <w:bookmarkEnd w:id="14"/>
    </w:p>
    <w:tbl>
      <w:tblPr>
        <w:tblStyle w:val="TableGridLight"/>
        <w:tblW w:w="94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3963"/>
        <w:gridCol w:w="4040"/>
      </w:tblGrid>
      <w:tr w:rsidR="00160246" w:rsidRPr="00A14942" w14:paraId="1083B74A" w14:textId="77777777" w:rsidTr="003047F6">
        <w:trPr>
          <w:trHeight w:val="237"/>
          <w:tblHeader/>
        </w:trPr>
        <w:tc>
          <w:tcPr>
            <w:tcW w:w="1417" w:type="dxa"/>
            <w:tcBorders>
              <w:top w:val="single" w:sz="4" w:space="0" w:color="auto"/>
              <w:left w:val="single" w:sz="4" w:space="0" w:color="auto"/>
              <w:bottom w:val="single" w:sz="4" w:space="0" w:color="auto"/>
              <w:right w:val="single" w:sz="4" w:space="0" w:color="auto"/>
            </w:tcBorders>
            <w:shd w:val="clear" w:color="auto" w:fill="auto"/>
            <w:hideMark/>
          </w:tcPr>
          <w:p w14:paraId="406C1E54" w14:textId="77777777" w:rsidR="00160246" w:rsidRPr="00A14942" w:rsidRDefault="00160246" w:rsidP="003047F6">
            <w:pPr>
              <w:spacing w:before="20" w:after="20"/>
              <w:rPr>
                <w:rFonts w:ascii="Times New Roman" w:eastAsia="Times New Roman" w:hAnsi="Times New Roman" w:cs="Times New Roman"/>
                <w:b/>
                <w:sz w:val="16"/>
                <w:szCs w:val="16"/>
                <w:lang w:val="en-GB" w:eastAsia="en-CA"/>
              </w:rPr>
            </w:pPr>
            <w:r w:rsidRPr="00A14942">
              <w:rPr>
                <w:rFonts w:ascii="Times New Roman" w:eastAsia="Times New Roman" w:hAnsi="Times New Roman" w:cs="Times New Roman"/>
                <w:b/>
                <w:sz w:val="16"/>
                <w:szCs w:val="16"/>
                <w:lang w:val="en-GB" w:eastAsia="en-CA"/>
              </w:rPr>
              <w:t>Item</w:t>
            </w:r>
          </w:p>
        </w:tc>
        <w:tc>
          <w:tcPr>
            <w:tcW w:w="3965" w:type="dxa"/>
            <w:tcBorders>
              <w:top w:val="single" w:sz="4" w:space="0" w:color="auto"/>
              <w:left w:val="single" w:sz="4" w:space="0" w:color="auto"/>
              <w:bottom w:val="single" w:sz="4" w:space="0" w:color="auto"/>
              <w:right w:val="single" w:sz="4" w:space="0" w:color="auto"/>
            </w:tcBorders>
            <w:shd w:val="clear" w:color="auto" w:fill="auto"/>
            <w:hideMark/>
          </w:tcPr>
          <w:p w14:paraId="0ED45529" w14:textId="77777777" w:rsidR="00160246" w:rsidRPr="00A14942" w:rsidRDefault="00160246" w:rsidP="003047F6">
            <w:pPr>
              <w:spacing w:before="20" w:after="20"/>
              <w:jc w:val="center"/>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bCs/>
                <w:kern w:val="24"/>
                <w:sz w:val="16"/>
                <w:szCs w:val="16"/>
                <w:lang w:val="en-GB" w:eastAsia="en-CA"/>
              </w:rPr>
              <w:t>Inclusion Criteria</w:t>
            </w:r>
          </w:p>
        </w:tc>
        <w:tc>
          <w:tcPr>
            <w:tcW w:w="4042" w:type="dxa"/>
            <w:tcBorders>
              <w:top w:val="single" w:sz="4" w:space="0" w:color="auto"/>
              <w:left w:val="single" w:sz="4" w:space="0" w:color="auto"/>
              <w:bottom w:val="single" w:sz="4" w:space="0" w:color="auto"/>
              <w:right w:val="single" w:sz="4" w:space="0" w:color="auto"/>
            </w:tcBorders>
            <w:shd w:val="clear" w:color="auto" w:fill="auto"/>
            <w:hideMark/>
          </w:tcPr>
          <w:p w14:paraId="02D3C045" w14:textId="77777777" w:rsidR="00160246" w:rsidRPr="00A14942" w:rsidRDefault="00160246" w:rsidP="003047F6">
            <w:pPr>
              <w:spacing w:before="20" w:after="20"/>
              <w:jc w:val="center"/>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bCs/>
                <w:kern w:val="24"/>
                <w:sz w:val="16"/>
                <w:szCs w:val="16"/>
                <w:lang w:val="en-GB" w:eastAsia="en-CA"/>
              </w:rPr>
              <w:t>Exclusion Criteria</w:t>
            </w:r>
          </w:p>
        </w:tc>
      </w:tr>
      <w:tr w:rsidR="00160246" w:rsidRPr="00A14942" w14:paraId="60A652D9" w14:textId="77777777" w:rsidTr="003047F6">
        <w:trPr>
          <w:trHeight w:val="397"/>
        </w:trPr>
        <w:tc>
          <w:tcPr>
            <w:tcW w:w="1417" w:type="dxa"/>
            <w:tcBorders>
              <w:top w:val="single" w:sz="4" w:space="0" w:color="auto"/>
              <w:left w:val="single" w:sz="4" w:space="0" w:color="auto"/>
              <w:bottom w:val="single" w:sz="4" w:space="0" w:color="auto"/>
              <w:right w:val="single" w:sz="4" w:space="0" w:color="auto"/>
            </w:tcBorders>
            <w:hideMark/>
          </w:tcPr>
          <w:p w14:paraId="281B4969" w14:textId="77777777" w:rsidR="00160246" w:rsidRPr="00A14942" w:rsidRDefault="00160246" w:rsidP="003047F6">
            <w:pPr>
              <w:spacing w:before="20" w:after="20"/>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bCs/>
                <w:kern w:val="24"/>
                <w:sz w:val="16"/>
                <w:szCs w:val="16"/>
                <w:lang w:val="en-GB" w:eastAsia="en-CA"/>
              </w:rPr>
              <w:t>Population</w:t>
            </w:r>
          </w:p>
        </w:tc>
        <w:tc>
          <w:tcPr>
            <w:tcW w:w="3965" w:type="dxa"/>
            <w:tcBorders>
              <w:top w:val="single" w:sz="4" w:space="0" w:color="auto"/>
              <w:left w:val="single" w:sz="4" w:space="0" w:color="auto"/>
              <w:bottom w:val="single" w:sz="4" w:space="0" w:color="auto"/>
              <w:right w:val="single" w:sz="4" w:space="0" w:color="auto"/>
            </w:tcBorders>
            <w:hideMark/>
          </w:tcPr>
          <w:p w14:paraId="39DBFC1D" w14:textId="77777777" w:rsidR="00160246" w:rsidRPr="00A14942" w:rsidRDefault="00160246" w:rsidP="00223A29">
            <w:pPr>
              <w:pStyle w:val="TableListParagraph"/>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kern w:val="24"/>
                <w:sz w:val="16"/>
                <w:szCs w:val="16"/>
                <w:lang w:val="en-GB" w:eastAsia="en-CA"/>
              </w:rPr>
              <w:t>Patients ≥18 years of age</w:t>
            </w:r>
          </w:p>
          <w:p w14:paraId="4763BC80" w14:textId="77777777" w:rsidR="00160246" w:rsidRPr="00A14942" w:rsidRDefault="00160246" w:rsidP="00223A29">
            <w:pPr>
              <w:pStyle w:val="TableListParagraph"/>
              <w:rPr>
                <w:rFonts w:ascii="Times New Roman" w:eastAsia="Times New Roman" w:hAnsi="Times New Roman" w:cs="Times New Roman"/>
                <w:sz w:val="16"/>
                <w:szCs w:val="16"/>
                <w:lang w:val="en-GB" w:eastAsia="en-CA"/>
              </w:rPr>
            </w:pPr>
            <w:r w:rsidRPr="00A14942">
              <w:rPr>
                <w:rFonts w:ascii="Times New Roman" w:hAnsi="Times New Roman" w:cs="Times New Roman"/>
                <w:sz w:val="16"/>
                <w:szCs w:val="16"/>
                <w:lang w:val="en-GB" w:eastAsia="en-CA"/>
              </w:rPr>
              <w:t>Relapsing multiple sclerosis*</w:t>
            </w:r>
          </w:p>
          <w:p w14:paraId="54ED78CB" w14:textId="77777777" w:rsidR="00160246" w:rsidRPr="00A14942" w:rsidRDefault="00160246" w:rsidP="00223A29">
            <w:pPr>
              <w:pStyle w:val="TableListParagraph"/>
              <w:numPr>
                <w:ilvl w:val="0"/>
                <w:numId w:val="3"/>
              </w:numPr>
              <w:rPr>
                <w:rFonts w:ascii="Times New Roman" w:eastAsia="Times New Roman" w:hAnsi="Times New Roman" w:cs="Times New Roman"/>
                <w:sz w:val="16"/>
                <w:szCs w:val="16"/>
                <w:lang w:val="en-GB" w:eastAsia="en-CA"/>
              </w:rPr>
            </w:pPr>
            <w:r w:rsidRPr="00A14942">
              <w:rPr>
                <w:rFonts w:ascii="Times New Roman" w:hAnsi="Times New Roman" w:cs="Times New Roman"/>
                <w:sz w:val="16"/>
                <w:szCs w:val="16"/>
                <w:lang w:val="en-GB" w:eastAsia="en-CA"/>
              </w:rPr>
              <w:t>RRMS, SPMS and/or PRMS</w:t>
            </w:r>
          </w:p>
          <w:p w14:paraId="58435DC7" w14:textId="575E4226" w:rsidR="009A5624" w:rsidRPr="00A14942" w:rsidRDefault="009A5624" w:rsidP="00223A29">
            <w:pPr>
              <w:pStyle w:val="TableListParagraph"/>
              <w:numPr>
                <w:ilvl w:val="0"/>
                <w:numId w:val="3"/>
              </w:numPr>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≥80% comprised o</w:t>
            </w:r>
            <w:r w:rsidR="00B145B9" w:rsidRPr="00A14942">
              <w:rPr>
                <w:rFonts w:ascii="Times New Roman" w:eastAsia="Times New Roman" w:hAnsi="Times New Roman" w:cs="Times New Roman"/>
                <w:sz w:val="16"/>
                <w:szCs w:val="16"/>
                <w:lang w:val="en-GB" w:eastAsia="en-CA"/>
              </w:rPr>
              <w:t>f</w:t>
            </w:r>
            <w:r w:rsidRPr="00A14942">
              <w:rPr>
                <w:rFonts w:ascii="Times New Roman" w:eastAsia="Times New Roman" w:hAnsi="Times New Roman" w:cs="Times New Roman"/>
                <w:sz w:val="16"/>
                <w:szCs w:val="16"/>
                <w:lang w:val="en-GB" w:eastAsia="en-CA"/>
              </w:rPr>
              <w:t xml:space="preserve"> RRMS</w:t>
            </w:r>
          </w:p>
        </w:tc>
        <w:tc>
          <w:tcPr>
            <w:tcW w:w="4042" w:type="dxa"/>
            <w:tcBorders>
              <w:top w:val="single" w:sz="4" w:space="0" w:color="auto"/>
              <w:left w:val="single" w:sz="4" w:space="0" w:color="auto"/>
              <w:bottom w:val="single" w:sz="4" w:space="0" w:color="auto"/>
              <w:right w:val="single" w:sz="4" w:space="0" w:color="auto"/>
            </w:tcBorders>
            <w:hideMark/>
          </w:tcPr>
          <w:p w14:paraId="2B718EFC" w14:textId="77777777" w:rsidR="00160246" w:rsidRPr="00A14942" w:rsidRDefault="00160246" w:rsidP="00223A29">
            <w:pPr>
              <w:numPr>
                <w:ilvl w:val="0"/>
                <w:numId w:val="4"/>
              </w:numPr>
              <w:spacing w:after="20"/>
              <w:ind w:left="360"/>
              <w:contextualSpacing/>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kern w:val="24"/>
                <w:sz w:val="16"/>
                <w:szCs w:val="16"/>
                <w:lang w:val="en-GB" w:eastAsia="en-CA"/>
              </w:rPr>
              <w:t>Patients &lt;18 years of age</w:t>
            </w:r>
          </w:p>
          <w:p w14:paraId="3E871E68" w14:textId="77777777" w:rsidR="00160246" w:rsidRPr="00A14942" w:rsidRDefault="00160246" w:rsidP="00223A29">
            <w:pPr>
              <w:numPr>
                <w:ilvl w:val="0"/>
                <w:numId w:val="4"/>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kern w:val="24"/>
                <w:sz w:val="16"/>
                <w:szCs w:val="16"/>
                <w:lang w:val="en-GB" w:eastAsia="en-CA"/>
              </w:rPr>
              <w:t xml:space="preserve">PPMS or </w:t>
            </w:r>
            <w:r w:rsidRPr="00A14942">
              <w:rPr>
                <w:rFonts w:ascii="Times New Roman" w:eastAsia="Times New Roman" w:hAnsi="Times New Roman" w:cs="Times New Roman"/>
                <w:sz w:val="16"/>
                <w:szCs w:val="16"/>
                <w:lang w:val="en-GB" w:eastAsia="en-CA"/>
              </w:rPr>
              <w:t>CIS</w:t>
            </w:r>
          </w:p>
        </w:tc>
      </w:tr>
      <w:tr w:rsidR="00160246" w:rsidRPr="00A14942" w14:paraId="56E59707" w14:textId="77777777" w:rsidTr="003047F6">
        <w:trPr>
          <w:trHeight w:val="190"/>
        </w:trPr>
        <w:tc>
          <w:tcPr>
            <w:tcW w:w="1417" w:type="dxa"/>
            <w:tcBorders>
              <w:top w:val="single" w:sz="4" w:space="0" w:color="auto"/>
              <w:left w:val="single" w:sz="4" w:space="0" w:color="auto"/>
              <w:bottom w:val="single" w:sz="4" w:space="0" w:color="auto"/>
              <w:right w:val="single" w:sz="4" w:space="0" w:color="auto"/>
            </w:tcBorders>
            <w:hideMark/>
          </w:tcPr>
          <w:p w14:paraId="67C52B37" w14:textId="77777777" w:rsidR="00160246" w:rsidRPr="00A14942" w:rsidRDefault="00160246" w:rsidP="003047F6">
            <w:pPr>
              <w:pStyle w:val="TableText"/>
              <w:rPr>
                <w:rFonts w:ascii="Times New Roman" w:eastAsia="Times New Roman" w:hAnsi="Times New Roman" w:cs="Times New Roman"/>
                <w:b/>
                <w:sz w:val="16"/>
                <w:szCs w:val="16"/>
                <w:lang w:val="en-GB" w:eastAsia="en-CA"/>
              </w:rPr>
            </w:pPr>
            <w:r w:rsidRPr="00A14942">
              <w:rPr>
                <w:rFonts w:ascii="Times New Roman" w:hAnsi="Times New Roman" w:cs="Times New Roman"/>
                <w:b/>
                <w:sz w:val="16"/>
                <w:szCs w:val="16"/>
                <w:lang w:val="en-GB" w:eastAsia="en-CA"/>
              </w:rPr>
              <w:t>Interventions/</w:t>
            </w:r>
            <w:r w:rsidRPr="00A14942">
              <w:rPr>
                <w:rFonts w:ascii="Times New Roman" w:hAnsi="Times New Roman" w:cs="Times New Roman"/>
                <w:b/>
                <w:sz w:val="16"/>
                <w:szCs w:val="16"/>
                <w:lang w:val="en-GB" w:eastAsia="en-CA"/>
              </w:rPr>
              <w:br/>
              <w:t>Comparators</w:t>
            </w:r>
          </w:p>
        </w:tc>
        <w:tc>
          <w:tcPr>
            <w:tcW w:w="3965" w:type="dxa"/>
            <w:tcBorders>
              <w:top w:val="single" w:sz="4" w:space="0" w:color="auto"/>
              <w:left w:val="single" w:sz="4" w:space="0" w:color="auto"/>
              <w:bottom w:val="single" w:sz="4" w:space="0" w:color="auto"/>
              <w:right w:val="single" w:sz="4" w:space="0" w:color="auto"/>
            </w:tcBorders>
            <w:hideMark/>
          </w:tcPr>
          <w:p w14:paraId="1217DBC3" w14:textId="77777777" w:rsidR="00160246" w:rsidRPr="00A14942" w:rsidRDefault="00160246" w:rsidP="003047F6">
            <w:pPr>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Comparison of two or more of the following monotherapies (route of administration):</w:t>
            </w:r>
          </w:p>
          <w:p w14:paraId="38568834"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Placebo</w:t>
            </w:r>
          </w:p>
          <w:p w14:paraId="6AB40DDA"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Ofatumumab (subcutaneous)</w:t>
            </w:r>
          </w:p>
          <w:p w14:paraId="188451AB"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Diroximel fumarate (oral)</w:t>
            </w:r>
          </w:p>
          <w:p w14:paraId="273DCF0F"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Monomethyl fumarate (oral)</w:t>
            </w:r>
          </w:p>
          <w:p w14:paraId="093D464C"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Interferon β-1a (subcutaneous)</w:t>
            </w:r>
          </w:p>
          <w:p w14:paraId="0EBE8EE7" w14:textId="77777777" w:rsidR="00160246" w:rsidRPr="00A14942" w:rsidRDefault="00160246" w:rsidP="00223A29">
            <w:pPr>
              <w:numPr>
                <w:ilvl w:val="1"/>
                <w:numId w:val="5"/>
              </w:numPr>
              <w:spacing w:after="20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Including “Rebif New Formulation”</w:t>
            </w:r>
          </w:p>
          <w:p w14:paraId="3F7CFDB9"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Interferon β-1a (intramuscular)</w:t>
            </w:r>
          </w:p>
          <w:p w14:paraId="391E78D3"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Interferon β-1b (subcutaneous)</w:t>
            </w:r>
          </w:p>
          <w:p w14:paraId="610E0F97"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Dimethyl fumarate (oral)</w:t>
            </w:r>
          </w:p>
          <w:p w14:paraId="737904FF"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Glatiramer acetate (subcutaneous)</w:t>
            </w:r>
          </w:p>
          <w:p w14:paraId="04C18F1F" w14:textId="77777777" w:rsidR="00160246" w:rsidRPr="00A14942" w:rsidRDefault="00160246" w:rsidP="00223A29">
            <w:pPr>
              <w:numPr>
                <w:ilvl w:val="1"/>
                <w:numId w:val="5"/>
              </w:numPr>
              <w:spacing w:after="20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Generic or brand name</w:t>
            </w:r>
          </w:p>
          <w:p w14:paraId="109C3BB5"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Teriflunomide (oral)</w:t>
            </w:r>
          </w:p>
          <w:p w14:paraId="54AB3F02"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Ocrelizumab (intravenous)</w:t>
            </w:r>
          </w:p>
          <w:p w14:paraId="489D08AB"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Peginterferon β-1a (subcutaneous)</w:t>
            </w:r>
          </w:p>
          <w:p w14:paraId="4B6252E6"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proofErr w:type="spellStart"/>
            <w:r w:rsidRPr="00A14942">
              <w:rPr>
                <w:rFonts w:ascii="Times New Roman" w:hAnsi="Times New Roman" w:cs="Times New Roman"/>
                <w:sz w:val="16"/>
                <w:szCs w:val="16"/>
                <w:lang w:val="en-GB"/>
              </w:rPr>
              <w:t>Ponesimod</w:t>
            </w:r>
            <w:proofErr w:type="spellEnd"/>
            <w:r w:rsidRPr="00A14942">
              <w:rPr>
                <w:rFonts w:ascii="Times New Roman" w:hAnsi="Times New Roman" w:cs="Times New Roman"/>
                <w:sz w:val="16"/>
                <w:szCs w:val="16"/>
                <w:lang w:val="en-GB"/>
              </w:rPr>
              <w:t xml:space="preserve"> (oral)</w:t>
            </w:r>
          </w:p>
          <w:p w14:paraId="16132609"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Ozanimod (oral)</w:t>
            </w:r>
          </w:p>
          <w:p w14:paraId="77A6F0FF"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Alemtuzumab (intravenous)</w:t>
            </w:r>
          </w:p>
          <w:p w14:paraId="5A785CA6"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Fingolimod (oral)</w:t>
            </w:r>
          </w:p>
          <w:p w14:paraId="56872971" w14:textId="77777777" w:rsidR="00160246" w:rsidRPr="00A14942" w:rsidRDefault="00160246" w:rsidP="00223A29">
            <w:pPr>
              <w:numPr>
                <w:ilvl w:val="0"/>
                <w:numId w:val="5"/>
              </w:numPr>
              <w:spacing w:after="200"/>
              <w:ind w:left="360"/>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Cladribine (oral)</w:t>
            </w:r>
          </w:p>
          <w:p w14:paraId="1A4DA56D"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hAnsi="Times New Roman" w:cs="Times New Roman"/>
                <w:sz w:val="16"/>
                <w:szCs w:val="16"/>
                <w:lang w:val="en-GB"/>
              </w:rPr>
              <w:t>Natalizumab (intravenous)</w:t>
            </w:r>
          </w:p>
          <w:p w14:paraId="2FD0041D" w14:textId="77777777" w:rsidR="00160246" w:rsidRPr="00A14942" w:rsidRDefault="00160246" w:rsidP="00223A29">
            <w:pPr>
              <w:numPr>
                <w:ilvl w:val="0"/>
                <w:numId w:val="6"/>
              </w:numPr>
              <w:spacing w:after="200"/>
              <w:ind w:left="288" w:hanging="288"/>
              <w:contextualSpacing/>
              <w:rPr>
                <w:rFonts w:ascii="Times New Roman" w:hAnsi="Times New Roman" w:cs="Times New Roman"/>
                <w:sz w:val="16"/>
                <w:szCs w:val="16"/>
                <w:lang w:val="en-GB"/>
              </w:rPr>
            </w:pPr>
            <w:r w:rsidRPr="00A14942">
              <w:rPr>
                <w:rFonts w:ascii="Times New Roman" w:hAnsi="Times New Roman" w:cs="Times New Roman"/>
                <w:sz w:val="16"/>
                <w:szCs w:val="16"/>
                <w:lang w:val="en-GB"/>
              </w:rPr>
              <w:t xml:space="preserve"> Siponimod (oral)</w:t>
            </w:r>
          </w:p>
        </w:tc>
        <w:tc>
          <w:tcPr>
            <w:tcW w:w="4042" w:type="dxa"/>
            <w:tcBorders>
              <w:top w:val="single" w:sz="4" w:space="0" w:color="auto"/>
              <w:left w:val="single" w:sz="4" w:space="0" w:color="auto"/>
              <w:bottom w:val="single" w:sz="4" w:space="0" w:color="auto"/>
              <w:right w:val="single" w:sz="4" w:space="0" w:color="auto"/>
            </w:tcBorders>
          </w:tcPr>
          <w:p w14:paraId="5A3AAB3E"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Alternative administration routes from those stated in the </w:t>
            </w:r>
            <w:r w:rsidRPr="00A14942">
              <w:rPr>
                <w:rFonts w:ascii="Times New Roman" w:eastAsia="Times New Roman" w:hAnsi="Times New Roman" w:cs="Times New Roman"/>
                <w:i/>
                <w:iCs/>
                <w:sz w:val="16"/>
                <w:szCs w:val="16"/>
                <w:lang w:val="en-GB" w:eastAsia="en-CA"/>
              </w:rPr>
              <w:t>inclusion criteria</w:t>
            </w:r>
          </w:p>
          <w:p w14:paraId="17C85A25"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Regimens using combination therapies (irrespective of whether each therapy is listed in the </w:t>
            </w:r>
            <w:r w:rsidRPr="00A14942">
              <w:rPr>
                <w:rFonts w:ascii="Times New Roman" w:eastAsia="Times New Roman" w:hAnsi="Times New Roman" w:cs="Times New Roman"/>
                <w:i/>
                <w:iCs/>
                <w:sz w:val="16"/>
                <w:szCs w:val="16"/>
                <w:lang w:val="en-GB" w:eastAsia="en-CA"/>
              </w:rPr>
              <w:t>inclusion criteria</w:t>
            </w:r>
            <w:r w:rsidRPr="00A14942">
              <w:rPr>
                <w:rFonts w:ascii="Times New Roman" w:eastAsia="Times New Roman" w:hAnsi="Times New Roman" w:cs="Times New Roman"/>
                <w:sz w:val="16"/>
                <w:szCs w:val="16"/>
                <w:lang w:val="en-GB" w:eastAsia="en-CA"/>
              </w:rPr>
              <w:t>)</w:t>
            </w:r>
          </w:p>
          <w:p w14:paraId="7C36F123"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Ambiguous treatment regimens (e.g., “any interferon”)</w:t>
            </w:r>
          </w:p>
          <w:p w14:paraId="62CDD8A7"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Studies investigating treatment interruption</w:t>
            </w:r>
          </w:p>
          <w:p w14:paraId="0DFD7223"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Study designs including treatment switching**</w:t>
            </w:r>
          </w:p>
          <w:p w14:paraId="4F1058AB"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Records presenting outcome data for only one treatment regimen of interest</w:t>
            </w:r>
          </w:p>
          <w:p w14:paraId="41267B8D" w14:textId="77777777" w:rsidR="00160246" w:rsidRPr="00A14942" w:rsidRDefault="00160246" w:rsidP="003047F6">
            <w:pPr>
              <w:rPr>
                <w:rFonts w:ascii="Times New Roman" w:eastAsia="Times New Roman" w:hAnsi="Times New Roman" w:cs="Times New Roman"/>
                <w:sz w:val="16"/>
                <w:szCs w:val="16"/>
                <w:lang w:val="en-GB" w:eastAsia="en-CA"/>
              </w:rPr>
            </w:pPr>
          </w:p>
          <w:p w14:paraId="7C5EAB7B" w14:textId="77777777" w:rsidR="00160246" w:rsidRPr="00A14942" w:rsidRDefault="00160246" w:rsidP="003047F6">
            <w:pPr>
              <w:spacing w:after="20"/>
              <w:rPr>
                <w:rFonts w:ascii="Times New Roman" w:eastAsia="Times New Roman" w:hAnsi="Times New Roman" w:cs="Times New Roman"/>
                <w:strike/>
                <w:sz w:val="16"/>
                <w:szCs w:val="16"/>
                <w:lang w:val="en-GB" w:eastAsia="en-CA"/>
              </w:rPr>
            </w:pPr>
          </w:p>
        </w:tc>
      </w:tr>
      <w:tr w:rsidR="00160246" w:rsidRPr="00A14942" w14:paraId="02FF1898" w14:textId="77777777" w:rsidTr="003047F6">
        <w:trPr>
          <w:trHeight w:val="170"/>
        </w:trPr>
        <w:tc>
          <w:tcPr>
            <w:tcW w:w="1417" w:type="dxa"/>
            <w:tcBorders>
              <w:top w:val="single" w:sz="4" w:space="0" w:color="auto"/>
              <w:left w:val="single" w:sz="4" w:space="0" w:color="auto"/>
              <w:bottom w:val="single" w:sz="4" w:space="0" w:color="auto"/>
              <w:right w:val="single" w:sz="4" w:space="0" w:color="auto"/>
            </w:tcBorders>
            <w:hideMark/>
          </w:tcPr>
          <w:p w14:paraId="40DFBF6F" w14:textId="77777777" w:rsidR="00160246" w:rsidRPr="00A14942" w:rsidRDefault="00160246" w:rsidP="003047F6">
            <w:pPr>
              <w:spacing w:before="20" w:after="20"/>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kern w:val="24"/>
                <w:sz w:val="16"/>
                <w:szCs w:val="16"/>
                <w:lang w:val="en-GB" w:eastAsia="en-CA"/>
              </w:rPr>
              <w:t>Outcomes</w:t>
            </w:r>
          </w:p>
        </w:tc>
        <w:tc>
          <w:tcPr>
            <w:tcW w:w="3965" w:type="dxa"/>
            <w:tcBorders>
              <w:top w:val="single" w:sz="4" w:space="0" w:color="auto"/>
              <w:left w:val="single" w:sz="4" w:space="0" w:color="auto"/>
              <w:bottom w:val="single" w:sz="4" w:space="0" w:color="auto"/>
              <w:right w:val="single" w:sz="4" w:space="0" w:color="auto"/>
            </w:tcBorders>
            <w:hideMark/>
          </w:tcPr>
          <w:p w14:paraId="62BFE1A2"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CUAL</w:t>
            </w:r>
          </w:p>
          <w:p w14:paraId="763FFBA9" w14:textId="77777777" w:rsidR="00160246" w:rsidRPr="00A14942" w:rsidRDefault="00160246" w:rsidP="00223A29">
            <w:pPr>
              <w:numPr>
                <w:ilvl w:val="1"/>
                <w:numId w:val="5"/>
              </w:numPr>
              <w:spacing w:after="20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Composite of Gd T1 and T2</w:t>
            </w:r>
          </w:p>
          <w:p w14:paraId="0FA66D3F" w14:textId="77777777" w:rsidR="00160246" w:rsidRPr="00A14942" w:rsidRDefault="00160246" w:rsidP="00223A29">
            <w:pPr>
              <w:numPr>
                <w:ilvl w:val="0"/>
                <w:numId w:val="5"/>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BVL or brain atrophy </w:t>
            </w:r>
          </w:p>
          <w:p w14:paraId="7EB9BE42" w14:textId="77777777" w:rsidR="00160246" w:rsidRPr="00A14942" w:rsidRDefault="00160246" w:rsidP="00223A29">
            <w:pPr>
              <w:numPr>
                <w:ilvl w:val="1"/>
                <w:numId w:val="5"/>
              </w:numPr>
              <w:spacing w:after="20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Determined using any technique, including SIENA or BPF</w:t>
            </w:r>
          </w:p>
        </w:tc>
        <w:tc>
          <w:tcPr>
            <w:tcW w:w="4042" w:type="dxa"/>
            <w:tcBorders>
              <w:top w:val="single" w:sz="4" w:space="0" w:color="auto"/>
              <w:left w:val="single" w:sz="4" w:space="0" w:color="auto"/>
              <w:bottom w:val="single" w:sz="4" w:space="0" w:color="auto"/>
              <w:right w:val="single" w:sz="4" w:space="0" w:color="auto"/>
            </w:tcBorders>
            <w:hideMark/>
          </w:tcPr>
          <w:p w14:paraId="36C4E8E8" w14:textId="77777777" w:rsidR="00160246" w:rsidRPr="00A14942" w:rsidRDefault="00160246" w:rsidP="00223A29">
            <w:pPr>
              <w:numPr>
                <w:ilvl w:val="0"/>
                <w:numId w:val="7"/>
              </w:numPr>
              <w:spacing w:after="200"/>
              <w:ind w:left="360"/>
              <w:contextualSpacing/>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 xml:space="preserve">Outcomes not listed in the </w:t>
            </w:r>
            <w:r w:rsidRPr="00A14942">
              <w:rPr>
                <w:rFonts w:ascii="Times New Roman" w:eastAsia="Malgun Gothic" w:hAnsi="Times New Roman" w:cs="Times New Roman"/>
                <w:i/>
                <w:iCs/>
                <w:kern w:val="24"/>
                <w:sz w:val="16"/>
                <w:szCs w:val="16"/>
                <w:lang w:val="en-GB" w:eastAsia="en-CA"/>
              </w:rPr>
              <w:t>inclusion criteria</w:t>
            </w:r>
          </w:p>
          <w:p w14:paraId="3B27DABB" w14:textId="77777777" w:rsidR="00160246" w:rsidRPr="00A14942" w:rsidRDefault="00160246" w:rsidP="00223A29">
            <w:pPr>
              <w:numPr>
                <w:ilvl w:val="0"/>
                <w:numId w:val="7"/>
              </w:numPr>
              <w:spacing w:after="200"/>
              <w:ind w:left="360"/>
              <w:contextualSpacing/>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Data pooled from multiple RCTs (unless comparable outcome data was unavailable for individual respective trials)</w:t>
            </w:r>
          </w:p>
        </w:tc>
      </w:tr>
      <w:tr w:rsidR="00160246" w:rsidRPr="00A14942" w14:paraId="53A7172A" w14:textId="77777777" w:rsidTr="003047F6">
        <w:trPr>
          <w:trHeight w:val="1602"/>
        </w:trPr>
        <w:tc>
          <w:tcPr>
            <w:tcW w:w="1417" w:type="dxa"/>
            <w:tcBorders>
              <w:top w:val="single" w:sz="4" w:space="0" w:color="auto"/>
              <w:left w:val="single" w:sz="4" w:space="0" w:color="auto"/>
              <w:bottom w:val="single" w:sz="4" w:space="0" w:color="auto"/>
              <w:right w:val="single" w:sz="4" w:space="0" w:color="auto"/>
            </w:tcBorders>
            <w:hideMark/>
          </w:tcPr>
          <w:p w14:paraId="0F5F3ED6" w14:textId="77777777" w:rsidR="00160246" w:rsidRPr="00A14942" w:rsidRDefault="00160246" w:rsidP="003047F6">
            <w:pPr>
              <w:spacing w:before="20" w:after="20"/>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bCs/>
                <w:kern w:val="24"/>
                <w:sz w:val="16"/>
                <w:szCs w:val="16"/>
                <w:lang w:val="en-GB" w:eastAsia="en-CA"/>
              </w:rPr>
              <w:t>Study design</w:t>
            </w:r>
          </w:p>
        </w:tc>
        <w:tc>
          <w:tcPr>
            <w:tcW w:w="3965" w:type="dxa"/>
            <w:tcBorders>
              <w:top w:val="single" w:sz="4" w:space="0" w:color="auto"/>
              <w:left w:val="single" w:sz="4" w:space="0" w:color="auto"/>
              <w:bottom w:val="single" w:sz="4" w:space="0" w:color="auto"/>
              <w:right w:val="single" w:sz="4" w:space="0" w:color="auto"/>
            </w:tcBorders>
            <w:hideMark/>
          </w:tcPr>
          <w:p w14:paraId="53FA5363"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RCTs</w:t>
            </w:r>
          </w:p>
          <w:p w14:paraId="455DDDEC" w14:textId="77777777" w:rsidR="00160246" w:rsidRPr="00A14942" w:rsidRDefault="00160246" w:rsidP="00223A29">
            <w:pPr>
              <w:numPr>
                <w:ilvl w:val="0"/>
                <w:numId w:val="8"/>
              </w:numPr>
              <w:spacing w:after="20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Including pooled trial analyses where unique outcome or subgroup data reported</w:t>
            </w:r>
          </w:p>
          <w:p w14:paraId="3D178239" w14:textId="77777777" w:rsidR="00160246" w:rsidRPr="00A14942" w:rsidRDefault="00160246" w:rsidP="00223A29">
            <w:pPr>
              <w:numPr>
                <w:ilvl w:val="0"/>
                <w:numId w:val="9"/>
              </w:numPr>
              <w:spacing w:after="20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Including post hoc analyses</w:t>
            </w:r>
          </w:p>
          <w:p w14:paraId="49EB963B" w14:textId="77777777" w:rsidR="00160246" w:rsidRPr="00A14942" w:rsidRDefault="00160246" w:rsidP="00223A29">
            <w:pPr>
              <w:numPr>
                <w:ilvl w:val="0"/>
                <w:numId w:val="9"/>
              </w:numPr>
              <w:spacing w:after="20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Including extension trials of RCTs if </w:t>
            </w:r>
            <w:r w:rsidRPr="00A14942">
              <w:rPr>
                <w:rFonts w:ascii="Times New Roman" w:eastAsia="Times New Roman" w:hAnsi="Times New Roman" w:cs="Times New Roman"/>
                <w:i/>
                <w:iCs/>
                <w:sz w:val="16"/>
                <w:szCs w:val="16"/>
                <w:lang w:val="en-GB" w:eastAsia="en-CA"/>
              </w:rPr>
              <w:t>intervention/comparator criteria</w:t>
            </w:r>
            <w:r w:rsidRPr="00A14942">
              <w:rPr>
                <w:rFonts w:ascii="Times New Roman" w:eastAsia="Times New Roman" w:hAnsi="Times New Roman" w:cs="Times New Roman"/>
                <w:sz w:val="16"/>
                <w:szCs w:val="16"/>
                <w:lang w:val="en-GB" w:eastAsia="en-CA"/>
              </w:rPr>
              <w:t xml:space="preserve"> fulfilled</w:t>
            </w:r>
          </w:p>
          <w:p w14:paraId="6DEF20E2"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Record types: full-text journal articles, conference abstracts/posters/presentations, regulatory documents, clinical study reports</w:t>
            </w:r>
          </w:p>
        </w:tc>
        <w:tc>
          <w:tcPr>
            <w:tcW w:w="4042" w:type="dxa"/>
            <w:tcBorders>
              <w:top w:val="single" w:sz="4" w:space="0" w:color="auto"/>
              <w:left w:val="single" w:sz="4" w:space="0" w:color="auto"/>
              <w:bottom w:val="single" w:sz="4" w:space="0" w:color="auto"/>
              <w:right w:val="single" w:sz="4" w:space="0" w:color="auto"/>
            </w:tcBorders>
            <w:hideMark/>
          </w:tcPr>
          <w:p w14:paraId="09CD7AF0"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Phase 1 </w:t>
            </w:r>
          </w:p>
          <w:p w14:paraId="2AF1EDFB"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Non-randomized, single-arm, or observational studies</w:t>
            </w:r>
          </w:p>
          <w:p w14:paraId="1E4370C8"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 xml:space="preserve">Extension trials that were uncontrolled or did not report results according to original randomized treatment groups** </w:t>
            </w:r>
          </w:p>
          <w:p w14:paraId="1C4A5DC8"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Times New Roman" w:hAnsi="Times New Roman" w:cs="Times New Roman"/>
                <w:sz w:val="16"/>
                <w:szCs w:val="16"/>
                <w:lang w:val="en-GB" w:eastAsia="en-CA"/>
              </w:rPr>
              <w:t>Prematurely terminated studies</w:t>
            </w:r>
          </w:p>
          <w:p w14:paraId="6BFC932D" w14:textId="77777777" w:rsidR="00160246" w:rsidRPr="00A14942" w:rsidRDefault="00160246" w:rsidP="00223A29">
            <w:pPr>
              <w:numPr>
                <w:ilvl w:val="0"/>
                <w:numId w:val="7"/>
              </w:numPr>
              <w:spacing w:after="200"/>
              <w:ind w:left="360"/>
              <w:contextualSpacing/>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color w:val="000000" w:themeColor="text1"/>
                <w:kern w:val="24"/>
                <w:sz w:val="16"/>
                <w:szCs w:val="16"/>
                <w:lang w:val="en-GB" w:eastAsia="en-CA"/>
              </w:rPr>
              <w:t>Pre-clinical studies, case reports, expert opinion articles, letters, reviews</w:t>
            </w:r>
          </w:p>
        </w:tc>
      </w:tr>
      <w:tr w:rsidR="00160246" w:rsidRPr="00A14942" w14:paraId="12086251" w14:textId="77777777" w:rsidTr="003047F6">
        <w:trPr>
          <w:trHeight w:val="64"/>
        </w:trPr>
        <w:tc>
          <w:tcPr>
            <w:tcW w:w="1417" w:type="dxa"/>
            <w:tcBorders>
              <w:top w:val="single" w:sz="4" w:space="0" w:color="auto"/>
              <w:left w:val="single" w:sz="4" w:space="0" w:color="auto"/>
              <w:bottom w:val="single" w:sz="4" w:space="0" w:color="auto"/>
              <w:right w:val="single" w:sz="4" w:space="0" w:color="auto"/>
            </w:tcBorders>
            <w:hideMark/>
          </w:tcPr>
          <w:p w14:paraId="4C307CCD" w14:textId="77777777" w:rsidR="00160246" w:rsidRPr="00A14942" w:rsidRDefault="00160246" w:rsidP="003047F6">
            <w:pPr>
              <w:spacing w:before="20" w:after="20"/>
              <w:rPr>
                <w:rFonts w:ascii="Times New Roman" w:eastAsia="Malgun Gothic" w:hAnsi="Times New Roman" w:cs="Times New Roman"/>
                <w:b/>
                <w:bCs/>
                <w:kern w:val="24"/>
                <w:sz w:val="16"/>
                <w:szCs w:val="16"/>
                <w:lang w:val="en-GB" w:eastAsia="en-CA"/>
              </w:rPr>
            </w:pPr>
            <w:r w:rsidRPr="00A14942">
              <w:rPr>
                <w:rFonts w:ascii="Times New Roman" w:eastAsia="Malgun Gothic" w:hAnsi="Times New Roman" w:cs="Times New Roman"/>
                <w:b/>
                <w:bCs/>
                <w:kern w:val="24"/>
                <w:sz w:val="16"/>
                <w:szCs w:val="16"/>
                <w:lang w:val="en-GB" w:eastAsia="en-CA"/>
              </w:rPr>
              <w:t>Study Duration</w:t>
            </w:r>
          </w:p>
        </w:tc>
        <w:tc>
          <w:tcPr>
            <w:tcW w:w="8007" w:type="dxa"/>
            <w:gridSpan w:val="2"/>
            <w:tcBorders>
              <w:top w:val="single" w:sz="4" w:space="0" w:color="auto"/>
              <w:left w:val="single" w:sz="4" w:space="0" w:color="auto"/>
              <w:bottom w:val="single" w:sz="4" w:space="0" w:color="auto"/>
              <w:right w:val="single" w:sz="4" w:space="0" w:color="auto"/>
            </w:tcBorders>
            <w:hideMark/>
          </w:tcPr>
          <w:p w14:paraId="7B309671" w14:textId="77777777" w:rsidR="00160246" w:rsidRPr="00A14942" w:rsidRDefault="00160246" w:rsidP="003047F6">
            <w:pPr>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No restriction</w:t>
            </w:r>
          </w:p>
        </w:tc>
      </w:tr>
      <w:tr w:rsidR="00160246" w:rsidRPr="00A14942" w14:paraId="595C2418" w14:textId="77777777" w:rsidTr="003047F6">
        <w:trPr>
          <w:trHeight w:val="183"/>
        </w:trPr>
        <w:tc>
          <w:tcPr>
            <w:tcW w:w="1417" w:type="dxa"/>
            <w:tcBorders>
              <w:top w:val="single" w:sz="4" w:space="0" w:color="auto"/>
              <w:left w:val="single" w:sz="4" w:space="0" w:color="auto"/>
              <w:bottom w:val="single" w:sz="4" w:space="0" w:color="auto"/>
              <w:right w:val="single" w:sz="4" w:space="0" w:color="auto"/>
            </w:tcBorders>
            <w:hideMark/>
          </w:tcPr>
          <w:p w14:paraId="66B07B3D" w14:textId="77777777" w:rsidR="00160246" w:rsidRPr="00A14942" w:rsidRDefault="00160246" w:rsidP="003047F6">
            <w:pPr>
              <w:spacing w:before="20" w:after="20"/>
              <w:rPr>
                <w:rFonts w:ascii="Times New Roman" w:eastAsia="Malgun Gothic" w:hAnsi="Times New Roman" w:cs="Times New Roman"/>
                <w:b/>
                <w:bCs/>
                <w:kern w:val="24"/>
                <w:sz w:val="16"/>
                <w:szCs w:val="16"/>
                <w:lang w:val="en-GB" w:eastAsia="en-CA"/>
              </w:rPr>
            </w:pPr>
            <w:r w:rsidRPr="00A14942">
              <w:rPr>
                <w:rFonts w:ascii="Times New Roman" w:eastAsia="Malgun Gothic" w:hAnsi="Times New Roman" w:cs="Times New Roman"/>
                <w:b/>
                <w:bCs/>
                <w:kern w:val="24"/>
                <w:sz w:val="16"/>
                <w:szCs w:val="16"/>
                <w:lang w:val="en-GB" w:eastAsia="en-CA"/>
              </w:rPr>
              <w:t>Study Language</w:t>
            </w:r>
            <w:r w:rsidRPr="00A14942">
              <w:rPr>
                <w:rFonts w:ascii="Times New Roman" w:eastAsia="Malgun Gothic" w:hAnsi="Times New Roman" w:cs="Times New Roman"/>
                <w:b/>
                <w:bCs/>
                <w:kern w:val="24"/>
                <w:vertAlign w:val="superscript"/>
                <w:lang w:val="en-GB" w:eastAsia="en-CA"/>
              </w:rPr>
              <w:t>†</w:t>
            </w:r>
          </w:p>
        </w:tc>
        <w:tc>
          <w:tcPr>
            <w:tcW w:w="3965" w:type="dxa"/>
            <w:tcBorders>
              <w:top w:val="single" w:sz="4" w:space="0" w:color="auto"/>
              <w:left w:val="single" w:sz="4" w:space="0" w:color="auto"/>
              <w:bottom w:val="single" w:sz="4" w:space="0" w:color="auto"/>
              <w:right w:val="single" w:sz="4" w:space="0" w:color="auto"/>
            </w:tcBorders>
            <w:hideMark/>
          </w:tcPr>
          <w:p w14:paraId="1B74CDBF" w14:textId="77777777" w:rsidR="00160246" w:rsidRPr="00A14942" w:rsidRDefault="00160246" w:rsidP="00223A29">
            <w:pPr>
              <w:numPr>
                <w:ilvl w:val="0"/>
                <w:numId w:val="7"/>
              </w:numPr>
              <w:spacing w:after="200"/>
              <w:ind w:left="360"/>
              <w:contextualSpacing/>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English language records</w:t>
            </w:r>
          </w:p>
        </w:tc>
        <w:tc>
          <w:tcPr>
            <w:tcW w:w="4042" w:type="dxa"/>
            <w:tcBorders>
              <w:top w:val="single" w:sz="4" w:space="0" w:color="auto"/>
              <w:left w:val="single" w:sz="4" w:space="0" w:color="auto"/>
              <w:bottom w:val="single" w:sz="4" w:space="0" w:color="auto"/>
              <w:right w:val="single" w:sz="4" w:space="0" w:color="auto"/>
            </w:tcBorders>
            <w:hideMark/>
          </w:tcPr>
          <w:p w14:paraId="6B05D227" w14:textId="77777777" w:rsidR="00160246" w:rsidRPr="00A14942" w:rsidRDefault="00160246" w:rsidP="00223A29">
            <w:pPr>
              <w:numPr>
                <w:ilvl w:val="0"/>
                <w:numId w:val="7"/>
              </w:numPr>
              <w:spacing w:after="200"/>
              <w:ind w:left="360"/>
              <w:contextualSpacing/>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Non-English language records</w:t>
            </w:r>
          </w:p>
        </w:tc>
      </w:tr>
      <w:tr w:rsidR="00160246" w:rsidRPr="00A14942" w14:paraId="008927E8" w14:textId="77777777" w:rsidTr="003047F6">
        <w:trPr>
          <w:trHeight w:val="343"/>
        </w:trPr>
        <w:tc>
          <w:tcPr>
            <w:tcW w:w="1417" w:type="dxa"/>
            <w:tcBorders>
              <w:top w:val="single" w:sz="4" w:space="0" w:color="auto"/>
              <w:left w:val="single" w:sz="4" w:space="0" w:color="auto"/>
              <w:bottom w:val="single" w:sz="4" w:space="0" w:color="auto"/>
              <w:right w:val="single" w:sz="4" w:space="0" w:color="auto"/>
            </w:tcBorders>
            <w:hideMark/>
          </w:tcPr>
          <w:p w14:paraId="3EE1855C" w14:textId="77777777" w:rsidR="00160246" w:rsidRPr="00A14942" w:rsidRDefault="00160246" w:rsidP="003047F6">
            <w:pPr>
              <w:spacing w:before="20" w:after="20"/>
              <w:rPr>
                <w:rFonts w:ascii="Times New Roman" w:eastAsia="Malgun Gothic" w:hAnsi="Times New Roman" w:cs="Times New Roman"/>
                <w:b/>
                <w:bCs/>
                <w:kern w:val="24"/>
                <w:sz w:val="16"/>
                <w:szCs w:val="16"/>
                <w:lang w:val="en-GB" w:eastAsia="en-CA"/>
              </w:rPr>
            </w:pPr>
            <w:r w:rsidRPr="00A14942">
              <w:rPr>
                <w:rFonts w:ascii="Times New Roman" w:eastAsia="Malgun Gothic" w:hAnsi="Times New Roman" w:cs="Times New Roman"/>
                <w:b/>
                <w:bCs/>
                <w:kern w:val="24"/>
                <w:sz w:val="16"/>
                <w:szCs w:val="16"/>
                <w:lang w:val="en-GB" w:eastAsia="en-CA"/>
              </w:rPr>
              <w:t>Date Restrictions</w:t>
            </w:r>
          </w:p>
        </w:tc>
        <w:tc>
          <w:tcPr>
            <w:tcW w:w="8007" w:type="dxa"/>
            <w:gridSpan w:val="2"/>
            <w:tcBorders>
              <w:top w:val="single" w:sz="4" w:space="0" w:color="auto"/>
              <w:left w:val="single" w:sz="4" w:space="0" w:color="auto"/>
              <w:bottom w:val="single" w:sz="4" w:space="0" w:color="auto"/>
              <w:right w:val="single" w:sz="4" w:space="0" w:color="auto"/>
            </w:tcBorders>
            <w:hideMark/>
          </w:tcPr>
          <w:p w14:paraId="6CC5EFB0" w14:textId="77777777" w:rsidR="00160246" w:rsidRPr="00A14942" w:rsidRDefault="00160246" w:rsidP="003047F6">
            <w:pPr>
              <w:rPr>
                <w:rFonts w:ascii="Times New Roman" w:eastAsia="Malgun Gothic" w:hAnsi="Times New Roman" w:cs="Times New Roman"/>
                <w:kern w:val="24"/>
                <w:sz w:val="16"/>
                <w:szCs w:val="16"/>
                <w:lang w:val="en-GB" w:eastAsia="en-CA"/>
              </w:rPr>
            </w:pPr>
            <w:r w:rsidRPr="00A14942">
              <w:rPr>
                <w:rFonts w:ascii="Times New Roman" w:eastAsia="Malgun Gothic" w:hAnsi="Times New Roman" w:cs="Times New Roman"/>
                <w:kern w:val="24"/>
                <w:sz w:val="16"/>
                <w:szCs w:val="16"/>
                <w:lang w:val="en-GB" w:eastAsia="en-CA"/>
              </w:rPr>
              <w:t>No restriction</w:t>
            </w:r>
          </w:p>
        </w:tc>
      </w:tr>
    </w:tbl>
    <w:p w14:paraId="28CC913A" w14:textId="6E8E794D" w:rsidR="00160246" w:rsidRPr="00A14942" w:rsidRDefault="00160246" w:rsidP="00160246">
      <w:pPr>
        <w:spacing w:after="0"/>
        <w:rPr>
          <w:rFonts w:ascii="Times New Roman" w:hAnsi="Times New Roman" w:cs="Times New Roman"/>
          <w:sz w:val="16"/>
          <w:szCs w:val="16"/>
          <w:lang w:val="en-GB"/>
        </w:rPr>
      </w:pPr>
      <w:r w:rsidRPr="00A14942">
        <w:rPr>
          <w:rFonts w:ascii="Times New Roman" w:hAnsi="Times New Roman" w:cs="Times New Roman"/>
          <w:sz w:val="16"/>
          <w:szCs w:val="16"/>
          <w:lang w:val="en-GB"/>
        </w:rPr>
        <w:t>* Studies enrolling patients with any form of relapsing multiple sclerosis were eligible for inclusion in the review, though ITCs included only trial populations of ≥8</w:t>
      </w:r>
      <w:r w:rsidR="00B13D4B">
        <w:rPr>
          <w:rFonts w:ascii="Times New Roman" w:hAnsi="Times New Roman" w:cs="Times New Roman"/>
          <w:sz w:val="16"/>
          <w:szCs w:val="16"/>
          <w:lang w:val="en-GB"/>
        </w:rPr>
        <w:t>0</w:t>
      </w:r>
      <w:r w:rsidRPr="00A14942">
        <w:rPr>
          <w:rFonts w:ascii="Times New Roman" w:hAnsi="Times New Roman" w:cs="Times New Roman"/>
          <w:sz w:val="16"/>
          <w:szCs w:val="16"/>
          <w:lang w:val="en-GB"/>
        </w:rPr>
        <w:t xml:space="preserve">% RRMS patients. </w:t>
      </w:r>
      <w:r w:rsidRPr="00A14942">
        <w:rPr>
          <w:rFonts w:ascii="Times New Roman" w:hAnsi="Times New Roman" w:cs="Times New Roman"/>
          <w:sz w:val="16"/>
          <w:szCs w:val="16"/>
        </w:rPr>
        <w:t>S</w:t>
      </w:r>
      <w:proofErr w:type="spellStart"/>
      <w:r w:rsidRPr="00A14942">
        <w:rPr>
          <w:rFonts w:ascii="Times New Roman" w:hAnsi="Times New Roman" w:cs="Times New Roman"/>
          <w:sz w:val="16"/>
          <w:szCs w:val="16"/>
          <w:lang w:val="en-GB"/>
        </w:rPr>
        <w:t>tudies</w:t>
      </w:r>
      <w:proofErr w:type="spellEnd"/>
      <w:r w:rsidRPr="00A14942">
        <w:rPr>
          <w:rFonts w:ascii="Times New Roman" w:hAnsi="Times New Roman" w:cs="Times New Roman"/>
          <w:sz w:val="16"/>
          <w:szCs w:val="16"/>
          <w:lang w:val="en-GB"/>
        </w:rPr>
        <w:t xml:space="preserve"> which included patients with PRMS disease were considered relevant, as the publication of several pivotal trials in multiple sclerosis predates the publication of revised MS courses in 2014.</w:t>
      </w:r>
      <w:r w:rsidRPr="00A14942">
        <w:rPr>
          <w:rFonts w:ascii="Times New Roman" w:hAnsi="Times New Roman" w:cs="Times New Roman"/>
          <w:sz w:val="16"/>
          <w:szCs w:val="16"/>
          <w:lang w:val="en-GB"/>
        </w:rPr>
        <w:fldChar w:fldCharType="begin">
          <w:fldData xml:space="preserve">PEVuZE5vdGU+PENpdGU+PEF1dGhvcj5MdWJsaW48L0F1dGhvcj48WWVhcj4yMDE0PC9ZZWFyPjxS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==
</w:fldData>
        </w:fldChar>
      </w:r>
      <w:r w:rsidRPr="00A14942">
        <w:rPr>
          <w:rFonts w:ascii="Times New Roman" w:hAnsi="Times New Roman" w:cs="Times New Roman"/>
          <w:sz w:val="16"/>
          <w:szCs w:val="16"/>
          <w:lang w:val="en-GB"/>
        </w:rPr>
        <w:instrText xml:space="preserve"> ADDIN EN.CITE </w:instrText>
      </w:r>
      <w:r w:rsidRPr="00A14942">
        <w:rPr>
          <w:rFonts w:ascii="Times New Roman" w:hAnsi="Times New Roman" w:cs="Times New Roman"/>
          <w:sz w:val="16"/>
          <w:szCs w:val="16"/>
          <w:lang w:val="en-GB"/>
        </w:rPr>
        <w:fldChar w:fldCharType="begin">
          <w:fldData xml:space="preserve">PEVuZE5vdGU+PENpdGU+PEF1dGhvcj5MdWJsaW48L0F1dGhvcj48WWVhcj4yMDE0PC9ZZWFyPjxS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==
</w:fldData>
        </w:fldChar>
      </w:r>
      <w:r w:rsidRPr="00A14942">
        <w:rPr>
          <w:rFonts w:ascii="Times New Roman" w:hAnsi="Times New Roman" w:cs="Times New Roman"/>
          <w:sz w:val="16"/>
          <w:szCs w:val="16"/>
          <w:lang w:val="en-GB"/>
        </w:rPr>
        <w:instrText xml:space="preserve"> ADDIN EN.CITE.DATA </w:instrText>
      </w:r>
      <w:r w:rsidRPr="00A14942">
        <w:rPr>
          <w:rFonts w:ascii="Times New Roman" w:hAnsi="Times New Roman" w:cs="Times New Roman"/>
          <w:sz w:val="16"/>
          <w:szCs w:val="16"/>
          <w:lang w:val="en-GB"/>
        </w:rPr>
      </w:r>
      <w:r w:rsidRPr="00A14942">
        <w:rPr>
          <w:rFonts w:ascii="Times New Roman" w:hAnsi="Times New Roman" w:cs="Times New Roman"/>
          <w:sz w:val="16"/>
          <w:szCs w:val="16"/>
          <w:lang w:val="en-GB"/>
        </w:rPr>
        <w:fldChar w:fldCharType="end"/>
      </w:r>
      <w:r w:rsidRPr="00A14942">
        <w:rPr>
          <w:rFonts w:ascii="Times New Roman" w:hAnsi="Times New Roman" w:cs="Times New Roman"/>
          <w:sz w:val="16"/>
          <w:szCs w:val="16"/>
          <w:lang w:val="en-GB"/>
        </w:rPr>
      </w:r>
      <w:r w:rsidRPr="00A14942">
        <w:rPr>
          <w:rFonts w:ascii="Times New Roman" w:hAnsi="Times New Roman" w:cs="Times New Roman"/>
          <w:sz w:val="16"/>
          <w:szCs w:val="16"/>
          <w:lang w:val="en-GB"/>
        </w:rPr>
        <w:fldChar w:fldCharType="separate"/>
      </w:r>
      <w:r w:rsidRPr="00A14942">
        <w:rPr>
          <w:rFonts w:ascii="Times New Roman" w:hAnsi="Times New Roman" w:cs="Times New Roman"/>
          <w:noProof/>
          <w:sz w:val="16"/>
          <w:szCs w:val="16"/>
          <w:vertAlign w:val="superscript"/>
          <w:lang w:val="en-GB"/>
        </w:rPr>
        <w:t>29</w:t>
      </w:r>
      <w:r w:rsidRPr="00A14942">
        <w:rPr>
          <w:rFonts w:ascii="Times New Roman" w:hAnsi="Times New Roman" w:cs="Times New Roman"/>
          <w:sz w:val="16"/>
          <w:szCs w:val="16"/>
          <w:lang w:val="en-GB"/>
        </w:rPr>
        <w:fldChar w:fldCharType="end"/>
      </w:r>
    </w:p>
    <w:p w14:paraId="4AEC1C69" w14:textId="5A05D598" w:rsidR="00160246" w:rsidRPr="00A14942" w:rsidRDefault="00160246" w:rsidP="00160246">
      <w:pPr>
        <w:spacing w:after="0"/>
        <w:rPr>
          <w:rFonts w:ascii="Times New Roman" w:eastAsia="Times New Roman" w:hAnsi="Times New Roman" w:cs="Times New Roman"/>
          <w:sz w:val="16"/>
          <w:szCs w:val="16"/>
          <w:lang w:val="en-GB" w:eastAsia="en-CA"/>
        </w:rPr>
      </w:pPr>
      <w:r w:rsidRPr="00A14942">
        <w:rPr>
          <w:rFonts w:ascii="Times New Roman" w:hAnsi="Times New Roman" w:cs="Times New Roman"/>
          <w:b/>
          <w:bCs/>
          <w:sz w:val="16"/>
          <w:szCs w:val="16"/>
          <w:lang w:val="en-GB"/>
        </w:rPr>
        <w:t>**</w:t>
      </w:r>
      <w:r w:rsidRPr="00A14942">
        <w:rPr>
          <w:rFonts w:ascii="Times New Roman" w:eastAsia="Times New Roman" w:hAnsi="Times New Roman" w:cs="Times New Roman"/>
          <w:sz w:val="16"/>
          <w:szCs w:val="16"/>
          <w:lang w:val="en-GB" w:eastAsia="en-CA"/>
        </w:rPr>
        <w:t xml:space="preserve"> For trials where treatment switching occurred, </w:t>
      </w:r>
      <w:r w:rsidRPr="00A14942">
        <w:rPr>
          <w:rFonts w:ascii="Times New Roman" w:hAnsi="Times New Roman" w:cs="Times New Roman"/>
          <w:sz w:val="16"/>
          <w:szCs w:val="16"/>
        </w:rPr>
        <w:t>all data prior to treatment switching were considered eligible</w:t>
      </w:r>
      <w:r w:rsidRPr="00A14942">
        <w:rPr>
          <w:rFonts w:ascii="Times New Roman" w:eastAsia="Times New Roman" w:hAnsi="Times New Roman" w:cs="Times New Roman"/>
          <w:sz w:val="16"/>
          <w:szCs w:val="16"/>
          <w:lang w:val="en-GB" w:eastAsia="en-CA"/>
        </w:rPr>
        <w:t>.</w:t>
      </w:r>
    </w:p>
    <w:p w14:paraId="5F0AD247" w14:textId="77777777" w:rsidR="00160246" w:rsidRPr="00A14942" w:rsidRDefault="00160246" w:rsidP="00160246">
      <w:pPr>
        <w:spacing w:after="0"/>
        <w:rPr>
          <w:rFonts w:ascii="Times New Roman" w:eastAsia="Times New Roman" w:hAnsi="Times New Roman" w:cs="Times New Roman"/>
          <w:sz w:val="16"/>
          <w:szCs w:val="16"/>
          <w:lang w:val="en-GB" w:eastAsia="en-CA"/>
        </w:rPr>
      </w:pPr>
      <w:r w:rsidRPr="00A14942">
        <w:rPr>
          <w:rFonts w:ascii="Times New Roman" w:eastAsia="Malgun Gothic" w:hAnsi="Times New Roman" w:cs="Times New Roman"/>
          <w:b/>
          <w:bCs/>
          <w:kern w:val="24"/>
          <w:vertAlign w:val="superscript"/>
          <w:lang w:val="en-GB" w:eastAsia="en-CA"/>
        </w:rPr>
        <w:t>†</w:t>
      </w:r>
      <w:r w:rsidRPr="00A14942">
        <w:rPr>
          <w:rFonts w:ascii="Times New Roman" w:eastAsia="Malgun Gothic" w:hAnsi="Times New Roman" w:cs="Times New Roman"/>
          <w:b/>
          <w:bCs/>
          <w:kern w:val="24"/>
          <w:sz w:val="20"/>
          <w:vertAlign w:val="superscript"/>
          <w:lang w:val="en-GB" w:eastAsia="en-CA"/>
        </w:rPr>
        <w:t xml:space="preserve"> </w:t>
      </w:r>
      <w:r w:rsidRPr="00A14942">
        <w:rPr>
          <w:rFonts w:ascii="Times New Roman" w:eastAsia="Malgun Gothic" w:hAnsi="Times New Roman" w:cs="Times New Roman"/>
          <w:kern w:val="24"/>
          <w:sz w:val="16"/>
          <w:szCs w:val="16"/>
          <w:lang w:val="en-GB" w:eastAsia="en-CA"/>
        </w:rPr>
        <w:t>Searches were not restricted by language. Language was verified</w:t>
      </w:r>
      <w:r w:rsidRPr="00A14942">
        <w:rPr>
          <w:rFonts w:ascii="Times New Roman" w:eastAsia="Times New Roman" w:hAnsi="Times New Roman" w:cs="Times New Roman"/>
          <w:sz w:val="16"/>
          <w:szCs w:val="16"/>
          <w:lang w:val="en-GB" w:eastAsia="en-CA"/>
        </w:rPr>
        <w:t xml:space="preserve"> during screening phase</w:t>
      </w:r>
    </w:p>
    <w:p w14:paraId="6AF50C14" w14:textId="77777777" w:rsidR="00B145B9" w:rsidRPr="00A14942" w:rsidRDefault="00B145B9" w:rsidP="00B145B9">
      <w:pPr>
        <w:rPr>
          <w:rFonts w:ascii="Times New Roman" w:hAnsi="Times New Roman" w:cs="Times New Roman"/>
          <w:sz w:val="16"/>
          <w:szCs w:val="14"/>
          <w:lang w:bidi="ar-SA"/>
        </w:rPr>
      </w:pPr>
      <w:r w:rsidRPr="00A14942">
        <w:rPr>
          <w:rFonts w:ascii="Times New Roman" w:hAnsi="Times New Roman" w:cs="Times New Roman"/>
          <w:sz w:val="16"/>
          <w:szCs w:val="14"/>
          <w:lang w:bidi="ar-SA"/>
        </w:rPr>
        <w:t xml:space="preserve">Note: The first iteration of this review included a large number of clinical and safety </w:t>
      </w:r>
      <w:proofErr w:type="gramStart"/>
      <w:r w:rsidRPr="00A14942">
        <w:rPr>
          <w:rFonts w:ascii="Times New Roman" w:hAnsi="Times New Roman" w:cs="Times New Roman"/>
          <w:sz w:val="16"/>
          <w:szCs w:val="14"/>
          <w:lang w:bidi="ar-SA"/>
        </w:rPr>
        <w:t>outcomes, and</w:t>
      </w:r>
      <w:proofErr w:type="gramEnd"/>
      <w:r w:rsidRPr="00A14942">
        <w:rPr>
          <w:rFonts w:ascii="Times New Roman" w:hAnsi="Times New Roman" w:cs="Times New Roman"/>
          <w:sz w:val="16"/>
          <w:szCs w:val="14"/>
          <w:lang w:bidi="ar-SA"/>
        </w:rPr>
        <w:t xml:space="preserve"> did not restrict based on subtype of relapsing multiple sclerosis (RMS). The final iteration was focused on citations reporting brain volume loss (BVL) or combined unique active lesions (CUAL), in populations comprised of ≥80% relapsing-remitting multiple sclerosis (RRMS) patients. Only outcome data pertaining to BVL are considered in this report.</w:t>
      </w:r>
    </w:p>
    <w:p w14:paraId="2A20C1CC" w14:textId="24CF0197" w:rsidR="00DC0E50" w:rsidRPr="00A14942" w:rsidRDefault="00160246" w:rsidP="00B145B9">
      <w:pPr>
        <w:spacing w:after="480"/>
        <w:rPr>
          <w:rFonts w:ascii="Times New Roman" w:hAnsi="Times New Roman" w:cs="Times New Roman"/>
          <w:lang w:bidi="ar-SA"/>
        </w:rPr>
      </w:pPr>
      <w:r w:rsidRPr="00A14942">
        <w:rPr>
          <w:rFonts w:ascii="Times New Roman" w:hAnsi="Times New Roman" w:cs="Times New Roman"/>
          <w:sz w:val="16"/>
          <w:szCs w:val="16"/>
          <w:lang w:val="en-GB"/>
        </w:rPr>
        <w:t>KEY: BPF = brain parenchymal fraction, BVL = brain volume loss, CIS = clinically isolated syndrome, CUAL = combine unique active lesion,  PICOS = population, intervention, comparator, and study design, PPMS = primary progressive multiple sclerosis, PRMS = progressive relapsing multiple sclerosis, RCT = randomized controlled trials, RRMS = relapsing-remitting multiple sclerosis, SIENA = Structural Image Evaluation, using Normalisation, of Atrophy; SPMS = secondary progressive multiple sclerosis.</w:t>
      </w:r>
    </w:p>
    <w:p w14:paraId="64BE5D09" w14:textId="7F739DF2" w:rsidR="00623EAC" w:rsidRPr="00A14942" w:rsidRDefault="00623EAC" w:rsidP="00223A29">
      <w:pPr>
        <w:pStyle w:val="Heading1"/>
        <w:pageBreakBefore/>
        <w:ind w:left="965" w:hanging="965"/>
        <w:rPr>
          <w:rFonts w:ascii="Times New Roman" w:hAnsi="Times New Roman" w:cs="Times New Roman"/>
        </w:rPr>
      </w:pPr>
      <w:bookmarkStart w:id="15" w:name="_Toc130240180"/>
      <w:r w:rsidRPr="00A14942">
        <w:rPr>
          <w:rFonts w:ascii="Times New Roman" w:hAnsi="Times New Roman" w:cs="Times New Roman"/>
        </w:rPr>
        <w:lastRenderedPageBreak/>
        <w:t xml:space="preserve">Indirect </w:t>
      </w:r>
      <w:r w:rsidR="00DC12BB" w:rsidRPr="00A14942">
        <w:rPr>
          <w:rFonts w:ascii="Times New Roman" w:hAnsi="Times New Roman" w:cs="Times New Roman"/>
        </w:rPr>
        <w:t>treatment comparison</w:t>
      </w:r>
      <w:r w:rsidR="00791794">
        <w:rPr>
          <w:rFonts w:ascii="Times New Roman" w:hAnsi="Times New Roman" w:cs="Times New Roman"/>
        </w:rPr>
        <w:t xml:space="preserve"> methods</w:t>
      </w:r>
      <w:bookmarkEnd w:id="15"/>
    </w:p>
    <w:p w14:paraId="1B3CBDF1" w14:textId="5A86956D" w:rsidR="00623EAC" w:rsidRPr="00A14942" w:rsidRDefault="00623EAC" w:rsidP="00223A29">
      <w:pPr>
        <w:pStyle w:val="Heading2"/>
        <w:rPr>
          <w:rFonts w:ascii="Times New Roman" w:hAnsi="Times New Roman" w:cs="Times New Roman"/>
        </w:rPr>
      </w:pPr>
      <w:bookmarkStart w:id="16" w:name="_Toc130240181"/>
      <w:r w:rsidRPr="00A14942">
        <w:rPr>
          <w:rFonts w:ascii="Times New Roman" w:hAnsi="Times New Roman" w:cs="Times New Roman"/>
        </w:rPr>
        <w:t>Model-based meta-analysis (MBMA)</w:t>
      </w:r>
      <w:bookmarkEnd w:id="16"/>
    </w:p>
    <w:p w14:paraId="0E1909E8" w14:textId="4018EAEE" w:rsidR="00CA063D" w:rsidRPr="00A14942" w:rsidRDefault="00CA063D" w:rsidP="00CA063D">
      <w:pPr>
        <w:spacing w:line="480" w:lineRule="auto"/>
        <w:rPr>
          <w:rFonts w:ascii="Times New Roman" w:hAnsi="Times New Roman" w:cs="Times New Roman"/>
        </w:rPr>
      </w:pPr>
      <w:r w:rsidRPr="00A14942">
        <w:rPr>
          <w:rFonts w:ascii="Times New Roman" w:hAnsi="Times New Roman" w:cs="Times New Roman"/>
        </w:rPr>
        <w:t xml:space="preserve">All models were compared using the </w:t>
      </w:r>
      <w:proofErr w:type="spellStart"/>
      <w:r w:rsidRPr="00A14942">
        <w:rPr>
          <w:rFonts w:ascii="Times New Roman" w:hAnsi="Times New Roman" w:cs="Times New Roman"/>
        </w:rPr>
        <w:t>anova</w:t>
      </w:r>
      <w:proofErr w:type="spellEnd"/>
      <w:r w:rsidRPr="00A14942">
        <w:rPr>
          <w:rFonts w:ascii="Times New Roman" w:hAnsi="Times New Roman" w:cs="Times New Roman"/>
        </w:rPr>
        <w:t>() function (R “stats” library), and the most parsimonious model was selected according to the lowest Bayesian Information Criteria (BIC) values.</w:t>
      </w:r>
    </w:p>
    <w:p w14:paraId="719DC4FF" w14:textId="77777777" w:rsidR="00CA063D" w:rsidRPr="00A14942" w:rsidRDefault="00CA063D" w:rsidP="00CA063D">
      <w:pPr>
        <w:spacing w:line="480" w:lineRule="auto"/>
        <w:rPr>
          <w:rFonts w:ascii="Times New Roman" w:hAnsi="Times New Roman" w:cs="Times New Roman"/>
        </w:rPr>
      </w:pPr>
      <w:r w:rsidRPr="00A14942">
        <w:rPr>
          <w:rFonts w:ascii="Times New Roman" w:hAnsi="Times New Roman" w:cs="Times New Roman"/>
        </w:rPr>
        <w:t>The structural model for BVL was based on the following equation:</w:t>
      </w:r>
    </w:p>
    <w:p w14:paraId="4C9B61EC" w14:textId="77777777" w:rsidR="00CA063D" w:rsidRPr="00A14942" w:rsidRDefault="002E74AB" w:rsidP="00CA063D">
      <w:pPr>
        <w:pStyle w:val="Caption"/>
        <w:spacing w:line="480" w:lineRule="auto"/>
        <w:ind w:left="0" w:right="90" w:firstLine="0"/>
        <w:rPr>
          <w:b w:val="0"/>
          <w:iCs w:val="0"/>
          <w:color w:val="000000" w:themeColor="text1"/>
          <w:sz w:val="24"/>
          <w:szCs w:val="24"/>
        </w:rPr>
      </w:pPr>
      <m:oMathPara>
        <m:oMath>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m:t>
              </m:r>
              <m:r>
                <m:rPr>
                  <m:sty m:val="bi"/>
                </m:rPr>
                <w:rPr>
                  <w:rFonts w:ascii="Cambria Math" w:hAnsi="Cambria Math"/>
                  <w:color w:val="000000" w:themeColor="text1"/>
                  <w:sz w:val="24"/>
                  <w:szCs w:val="24"/>
                  <w:lang w:val="en-IN"/>
                </w:rPr>
                <m:t>BVL</m:t>
              </m:r>
            </m:e>
            <m:sub>
              <m:r>
                <m:rPr>
                  <m:sty m:val="bi"/>
                </m:rPr>
                <w:rPr>
                  <w:rFonts w:ascii="Cambria Math" w:hAnsi="Cambria Math"/>
                  <w:color w:val="000000" w:themeColor="text1"/>
                  <w:sz w:val="24"/>
                  <w:szCs w:val="24"/>
                  <w:lang w:val="en-IN"/>
                </w:rPr>
                <m:t>ijk</m:t>
              </m:r>
            </m:sub>
          </m:sSub>
          <m:r>
            <m:rPr>
              <m:sty m:val="bi"/>
            </m:rPr>
            <w:rPr>
              <w:rFonts w:ascii="Cambria Math" w:hAnsi="Cambria Math"/>
              <w:color w:val="000000" w:themeColor="text1"/>
              <w:sz w:val="24"/>
              <w:szCs w:val="24"/>
              <w:lang w:val="en-IN"/>
            </w:rPr>
            <m:t>=</m:t>
          </m:r>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pbo</m:t>
              </m:r>
              <m:r>
                <m:rPr>
                  <m:sty m:val="bi"/>
                </m:rPr>
                <w:rPr>
                  <w:rFonts w:ascii="Cambria Math" w:hAnsi="Cambria Math"/>
                  <w:color w:val="000000" w:themeColor="text1"/>
                  <w:sz w:val="24"/>
                  <w:szCs w:val="24"/>
                  <w:lang w:val="en-IN"/>
                </w:rPr>
                <m:t>.</m:t>
              </m:r>
              <m:r>
                <m:rPr>
                  <m:sty m:val="bi"/>
                </m:rPr>
                <w:rPr>
                  <w:rFonts w:ascii="Cambria Math" w:hAnsi="Cambria Math"/>
                  <w:color w:val="000000" w:themeColor="text1"/>
                  <w:sz w:val="24"/>
                  <w:szCs w:val="24"/>
                  <w:lang w:val="en-IN"/>
                </w:rPr>
                <m:t>eff</m:t>
              </m:r>
            </m:e>
            <m:sub>
              <m:r>
                <m:rPr>
                  <m:sty m:val="bi"/>
                </m:rPr>
                <w:rPr>
                  <w:rFonts w:ascii="Cambria Math" w:hAnsi="Cambria Math"/>
                  <w:color w:val="000000" w:themeColor="text1"/>
                  <w:sz w:val="24"/>
                  <w:szCs w:val="24"/>
                  <w:lang w:val="en-IN"/>
                </w:rPr>
                <m:t>ik</m:t>
              </m:r>
            </m:sub>
          </m:sSub>
          <m:r>
            <m:rPr>
              <m:sty m:val="b"/>
            </m:rPr>
            <w:rPr>
              <w:rFonts w:ascii="Cambria Math" w:hAnsi="Cambria Math"/>
              <w:color w:val="000000" w:themeColor="text1"/>
              <w:sz w:val="24"/>
              <w:szCs w:val="24"/>
              <w:lang w:val="en-IN"/>
            </w:rPr>
            <m:t>+</m:t>
          </m:r>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drg</m:t>
              </m:r>
              <m:r>
                <m:rPr>
                  <m:sty m:val="bi"/>
                </m:rPr>
                <w:rPr>
                  <w:rFonts w:ascii="Cambria Math" w:hAnsi="Cambria Math"/>
                  <w:color w:val="000000" w:themeColor="text1"/>
                  <w:sz w:val="24"/>
                  <w:szCs w:val="24"/>
                  <w:lang w:val="en-IN"/>
                </w:rPr>
                <m:t>.</m:t>
              </m:r>
              <m:r>
                <m:rPr>
                  <m:sty m:val="bi"/>
                </m:rPr>
                <w:rPr>
                  <w:rFonts w:ascii="Cambria Math" w:hAnsi="Cambria Math"/>
                  <w:color w:val="000000" w:themeColor="text1"/>
                  <w:sz w:val="24"/>
                  <w:szCs w:val="24"/>
                  <w:lang w:val="en-IN"/>
                </w:rPr>
                <m:t>eff</m:t>
              </m:r>
            </m:e>
            <m:sub>
              <m:r>
                <m:rPr>
                  <m:sty m:val="bi"/>
                </m:rPr>
                <w:rPr>
                  <w:rFonts w:ascii="Cambria Math" w:hAnsi="Cambria Math"/>
                  <w:color w:val="000000" w:themeColor="text1"/>
                  <w:sz w:val="24"/>
                  <w:szCs w:val="24"/>
                  <w:lang w:val="en-IN"/>
                </w:rPr>
                <m:t>d</m:t>
              </m:r>
              <m:r>
                <m:rPr>
                  <m:sty m:val="bi"/>
                </m:rPr>
                <w:rPr>
                  <w:rFonts w:ascii="Cambria Math" w:hAnsi="Cambria Math"/>
                  <w:color w:val="000000" w:themeColor="text1"/>
                  <w:sz w:val="24"/>
                  <w:szCs w:val="24"/>
                  <w:lang w:val="en-IN"/>
                </w:rPr>
                <m:t>,</m:t>
              </m:r>
              <m:r>
                <m:rPr>
                  <m:sty m:val="bi"/>
                </m:rPr>
                <w:rPr>
                  <w:rFonts w:ascii="Cambria Math" w:hAnsi="Cambria Math"/>
                  <w:color w:val="000000" w:themeColor="text1"/>
                  <w:sz w:val="24"/>
                  <w:szCs w:val="24"/>
                  <w:lang w:val="en-IN"/>
                </w:rPr>
                <m:t>ref</m:t>
              </m:r>
            </m:sub>
          </m:sSub>
          <m:r>
            <m:rPr>
              <m:sty m:val="b"/>
            </m:rPr>
            <w:rPr>
              <w:rFonts w:ascii="Cambria Math" w:hAnsi="Cambria Math"/>
              <w:color w:val="000000" w:themeColor="text1"/>
              <w:sz w:val="24"/>
              <w:szCs w:val="24"/>
              <w:lang w:val="en-IN"/>
            </w:rPr>
            <m:t>∙</m:t>
          </m:r>
          <m:sSup>
            <m:sSupPr>
              <m:ctrlPr>
                <w:rPr>
                  <w:rFonts w:ascii="Cambria Math" w:hAnsi="Cambria Math"/>
                  <w:color w:val="000000" w:themeColor="text1"/>
                  <w:sz w:val="24"/>
                  <w:szCs w:val="24"/>
                  <w:lang w:val="en-IN"/>
                </w:rPr>
              </m:ctrlPr>
            </m:sSupPr>
            <m:e>
              <m:d>
                <m:dPr>
                  <m:ctrlPr>
                    <w:rPr>
                      <w:rFonts w:ascii="Cambria Math" w:hAnsi="Cambria Math"/>
                      <w:color w:val="000000" w:themeColor="text1"/>
                      <w:sz w:val="24"/>
                      <w:szCs w:val="24"/>
                      <w:lang w:val="en-IN"/>
                    </w:rPr>
                  </m:ctrlPr>
                </m:dPr>
                <m:e>
                  <m:f>
                    <m:fPr>
                      <m:ctrlPr>
                        <w:rPr>
                          <w:rFonts w:ascii="Cambria Math" w:hAnsi="Cambria Math"/>
                          <w:color w:val="000000" w:themeColor="text1"/>
                          <w:sz w:val="24"/>
                          <w:szCs w:val="24"/>
                          <w:lang w:val="en-IN"/>
                        </w:rPr>
                      </m:ctrlPr>
                    </m:fPr>
                    <m:num>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dose</m:t>
                          </m:r>
                        </m:e>
                        <m:sub>
                          <m:r>
                            <m:rPr>
                              <m:sty m:val="bi"/>
                            </m:rPr>
                            <w:rPr>
                              <w:rFonts w:ascii="Cambria Math" w:hAnsi="Cambria Math"/>
                              <w:color w:val="000000" w:themeColor="text1"/>
                              <w:sz w:val="24"/>
                              <w:szCs w:val="24"/>
                              <w:lang w:val="en-IN"/>
                            </w:rPr>
                            <m:t>ijd</m:t>
                          </m:r>
                        </m:sub>
                      </m:sSub>
                    </m:num>
                    <m:den>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dose</m:t>
                          </m:r>
                        </m:e>
                        <m:sub>
                          <m:r>
                            <m:rPr>
                              <m:sty m:val="bi"/>
                            </m:rPr>
                            <w:rPr>
                              <w:rFonts w:ascii="Cambria Math" w:hAnsi="Cambria Math"/>
                              <w:color w:val="000000" w:themeColor="text1"/>
                              <w:sz w:val="24"/>
                              <w:szCs w:val="24"/>
                              <w:lang w:val="en-IN"/>
                            </w:rPr>
                            <m:t>d</m:t>
                          </m:r>
                          <m:r>
                            <m:rPr>
                              <m:sty m:val="bi"/>
                            </m:rPr>
                            <w:rPr>
                              <w:rFonts w:ascii="Cambria Math" w:hAnsi="Cambria Math"/>
                              <w:color w:val="000000" w:themeColor="text1"/>
                              <w:sz w:val="24"/>
                              <w:szCs w:val="24"/>
                              <w:lang w:val="en-IN"/>
                            </w:rPr>
                            <m:t>,</m:t>
                          </m:r>
                          <m:r>
                            <m:rPr>
                              <m:sty m:val="bi"/>
                            </m:rPr>
                            <w:rPr>
                              <w:rFonts w:ascii="Cambria Math" w:hAnsi="Cambria Math"/>
                              <w:color w:val="000000" w:themeColor="text1"/>
                              <w:sz w:val="24"/>
                              <w:szCs w:val="24"/>
                              <w:lang w:val="en-IN"/>
                            </w:rPr>
                            <m:t>ref</m:t>
                          </m:r>
                        </m:sub>
                      </m:sSub>
                    </m:den>
                  </m:f>
                </m:e>
              </m:d>
            </m:e>
            <m:sup>
              <m:sSub>
                <m:sSubPr>
                  <m:ctrlPr>
                    <w:rPr>
                      <w:rFonts w:ascii="Cambria Math" w:hAnsi="Cambria Math"/>
                      <w:i/>
                      <w:color w:val="000000" w:themeColor="text1"/>
                      <w:sz w:val="24"/>
                      <w:szCs w:val="24"/>
                      <w:lang w:val="en-IN"/>
                    </w:rPr>
                  </m:ctrlPr>
                </m:sSubPr>
                <m:e>
                  <m:r>
                    <m:rPr>
                      <m:sty m:val="bi"/>
                    </m:rPr>
                    <w:rPr>
                      <w:rFonts w:ascii="Cambria Math" w:hAnsi="Cambria Math"/>
                      <w:color w:val="000000" w:themeColor="text1"/>
                      <w:sz w:val="24"/>
                      <w:szCs w:val="24"/>
                      <w:lang w:val="en-IN"/>
                    </w:rPr>
                    <m:t>α</m:t>
                  </m:r>
                </m:e>
                <m:sub>
                  <m:r>
                    <m:rPr>
                      <m:sty m:val="bi"/>
                    </m:rPr>
                    <w:rPr>
                      <w:rFonts w:ascii="Cambria Math" w:hAnsi="Cambria Math"/>
                      <w:color w:val="000000" w:themeColor="text1"/>
                      <w:sz w:val="24"/>
                      <w:szCs w:val="24"/>
                      <w:lang w:val="en-IN"/>
                    </w:rPr>
                    <m:t>d</m:t>
                  </m:r>
                </m:sub>
              </m:sSub>
            </m:sup>
          </m:sSup>
          <m:r>
            <m:rPr>
              <m:sty m:val="b"/>
            </m:rPr>
            <w:rPr>
              <w:rFonts w:ascii="Cambria Math" w:hAnsi="Cambria Math"/>
              <w:color w:val="000000" w:themeColor="text1"/>
              <w:sz w:val="24"/>
              <w:szCs w:val="24"/>
              <w:lang w:val="en-IN"/>
            </w:rPr>
            <m:t>∙</m:t>
          </m:r>
          <m:sSup>
            <m:sSupPr>
              <m:ctrlPr>
                <w:rPr>
                  <w:rFonts w:ascii="Cambria Math" w:hAnsi="Cambria Math"/>
                  <w:color w:val="000000" w:themeColor="text1"/>
                  <w:sz w:val="24"/>
                  <w:szCs w:val="24"/>
                  <w:lang w:val="en-IN"/>
                </w:rPr>
              </m:ctrlPr>
            </m:sSupPr>
            <m:e>
              <m:d>
                <m:dPr>
                  <m:ctrlPr>
                    <w:rPr>
                      <w:rFonts w:ascii="Cambria Math" w:hAnsi="Cambria Math"/>
                      <w:color w:val="000000" w:themeColor="text1"/>
                      <w:sz w:val="24"/>
                      <w:szCs w:val="24"/>
                      <w:lang w:val="en-IN"/>
                    </w:rPr>
                  </m:ctrlPr>
                </m:dPr>
                <m:e>
                  <m:f>
                    <m:fPr>
                      <m:ctrlPr>
                        <w:rPr>
                          <w:rFonts w:ascii="Cambria Math" w:hAnsi="Cambria Math"/>
                          <w:color w:val="000000" w:themeColor="text1"/>
                          <w:sz w:val="24"/>
                          <w:szCs w:val="24"/>
                          <w:lang w:val="en-IN"/>
                        </w:rPr>
                      </m:ctrlPr>
                    </m:fPr>
                    <m:num>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time</m:t>
                          </m:r>
                        </m:e>
                        <m:sub>
                          <m:r>
                            <m:rPr>
                              <m:sty m:val="bi"/>
                            </m:rPr>
                            <w:rPr>
                              <w:rFonts w:ascii="Cambria Math" w:hAnsi="Cambria Math"/>
                              <w:color w:val="000000" w:themeColor="text1"/>
                              <w:sz w:val="24"/>
                              <w:szCs w:val="24"/>
                              <w:lang w:val="en-IN"/>
                            </w:rPr>
                            <m:t>ijk</m:t>
                          </m:r>
                        </m:sub>
                      </m:sSub>
                    </m:num>
                    <m:den>
                      <m:r>
                        <m:rPr>
                          <m:sty m:val="bi"/>
                        </m:rPr>
                        <w:rPr>
                          <w:rFonts w:ascii="Cambria Math" w:hAnsi="Cambria Math"/>
                          <w:color w:val="000000" w:themeColor="text1"/>
                          <w:sz w:val="24"/>
                          <w:szCs w:val="24"/>
                          <w:lang w:val="en-IN"/>
                        </w:rPr>
                        <m:t>104</m:t>
                      </m:r>
                      <m:r>
                        <m:rPr>
                          <m:sty m:val="bi"/>
                        </m:rPr>
                        <w:rPr>
                          <w:rFonts w:ascii="Cambria Math" w:hAnsi="Cambria Math"/>
                          <w:color w:val="000000" w:themeColor="text1"/>
                          <w:sz w:val="24"/>
                          <w:szCs w:val="24"/>
                          <w:lang w:val="en-IN"/>
                        </w:rPr>
                        <m:t xml:space="preserve"> </m:t>
                      </m:r>
                      <m:r>
                        <m:rPr>
                          <m:sty m:val="bi"/>
                        </m:rPr>
                        <w:rPr>
                          <w:rFonts w:ascii="Cambria Math" w:hAnsi="Cambria Math"/>
                          <w:color w:val="000000" w:themeColor="text1"/>
                          <w:sz w:val="24"/>
                          <w:szCs w:val="24"/>
                          <w:lang w:val="en-IN"/>
                        </w:rPr>
                        <m:t>weeks</m:t>
                      </m:r>
                    </m:den>
                  </m:f>
                </m:e>
              </m:d>
            </m:e>
            <m:sup>
              <m:r>
                <m:rPr>
                  <m:sty m:val="bi"/>
                </m:rPr>
                <w:rPr>
                  <w:rFonts w:ascii="Cambria Math" w:hAnsi="Cambria Math"/>
                  <w:color w:val="000000" w:themeColor="text1"/>
                  <w:sz w:val="24"/>
                  <w:szCs w:val="24"/>
                  <w:lang w:val="en-IN"/>
                </w:rPr>
                <m:t>β</m:t>
              </m:r>
            </m:sup>
          </m:sSup>
          <m:r>
            <m:rPr>
              <m:sty m:val="b"/>
            </m:rPr>
            <w:rPr>
              <w:rFonts w:ascii="Cambria Math" w:hAnsi="Cambria Math"/>
              <w:color w:val="000000" w:themeColor="text1"/>
              <w:sz w:val="24"/>
              <w:szCs w:val="24"/>
              <w:lang w:val="en-IN"/>
            </w:rPr>
            <m:t>+</m:t>
          </m:r>
          <m:sSub>
            <m:sSubPr>
              <m:ctrlPr>
                <w:rPr>
                  <w:rFonts w:ascii="Cambria Math" w:hAnsi="Cambria Math"/>
                  <w:iCs w:val="0"/>
                  <w:color w:val="000000" w:themeColor="text1"/>
                  <w:sz w:val="24"/>
                  <w:szCs w:val="24"/>
                </w:rPr>
              </m:ctrlPr>
            </m:sSubPr>
            <m:e>
              <m:r>
                <m:rPr>
                  <m:sty m:val="bi"/>
                </m:rPr>
                <w:rPr>
                  <w:rFonts w:ascii="Cambria Math" w:hAnsi="Cambria Math"/>
                  <w:color w:val="000000" w:themeColor="text1"/>
                  <w:sz w:val="24"/>
                  <w:szCs w:val="24"/>
                </w:rPr>
                <m:t>SE</m:t>
              </m:r>
            </m:e>
            <m:sub>
              <m:r>
                <m:rPr>
                  <m:sty m:val="bi"/>
                </m:rPr>
                <w:rPr>
                  <w:rFonts w:ascii="Cambria Math" w:hAnsi="Cambria Math"/>
                  <w:color w:val="000000" w:themeColor="text1"/>
                  <w:sz w:val="24"/>
                  <w:szCs w:val="24"/>
                </w:rPr>
                <m:t>ijk</m:t>
              </m:r>
            </m:sub>
          </m:sSub>
          <m:r>
            <m:rPr>
              <m:sty m:val="b"/>
            </m:rPr>
            <w:rPr>
              <w:rFonts w:ascii="Cambria Math" w:hAnsi="Cambria Math"/>
              <w:color w:val="000000" w:themeColor="text1"/>
              <w:sz w:val="24"/>
              <w:szCs w:val="24"/>
              <w:lang w:val="en-IN"/>
            </w:rPr>
            <m:t>∙</m:t>
          </m:r>
          <m:sSub>
            <m:sSubPr>
              <m:ctrlPr>
                <w:rPr>
                  <w:rFonts w:ascii="Cambria Math" w:hAnsi="Cambria Math"/>
                  <w:i/>
                  <w:iCs w:val="0"/>
                  <w:color w:val="000000" w:themeColor="text1"/>
                  <w:sz w:val="24"/>
                  <w:szCs w:val="24"/>
                  <w:lang w:val="en-IN"/>
                </w:rPr>
              </m:ctrlPr>
            </m:sSubPr>
            <m:e>
              <m:r>
                <m:rPr>
                  <m:sty m:val="bi"/>
                </m:rPr>
                <w:rPr>
                  <w:rFonts w:ascii="Cambria Math" w:hAnsi="Cambria Math"/>
                  <w:color w:val="000000" w:themeColor="text1"/>
                  <w:sz w:val="24"/>
                  <w:szCs w:val="24"/>
                  <w:lang w:val="en-IN"/>
                </w:rPr>
                <m:t>ε</m:t>
              </m:r>
            </m:e>
            <m:sub>
              <m:r>
                <m:rPr>
                  <m:sty m:val="bi"/>
                </m:rPr>
                <w:rPr>
                  <w:rFonts w:ascii="Cambria Math" w:hAnsi="Cambria Math"/>
                  <w:color w:val="000000" w:themeColor="text1"/>
                  <w:sz w:val="24"/>
                  <w:szCs w:val="24"/>
                  <w:lang w:val="en-IN"/>
                </w:rPr>
                <m:t>ijk</m:t>
              </m:r>
            </m:sub>
          </m:sSub>
        </m:oMath>
      </m:oMathPara>
    </w:p>
    <w:p w14:paraId="00087B2C" w14:textId="2F9401B1" w:rsidR="00CA063D" w:rsidRPr="00A14942" w:rsidRDefault="00CA063D" w:rsidP="00CA063D">
      <w:pPr>
        <w:pStyle w:val="BodyText12"/>
        <w:tabs>
          <w:tab w:val="left" w:pos="284"/>
        </w:tabs>
        <w:spacing w:line="480" w:lineRule="auto"/>
        <w:rPr>
          <w:color w:val="000000" w:themeColor="text1"/>
          <w:sz w:val="22"/>
          <w:szCs w:val="18"/>
        </w:rPr>
      </w:pPr>
      <w:r w:rsidRPr="00A14942">
        <w:rPr>
          <w:color w:val="000000" w:themeColor="text1"/>
          <w:sz w:val="22"/>
          <w:szCs w:val="18"/>
        </w:rPr>
        <w:t xml:space="preserve">For the </w:t>
      </w:r>
      <w:proofErr w:type="spellStart"/>
      <w:r w:rsidRPr="00A14942">
        <w:rPr>
          <w:i/>
          <w:color w:val="000000" w:themeColor="text1"/>
          <w:sz w:val="22"/>
          <w:szCs w:val="18"/>
        </w:rPr>
        <w:t>i</w:t>
      </w:r>
      <w:r w:rsidRPr="00A14942">
        <w:rPr>
          <w:i/>
          <w:color w:val="000000" w:themeColor="text1"/>
          <w:sz w:val="22"/>
          <w:szCs w:val="18"/>
          <w:vertAlign w:val="superscript"/>
        </w:rPr>
        <w:t>th</w:t>
      </w:r>
      <w:proofErr w:type="spellEnd"/>
      <w:r w:rsidRPr="00A14942">
        <w:rPr>
          <w:color w:val="000000" w:themeColor="text1"/>
          <w:sz w:val="22"/>
          <w:szCs w:val="18"/>
        </w:rPr>
        <w:t xml:space="preserve"> trial, </w:t>
      </w:r>
      <w:proofErr w:type="spellStart"/>
      <w:r w:rsidRPr="00A14942">
        <w:rPr>
          <w:i/>
          <w:color w:val="000000" w:themeColor="text1"/>
          <w:sz w:val="22"/>
          <w:szCs w:val="18"/>
        </w:rPr>
        <w:t>j</w:t>
      </w:r>
      <w:r w:rsidRPr="00A14942">
        <w:rPr>
          <w:i/>
          <w:color w:val="000000" w:themeColor="text1"/>
          <w:sz w:val="22"/>
          <w:szCs w:val="18"/>
          <w:vertAlign w:val="superscript"/>
        </w:rPr>
        <w:t>th</w:t>
      </w:r>
      <w:proofErr w:type="spellEnd"/>
      <w:r w:rsidRPr="00A14942">
        <w:rPr>
          <w:color w:val="000000" w:themeColor="text1"/>
          <w:sz w:val="22"/>
          <w:szCs w:val="18"/>
        </w:rPr>
        <w:t xml:space="preserve"> treatment arm, </w:t>
      </w:r>
      <w:r w:rsidRPr="00A14942">
        <w:rPr>
          <w:i/>
          <w:color w:val="000000" w:themeColor="text1"/>
          <w:sz w:val="22"/>
          <w:szCs w:val="18"/>
        </w:rPr>
        <w:t>k</w:t>
      </w:r>
      <w:r w:rsidRPr="00A14942">
        <w:rPr>
          <w:i/>
          <w:color w:val="000000" w:themeColor="text1"/>
          <w:sz w:val="22"/>
          <w:szCs w:val="18"/>
          <w:vertAlign w:val="superscript"/>
        </w:rPr>
        <w:t>th</w:t>
      </w:r>
      <w:r w:rsidRPr="00A14942">
        <w:rPr>
          <w:color w:val="000000" w:themeColor="text1"/>
          <w:sz w:val="22"/>
          <w:szCs w:val="18"/>
        </w:rPr>
        <w:t xml:space="preserve"> timepoint, and </w:t>
      </w:r>
      <w:proofErr w:type="spellStart"/>
      <w:r w:rsidRPr="00A14942">
        <w:rPr>
          <w:i/>
          <w:iCs/>
          <w:color w:val="000000" w:themeColor="text1"/>
          <w:sz w:val="22"/>
          <w:szCs w:val="18"/>
        </w:rPr>
        <w:t>d</w:t>
      </w:r>
      <w:r w:rsidRPr="00A14942">
        <w:rPr>
          <w:i/>
          <w:iCs/>
          <w:color w:val="000000" w:themeColor="text1"/>
          <w:sz w:val="22"/>
          <w:szCs w:val="18"/>
          <w:vertAlign w:val="superscript"/>
        </w:rPr>
        <w:t>th</w:t>
      </w:r>
      <w:proofErr w:type="spellEnd"/>
      <w:r w:rsidRPr="00A14942">
        <w:rPr>
          <w:color w:val="000000" w:themeColor="text1"/>
          <w:sz w:val="22"/>
          <w:szCs w:val="18"/>
        </w:rPr>
        <w:t xml:space="preserve"> drug; </w:t>
      </w:r>
      <w:proofErr w:type="spellStart"/>
      <w:r w:rsidRPr="00A14942">
        <w:rPr>
          <w:i/>
          <w:color w:val="000000" w:themeColor="text1"/>
          <w:sz w:val="22"/>
          <w:szCs w:val="18"/>
        </w:rPr>
        <w:t>pbo.eff</w:t>
      </w:r>
      <w:proofErr w:type="spellEnd"/>
      <w:r w:rsidRPr="00A14942">
        <w:rPr>
          <w:color w:val="000000" w:themeColor="text1"/>
          <w:sz w:val="22"/>
          <w:szCs w:val="18"/>
        </w:rPr>
        <w:t xml:space="preserve"> represents percent BVL for placebo, estimated for each trial and timepoint in the dataset (unstructured placebo effect); </w:t>
      </w:r>
      <w:proofErr w:type="spellStart"/>
      <w:r w:rsidRPr="00A14942">
        <w:rPr>
          <w:i/>
          <w:color w:val="000000" w:themeColor="text1"/>
          <w:sz w:val="22"/>
          <w:szCs w:val="18"/>
        </w:rPr>
        <w:t>drg.eff</w:t>
      </w:r>
      <w:proofErr w:type="spellEnd"/>
      <w:r w:rsidRPr="00A14942">
        <w:rPr>
          <w:color w:val="000000" w:themeColor="text1"/>
          <w:sz w:val="22"/>
          <w:szCs w:val="18"/>
        </w:rPr>
        <w:t xml:space="preserve"> is the additional percent BVL shift from placebo for the </w:t>
      </w:r>
      <w:proofErr w:type="spellStart"/>
      <w:r w:rsidRPr="00A14942">
        <w:rPr>
          <w:i/>
          <w:iCs/>
          <w:color w:val="000000" w:themeColor="text1"/>
          <w:sz w:val="22"/>
          <w:szCs w:val="18"/>
        </w:rPr>
        <w:t>d</w:t>
      </w:r>
      <w:r w:rsidRPr="00A14942">
        <w:rPr>
          <w:i/>
          <w:iCs/>
          <w:color w:val="000000" w:themeColor="text1"/>
          <w:sz w:val="22"/>
          <w:szCs w:val="18"/>
          <w:vertAlign w:val="superscript"/>
        </w:rPr>
        <w:t>th</w:t>
      </w:r>
      <w:proofErr w:type="spellEnd"/>
      <w:r w:rsidRPr="00A14942">
        <w:rPr>
          <w:color w:val="000000" w:themeColor="text1"/>
          <w:sz w:val="22"/>
          <w:szCs w:val="18"/>
        </w:rPr>
        <w:t xml:space="preserve"> drug at the reference dose (</w:t>
      </w:r>
      <w:proofErr w:type="spellStart"/>
      <w:r w:rsidRPr="00A14942">
        <w:rPr>
          <w:i/>
          <w:iCs/>
          <w:color w:val="000000" w:themeColor="text1"/>
          <w:sz w:val="22"/>
          <w:szCs w:val="18"/>
        </w:rPr>
        <w:t>dose</w:t>
      </w:r>
      <w:r w:rsidRPr="00A14942">
        <w:rPr>
          <w:i/>
          <w:iCs/>
          <w:color w:val="000000" w:themeColor="text1"/>
          <w:sz w:val="22"/>
          <w:szCs w:val="18"/>
          <w:vertAlign w:val="subscript"/>
        </w:rPr>
        <w:t>ref</w:t>
      </w:r>
      <w:proofErr w:type="spellEnd"/>
      <w:r w:rsidRPr="00A14942">
        <w:rPr>
          <w:color w:val="000000" w:themeColor="text1"/>
          <w:sz w:val="22"/>
          <w:szCs w:val="18"/>
        </w:rPr>
        <w:t xml:space="preserve">); </w:t>
      </w:r>
      <w:r w:rsidRPr="00A14942">
        <w:rPr>
          <w:i/>
          <w:iCs/>
          <w:color w:val="000000" w:themeColor="text1"/>
          <w:sz w:val="22"/>
          <w:szCs w:val="18"/>
        </w:rPr>
        <w:t>α</w:t>
      </w:r>
      <w:r w:rsidRPr="00A14942">
        <w:rPr>
          <w:color w:val="000000" w:themeColor="text1"/>
          <w:sz w:val="22"/>
          <w:szCs w:val="18"/>
        </w:rPr>
        <w:t xml:space="preserve"> is the dose-response exponent for the </w:t>
      </w:r>
      <w:proofErr w:type="spellStart"/>
      <w:r w:rsidRPr="00A14942">
        <w:rPr>
          <w:i/>
          <w:iCs/>
          <w:color w:val="000000" w:themeColor="text1"/>
          <w:sz w:val="22"/>
          <w:szCs w:val="18"/>
        </w:rPr>
        <w:t>d</w:t>
      </w:r>
      <w:r w:rsidRPr="00A14942">
        <w:rPr>
          <w:i/>
          <w:iCs/>
          <w:color w:val="000000" w:themeColor="text1"/>
          <w:sz w:val="22"/>
          <w:szCs w:val="18"/>
          <w:vertAlign w:val="superscript"/>
        </w:rPr>
        <w:t>th</w:t>
      </w:r>
      <w:proofErr w:type="spellEnd"/>
      <w:r w:rsidRPr="00A14942">
        <w:rPr>
          <w:color w:val="000000" w:themeColor="text1"/>
          <w:sz w:val="22"/>
          <w:szCs w:val="18"/>
        </w:rPr>
        <w:t xml:space="preserve"> drug; </w:t>
      </w:r>
      <w:r w:rsidRPr="00A14942">
        <w:rPr>
          <w:i/>
          <w:iCs/>
          <w:color w:val="000000" w:themeColor="text1"/>
          <w:sz w:val="22"/>
          <w:szCs w:val="18"/>
        </w:rPr>
        <w:t>β</w:t>
      </w:r>
      <w:r w:rsidRPr="00A14942">
        <w:rPr>
          <w:color w:val="000000" w:themeColor="text1"/>
          <w:sz w:val="22"/>
          <w:szCs w:val="18"/>
        </w:rPr>
        <w:t xml:space="preserve"> is the exponent for the effect of time on relative treatment effect, shared by all drugs (with a reference at 104 weeks); </w:t>
      </w:r>
      <w:r w:rsidRPr="00A14942">
        <w:rPr>
          <w:i/>
          <w:color w:val="000000" w:themeColor="text1"/>
          <w:sz w:val="22"/>
          <w:szCs w:val="18"/>
        </w:rPr>
        <w:t>ε</w:t>
      </w:r>
      <w:r w:rsidRPr="00A14942">
        <w:rPr>
          <w:color w:val="000000" w:themeColor="text1"/>
          <w:sz w:val="22"/>
          <w:szCs w:val="18"/>
        </w:rPr>
        <w:t xml:space="preserve"> is the unweighted residual error, </w:t>
      </w:r>
      <m:oMath>
        <m:r>
          <w:rPr>
            <w:rFonts w:ascii="Cambria Math" w:hAnsi="Cambria Math"/>
            <w:color w:val="000000" w:themeColor="text1"/>
            <w:sz w:val="22"/>
            <w:szCs w:val="18"/>
            <w:lang w:val="de-CH"/>
          </w:rPr>
          <m:t>ε</m:t>
        </m:r>
        <m:r>
          <w:rPr>
            <w:rFonts w:ascii="Cambria Math" w:hAnsi="Cambria Math"/>
            <w:color w:val="000000" w:themeColor="text1"/>
            <w:sz w:val="22"/>
            <w:szCs w:val="18"/>
          </w:rPr>
          <m:t>~</m:t>
        </m:r>
        <m:r>
          <w:rPr>
            <w:rFonts w:ascii="Cambria Math" w:hAnsi="Cambria Math"/>
            <w:color w:val="000000" w:themeColor="text1"/>
            <w:sz w:val="22"/>
            <w:szCs w:val="18"/>
            <w:lang w:val="de-CH"/>
          </w:rPr>
          <m:t>N</m:t>
        </m:r>
        <m:d>
          <m:dPr>
            <m:ctrlPr>
              <w:rPr>
                <w:rFonts w:ascii="Cambria Math" w:hAnsi="Cambria Math"/>
                <w:i/>
                <w:iCs/>
                <w:color w:val="000000" w:themeColor="text1"/>
                <w:sz w:val="22"/>
                <w:szCs w:val="18"/>
                <w:lang w:val="de-CH"/>
              </w:rPr>
            </m:ctrlPr>
          </m:dPr>
          <m:e>
            <m:r>
              <w:rPr>
                <w:rFonts w:ascii="Cambria Math" w:hAnsi="Cambria Math"/>
                <w:color w:val="000000" w:themeColor="text1"/>
                <w:sz w:val="22"/>
                <w:szCs w:val="18"/>
              </w:rPr>
              <m:t>0,1</m:t>
            </m:r>
          </m:e>
        </m:d>
      </m:oMath>
      <w:r w:rsidRPr="00A14942">
        <w:rPr>
          <w:color w:val="000000" w:themeColor="text1"/>
          <w:sz w:val="22"/>
          <w:szCs w:val="18"/>
        </w:rPr>
        <w:t xml:space="preserve">, </w:t>
      </w:r>
      <m:oMath>
        <m:r>
          <w:rPr>
            <w:rFonts w:ascii="Cambria Math" w:hAnsi="Cambria Math"/>
            <w:color w:val="000000" w:themeColor="text1"/>
            <w:sz w:val="22"/>
            <w:szCs w:val="18"/>
            <w:lang w:val="de-CH"/>
          </w:rPr>
          <m:t>corr</m:t>
        </m:r>
        <m:d>
          <m:dPr>
            <m:ctrlPr>
              <w:rPr>
                <w:rFonts w:ascii="Cambria Math" w:hAnsi="Cambria Math"/>
                <w:i/>
                <w:iCs/>
                <w:color w:val="000000" w:themeColor="text1"/>
                <w:sz w:val="22"/>
                <w:szCs w:val="18"/>
                <w:lang w:val="de-CH"/>
              </w:rPr>
            </m:ctrlPr>
          </m:dPr>
          <m:e>
            <m:sSub>
              <m:sSubPr>
                <m:ctrlPr>
                  <w:rPr>
                    <w:rFonts w:ascii="Cambria Math" w:hAnsi="Cambria Math"/>
                    <w:i/>
                    <w:iCs/>
                    <w:color w:val="000000" w:themeColor="text1"/>
                    <w:sz w:val="22"/>
                    <w:szCs w:val="18"/>
                    <w:lang w:val="de-CH"/>
                  </w:rPr>
                </m:ctrlPr>
              </m:sSubPr>
              <m:e>
                <m:r>
                  <w:rPr>
                    <w:rFonts w:ascii="Cambria Math" w:hAnsi="Cambria Math"/>
                    <w:color w:val="000000" w:themeColor="text1"/>
                    <w:sz w:val="22"/>
                    <w:szCs w:val="18"/>
                    <w:lang w:val="de-CH"/>
                  </w:rPr>
                  <m:t>ε</m:t>
                </m:r>
              </m:e>
              <m:sub>
                <m:r>
                  <w:rPr>
                    <w:rFonts w:ascii="Cambria Math" w:hAnsi="Cambria Math"/>
                    <w:color w:val="000000" w:themeColor="text1"/>
                    <w:sz w:val="22"/>
                    <w:szCs w:val="18"/>
                    <w:lang w:val="de-CH"/>
                  </w:rPr>
                  <m:t>k</m:t>
                </m:r>
              </m:sub>
            </m:sSub>
            <m:r>
              <w:rPr>
                <w:rFonts w:ascii="Cambria Math" w:hAnsi="Cambria Math"/>
                <w:color w:val="000000" w:themeColor="text1"/>
                <w:sz w:val="22"/>
                <w:szCs w:val="18"/>
              </w:rPr>
              <m:t>,</m:t>
            </m:r>
            <m:sSub>
              <m:sSubPr>
                <m:ctrlPr>
                  <w:rPr>
                    <w:rFonts w:ascii="Cambria Math" w:hAnsi="Cambria Math"/>
                    <w:i/>
                    <w:iCs/>
                    <w:color w:val="000000" w:themeColor="text1"/>
                    <w:sz w:val="22"/>
                    <w:szCs w:val="18"/>
                    <w:lang w:val="de-CH"/>
                  </w:rPr>
                </m:ctrlPr>
              </m:sSubPr>
              <m:e>
                <m:r>
                  <w:rPr>
                    <w:rFonts w:ascii="Cambria Math" w:hAnsi="Cambria Math"/>
                    <w:color w:val="000000" w:themeColor="text1"/>
                    <w:sz w:val="22"/>
                    <w:szCs w:val="18"/>
                    <w:lang w:val="de-CH"/>
                  </w:rPr>
                  <m:t>ε</m:t>
                </m:r>
              </m:e>
              <m:sub>
                <m:r>
                  <w:rPr>
                    <w:rFonts w:ascii="Cambria Math" w:hAnsi="Cambria Math"/>
                    <w:color w:val="000000" w:themeColor="text1"/>
                    <w:sz w:val="22"/>
                    <w:szCs w:val="18"/>
                    <w:lang w:val="de-CH"/>
                  </w:rPr>
                  <m:t>k</m:t>
                </m:r>
                <m:r>
                  <w:rPr>
                    <w:rFonts w:ascii="Cambria Math" w:hAnsi="Cambria Math"/>
                    <w:color w:val="000000" w:themeColor="text1"/>
                    <w:sz w:val="22"/>
                    <w:szCs w:val="18"/>
                  </w:rPr>
                  <m:t>+</m:t>
                </m:r>
                <m:r>
                  <w:rPr>
                    <w:rFonts w:ascii="Cambria Math" w:hAnsi="Cambria Math"/>
                    <w:color w:val="000000" w:themeColor="text1"/>
                    <w:sz w:val="22"/>
                    <w:szCs w:val="18"/>
                    <w:lang w:val="de-CH"/>
                  </w:rPr>
                  <m:t>δ</m:t>
                </m:r>
              </m:sub>
            </m:sSub>
          </m:e>
        </m:d>
        <m:r>
          <w:rPr>
            <w:rFonts w:ascii="Cambria Math" w:hAnsi="Cambria Math"/>
            <w:color w:val="000000" w:themeColor="text1"/>
            <w:sz w:val="22"/>
            <w:szCs w:val="18"/>
          </w:rPr>
          <m:t>=</m:t>
        </m:r>
        <m:sSup>
          <m:sSupPr>
            <m:ctrlPr>
              <w:rPr>
                <w:rFonts w:ascii="Cambria Math" w:hAnsi="Cambria Math"/>
                <w:i/>
                <w:iCs/>
                <w:color w:val="000000" w:themeColor="text1"/>
                <w:sz w:val="22"/>
                <w:szCs w:val="18"/>
                <w:lang w:val="de-CH"/>
              </w:rPr>
            </m:ctrlPr>
          </m:sSupPr>
          <m:e>
            <m:r>
              <w:rPr>
                <w:rFonts w:ascii="Cambria Math" w:hAnsi="Cambria Math"/>
                <w:color w:val="000000" w:themeColor="text1"/>
                <w:sz w:val="22"/>
                <w:szCs w:val="18"/>
                <w:lang w:val="de-CH"/>
              </w:rPr>
              <m:t>ρ</m:t>
            </m:r>
          </m:e>
          <m:sup>
            <m:r>
              <w:rPr>
                <w:rFonts w:ascii="Cambria Math" w:hAnsi="Cambria Math"/>
                <w:color w:val="000000" w:themeColor="text1"/>
                <w:sz w:val="22"/>
                <w:szCs w:val="18"/>
                <w:lang w:val="de-CH"/>
              </w:rPr>
              <m:t>δ</m:t>
            </m:r>
          </m:sup>
        </m:sSup>
      </m:oMath>
      <w:r w:rsidR="00144F5E" w:rsidRPr="00713F1E">
        <w:rPr>
          <w:iCs/>
          <w:color w:val="000000" w:themeColor="text1"/>
          <w:sz w:val="22"/>
          <w:szCs w:val="18"/>
        </w:rPr>
        <w:t>(</w:t>
      </w:r>
      <w:r w:rsidR="00144F5E">
        <w:rPr>
          <w:iCs/>
          <w:color w:val="000000" w:themeColor="text1"/>
          <w:sz w:val="22"/>
          <w:szCs w:val="18"/>
        </w:rPr>
        <w:t>δ in weeks)</w:t>
      </w:r>
      <w:r w:rsidRPr="00A14942">
        <w:rPr>
          <w:color w:val="000000" w:themeColor="text1"/>
          <w:sz w:val="22"/>
          <w:szCs w:val="18"/>
        </w:rPr>
        <w:t xml:space="preserve">; and </w:t>
      </w:r>
      <w:r w:rsidRPr="00A14942">
        <w:rPr>
          <w:i/>
          <w:iCs/>
          <w:color w:val="000000" w:themeColor="text1"/>
          <w:sz w:val="22"/>
          <w:szCs w:val="18"/>
        </w:rPr>
        <w:t>SE</w:t>
      </w:r>
      <w:r w:rsidRPr="00A14942">
        <w:rPr>
          <w:color w:val="000000" w:themeColor="text1"/>
          <w:sz w:val="22"/>
          <w:szCs w:val="18"/>
        </w:rPr>
        <w:t xml:space="preserve"> is a weighting factor equal to the reported or imputed standard error (SD/</w:t>
      </w:r>
      <m:oMath>
        <m:rad>
          <m:radPr>
            <m:degHide m:val="1"/>
            <m:ctrlPr>
              <w:rPr>
                <w:rFonts w:ascii="Cambria Math" w:hAnsi="Cambria Math"/>
                <w:i/>
                <w:color w:val="000000" w:themeColor="text1"/>
                <w:sz w:val="22"/>
                <w:szCs w:val="18"/>
              </w:rPr>
            </m:ctrlPr>
          </m:radPr>
          <m:deg/>
          <m:e>
            <m:r>
              <w:rPr>
                <w:rFonts w:ascii="Cambria Math" w:hAnsi="Cambria Math"/>
                <w:color w:val="000000" w:themeColor="text1"/>
                <w:sz w:val="22"/>
                <w:szCs w:val="18"/>
              </w:rPr>
              <m:t>N</m:t>
            </m:r>
          </m:e>
        </m:rad>
      </m:oMath>
      <w:r w:rsidRPr="00A14942">
        <w:rPr>
          <w:color w:val="000000" w:themeColor="text1"/>
          <w:sz w:val="22"/>
          <w:szCs w:val="18"/>
        </w:rPr>
        <w:t>).</w:t>
      </w:r>
      <w:r w:rsidRPr="00A14942" w:rsidDel="00622D8A">
        <w:rPr>
          <w:color w:val="000000" w:themeColor="text1"/>
          <w:sz w:val="22"/>
          <w:szCs w:val="18"/>
        </w:rPr>
        <w:t xml:space="preserve"> </w:t>
      </w:r>
    </w:p>
    <w:p w14:paraId="6069F1B1" w14:textId="77777777" w:rsidR="00CA063D" w:rsidRPr="00A14942" w:rsidRDefault="00CA063D" w:rsidP="00CA063D">
      <w:pPr>
        <w:spacing w:line="480" w:lineRule="auto"/>
        <w:rPr>
          <w:rFonts w:ascii="Times New Roman" w:hAnsi="Times New Roman" w:cs="Times New Roman"/>
          <w:bCs/>
          <w:color w:val="000000" w:themeColor="text1"/>
          <w:szCs w:val="22"/>
        </w:rPr>
      </w:pPr>
      <w:r w:rsidRPr="00A14942">
        <w:rPr>
          <w:rFonts w:ascii="Times New Roman" w:hAnsi="Times New Roman" w:cs="Times New Roman"/>
          <w:bCs/>
          <w:color w:val="000000" w:themeColor="text1"/>
          <w:szCs w:val="22"/>
        </w:rPr>
        <w:t>All parameter estimates also included uncertainty, as estimated using the asymptotic variance-covariance matrix (i.e., from the inverse of the Fisher information matrix). Simulations were performed by randomly sampling (from a multivariate normal distribution) 10,000 sets of model parameters with uncertainty and projecting distributions of percent BVL relative to placebo for each drug. Confidence intervals (CI) were then calculated based on the 2.5</w:t>
      </w:r>
      <w:r w:rsidRPr="00A14942">
        <w:rPr>
          <w:rFonts w:ascii="Times New Roman" w:hAnsi="Times New Roman" w:cs="Times New Roman"/>
          <w:bCs/>
          <w:color w:val="000000" w:themeColor="text1"/>
          <w:szCs w:val="22"/>
          <w:vertAlign w:val="superscript"/>
        </w:rPr>
        <w:t>th</w:t>
      </w:r>
      <w:r w:rsidRPr="00A14942">
        <w:rPr>
          <w:rFonts w:ascii="Times New Roman" w:hAnsi="Times New Roman" w:cs="Times New Roman"/>
          <w:bCs/>
          <w:color w:val="000000" w:themeColor="text1"/>
          <w:szCs w:val="22"/>
        </w:rPr>
        <w:t xml:space="preserve"> and 97.5</w:t>
      </w:r>
      <w:r w:rsidRPr="00A14942">
        <w:rPr>
          <w:rFonts w:ascii="Times New Roman" w:hAnsi="Times New Roman" w:cs="Times New Roman"/>
          <w:bCs/>
          <w:color w:val="000000" w:themeColor="text1"/>
          <w:szCs w:val="22"/>
          <w:vertAlign w:val="superscript"/>
        </w:rPr>
        <w:t>th</w:t>
      </w:r>
      <w:r w:rsidRPr="00A14942">
        <w:rPr>
          <w:rFonts w:ascii="Times New Roman" w:hAnsi="Times New Roman" w:cs="Times New Roman"/>
          <w:bCs/>
          <w:color w:val="000000" w:themeColor="text1"/>
          <w:szCs w:val="22"/>
        </w:rPr>
        <w:t xml:space="preserve"> percentiles of these projected distributions. A relative treatment effect was considered statistically significant if the 95% CI excluded no treatment effect.</w:t>
      </w:r>
    </w:p>
    <w:p w14:paraId="259BE23C" w14:textId="736AE6A2" w:rsidR="00623EAC" w:rsidRPr="00A14942" w:rsidRDefault="00623EAC" w:rsidP="00223A29">
      <w:pPr>
        <w:pStyle w:val="Heading2"/>
        <w:rPr>
          <w:rFonts w:ascii="Times New Roman" w:hAnsi="Times New Roman" w:cs="Times New Roman"/>
        </w:rPr>
      </w:pPr>
      <w:bookmarkStart w:id="17" w:name="_Toc130240182"/>
      <w:r w:rsidRPr="00A14942">
        <w:rPr>
          <w:rFonts w:ascii="Times New Roman" w:hAnsi="Times New Roman" w:cs="Times New Roman"/>
        </w:rPr>
        <w:t>Network meta-analysis (NMA)</w:t>
      </w:r>
      <w:bookmarkEnd w:id="17"/>
    </w:p>
    <w:p w14:paraId="1D4C640E" w14:textId="39FD8E31" w:rsidR="00CA063D" w:rsidRPr="00A14942" w:rsidRDefault="00CA063D" w:rsidP="00CA063D">
      <w:pPr>
        <w:spacing w:line="480" w:lineRule="auto"/>
        <w:rPr>
          <w:rFonts w:ascii="Times New Roman" w:hAnsi="Times New Roman" w:cs="Times New Roman"/>
          <w:lang w:val="en-GB"/>
        </w:rPr>
      </w:pPr>
      <w:r w:rsidRPr="007111D2">
        <w:rPr>
          <w:rFonts w:ascii="Times New Roman" w:hAnsi="Times New Roman" w:cs="Times New Roman"/>
          <w:lang w:val="en-GB"/>
        </w:rPr>
        <w:t>All analyses were performed using four unique sets of starting values and were based on 40,000 burn-in</w:t>
      </w:r>
      <w:r w:rsidR="00D449B7">
        <w:rPr>
          <w:rFonts w:ascii="Times New Roman" w:hAnsi="Times New Roman" w:cs="Times New Roman"/>
          <w:lang w:val="en-GB"/>
        </w:rPr>
        <w:t xml:space="preserve"> iteration</w:t>
      </w:r>
      <w:r w:rsidRPr="007111D2">
        <w:rPr>
          <w:rFonts w:ascii="Times New Roman" w:hAnsi="Times New Roman" w:cs="Times New Roman"/>
          <w:lang w:val="en-GB"/>
        </w:rPr>
        <w:t xml:space="preserve">s, </w:t>
      </w:r>
      <w:r w:rsidR="00086ECC">
        <w:rPr>
          <w:rFonts w:ascii="Times New Roman" w:hAnsi="Times New Roman" w:cs="Times New Roman"/>
          <w:lang w:val="en-GB"/>
        </w:rPr>
        <w:t>4</w:t>
      </w:r>
      <w:r w:rsidRPr="007111D2">
        <w:rPr>
          <w:rFonts w:ascii="Times New Roman" w:hAnsi="Times New Roman" w:cs="Times New Roman"/>
          <w:lang w:val="en-GB"/>
        </w:rPr>
        <w:t xml:space="preserve">0,000 </w:t>
      </w:r>
      <w:r w:rsidR="00D449B7">
        <w:rPr>
          <w:rFonts w:ascii="Times New Roman" w:hAnsi="Times New Roman" w:cs="Times New Roman"/>
          <w:lang w:val="en-GB"/>
        </w:rPr>
        <w:t xml:space="preserve">sampling </w:t>
      </w:r>
      <w:r w:rsidRPr="007111D2">
        <w:rPr>
          <w:rFonts w:ascii="Times New Roman" w:hAnsi="Times New Roman" w:cs="Times New Roman"/>
          <w:lang w:val="en-GB"/>
        </w:rPr>
        <w:t>iterations and a thinning of one (all sampled iterations were saved for each parameter).</w:t>
      </w:r>
      <w:r w:rsidRPr="00A14942">
        <w:rPr>
          <w:rFonts w:ascii="Times New Roman" w:hAnsi="Times New Roman" w:cs="Times New Roman"/>
          <w:lang w:val="en-GB"/>
        </w:rPr>
        <w:t xml:space="preserve"> </w:t>
      </w:r>
      <w:r w:rsidR="00B13D4B">
        <w:rPr>
          <w:rFonts w:ascii="Times New Roman" w:hAnsi="Times New Roman" w:cs="Times New Roman"/>
          <w:lang w:val="en-GB"/>
        </w:rPr>
        <w:t>A fixed effects model was used.</w:t>
      </w:r>
    </w:p>
    <w:p w14:paraId="671EDD5E" w14:textId="3E6BE02D" w:rsidR="00CA063D" w:rsidRDefault="00CA063D" w:rsidP="00CA063D">
      <w:pPr>
        <w:spacing w:line="480" w:lineRule="auto"/>
        <w:rPr>
          <w:rFonts w:ascii="Times New Roman" w:hAnsi="Times New Roman" w:cs="Times New Roman"/>
          <w:lang w:val="en-GB"/>
        </w:rPr>
      </w:pPr>
      <w:r w:rsidRPr="00A14942">
        <w:rPr>
          <w:rFonts w:ascii="Times New Roman" w:hAnsi="Times New Roman" w:cs="Times New Roman"/>
          <w:lang w:val="en-GB"/>
        </w:rPr>
        <w:lastRenderedPageBreak/>
        <w:t>Convergence was monitored quantitatively using the latest implementation of the Gelman-Rubin diagnostic (</w:t>
      </w:r>
      <w:proofErr w:type="spellStart"/>
      <w:r w:rsidRPr="00A14942">
        <w:rPr>
          <w:rFonts w:ascii="Times New Roman" w:hAnsi="Times New Roman" w:cs="Times New Roman"/>
          <w:lang w:val="en-GB"/>
        </w:rPr>
        <w:t>Rhat</w:t>
      </w:r>
      <w:proofErr w:type="spellEnd"/>
      <w:r w:rsidRPr="00A14942">
        <w:rPr>
          <w:rFonts w:ascii="Times New Roman" w:hAnsi="Times New Roman" w:cs="Times New Roman"/>
          <w:lang w:val="en-GB"/>
        </w:rPr>
        <w:t>) based on four independent chains.</w:t>
      </w:r>
      <w:r w:rsidRPr="00A14942">
        <w:rPr>
          <w:rFonts w:ascii="Times New Roman" w:hAnsi="Times New Roman" w:cs="Times New Roman"/>
          <w:lang w:val="en-GB"/>
        </w:rPr>
        <w:fldChar w:fldCharType="begin"/>
      </w:r>
      <w:r w:rsidRPr="00A14942">
        <w:rPr>
          <w:rFonts w:ascii="Times New Roman" w:hAnsi="Times New Roman" w:cs="Times New Roman"/>
          <w:lang w:val="en-GB"/>
        </w:rPr>
        <w:instrText xml:space="preserve"> ADDIN EN.CITE &lt;EndNote&gt;&lt;Cite&gt;&lt;Author&gt;Vehtari A&lt;/Author&gt;&lt;Year&gt;2021&lt;/Year&gt;&lt;RecNum&gt;3&lt;/RecNum&gt;&lt;DisplayText&gt;&lt;style face="superscript"&gt;32&lt;/style&gt;&lt;/DisplayText&gt;&lt;record&gt;&lt;rec-number&gt;3&lt;/rec-number&gt;&lt;foreign-keys&gt;&lt;key app="EN" db-id="fspav0ztxpxptae5dp05epfytspvrav5d5ss" timestamp="1660756802"&gt;3&lt;/key&gt;&lt;/foreign-keys&gt;&lt;ref-type name="Report"&gt;27&lt;/ref-type&gt;&lt;contributors&gt;&lt;authors&gt;&lt;author&gt;Vehtari A, Gelman A, Simpson D, Carpenter B, Bürkner PC&lt;/author&gt;&lt;/authors&gt;&lt;tertiary-authors&gt;&lt;author&gt;Cornell University&lt;/author&gt;&lt;/tertiary-authors&gt;&lt;/contributors&gt;&lt;titles&gt;&lt;title&gt;Rank-normalization, folding, and localization: An improved Rhat for assessing convergence of MCMC&lt;/title&gt;&lt;/titles&gt;&lt;pages&gt;1-26&lt;/pages&gt;&lt;number&gt;5&lt;/number&gt;&lt;dates&gt;&lt;year&gt;2021&lt;/year&gt;&lt;/dates&gt;&lt;pub-location&gt;Online&lt;/pub-location&gt;&lt;urls&gt;&lt;related-urls&gt;&lt;url&gt;https://arxiv.org/abs/1903.08008v5&lt;/url&gt;&lt;/related-urls&gt;&lt;/urls&gt;&lt;access-date&gt;Aug 17 2022&lt;/access-date&gt;&lt;/record&gt;&lt;/Cite&gt;&lt;/EndNote&gt;</w:instrText>
      </w:r>
      <w:r w:rsidRPr="00A14942">
        <w:rPr>
          <w:rFonts w:ascii="Times New Roman" w:hAnsi="Times New Roman" w:cs="Times New Roman"/>
          <w:lang w:val="en-GB"/>
        </w:rPr>
        <w:fldChar w:fldCharType="separate"/>
      </w:r>
      <w:r w:rsidRPr="00A14942">
        <w:rPr>
          <w:rFonts w:ascii="Times New Roman" w:hAnsi="Times New Roman" w:cs="Times New Roman"/>
          <w:noProof/>
          <w:vertAlign w:val="superscript"/>
          <w:lang w:val="en-GB"/>
        </w:rPr>
        <w:t>32</w:t>
      </w:r>
      <w:r w:rsidRPr="00A14942">
        <w:rPr>
          <w:rFonts w:ascii="Times New Roman" w:hAnsi="Times New Roman" w:cs="Times New Roman"/>
          <w:lang w:val="en-GB"/>
        </w:rPr>
        <w:fldChar w:fldCharType="end"/>
      </w:r>
      <w:r w:rsidRPr="00A14942">
        <w:rPr>
          <w:rFonts w:ascii="Times New Roman" w:hAnsi="Times New Roman" w:cs="Times New Roman"/>
          <w:lang w:val="en-GB"/>
        </w:rPr>
        <w:t xml:space="preserve"> The newest version of effective sample size (ESS) and Monte Carlo standard error (MCSE) estimation were used to ensure sufficient post-convergence samples were taken to support inference.</w:t>
      </w:r>
      <w:r w:rsidRPr="00A14942">
        <w:rPr>
          <w:rFonts w:ascii="Times New Roman" w:hAnsi="Times New Roman" w:cs="Times New Roman"/>
          <w:lang w:val="en-GB"/>
        </w:rPr>
        <w:fldChar w:fldCharType="begin"/>
      </w:r>
      <w:r w:rsidRPr="00A14942">
        <w:rPr>
          <w:rFonts w:ascii="Times New Roman" w:hAnsi="Times New Roman" w:cs="Times New Roman"/>
          <w:lang w:val="en-GB"/>
        </w:rPr>
        <w:instrText xml:space="preserve"> ADDIN EN.CITE &lt;EndNote&gt;&lt;Cite&gt;&lt;Author&gt;Vehtari A&lt;/Author&gt;&lt;Year&gt;2021&lt;/Year&gt;&lt;RecNum&gt;3&lt;/RecNum&gt;&lt;DisplayText&gt;&lt;style face="superscript"&gt;32&lt;/style&gt;&lt;/DisplayText&gt;&lt;record&gt;&lt;rec-number&gt;3&lt;/rec-number&gt;&lt;foreign-keys&gt;&lt;key app="EN" db-id="fspav0ztxpxptae5dp05epfytspvrav5d5ss" timestamp="1660756802"&gt;3&lt;/key&gt;&lt;/foreign-keys&gt;&lt;ref-type name="Report"&gt;27&lt;/ref-type&gt;&lt;contributors&gt;&lt;authors&gt;&lt;author&gt;Vehtari A, Gelman A, Simpson D, Carpenter B, Bürkner PC&lt;/author&gt;&lt;/authors&gt;&lt;tertiary-authors&gt;&lt;author&gt;Cornell University&lt;/author&gt;&lt;/tertiary-authors&gt;&lt;/contributors&gt;&lt;titles&gt;&lt;title&gt;Rank-normalization, folding, and localization: An improved Rhat for assessing convergence of MCMC&lt;/title&gt;&lt;/titles&gt;&lt;pages&gt;1-26&lt;/pages&gt;&lt;number&gt;5&lt;/number&gt;&lt;dates&gt;&lt;year&gt;2021&lt;/year&gt;&lt;/dates&gt;&lt;pub-location&gt;Online&lt;/pub-location&gt;&lt;urls&gt;&lt;related-urls&gt;&lt;url&gt;https://arxiv.org/abs/1903.08008v5&lt;/url&gt;&lt;/related-urls&gt;&lt;/urls&gt;&lt;access-date&gt;Aug 17 2022&lt;/access-date&gt;&lt;/record&gt;&lt;/Cite&gt;&lt;/EndNote&gt;</w:instrText>
      </w:r>
      <w:r w:rsidRPr="00A14942">
        <w:rPr>
          <w:rFonts w:ascii="Times New Roman" w:hAnsi="Times New Roman" w:cs="Times New Roman"/>
          <w:lang w:val="en-GB"/>
        </w:rPr>
        <w:fldChar w:fldCharType="separate"/>
      </w:r>
      <w:r w:rsidRPr="00A14942">
        <w:rPr>
          <w:rFonts w:ascii="Times New Roman" w:hAnsi="Times New Roman" w:cs="Times New Roman"/>
          <w:noProof/>
          <w:vertAlign w:val="superscript"/>
          <w:lang w:val="en-GB"/>
        </w:rPr>
        <w:t>32</w:t>
      </w:r>
      <w:r w:rsidRPr="00A14942">
        <w:rPr>
          <w:rFonts w:ascii="Times New Roman" w:hAnsi="Times New Roman" w:cs="Times New Roman"/>
          <w:lang w:val="en-GB"/>
        </w:rPr>
        <w:fldChar w:fldCharType="end"/>
      </w:r>
    </w:p>
    <w:p w14:paraId="056CA7CC" w14:textId="7E6F13BC" w:rsidR="00086ECC" w:rsidRDefault="00086ECC" w:rsidP="00CA063D">
      <w:pPr>
        <w:spacing w:line="480" w:lineRule="auto"/>
        <w:rPr>
          <w:rFonts w:ascii="Times New Roman" w:hAnsi="Times New Roman" w:cs="Times New Roman"/>
          <w:lang w:val="en-GB"/>
        </w:rPr>
      </w:pPr>
      <w:r>
        <w:rPr>
          <w:rFonts w:ascii="Times New Roman" w:hAnsi="Times New Roman" w:cs="Times New Roman"/>
          <w:lang w:val="en-GB"/>
        </w:rPr>
        <w:t>Inconsistency analysis was conducted in alignment with the NMA (</w:t>
      </w:r>
      <w:r w:rsidRPr="007111D2">
        <w:rPr>
          <w:rFonts w:ascii="Times New Roman" w:hAnsi="Times New Roman" w:cs="Times New Roman"/>
          <w:lang w:val="en-GB"/>
        </w:rPr>
        <w:t>40,000 burn-in</w:t>
      </w:r>
      <w:r>
        <w:rPr>
          <w:rFonts w:ascii="Times New Roman" w:hAnsi="Times New Roman" w:cs="Times New Roman"/>
          <w:lang w:val="en-GB"/>
        </w:rPr>
        <w:t xml:space="preserve"> iteration</w:t>
      </w:r>
      <w:r w:rsidRPr="007111D2">
        <w:rPr>
          <w:rFonts w:ascii="Times New Roman" w:hAnsi="Times New Roman" w:cs="Times New Roman"/>
          <w:lang w:val="en-GB"/>
        </w:rPr>
        <w:t xml:space="preserve">s, </w:t>
      </w:r>
      <w:r>
        <w:rPr>
          <w:rFonts w:ascii="Times New Roman" w:hAnsi="Times New Roman" w:cs="Times New Roman"/>
          <w:lang w:val="en-GB"/>
        </w:rPr>
        <w:t>4</w:t>
      </w:r>
      <w:r w:rsidRPr="007111D2">
        <w:rPr>
          <w:rFonts w:ascii="Times New Roman" w:hAnsi="Times New Roman" w:cs="Times New Roman"/>
          <w:lang w:val="en-GB"/>
        </w:rPr>
        <w:t xml:space="preserve">0,000 </w:t>
      </w:r>
      <w:r>
        <w:rPr>
          <w:rFonts w:ascii="Times New Roman" w:hAnsi="Times New Roman" w:cs="Times New Roman"/>
          <w:lang w:val="en-GB"/>
        </w:rPr>
        <w:t xml:space="preserve">sampling </w:t>
      </w:r>
      <w:r w:rsidRPr="007111D2">
        <w:rPr>
          <w:rFonts w:ascii="Times New Roman" w:hAnsi="Times New Roman" w:cs="Times New Roman"/>
          <w:lang w:val="en-GB"/>
        </w:rPr>
        <w:t>iterations and a thinning of one</w:t>
      </w:r>
      <w:r>
        <w:rPr>
          <w:rFonts w:ascii="Times New Roman" w:hAnsi="Times New Roman" w:cs="Times New Roman"/>
          <w:lang w:val="en-GB"/>
        </w:rPr>
        <w:t xml:space="preserve">). </w:t>
      </w:r>
      <w:r w:rsidR="00791794">
        <w:rPr>
          <w:rFonts w:ascii="Times New Roman" w:hAnsi="Times New Roman" w:cs="Times New Roman"/>
          <w:lang w:val="en-GB"/>
        </w:rPr>
        <w:t>The analyses had similar fit based on collected deviance information criterion (DIC), and individual estimates were considered to align well between the consistent and inconsistent models.</w:t>
      </w:r>
    </w:p>
    <w:tbl>
      <w:tblPr>
        <w:tblStyle w:val="TableGrid"/>
        <w:tblW w:w="9307" w:type="dxa"/>
        <w:tblInd w:w="108" w:type="dxa"/>
        <w:tblLook w:val="04A0" w:firstRow="1" w:lastRow="0" w:firstColumn="1" w:lastColumn="0" w:noHBand="0" w:noVBand="1"/>
      </w:tblPr>
      <w:tblGrid>
        <w:gridCol w:w="5571"/>
        <w:gridCol w:w="1868"/>
        <w:gridCol w:w="1868"/>
      </w:tblGrid>
      <w:tr w:rsidR="00791794" w:rsidRPr="00791794" w14:paraId="6661C9BD" w14:textId="1FE2EC48" w:rsidTr="00E83127">
        <w:trPr>
          <w:trHeight w:val="243"/>
        </w:trPr>
        <w:tc>
          <w:tcPr>
            <w:tcW w:w="5571" w:type="dxa"/>
            <w:noWrap/>
            <w:vAlign w:val="center"/>
            <w:hideMark/>
          </w:tcPr>
          <w:p w14:paraId="1B8753CE" w14:textId="77777777" w:rsidR="00791794" w:rsidRPr="00086ECC" w:rsidRDefault="00791794" w:rsidP="0051626F">
            <w:pPr>
              <w:rPr>
                <w:rFonts w:cs="Times New Roman"/>
                <w:b/>
                <w:bCs/>
                <w:color w:val="000000"/>
                <w:sz w:val="22"/>
                <w:szCs w:val="22"/>
                <w:u w:val="single"/>
              </w:rPr>
            </w:pPr>
            <w:r w:rsidRPr="00086ECC">
              <w:rPr>
                <w:rFonts w:cs="Times New Roman"/>
                <w:b/>
                <w:bCs/>
                <w:color w:val="000000"/>
                <w:sz w:val="22"/>
                <w:szCs w:val="22"/>
                <w:u w:val="single"/>
              </w:rPr>
              <w:t>Diagnostic</w:t>
            </w:r>
          </w:p>
        </w:tc>
        <w:tc>
          <w:tcPr>
            <w:tcW w:w="1868" w:type="dxa"/>
            <w:noWrap/>
            <w:vAlign w:val="center"/>
            <w:hideMark/>
          </w:tcPr>
          <w:p w14:paraId="39B2F47D" w14:textId="77777777" w:rsidR="00791794" w:rsidRPr="00791794" w:rsidRDefault="00791794" w:rsidP="0051626F">
            <w:pPr>
              <w:rPr>
                <w:rFonts w:cs="Times New Roman"/>
                <w:b/>
                <w:bCs/>
                <w:color w:val="000000"/>
                <w:sz w:val="22"/>
                <w:szCs w:val="22"/>
                <w:u w:val="single"/>
              </w:rPr>
            </w:pPr>
            <w:r w:rsidRPr="00791794">
              <w:rPr>
                <w:rFonts w:cs="Times New Roman"/>
                <w:b/>
                <w:bCs/>
                <w:color w:val="000000"/>
                <w:sz w:val="22"/>
                <w:szCs w:val="22"/>
                <w:u w:val="single"/>
              </w:rPr>
              <w:t>Consistency</w:t>
            </w:r>
          </w:p>
          <w:p w14:paraId="31A6C860" w14:textId="48247540" w:rsidR="00791794" w:rsidRPr="00086ECC" w:rsidRDefault="00791794" w:rsidP="0051626F">
            <w:pPr>
              <w:rPr>
                <w:rFonts w:cs="Times New Roman"/>
                <w:b/>
                <w:bCs/>
                <w:color w:val="000000"/>
                <w:sz w:val="22"/>
                <w:szCs w:val="22"/>
                <w:u w:val="single"/>
              </w:rPr>
            </w:pPr>
            <w:r w:rsidRPr="00086ECC">
              <w:rPr>
                <w:rFonts w:cs="Times New Roman"/>
                <w:b/>
                <w:bCs/>
                <w:color w:val="000000"/>
                <w:sz w:val="22"/>
                <w:szCs w:val="22"/>
                <w:u w:val="single"/>
              </w:rPr>
              <w:t>- Fixed Effect</w:t>
            </w:r>
          </w:p>
        </w:tc>
        <w:tc>
          <w:tcPr>
            <w:tcW w:w="1868" w:type="dxa"/>
            <w:tcBorders>
              <w:bottom w:val="single" w:sz="4" w:space="0" w:color="auto"/>
            </w:tcBorders>
          </w:tcPr>
          <w:p w14:paraId="4A4CF48A" w14:textId="4B661A95" w:rsidR="00791794" w:rsidRPr="00791794" w:rsidRDefault="00791794" w:rsidP="00791794">
            <w:pPr>
              <w:rPr>
                <w:rFonts w:cs="Times New Roman"/>
                <w:b/>
                <w:bCs/>
                <w:color w:val="000000"/>
                <w:sz w:val="22"/>
                <w:szCs w:val="22"/>
                <w:u w:val="single"/>
              </w:rPr>
            </w:pPr>
            <w:r w:rsidRPr="00791794">
              <w:rPr>
                <w:rFonts w:cs="Times New Roman"/>
                <w:b/>
                <w:bCs/>
                <w:color w:val="000000"/>
                <w:sz w:val="22"/>
                <w:szCs w:val="22"/>
                <w:u w:val="single"/>
              </w:rPr>
              <w:t>In</w:t>
            </w:r>
            <w:r>
              <w:rPr>
                <w:rFonts w:cs="Times New Roman"/>
                <w:b/>
                <w:bCs/>
                <w:color w:val="000000"/>
                <w:sz w:val="22"/>
                <w:szCs w:val="22"/>
                <w:u w:val="single"/>
              </w:rPr>
              <w:t>c</w:t>
            </w:r>
            <w:r w:rsidRPr="00791794">
              <w:rPr>
                <w:rFonts w:cs="Times New Roman"/>
                <w:b/>
                <w:bCs/>
                <w:color w:val="000000"/>
                <w:sz w:val="22"/>
                <w:szCs w:val="22"/>
                <w:u w:val="single"/>
              </w:rPr>
              <w:t>onsistency</w:t>
            </w:r>
          </w:p>
          <w:p w14:paraId="5F8F519C" w14:textId="054E2049" w:rsidR="00791794" w:rsidRPr="00791794" w:rsidRDefault="00791794" w:rsidP="00791794">
            <w:pPr>
              <w:rPr>
                <w:rFonts w:cs="Times New Roman"/>
                <w:b/>
                <w:bCs/>
                <w:color w:val="000000"/>
                <w:sz w:val="22"/>
                <w:szCs w:val="22"/>
                <w:u w:val="single"/>
              </w:rPr>
            </w:pPr>
            <w:r w:rsidRPr="00086ECC">
              <w:rPr>
                <w:rFonts w:cs="Times New Roman"/>
                <w:b/>
                <w:bCs/>
                <w:color w:val="000000"/>
                <w:sz w:val="22"/>
                <w:szCs w:val="22"/>
                <w:u w:val="single"/>
              </w:rPr>
              <w:t>- Fixed Effect</w:t>
            </w:r>
          </w:p>
        </w:tc>
      </w:tr>
      <w:tr w:rsidR="00791794" w:rsidRPr="00791794" w14:paraId="4449E22E" w14:textId="183AA424" w:rsidTr="00E83127">
        <w:trPr>
          <w:trHeight w:val="243"/>
        </w:trPr>
        <w:tc>
          <w:tcPr>
            <w:tcW w:w="5571" w:type="dxa"/>
            <w:noWrap/>
            <w:vAlign w:val="center"/>
            <w:hideMark/>
          </w:tcPr>
          <w:p w14:paraId="508540B5" w14:textId="77777777" w:rsidR="00791794" w:rsidRPr="00086ECC" w:rsidRDefault="00791794" w:rsidP="00791794">
            <w:pPr>
              <w:rPr>
                <w:rFonts w:cs="Times New Roman"/>
                <w:color w:val="000000"/>
                <w:sz w:val="22"/>
                <w:szCs w:val="22"/>
              </w:rPr>
            </w:pPr>
            <w:r w:rsidRPr="00086ECC">
              <w:rPr>
                <w:rFonts w:cs="Times New Roman"/>
                <w:color w:val="000000"/>
                <w:sz w:val="22"/>
                <w:szCs w:val="22"/>
              </w:rPr>
              <w:t>Deviance Information Criterion (DIC)</w:t>
            </w:r>
          </w:p>
        </w:tc>
        <w:tc>
          <w:tcPr>
            <w:tcW w:w="1868" w:type="dxa"/>
            <w:noWrap/>
            <w:vAlign w:val="center"/>
            <w:hideMark/>
          </w:tcPr>
          <w:p w14:paraId="231052EC" w14:textId="77777777" w:rsidR="00791794" w:rsidRPr="00086ECC" w:rsidRDefault="00791794" w:rsidP="00791794">
            <w:pPr>
              <w:rPr>
                <w:rFonts w:cs="Times New Roman"/>
                <w:color w:val="000000"/>
                <w:sz w:val="22"/>
                <w:szCs w:val="22"/>
              </w:rPr>
            </w:pPr>
            <w:r w:rsidRPr="00086ECC">
              <w:rPr>
                <w:rFonts w:cs="Times New Roman"/>
                <w:color w:val="000000"/>
                <w:sz w:val="22"/>
                <w:szCs w:val="22"/>
              </w:rPr>
              <w:t>-57.76</w:t>
            </w:r>
          </w:p>
        </w:tc>
        <w:tc>
          <w:tcPr>
            <w:tcW w:w="1868" w:type="dxa"/>
            <w:tcBorders>
              <w:top w:val="single" w:sz="4" w:space="0" w:color="auto"/>
              <w:left w:val="nil"/>
              <w:bottom w:val="single" w:sz="4" w:space="0" w:color="auto"/>
              <w:right w:val="single" w:sz="4" w:space="0" w:color="auto"/>
            </w:tcBorders>
            <w:shd w:val="clear" w:color="auto" w:fill="auto"/>
            <w:vAlign w:val="bottom"/>
          </w:tcPr>
          <w:p w14:paraId="1CB7C415" w14:textId="35D9E2F6" w:rsidR="00791794" w:rsidRPr="00791794" w:rsidRDefault="00791794" w:rsidP="00791794">
            <w:pPr>
              <w:rPr>
                <w:rFonts w:cs="Times New Roman"/>
                <w:color w:val="000000"/>
                <w:sz w:val="22"/>
                <w:szCs w:val="22"/>
              </w:rPr>
            </w:pPr>
            <w:r w:rsidRPr="00791794">
              <w:rPr>
                <w:rFonts w:cs="Times New Roman"/>
                <w:color w:val="000000"/>
                <w:sz w:val="22"/>
                <w:szCs w:val="22"/>
              </w:rPr>
              <w:t>-57.7</w:t>
            </w:r>
          </w:p>
        </w:tc>
      </w:tr>
      <w:tr w:rsidR="00791794" w:rsidRPr="00791794" w14:paraId="471BD683" w14:textId="50EA2CA6" w:rsidTr="00E83127">
        <w:trPr>
          <w:trHeight w:val="243"/>
        </w:trPr>
        <w:tc>
          <w:tcPr>
            <w:tcW w:w="5571" w:type="dxa"/>
            <w:noWrap/>
            <w:vAlign w:val="center"/>
            <w:hideMark/>
          </w:tcPr>
          <w:p w14:paraId="6176CC43" w14:textId="77777777" w:rsidR="00791794" w:rsidRPr="00086ECC" w:rsidRDefault="00791794" w:rsidP="00791794">
            <w:pPr>
              <w:rPr>
                <w:rFonts w:cs="Times New Roman"/>
                <w:color w:val="000000"/>
                <w:sz w:val="22"/>
                <w:szCs w:val="22"/>
              </w:rPr>
            </w:pPr>
            <w:r w:rsidRPr="00086ECC">
              <w:rPr>
                <w:rFonts w:cs="Times New Roman"/>
                <w:color w:val="000000"/>
                <w:sz w:val="22"/>
                <w:szCs w:val="22"/>
              </w:rPr>
              <w:t>Total Residual Deviance (vs. 37 data points)</w:t>
            </w:r>
          </w:p>
        </w:tc>
        <w:tc>
          <w:tcPr>
            <w:tcW w:w="1868" w:type="dxa"/>
            <w:noWrap/>
            <w:vAlign w:val="center"/>
            <w:hideMark/>
          </w:tcPr>
          <w:p w14:paraId="2587001B" w14:textId="77777777" w:rsidR="00791794" w:rsidRPr="00086ECC" w:rsidRDefault="00791794" w:rsidP="00791794">
            <w:pPr>
              <w:rPr>
                <w:rFonts w:cs="Times New Roman"/>
                <w:color w:val="000000"/>
                <w:sz w:val="22"/>
                <w:szCs w:val="22"/>
              </w:rPr>
            </w:pPr>
            <w:r w:rsidRPr="00086ECC">
              <w:rPr>
                <w:rFonts w:cs="Times New Roman"/>
                <w:color w:val="000000"/>
                <w:sz w:val="22"/>
                <w:szCs w:val="22"/>
              </w:rPr>
              <w:t>41.24</w:t>
            </w:r>
          </w:p>
        </w:tc>
        <w:tc>
          <w:tcPr>
            <w:tcW w:w="1868" w:type="dxa"/>
            <w:tcBorders>
              <w:top w:val="single" w:sz="4" w:space="0" w:color="auto"/>
              <w:left w:val="nil"/>
              <w:bottom w:val="single" w:sz="4" w:space="0" w:color="auto"/>
              <w:right w:val="single" w:sz="4" w:space="0" w:color="auto"/>
            </w:tcBorders>
            <w:shd w:val="clear" w:color="auto" w:fill="auto"/>
            <w:vAlign w:val="bottom"/>
          </w:tcPr>
          <w:p w14:paraId="42BFC009" w14:textId="02E4D28F" w:rsidR="00791794" w:rsidRPr="00791794" w:rsidRDefault="00791794" w:rsidP="00791794">
            <w:pPr>
              <w:rPr>
                <w:rFonts w:cs="Times New Roman"/>
                <w:color w:val="000000"/>
                <w:sz w:val="22"/>
                <w:szCs w:val="22"/>
              </w:rPr>
            </w:pPr>
            <w:r w:rsidRPr="00791794">
              <w:rPr>
                <w:rFonts w:cs="Times New Roman"/>
                <w:color w:val="000000"/>
                <w:sz w:val="22"/>
                <w:szCs w:val="22"/>
              </w:rPr>
              <w:t>41.21</w:t>
            </w:r>
          </w:p>
        </w:tc>
      </w:tr>
      <w:tr w:rsidR="00791794" w:rsidRPr="00791794" w14:paraId="7ABD1EE1" w14:textId="5136EA0B" w:rsidTr="00E83127">
        <w:trPr>
          <w:trHeight w:val="243"/>
        </w:trPr>
        <w:tc>
          <w:tcPr>
            <w:tcW w:w="5571" w:type="dxa"/>
            <w:noWrap/>
            <w:vAlign w:val="center"/>
            <w:hideMark/>
          </w:tcPr>
          <w:p w14:paraId="12013D1A" w14:textId="77777777" w:rsidR="00791794" w:rsidRPr="00086ECC" w:rsidRDefault="00791794" w:rsidP="00791794">
            <w:pPr>
              <w:rPr>
                <w:rFonts w:cs="Times New Roman"/>
                <w:color w:val="000000"/>
                <w:sz w:val="22"/>
                <w:szCs w:val="22"/>
              </w:rPr>
            </w:pPr>
            <w:r w:rsidRPr="00086ECC">
              <w:rPr>
                <w:rFonts w:cs="Times New Roman"/>
                <w:color w:val="000000"/>
                <w:sz w:val="22"/>
                <w:szCs w:val="22"/>
              </w:rPr>
              <w:t xml:space="preserve">Beta (95% </w:t>
            </w:r>
            <w:proofErr w:type="spellStart"/>
            <w:r w:rsidRPr="00086ECC">
              <w:rPr>
                <w:rFonts w:cs="Times New Roman"/>
                <w:color w:val="000000"/>
                <w:sz w:val="22"/>
                <w:szCs w:val="22"/>
              </w:rPr>
              <w:t>CrI</w:t>
            </w:r>
            <w:proofErr w:type="spellEnd"/>
            <w:r w:rsidRPr="00086ECC">
              <w:rPr>
                <w:rFonts w:cs="Times New Roman"/>
                <w:color w:val="000000"/>
                <w:sz w:val="22"/>
                <w:szCs w:val="22"/>
              </w:rPr>
              <w:t>)</w:t>
            </w:r>
          </w:p>
        </w:tc>
        <w:tc>
          <w:tcPr>
            <w:tcW w:w="1868" w:type="dxa"/>
            <w:noWrap/>
            <w:vAlign w:val="center"/>
            <w:hideMark/>
          </w:tcPr>
          <w:p w14:paraId="5491DC4B" w14:textId="77777777" w:rsidR="00791794" w:rsidRPr="00086ECC" w:rsidRDefault="00791794" w:rsidP="00791794">
            <w:pPr>
              <w:rPr>
                <w:rFonts w:cs="Times New Roman"/>
                <w:color w:val="000000"/>
                <w:sz w:val="22"/>
                <w:szCs w:val="22"/>
              </w:rPr>
            </w:pPr>
            <w:r w:rsidRPr="00086ECC">
              <w:rPr>
                <w:rFonts w:cs="Times New Roman"/>
                <w:color w:val="000000"/>
                <w:sz w:val="22"/>
                <w:szCs w:val="22"/>
              </w:rPr>
              <w:t>NA (NA to NA)</w:t>
            </w:r>
          </w:p>
        </w:tc>
        <w:tc>
          <w:tcPr>
            <w:tcW w:w="1868" w:type="dxa"/>
            <w:tcBorders>
              <w:top w:val="single" w:sz="4" w:space="0" w:color="auto"/>
              <w:left w:val="nil"/>
              <w:bottom w:val="single" w:sz="4" w:space="0" w:color="auto"/>
              <w:right w:val="single" w:sz="4" w:space="0" w:color="auto"/>
            </w:tcBorders>
            <w:shd w:val="clear" w:color="auto" w:fill="auto"/>
            <w:vAlign w:val="bottom"/>
          </w:tcPr>
          <w:p w14:paraId="42BD7A7E" w14:textId="1F6E6D9A" w:rsidR="00791794" w:rsidRPr="00791794" w:rsidRDefault="00791794" w:rsidP="00791794">
            <w:pPr>
              <w:rPr>
                <w:rFonts w:cs="Times New Roman"/>
                <w:color w:val="000000"/>
                <w:sz w:val="22"/>
                <w:szCs w:val="22"/>
              </w:rPr>
            </w:pPr>
            <w:r w:rsidRPr="00791794">
              <w:rPr>
                <w:rFonts w:cs="Times New Roman"/>
                <w:color w:val="000000"/>
                <w:sz w:val="22"/>
                <w:szCs w:val="22"/>
              </w:rPr>
              <w:t>NA (NA to NA)</w:t>
            </w:r>
          </w:p>
        </w:tc>
      </w:tr>
      <w:tr w:rsidR="00791794" w:rsidRPr="00791794" w14:paraId="41049621" w14:textId="7A110D16" w:rsidTr="00E83127">
        <w:trPr>
          <w:trHeight w:val="243"/>
        </w:trPr>
        <w:tc>
          <w:tcPr>
            <w:tcW w:w="5571" w:type="dxa"/>
            <w:noWrap/>
            <w:vAlign w:val="center"/>
            <w:hideMark/>
          </w:tcPr>
          <w:p w14:paraId="4456A4AF" w14:textId="77777777" w:rsidR="00791794" w:rsidRPr="00086ECC" w:rsidRDefault="00791794" w:rsidP="00791794">
            <w:pPr>
              <w:rPr>
                <w:rFonts w:cs="Times New Roman"/>
                <w:color w:val="000000"/>
                <w:sz w:val="22"/>
                <w:szCs w:val="22"/>
              </w:rPr>
            </w:pPr>
            <w:r w:rsidRPr="00086ECC">
              <w:rPr>
                <w:rFonts w:cs="Times New Roman"/>
                <w:color w:val="000000"/>
                <w:sz w:val="22"/>
                <w:szCs w:val="22"/>
              </w:rPr>
              <w:t xml:space="preserve">SD (95% </w:t>
            </w:r>
            <w:proofErr w:type="spellStart"/>
            <w:r w:rsidRPr="00086ECC">
              <w:rPr>
                <w:rFonts w:cs="Times New Roman"/>
                <w:color w:val="000000"/>
                <w:sz w:val="22"/>
                <w:szCs w:val="22"/>
              </w:rPr>
              <w:t>CrI</w:t>
            </w:r>
            <w:proofErr w:type="spellEnd"/>
            <w:r w:rsidRPr="00086ECC">
              <w:rPr>
                <w:rFonts w:cs="Times New Roman"/>
                <w:color w:val="000000"/>
                <w:sz w:val="22"/>
                <w:szCs w:val="22"/>
              </w:rPr>
              <w:t>)</w:t>
            </w:r>
          </w:p>
        </w:tc>
        <w:tc>
          <w:tcPr>
            <w:tcW w:w="1868" w:type="dxa"/>
            <w:noWrap/>
            <w:vAlign w:val="center"/>
            <w:hideMark/>
          </w:tcPr>
          <w:p w14:paraId="4AF8ACA8" w14:textId="77777777" w:rsidR="00791794" w:rsidRPr="00086ECC" w:rsidRDefault="00791794" w:rsidP="00791794">
            <w:pPr>
              <w:rPr>
                <w:rFonts w:cs="Times New Roman"/>
                <w:color w:val="000000"/>
                <w:sz w:val="22"/>
                <w:szCs w:val="22"/>
              </w:rPr>
            </w:pPr>
            <w:r w:rsidRPr="00086ECC">
              <w:rPr>
                <w:rFonts w:cs="Times New Roman"/>
                <w:color w:val="000000"/>
                <w:sz w:val="22"/>
                <w:szCs w:val="22"/>
              </w:rPr>
              <w:t>NA (NA to NA)</w:t>
            </w:r>
          </w:p>
        </w:tc>
        <w:tc>
          <w:tcPr>
            <w:tcW w:w="1868" w:type="dxa"/>
            <w:tcBorders>
              <w:top w:val="single" w:sz="4" w:space="0" w:color="auto"/>
              <w:left w:val="nil"/>
              <w:bottom w:val="single" w:sz="4" w:space="0" w:color="auto"/>
              <w:right w:val="single" w:sz="4" w:space="0" w:color="auto"/>
            </w:tcBorders>
            <w:shd w:val="clear" w:color="auto" w:fill="auto"/>
            <w:vAlign w:val="bottom"/>
          </w:tcPr>
          <w:p w14:paraId="7B2FF29C" w14:textId="6A6F6285" w:rsidR="00791794" w:rsidRPr="00791794" w:rsidRDefault="00791794" w:rsidP="00791794">
            <w:pPr>
              <w:rPr>
                <w:rFonts w:cs="Times New Roman"/>
                <w:color w:val="000000"/>
                <w:sz w:val="22"/>
                <w:szCs w:val="22"/>
              </w:rPr>
            </w:pPr>
            <w:r w:rsidRPr="00791794">
              <w:rPr>
                <w:rFonts w:cs="Times New Roman"/>
                <w:color w:val="000000"/>
                <w:sz w:val="22"/>
                <w:szCs w:val="22"/>
              </w:rPr>
              <w:t>NA (NA to NA)</w:t>
            </w:r>
          </w:p>
        </w:tc>
      </w:tr>
    </w:tbl>
    <w:p w14:paraId="2C48B75C" w14:textId="77777777" w:rsidR="00791794" w:rsidRDefault="00791794" w:rsidP="00791794">
      <w:pPr>
        <w:tabs>
          <w:tab w:val="left" w:pos="4082"/>
        </w:tabs>
        <w:spacing w:after="0" w:line="240" w:lineRule="auto"/>
        <w:jc w:val="both"/>
        <w:rPr>
          <w:rFonts w:ascii="Times New Roman" w:hAnsi="Times New Roman" w:cs="Times New Roman"/>
          <w:b/>
          <w:bCs/>
          <w:u w:val="single"/>
          <w:lang w:val="en-GB"/>
        </w:rPr>
      </w:pPr>
    </w:p>
    <w:p w14:paraId="28F105BE" w14:textId="4C852E29" w:rsidR="00791794" w:rsidRDefault="00791794" w:rsidP="00791794">
      <w:pPr>
        <w:tabs>
          <w:tab w:val="left" w:pos="4082"/>
        </w:tabs>
        <w:spacing w:after="0" w:line="480" w:lineRule="auto"/>
        <w:jc w:val="both"/>
        <w:rPr>
          <w:rFonts w:ascii="Times New Roman" w:hAnsi="Times New Roman" w:cs="Times New Roman"/>
          <w:b/>
          <w:bCs/>
          <w:u w:val="single"/>
          <w:lang w:val="en-GB"/>
        </w:rPr>
      </w:pPr>
      <w:r>
        <w:rPr>
          <w:rFonts w:ascii="Times New Roman" w:hAnsi="Times New Roman" w:cs="Times New Roman"/>
          <w:b/>
          <w:bCs/>
          <w:u w:val="single"/>
          <w:lang w:val="en-GB"/>
        </w:rPr>
        <w:t>Unrelated Mean Effects Scatter Plot – Fixed Effect</w:t>
      </w:r>
    </w:p>
    <w:p w14:paraId="5C888430" w14:textId="30F1D65F" w:rsidR="00086ECC" w:rsidRPr="00086ECC" w:rsidRDefault="00791794" w:rsidP="00791794">
      <w:pPr>
        <w:tabs>
          <w:tab w:val="left" w:pos="4082"/>
        </w:tabs>
        <w:spacing w:line="480" w:lineRule="auto"/>
        <w:jc w:val="both"/>
        <w:rPr>
          <w:lang w:bidi="ar-SA"/>
        </w:rPr>
        <w:sectPr w:rsidR="00086ECC" w:rsidRPr="00086ECC" w:rsidSect="008274BA">
          <w:footerReference w:type="default" r:id="rId17"/>
          <w:pgSz w:w="12240" w:h="15840"/>
          <w:pgMar w:top="1440" w:right="1440" w:bottom="1440" w:left="1440" w:header="720" w:footer="720" w:gutter="0"/>
          <w:cols w:space="720"/>
          <w:docGrid w:linePitch="360"/>
        </w:sectPr>
      </w:pPr>
      <w:r>
        <w:rPr>
          <w:noProof/>
        </w:rPr>
        <w:drawing>
          <wp:inline distT="0" distB="0" distL="0" distR="0" wp14:anchorId="19B7EC87" wp14:editId="723BF988">
            <wp:extent cx="2727297" cy="38590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3633" b="1480"/>
                    <a:stretch/>
                  </pic:blipFill>
                  <pic:spPr bwMode="auto">
                    <a:xfrm>
                      <a:off x="0" y="0"/>
                      <a:ext cx="2749080" cy="3889829"/>
                    </a:xfrm>
                    <a:prstGeom prst="rect">
                      <a:avLst/>
                    </a:prstGeom>
                    <a:noFill/>
                    <a:ln>
                      <a:noFill/>
                    </a:ln>
                    <a:extLst>
                      <a:ext uri="{53640926-AAD7-44D8-BBD7-CCE9431645EC}">
                        <a14:shadowObscured xmlns:a14="http://schemas.microsoft.com/office/drawing/2010/main"/>
                      </a:ext>
                    </a:extLst>
                  </pic:spPr>
                </pic:pic>
              </a:graphicData>
            </a:graphic>
          </wp:inline>
        </w:drawing>
      </w:r>
    </w:p>
    <w:p w14:paraId="7CC0F9FC" w14:textId="356480CB" w:rsidR="00DC0E50" w:rsidRPr="00A14942" w:rsidRDefault="00DC0E50" w:rsidP="00223A29">
      <w:pPr>
        <w:pStyle w:val="Heading1"/>
        <w:pageBreakBefore/>
        <w:spacing w:after="0"/>
        <w:ind w:left="965" w:hanging="965"/>
        <w:rPr>
          <w:rFonts w:ascii="Times New Roman" w:hAnsi="Times New Roman" w:cs="Times New Roman"/>
        </w:rPr>
      </w:pPr>
      <w:bookmarkStart w:id="18" w:name="_Toc130240183"/>
      <w:r w:rsidRPr="00A14942">
        <w:rPr>
          <w:rFonts w:ascii="Times New Roman" w:hAnsi="Times New Roman" w:cs="Times New Roman"/>
        </w:rPr>
        <w:lastRenderedPageBreak/>
        <w:t xml:space="preserve">Systematic </w:t>
      </w:r>
      <w:r w:rsidR="00DC12BB" w:rsidRPr="00A14942">
        <w:rPr>
          <w:rFonts w:ascii="Times New Roman" w:hAnsi="Times New Roman" w:cs="Times New Roman"/>
        </w:rPr>
        <w:t>literature review results</w:t>
      </w:r>
      <w:bookmarkEnd w:id="18"/>
    </w:p>
    <w:p w14:paraId="7BBD7C9C" w14:textId="470CDA71" w:rsidR="00623EAC" w:rsidRPr="00A14942" w:rsidRDefault="009A5624" w:rsidP="00223A29">
      <w:pPr>
        <w:pStyle w:val="Heading2"/>
        <w:spacing w:before="0" w:after="0"/>
        <w:rPr>
          <w:rFonts w:ascii="Times New Roman" w:hAnsi="Times New Roman" w:cs="Times New Roman"/>
          <w:noProof/>
        </w:rPr>
      </w:pPr>
      <w:bookmarkStart w:id="19" w:name="_Toc130240184"/>
      <w:r w:rsidRPr="00A14942">
        <w:rPr>
          <w:rFonts w:ascii="Times New Roman" w:hAnsi="Times New Roman" w:cs="Times New Roman"/>
          <w:noProof/>
        </w:rPr>
        <w:t xml:space="preserve">PRISMA </w:t>
      </w:r>
      <w:r w:rsidR="00DC12BB" w:rsidRPr="00A14942">
        <w:rPr>
          <w:rFonts w:ascii="Times New Roman" w:hAnsi="Times New Roman" w:cs="Times New Roman"/>
          <w:noProof/>
        </w:rPr>
        <w:t>f</w:t>
      </w:r>
      <w:r w:rsidRPr="00A14942">
        <w:rPr>
          <w:rFonts w:ascii="Times New Roman" w:hAnsi="Times New Roman" w:cs="Times New Roman"/>
          <w:noProof/>
        </w:rPr>
        <w:t xml:space="preserve">low </w:t>
      </w:r>
      <w:r w:rsidR="00DC12BB" w:rsidRPr="00A14942">
        <w:rPr>
          <w:rFonts w:ascii="Times New Roman" w:hAnsi="Times New Roman" w:cs="Times New Roman"/>
          <w:noProof/>
        </w:rPr>
        <w:t>d</w:t>
      </w:r>
      <w:r w:rsidRPr="00A14942">
        <w:rPr>
          <w:rFonts w:ascii="Times New Roman" w:hAnsi="Times New Roman" w:cs="Times New Roman"/>
          <w:noProof/>
        </w:rPr>
        <w:t>iagram (2020 version)</w:t>
      </w:r>
      <w:bookmarkEnd w:id="19"/>
    </w:p>
    <w:p w14:paraId="148FE26C" w14:textId="7FF19095" w:rsidR="009A5624" w:rsidRPr="00A14942" w:rsidRDefault="00E63585" w:rsidP="00B145B9">
      <w:pPr>
        <w:spacing w:after="0"/>
        <w:rPr>
          <w:rFonts w:ascii="Times New Roman" w:hAnsi="Times New Roman" w:cs="Times New Roman"/>
          <w:lang w:bidi="ar-SA"/>
        </w:rPr>
      </w:pPr>
      <w:r>
        <w:rPr>
          <w:rFonts w:ascii="Times New Roman" w:hAnsi="Times New Roman" w:cs="Times New Roman"/>
          <w:noProof/>
          <w:lang w:bidi="ar-SA"/>
        </w:rPr>
        <w:drawing>
          <wp:inline distT="0" distB="0" distL="0" distR="0" wp14:anchorId="77041641" wp14:editId="6989D156">
            <wp:extent cx="8276241" cy="50252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a:extLst>
                        <a:ext uri="{28A0092B-C50C-407E-A947-70E740481C1C}">
                          <a14:useLocalDpi xmlns:a14="http://schemas.microsoft.com/office/drawing/2010/main" val="0"/>
                        </a:ext>
                      </a:extLst>
                    </a:blip>
                    <a:srcRect l="10536" t="-1" b="7927"/>
                    <a:stretch/>
                  </pic:blipFill>
                  <pic:spPr bwMode="auto">
                    <a:xfrm>
                      <a:off x="0" y="0"/>
                      <a:ext cx="8283940" cy="5029899"/>
                    </a:xfrm>
                    <a:prstGeom prst="rect">
                      <a:avLst/>
                    </a:prstGeom>
                    <a:noFill/>
                    <a:ln>
                      <a:noFill/>
                    </a:ln>
                    <a:extLst>
                      <a:ext uri="{53640926-AAD7-44D8-BBD7-CCE9431645EC}">
                        <a14:shadowObscured xmlns:a14="http://schemas.microsoft.com/office/drawing/2010/main"/>
                      </a:ext>
                    </a:extLst>
                  </pic:spPr>
                </pic:pic>
              </a:graphicData>
            </a:graphic>
          </wp:inline>
        </w:drawing>
      </w:r>
    </w:p>
    <w:p w14:paraId="7C43FF6C" w14:textId="33832531" w:rsidR="00367D58" w:rsidRPr="00A14942" w:rsidRDefault="00B145B9" w:rsidP="00367D58">
      <w:pPr>
        <w:rPr>
          <w:rFonts w:ascii="Times New Roman" w:hAnsi="Times New Roman" w:cs="Times New Roman"/>
        </w:rPr>
        <w:sectPr w:rsidR="00367D58" w:rsidRPr="00A14942" w:rsidSect="00367D58">
          <w:pgSz w:w="15840" w:h="12240" w:orient="landscape"/>
          <w:pgMar w:top="1440" w:right="1440" w:bottom="1440" w:left="1440" w:header="720" w:footer="720" w:gutter="0"/>
          <w:cols w:space="720"/>
          <w:docGrid w:linePitch="360"/>
        </w:sectPr>
      </w:pPr>
      <w:r w:rsidRPr="00A14942">
        <w:rPr>
          <w:rFonts w:ascii="Times New Roman" w:hAnsi="Times New Roman" w:cs="Times New Roman"/>
          <w:sz w:val="18"/>
          <w:szCs w:val="16"/>
          <w:lang w:bidi="ar-SA"/>
        </w:rPr>
        <w:t xml:space="preserve">Note: The first iteration of this review included a large number of clinical and safety </w:t>
      </w:r>
      <w:proofErr w:type="gramStart"/>
      <w:r w:rsidRPr="00A14942">
        <w:rPr>
          <w:rFonts w:ascii="Times New Roman" w:hAnsi="Times New Roman" w:cs="Times New Roman"/>
          <w:sz w:val="18"/>
          <w:szCs w:val="16"/>
          <w:lang w:bidi="ar-SA"/>
        </w:rPr>
        <w:t>outcomes, and</w:t>
      </w:r>
      <w:proofErr w:type="gramEnd"/>
      <w:r w:rsidRPr="00A14942">
        <w:rPr>
          <w:rFonts w:ascii="Times New Roman" w:hAnsi="Times New Roman" w:cs="Times New Roman"/>
          <w:sz w:val="18"/>
          <w:szCs w:val="16"/>
          <w:lang w:bidi="ar-SA"/>
        </w:rPr>
        <w:t xml:space="preserve"> did not restrict based on subtype of relapsing multiple sclerosis (RMS). The final iteration was focused on citations reporting brain volume loss (BVL) or combined unique active lesions (CUAL), in populations comprised of ≥80% relapsing-remitting multiple sclerosis (RRMS) patients.</w:t>
      </w:r>
    </w:p>
    <w:p w14:paraId="0852C2C7" w14:textId="69BC2155" w:rsidR="00B145B9" w:rsidRPr="00A14942" w:rsidRDefault="00B145B9" w:rsidP="00223A29">
      <w:pPr>
        <w:pStyle w:val="Heading2"/>
        <w:rPr>
          <w:rFonts w:ascii="Times New Roman" w:hAnsi="Times New Roman" w:cs="Times New Roman"/>
        </w:rPr>
      </w:pPr>
      <w:bookmarkStart w:id="20" w:name="_Toc130240185"/>
      <w:r w:rsidRPr="00A14942">
        <w:rPr>
          <w:rFonts w:ascii="Times New Roman" w:hAnsi="Times New Roman" w:cs="Times New Roman"/>
        </w:rPr>
        <w:lastRenderedPageBreak/>
        <w:t xml:space="preserve">List of </w:t>
      </w:r>
      <w:r w:rsidR="00DC12BB" w:rsidRPr="00A14942">
        <w:rPr>
          <w:rFonts w:ascii="Times New Roman" w:hAnsi="Times New Roman" w:cs="Times New Roman"/>
        </w:rPr>
        <w:t>i</w:t>
      </w:r>
      <w:r w:rsidRPr="00A14942">
        <w:rPr>
          <w:rFonts w:ascii="Times New Roman" w:hAnsi="Times New Roman" w:cs="Times New Roman"/>
        </w:rPr>
        <w:t xml:space="preserve">ncluded </w:t>
      </w:r>
      <w:r w:rsidR="00DC12BB" w:rsidRPr="00A14942">
        <w:rPr>
          <w:rFonts w:ascii="Times New Roman" w:hAnsi="Times New Roman" w:cs="Times New Roman"/>
        </w:rPr>
        <w:t>c</w:t>
      </w:r>
      <w:r w:rsidRPr="00A14942">
        <w:rPr>
          <w:rFonts w:ascii="Times New Roman" w:hAnsi="Times New Roman" w:cs="Times New Roman"/>
        </w:rPr>
        <w:t>itations</w:t>
      </w:r>
      <w:bookmarkEnd w:id="20"/>
    </w:p>
    <w:tbl>
      <w:tblPr>
        <w:tblW w:w="9360" w:type="dxa"/>
        <w:tblLook w:val="04A0" w:firstRow="1" w:lastRow="0" w:firstColumn="1" w:lastColumn="0" w:noHBand="0" w:noVBand="1"/>
      </w:tblPr>
      <w:tblGrid>
        <w:gridCol w:w="9360"/>
      </w:tblGrid>
      <w:tr w:rsidR="00F93E19" w:rsidRPr="00F93E19" w14:paraId="64922029" w14:textId="77777777" w:rsidTr="00F93E19">
        <w:trPr>
          <w:trHeight w:val="144"/>
        </w:trPr>
        <w:tc>
          <w:tcPr>
            <w:tcW w:w="9360" w:type="dxa"/>
            <w:tcBorders>
              <w:top w:val="nil"/>
              <w:left w:val="nil"/>
              <w:bottom w:val="nil"/>
              <w:right w:val="nil"/>
            </w:tcBorders>
            <w:shd w:val="clear" w:color="auto" w:fill="auto"/>
            <w:noWrap/>
            <w:vAlign w:val="bottom"/>
            <w:hideMark/>
          </w:tcPr>
          <w:p w14:paraId="4F96BB0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es-ES"/>
              </w:rPr>
              <w:t xml:space="preserve">Arnold D, </w:t>
            </w:r>
            <w:proofErr w:type="spellStart"/>
            <w:r w:rsidRPr="00713F1E">
              <w:rPr>
                <w:rFonts w:ascii="Times New Roman" w:eastAsia="Times New Roman" w:hAnsi="Times New Roman" w:cs="Times New Roman"/>
                <w:color w:val="000000"/>
                <w:szCs w:val="22"/>
                <w:lang w:val="es-ES"/>
              </w:rPr>
              <w:t>Calabresi</w:t>
            </w:r>
            <w:proofErr w:type="spellEnd"/>
            <w:r w:rsidRPr="00713F1E">
              <w:rPr>
                <w:rFonts w:ascii="Times New Roman" w:eastAsia="Times New Roman" w:hAnsi="Times New Roman" w:cs="Times New Roman"/>
                <w:color w:val="000000"/>
                <w:szCs w:val="22"/>
                <w:lang w:val="es-ES"/>
              </w:rPr>
              <w:t xml:space="preserve"> P, </w:t>
            </w:r>
            <w:proofErr w:type="spellStart"/>
            <w:r w:rsidRPr="00713F1E">
              <w:rPr>
                <w:rFonts w:ascii="Times New Roman" w:eastAsia="Times New Roman" w:hAnsi="Times New Roman" w:cs="Times New Roman"/>
                <w:color w:val="000000"/>
                <w:szCs w:val="22"/>
                <w:lang w:val="es-ES"/>
              </w:rPr>
              <w:t>Kieseier</w:t>
            </w:r>
            <w:proofErr w:type="spellEnd"/>
            <w:r w:rsidRPr="00713F1E">
              <w:rPr>
                <w:rFonts w:ascii="Times New Roman" w:eastAsia="Times New Roman" w:hAnsi="Times New Roman" w:cs="Times New Roman"/>
                <w:color w:val="000000"/>
                <w:szCs w:val="22"/>
                <w:lang w:val="es-ES"/>
              </w:rPr>
              <w:t xml:space="preserve"> B, Zhu Y, Liu S et al. </w:t>
            </w:r>
            <w:r w:rsidRPr="00A14942">
              <w:rPr>
                <w:rFonts w:ascii="Times New Roman" w:eastAsia="Times New Roman" w:hAnsi="Times New Roman" w:cs="Times New Roman"/>
                <w:color w:val="000000"/>
                <w:szCs w:val="22"/>
              </w:rPr>
              <w:t>(2013) Magnetic resonance imaging results from the first year of the ADVANCE study, a pivotal phase 3 trial of peginterferon beta-1a in patients with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19 (11 SUPPL. 1): 452-453.</w:t>
            </w:r>
          </w:p>
        </w:tc>
      </w:tr>
      <w:tr w:rsidR="00F93E19" w:rsidRPr="00F93E19" w14:paraId="7B7D3FB3" w14:textId="77777777" w:rsidTr="00F93E19">
        <w:trPr>
          <w:trHeight w:val="144"/>
        </w:trPr>
        <w:tc>
          <w:tcPr>
            <w:tcW w:w="9360" w:type="dxa"/>
            <w:tcBorders>
              <w:top w:val="nil"/>
              <w:left w:val="nil"/>
              <w:bottom w:val="nil"/>
              <w:right w:val="nil"/>
            </w:tcBorders>
            <w:shd w:val="clear" w:color="auto" w:fill="auto"/>
            <w:noWrap/>
            <w:vAlign w:val="bottom"/>
            <w:hideMark/>
          </w:tcPr>
          <w:p w14:paraId="54E8A13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Arnold D, Gold R, Kappos L, Bar-Or A, Giovannoni G et al. (2012) Effect of BG-12 on brain atrophy and lesions volume: MRI results from the define study during first and second year of treatment. Neurology 78 (1 Meeting Abstract): CONFERENCE START: 2012 Apr 2021 CONFERENCE END: 2012 Apr 2028.</w:t>
            </w:r>
          </w:p>
        </w:tc>
      </w:tr>
      <w:tr w:rsidR="00F93E19" w:rsidRPr="00F93E19" w14:paraId="4C858C1D" w14:textId="77777777" w:rsidTr="00F93E19">
        <w:trPr>
          <w:trHeight w:val="144"/>
        </w:trPr>
        <w:tc>
          <w:tcPr>
            <w:tcW w:w="9360" w:type="dxa"/>
            <w:tcBorders>
              <w:top w:val="nil"/>
              <w:left w:val="nil"/>
              <w:bottom w:val="nil"/>
              <w:right w:val="nil"/>
            </w:tcBorders>
            <w:shd w:val="clear" w:color="auto" w:fill="auto"/>
            <w:noWrap/>
            <w:vAlign w:val="bottom"/>
            <w:hideMark/>
          </w:tcPr>
          <w:p w14:paraId="0F01A0E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Arnold D, </w:t>
            </w:r>
            <w:proofErr w:type="spellStart"/>
            <w:r w:rsidRPr="00A14942">
              <w:rPr>
                <w:rFonts w:ascii="Times New Roman" w:eastAsia="Times New Roman" w:hAnsi="Times New Roman" w:cs="Times New Roman"/>
                <w:color w:val="000000"/>
                <w:szCs w:val="22"/>
              </w:rPr>
              <w:t>Kieseier</w:t>
            </w:r>
            <w:proofErr w:type="spellEnd"/>
            <w:r w:rsidRPr="00A14942">
              <w:rPr>
                <w:rFonts w:ascii="Times New Roman" w:eastAsia="Times New Roman" w:hAnsi="Times New Roman" w:cs="Times New Roman"/>
                <w:color w:val="000000"/>
                <w:szCs w:val="22"/>
              </w:rPr>
              <w:t xml:space="preserve"> B, You X, Liu S, Sperling B et al. (2015) Effects of peginterferon Beta-1a on brain </w:t>
            </w:r>
            <w:proofErr w:type="spellStart"/>
            <w:r w:rsidRPr="00A14942">
              <w:rPr>
                <w:rFonts w:ascii="Times New Roman" w:eastAsia="Times New Roman" w:hAnsi="Times New Roman" w:cs="Times New Roman"/>
                <w:color w:val="000000"/>
                <w:szCs w:val="22"/>
              </w:rPr>
              <w:t>magnetisation</w:t>
            </w:r>
            <w:proofErr w:type="spellEnd"/>
            <w:r w:rsidRPr="00A14942">
              <w:rPr>
                <w:rFonts w:ascii="Times New Roman" w:eastAsia="Times New Roman" w:hAnsi="Times New Roman" w:cs="Times New Roman"/>
                <w:color w:val="000000"/>
                <w:szCs w:val="22"/>
              </w:rPr>
              <w:t xml:space="preserve"> transfer ratio and atrophy in patients with relapsing-remitting multiple sclerosis: 2-year ADVANCE results. European journal of neurology 22 (613): </w:t>
            </w:r>
          </w:p>
        </w:tc>
      </w:tr>
      <w:tr w:rsidR="00F93E19" w:rsidRPr="00F93E19" w14:paraId="1ECC6CBF" w14:textId="77777777" w:rsidTr="00F93E19">
        <w:trPr>
          <w:trHeight w:val="144"/>
        </w:trPr>
        <w:tc>
          <w:tcPr>
            <w:tcW w:w="9360" w:type="dxa"/>
            <w:tcBorders>
              <w:top w:val="nil"/>
              <w:left w:val="nil"/>
              <w:bottom w:val="nil"/>
              <w:right w:val="nil"/>
            </w:tcBorders>
            <w:shd w:val="clear" w:color="auto" w:fill="auto"/>
            <w:noWrap/>
            <w:vAlign w:val="bottom"/>
            <w:hideMark/>
          </w:tcPr>
          <w:p w14:paraId="3A5D0D1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Arnold D, Sheffield J, Montalban X, Cree B, Kappos L et al. (2021) Whole Brain, Cortical Grey Matter, and Thalamic Volume Changes During 3 to five Years of Ozanimod in Relapsing MS. European journal of neurology 28 122-123.</w:t>
            </w:r>
          </w:p>
        </w:tc>
      </w:tr>
      <w:tr w:rsidR="00F93E19" w:rsidRPr="00F93E19" w14:paraId="4E483007" w14:textId="77777777" w:rsidTr="00F93E19">
        <w:trPr>
          <w:trHeight w:val="144"/>
        </w:trPr>
        <w:tc>
          <w:tcPr>
            <w:tcW w:w="9360" w:type="dxa"/>
            <w:tcBorders>
              <w:top w:val="nil"/>
              <w:left w:val="nil"/>
              <w:bottom w:val="nil"/>
              <w:right w:val="nil"/>
            </w:tcBorders>
            <w:shd w:val="clear" w:color="auto" w:fill="auto"/>
            <w:noWrap/>
            <w:vAlign w:val="bottom"/>
            <w:hideMark/>
          </w:tcPr>
          <w:p w14:paraId="2374AE1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Arnold DL, Fisher E, Brinar VV, Cohen JA, Coles AJ et al. (2016) Superior MRI outcomes with alemtuzumab compared with subcutaneous interferon beta-1a in MS. Neurology 87 (14): 1464-1472.</w:t>
            </w:r>
          </w:p>
        </w:tc>
      </w:tr>
      <w:tr w:rsidR="00F93E19" w:rsidRPr="00F93E19" w14:paraId="12865279" w14:textId="77777777" w:rsidTr="00F93E19">
        <w:trPr>
          <w:trHeight w:val="144"/>
        </w:trPr>
        <w:tc>
          <w:tcPr>
            <w:tcW w:w="9360" w:type="dxa"/>
            <w:tcBorders>
              <w:top w:val="nil"/>
              <w:left w:val="nil"/>
              <w:bottom w:val="nil"/>
              <w:right w:val="nil"/>
            </w:tcBorders>
            <w:shd w:val="clear" w:color="auto" w:fill="auto"/>
            <w:noWrap/>
            <w:vAlign w:val="bottom"/>
            <w:hideMark/>
          </w:tcPr>
          <w:p w14:paraId="42675DC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Arnold DL, Gold R, Kappos L, Bar-Or A, Giovannoni G et al. (2014) Effects of delayed-release dimethyl fumarate on MRI measures in the Phase 3 DEFINE study. Journal of Neurology 03 </w:t>
            </w:r>
          </w:p>
        </w:tc>
      </w:tr>
      <w:tr w:rsidR="00F93E19" w:rsidRPr="00F93E19" w14:paraId="6EF77F96" w14:textId="77777777" w:rsidTr="00F93E19">
        <w:trPr>
          <w:trHeight w:val="144"/>
        </w:trPr>
        <w:tc>
          <w:tcPr>
            <w:tcW w:w="9360" w:type="dxa"/>
            <w:tcBorders>
              <w:top w:val="nil"/>
              <w:left w:val="nil"/>
              <w:bottom w:val="nil"/>
              <w:right w:val="nil"/>
            </w:tcBorders>
            <w:shd w:val="clear" w:color="auto" w:fill="auto"/>
            <w:noWrap/>
            <w:vAlign w:val="bottom"/>
            <w:hideMark/>
          </w:tcPr>
          <w:p w14:paraId="4616ACF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Barkhof</w:t>
            </w:r>
            <w:proofErr w:type="spellEnd"/>
            <w:r w:rsidRPr="00713F1E">
              <w:rPr>
                <w:rFonts w:ascii="Times New Roman" w:eastAsia="Times New Roman" w:hAnsi="Times New Roman" w:cs="Times New Roman"/>
                <w:color w:val="000000"/>
                <w:szCs w:val="22"/>
                <w:lang w:val="fr-FR"/>
              </w:rPr>
              <w:t xml:space="preserve"> F, De Jong R, </w:t>
            </w:r>
            <w:proofErr w:type="spellStart"/>
            <w:r w:rsidRPr="00713F1E">
              <w:rPr>
                <w:rFonts w:ascii="Times New Roman" w:eastAsia="Times New Roman" w:hAnsi="Times New Roman" w:cs="Times New Roman"/>
                <w:color w:val="000000"/>
                <w:szCs w:val="22"/>
                <w:lang w:val="fr-FR"/>
              </w:rPr>
              <w:t>Sfikas</w:t>
            </w:r>
            <w:proofErr w:type="spellEnd"/>
            <w:r w:rsidRPr="00713F1E">
              <w:rPr>
                <w:rFonts w:ascii="Times New Roman" w:eastAsia="Times New Roman" w:hAnsi="Times New Roman" w:cs="Times New Roman"/>
                <w:color w:val="000000"/>
                <w:szCs w:val="22"/>
                <w:lang w:val="fr-FR"/>
              </w:rPr>
              <w:t xml:space="preserve"> N, De Vera A, Francis G et al. </w:t>
            </w:r>
            <w:r w:rsidRPr="00A14942">
              <w:rPr>
                <w:rFonts w:ascii="Times New Roman" w:eastAsia="Times New Roman" w:hAnsi="Times New Roman" w:cs="Times New Roman"/>
                <w:color w:val="000000"/>
                <w:szCs w:val="22"/>
              </w:rPr>
              <w:t>(2014) The influence of patient demographics, disease characteristics and treatment on brain volume loss in Trial Assessing Injectable Interferon vs FTY720 Oral in Relapsing-Remitting Multiple Sclerosis (TRANSFORMS), a phase 3 study of fingolimod in multiple sclerosis. Multiple Sclerosis 20 (13): 1704-1713.</w:t>
            </w:r>
          </w:p>
        </w:tc>
      </w:tr>
      <w:tr w:rsidR="00F93E19" w:rsidRPr="00F93E19" w14:paraId="529EC59E" w14:textId="77777777" w:rsidTr="00F93E19">
        <w:trPr>
          <w:trHeight w:val="144"/>
        </w:trPr>
        <w:tc>
          <w:tcPr>
            <w:tcW w:w="9360" w:type="dxa"/>
            <w:tcBorders>
              <w:top w:val="nil"/>
              <w:left w:val="nil"/>
              <w:bottom w:val="nil"/>
              <w:right w:val="nil"/>
            </w:tcBorders>
            <w:shd w:val="clear" w:color="auto" w:fill="auto"/>
            <w:noWrap/>
            <w:vAlign w:val="bottom"/>
            <w:hideMark/>
          </w:tcPr>
          <w:p w14:paraId="27E68C3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Barkhof</w:t>
            </w:r>
            <w:proofErr w:type="spellEnd"/>
            <w:r w:rsidRPr="00A14942">
              <w:rPr>
                <w:rFonts w:ascii="Times New Roman" w:eastAsia="Times New Roman" w:hAnsi="Times New Roman" w:cs="Times New Roman"/>
                <w:color w:val="000000"/>
                <w:szCs w:val="22"/>
              </w:rPr>
              <w:t xml:space="preserve"> F, Fisher E, Palmer J, Margolin DH, Arnold DL (2014) Alemtuzumab improves MRI outcomes regardless of subgroup versus interferon beta-1a in </w:t>
            </w:r>
            <w:proofErr w:type="spellStart"/>
            <w:r w:rsidRPr="00A14942">
              <w:rPr>
                <w:rFonts w:ascii="Times New Roman" w:eastAsia="Times New Roman" w:hAnsi="Times New Roman" w:cs="Times New Roman"/>
                <w:color w:val="000000"/>
                <w:szCs w:val="22"/>
              </w:rPr>
              <w:t>relapsingremitting</w:t>
            </w:r>
            <w:proofErr w:type="spellEnd"/>
            <w:r w:rsidRPr="00A14942">
              <w:rPr>
                <w:rFonts w:ascii="Times New Roman" w:eastAsia="Times New Roman" w:hAnsi="Times New Roman" w:cs="Times New Roman"/>
                <w:color w:val="000000"/>
                <w:szCs w:val="22"/>
              </w:rPr>
              <w:t xml:space="preserve"> MS patients who relapsed on prior therapy.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100-101.</w:t>
            </w:r>
          </w:p>
        </w:tc>
      </w:tr>
      <w:tr w:rsidR="00F93E19" w:rsidRPr="00F93E19" w14:paraId="76AF349C" w14:textId="77777777" w:rsidTr="00F93E19">
        <w:trPr>
          <w:trHeight w:val="144"/>
        </w:trPr>
        <w:tc>
          <w:tcPr>
            <w:tcW w:w="9360" w:type="dxa"/>
            <w:tcBorders>
              <w:top w:val="nil"/>
              <w:left w:val="nil"/>
              <w:bottom w:val="nil"/>
              <w:right w:val="nil"/>
            </w:tcBorders>
            <w:shd w:val="clear" w:color="auto" w:fill="auto"/>
            <w:noWrap/>
            <w:vAlign w:val="bottom"/>
            <w:hideMark/>
          </w:tcPr>
          <w:p w14:paraId="301026D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Bergvall</w:t>
            </w:r>
            <w:proofErr w:type="spellEnd"/>
            <w:r w:rsidRPr="00A14942">
              <w:rPr>
                <w:rFonts w:ascii="Times New Roman" w:eastAsia="Times New Roman" w:hAnsi="Times New Roman" w:cs="Times New Roman"/>
                <w:color w:val="000000"/>
                <w:szCs w:val="22"/>
              </w:rPr>
              <w:t xml:space="preserve"> N, Sfikas N, Chin P, Tomic D, Von Rosenstiel P et al. (2014) Efficacy of fingolimod in pre-treated patients with disease activity: Pooled analyses of freedoms and freedoms ii. Neurology 82 (10 SUPPL. 1): CONFERENCE START: 2014 Apr 2026 CONFERENCE END: 2014 May 2013.</w:t>
            </w:r>
          </w:p>
        </w:tc>
      </w:tr>
      <w:tr w:rsidR="00F93E19" w:rsidRPr="00F93E19" w14:paraId="32D57455" w14:textId="77777777" w:rsidTr="00F93E19">
        <w:trPr>
          <w:trHeight w:val="144"/>
        </w:trPr>
        <w:tc>
          <w:tcPr>
            <w:tcW w:w="9360" w:type="dxa"/>
            <w:tcBorders>
              <w:top w:val="nil"/>
              <w:left w:val="nil"/>
              <w:bottom w:val="nil"/>
              <w:right w:val="nil"/>
            </w:tcBorders>
            <w:shd w:val="clear" w:color="auto" w:fill="auto"/>
            <w:noWrap/>
            <w:vAlign w:val="bottom"/>
            <w:hideMark/>
          </w:tcPr>
          <w:p w14:paraId="3A82467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Boiko AN, </w:t>
            </w:r>
            <w:proofErr w:type="spellStart"/>
            <w:r w:rsidRPr="00A14942">
              <w:rPr>
                <w:rFonts w:ascii="Times New Roman" w:eastAsia="Times New Roman" w:hAnsi="Times New Roman" w:cs="Times New Roman"/>
                <w:color w:val="000000"/>
                <w:szCs w:val="22"/>
              </w:rPr>
              <w:t>Lashch</w:t>
            </w:r>
            <w:proofErr w:type="spellEnd"/>
            <w:r w:rsidRPr="00A14942">
              <w:rPr>
                <w:rFonts w:ascii="Times New Roman" w:eastAsia="Times New Roman" w:hAnsi="Times New Roman" w:cs="Times New Roman"/>
                <w:color w:val="000000"/>
                <w:szCs w:val="22"/>
              </w:rPr>
              <w:t xml:space="preserve"> NY, </w:t>
            </w:r>
            <w:proofErr w:type="spellStart"/>
            <w:r w:rsidRPr="00A14942">
              <w:rPr>
                <w:rFonts w:ascii="Times New Roman" w:eastAsia="Times New Roman" w:hAnsi="Times New Roman" w:cs="Times New Roman"/>
                <w:color w:val="000000"/>
                <w:szCs w:val="22"/>
              </w:rPr>
              <w:t>Sharanova</w:t>
            </w:r>
            <w:proofErr w:type="spellEnd"/>
            <w:r w:rsidRPr="00A14942">
              <w:rPr>
                <w:rFonts w:ascii="Times New Roman" w:eastAsia="Times New Roman" w:hAnsi="Times New Roman" w:cs="Times New Roman"/>
                <w:color w:val="000000"/>
                <w:szCs w:val="22"/>
              </w:rPr>
              <w:t xml:space="preserve"> SN, Zakharova MN, Trifonova OV et al. (2018) A Comparative Placebo-Controlled Clinical Trial of the Efficacy and Safety of Glatiramer Acetate 20 mg in Patients with Remitting Multiple Sclerosis: First-Year Study Results. Neuroscience and Behavioral Physiology 48 (3): 351-357.</w:t>
            </w:r>
          </w:p>
        </w:tc>
      </w:tr>
      <w:tr w:rsidR="00F93E19" w:rsidRPr="00F93E19" w14:paraId="4A6A283C" w14:textId="77777777" w:rsidTr="00F93E19">
        <w:trPr>
          <w:trHeight w:val="144"/>
        </w:trPr>
        <w:tc>
          <w:tcPr>
            <w:tcW w:w="9360" w:type="dxa"/>
            <w:tcBorders>
              <w:top w:val="nil"/>
              <w:left w:val="nil"/>
              <w:bottom w:val="nil"/>
              <w:right w:val="nil"/>
            </w:tcBorders>
            <w:shd w:val="clear" w:color="auto" w:fill="auto"/>
            <w:noWrap/>
            <w:vAlign w:val="bottom"/>
            <w:hideMark/>
          </w:tcPr>
          <w:p w14:paraId="41DCB07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Boyko AN, Zakharova MN, </w:t>
            </w:r>
            <w:proofErr w:type="spellStart"/>
            <w:r w:rsidRPr="00A14942">
              <w:rPr>
                <w:rFonts w:ascii="Times New Roman" w:eastAsia="Times New Roman" w:hAnsi="Times New Roman" w:cs="Times New Roman"/>
                <w:color w:val="000000"/>
                <w:szCs w:val="22"/>
              </w:rPr>
              <w:t>Simaniv</w:t>
            </w:r>
            <w:proofErr w:type="spellEnd"/>
            <w:r w:rsidRPr="00A14942">
              <w:rPr>
                <w:rFonts w:ascii="Times New Roman" w:eastAsia="Times New Roman" w:hAnsi="Times New Roman" w:cs="Times New Roman"/>
                <w:color w:val="000000"/>
                <w:szCs w:val="22"/>
              </w:rPr>
              <w:t xml:space="preserve"> TO, </w:t>
            </w:r>
            <w:proofErr w:type="spellStart"/>
            <w:r w:rsidRPr="00A14942">
              <w:rPr>
                <w:rFonts w:ascii="Times New Roman" w:eastAsia="Times New Roman" w:hAnsi="Times New Roman" w:cs="Times New Roman"/>
                <w:color w:val="000000"/>
                <w:szCs w:val="22"/>
              </w:rPr>
              <w:t>Lysogorskaya</w:t>
            </w:r>
            <w:proofErr w:type="spellEnd"/>
            <w:r w:rsidRPr="00A14942">
              <w:rPr>
                <w:rFonts w:ascii="Times New Roman" w:eastAsia="Times New Roman" w:hAnsi="Times New Roman" w:cs="Times New Roman"/>
                <w:color w:val="000000"/>
                <w:szCs w:val="22"/>
              </w:rPr>
              <w:t xml:space="preserve"> EV, </w:t>
            </w:r>
            <w:proofErr w:type="spellStart"/>
            <w:r w:rsidRPr="00A14942">
              <w:rPr>
                <w:rFonts w:ascii="Times New Roman" w:eastAsia="Times New Roman" w:hAnsi="Times New Roman" w:cs="Times New Roman"/>
                <w:color w:val="000000"/>
                <w:szCs w:val="22"/>
              </w:rPr>
              <w:t>Khabirov</w:t>
            </w:r>
            <w:proofErr w:type="spellEnd"/>
            <w:r w:rsidRPr="00A14942">
              <w:rPr>
                <w:rFonts w:ascii="Times New Roman" w:eastAsia="Times New Roman" w:hAnsi="Times New Roman" w:cs="Times New Roman"/>
                <w:color w:val="000000"/>
                <w:szCs w:val="22"/>
              </w:rPr>
              <w:t xml:space="preserve"> FA et al. (2016) Effects of generic glatiramer acetate (BCD-063) on magnetic resonance imaging outcomes in patients with relapsing multiple sclerosis. A randomized double-blind 48 weeks clinical trial. Multiple Sclerosis 22 (287): </w:t>
            </w:r>
          </w:p>
        </w:tc>
      </w:tr>
      <w:tr w:rsidR="00F93E19" w:rsidRPr="00F93E19" w14:paraId="532DB56A" w14:textId="77777777" w:rsidTr="00F93E19">
        <w:trPr>
          <w:trHeight w:val="144"/>
        </w:trPr>
        <w:tc>
          <w:tcPr>
            <w:tcW w:w="9360" w:type="dxa"/>
            <w:tcBorders>
              <w:top w:val="nil"/>
              <w:left w:val="nil"/>
              <w:bottom w:val="nil"/>
              <w:right w:val="nil"/>
            </w:tcBorders>
            <w:shd w:val="clear" w:color="auto" w:fill="auto"/>
            <w:noWrap/>
            <w:vAlign w:val="bottom"/>
            <w:hideMark/>
          </w:tcPr>
          <w:p w14:paraId="6596545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Calabresi P, Radue EW, Goodin D, Jeffery D, </w:t>
            </w:r>
            <w:proofErr w:type="spellStart"/>
            <w:r w:rsidRPr="00A14942">
              <w:rPr>
                <w:rFonts w:ascii="Times New Roman" w:eastAsia="Times New Roman" w:hAnsi="Times New Roman" w:cs="Times New Roman"/>
                <w:color w:val="000000"/>
                <w:szCs w:val="22"/>
              </w:rPr>
              <w:t>Kottil</w:t>
            </w:r>
            <w:proofErr w:type="spellEnd"/>
            <w:r w:rsidRPr="00A14942">
              <w:rPr>
                <w:rFonts w:ascii="Times New Roman" w:eastAsia="Times New Roman" w:hAnsi="Times New Roman" w:cs="Times New Roman"/>
                <w:color w:val="000000"/>
                <w:szCs w:val="22"/>
              </w:rPr>
              <w:t xml:space="preserve"> R et al. (2012) Efficacy and safety of fingolimod in patients with relapsing-remitting multiple sclerosis (RRMS): Results from an </w:t>
            </w:r>
            <w:r w:rsidRPr="00A14942">
              <w:rPr>
                <w:rFonts w:ascii="Times New Roman" w:eastAsia="Times New Roman" w:hAnsi="Times New Roman" w:cs="Times New Roman"/>
                <w:color w:val="000000"/>
                <w:szCs w:val="22"/>
              </w:rPr>
              <w:lastRenderedPageBreak/>
              <w:t>additional 24-month double-blind, placebo-controlled study (freedoms II study). Neurology 79 (11): e90-e91.</w:t>
            </w:r>
          </w:p>
        </w:tc>
      </w:tr>
      <w:tr w:rsidR="00F93E19" w:rsidRPr="00F93E19" w14:paraId="522A232A" w14:textId="77777777" w:rsidTr="00F93E19">
        <w:trPr>
          <w:trHeight w:val="144"/>
        </w:trPr>
        <w:tc>
          <w:tcPr>
            <w:tcW w:w="9360" w:type="dxa"/>
            <w:tcBorders>
              <w:top w:val="nil"/>
              <w:left w:val="nil"/>
              <w:bottom w:val="nil"/>
              <w:right w:val="nil"/>
            </w:tcBorders>
            <w:shd w:val="clear" w:color="auto" w:fill="auto"/>
            <w:noWrap/>
            <w:vAlign w:val="bottom"/>
            <w:hideMark/>
          </w:tcPr>
          <w:p w14:paraId="1B95855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Calabresi PA, Goodin D, Jeffery D, Kappos L, Lublin FD et al. (2012) Efficacy and safety of fingolimod versus placebo: Primary outcomes from the phase 3 FREEDOMS II study in patients with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205-206.</w:t>
            </w:r>
          </w:p>
        </w:tc>
      </w:tr>
      <w:tr w:rsidR="00F93E19" w:rsidRPr="00F93E19" w14:paraId="0746BC0A" w14:textId="77777777" w:rsidTr="00F93E19">
        <w:trPr>
          <w:trHeight w:val="144"/>
        </w:trPr>
        <w:tc>
          <w:tcPr>
            <w:tcW w:w="9360" w:type="dxa"/>
            <w:tcBorders>
              <w:top w:val="nil"/>
              <w:left w:val="nil"/>
              <w:bottom w:val="nil"/>
              <w:right w:val="nil"/>
            </w:tcBorders>
            <w:shd w:val="clear" w:color="auto" w:fill="auto"/>
            <w:noWrap/>
            <w:vAlign w:val="bottom"/>
            <w:hideMark/>
          </w:tcPr>
          <w:p w14:paraId="3593EF0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Calabresi PA, </w:t>
            </w:r>
            <w:proofErr w:type="spellStart"/>
            <w:r w:rsidRPr="00A14942">
              <w:rPr>
                <w:rFonts w:ascii="Times New Roman" w:eastAsia="Times New Roman" w:hAnsi="Times New Roman" w:cs="Times New Roman"/>
                <w:color w:val="000000"/>
                <w:szCs w:val="22"/>
              </w:rPr>
              <w:t>Kieseier</w:t>
            </w:r>
            <w:proofErr w:type="spellEnd"/>
            <w:r w:rsidRPr="00A14942">
              <w:rPr>
                <w:rFonts w:ascii="Times New Roman" w:eastAsia="Times New Roman" w:hAnsi="Times New Roman" w:cs="Times New Roman"/>
                <w:color w:val="000000"/>
                <w:szCs w:val="22"/>
              </w:rPr>
              <w:t xml:space="preserve"> BC, Arnold DL, Balcer LJ, Boyko A et al. (2014) Pegylated interferon beta-1a for relapsing-remitting multiple sclerosis (ADVANCE): A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phase 3, double-blind study. The Lancet Neurology 13 (7): 657-665.</w:t>
            </w:r>
          </w:p>
        </w:tc>
      </w:tr>
      <w:tr w:rsidR="00F93E19" w:rsidRPr="00F93E19" w14:paraId="3D0A5364" w14:textId="77777777" w:rsidTr="00F93E19">
        <w:trPr>
          <w:trHeight w:val="144"/>
        </w:trPr>
        <w:tc>
          <w:tcPr>
            <w:tcW w:w="9360" w:type="dxa"/>
            <w:tcBorders>
              <w:top w:val="nil"/>
              <w:left w:val="nil"/>
              <w:bottom w:val="nil"/>
              <w:right w:val="nil"/>
            </w:tcBorders>
            <w:shd w:val="clear" w:color="auto" w:fill="auto"/>
            <w:noWrap/>
            <w:vAlign w:val="bottom"/>
            <w:hideMark/>
          </w:tcPr>
          <w:p w14:paraId="3FA877D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Calabresi PA, Radue EW, Goodin D, Jeffery D, Rammohan KW et al. (2014) Safety and efficacy of fingolimod in patients with relapsing-remitting multiple sclerosis (FREEDOMS II): A double-blind,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placebo-controlled, phase 3 trial. The Lancet Neurology 13 (6): 545-556.</w:t>
            </w:r>
          </w:p>
        </w:tc>
      </w:tr>
      <w:tr w:rsidR="00F93E19" w:rsidRPr="00F93E19" w14:paraId="0BEF337B" w14:textId="77777777" w:rsidTr="00F93E19">
        <w:trPr>
          <w:trHeight w:val="144"/>
        </w:trPr>
        <w:tc>
          <w:tcPr>
            <w:tcW w:w="9360" w:type="dxa"/>
            <w:tcBorders>
              <w:top w:val="nil"/>
              <w:left w:val="nil"/>
              <w:bottom w:val="nil"/>
              <w:right w:val="nil"/>
            </w:tcBorders>
            <w:shd w:val="clear" w:color="auto" w:fill="auto"/>
            <w:noWrap/>
            <w:vAlign w:val="bottom"/>
            <w:hideMark/>
          </w:tcPr>
          <w:p w14:paraId="502DE67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Canadian Agency for Drugs and Technologies in Health (2015) Peginterferon beta-1a, SR0440-000. Health Technology Assessment (HTA). </w:t>
            </w:r>
          </w:p>
        </w:tc>
      </w:tr>
      <w:tr w:rsidR="00F93E19" w:rsidRPr="00F93E19" w14:paraId="1BFAD801" w14:textId="77777777" w:rsidTr="00F93E19">
        <w:trPr>
          <w:trHeight w:val="144"/>
        </w:trPr>
        <w:tc>
          <w:tcPr>
            <w:tcW w:w="9360" w:type="dxa"/>
            <w:tcBorders>
              <w:top w:val="nil"/>
              <w:left w:val="nil"/>
              <w:bottom w:val="nil"/>
              <w:right w:val="nil"/>
            </w:tcBorders>
            <w:shd w:val="clear" w:color="auto" w:fill="auto"/>
            <w:noWrap/>
            <w:vAlign w:val="bottom"/>
            <w:hideMark/>
          </w:tcPr>
          <w:p w14:paraId="7296BDC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Canadian Agency for Drugs and Technologies in Health (2017) ocrelizumab, SR0519-000. Health Technology Assessment (HTA). </w:t>
            </w:r>
          </w:p>
        </w:tc>
      </w:tr>
      <w:tr w:rsidR="00F93E19" w:rsidRPr="00F93E19" w14:paraId="2B0E9909" w14:textId="77777777" w:rsidTr="00F93E19">
        <w:trPr>
          <w:trHeight w:val="144"/>
        </w:trPr>
        <w:tc>
          <w:tcPr>
            <w:tcW w:w="9360" w:type="dxa"/>
            <w:tcBorders>
              <w:top w:val="nil"/>
              <w:left w:val="nil"/>
              <w:bottom w:val="nil"/>
              <w:right w:val="nil"/>
            </w:tcBorders>
            <w:shd w:val="clear" w:color="auto" w:fill="auto"/>
            <w:noWrap/>
            <w:vAlign w:val="bottom"/>
            <w:hideMark/>
          </w:tcPr>
          <w:p w14:paraId="013D631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Canadian Agency for Drugs and Technologies in Health (2020) ozanimod, SR0652-000. Health Technology Assessment (HTA). </w:t>
            </w:r>
          </w:p>
        </w:tc>
      </w:tr>
      <w:tr w:rsidR="00F93E19" w:rsidRPr="00F93E19" w14:paraId="4314E6F0" w14:textId="77777777" w:rsidTr="00F93E19">
        <w:trPr>
          <w:trHeight w:val="144"/>
        </w:trPr>
        <w:tc>
          <w:tcPr>
            <w:tcW w:w="9360" w:type="dxa"/>
            <w:tcBorders>
              <w:top w:val="nil"/>
              <w:left w:val="nil"/>
              <w:bottom w:val="nil"/>
              <w:right w:val="nil"/>
            </w:tcBorders>
            <w:shd w:val="clear" w:color="auto" w:fill="auto"/>
            <w:noWrap/>
            <w:vAlign w:val="bottom"/>
            <w:hideMark/>
          </w:tcPr>
          <w:p w14:paraId="6A11AC8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Canadian Agency for Drugs and Technologies in Health (2021) Clinical Review Report- </w:t>
            </w:r>
            <w:proofErr w:type="spellStart"/>
            <w:r w:rsidRPr="00A14942">
              <w:rPr>
                <w:rFonts w:ascii="Times New Roman" w:eastAsia="Times New Roman" w:hAnsi="Times New Roman" w:cs="Times New Roman"/>
                <w:color w:val="000000"/>
                <w:szCs w:val="22"/>
              </w:rPr>
              <w:t>Kesimpta</w:t>
            </w:r>
            <w:proofErr w:type="spellEnd"/>
            <w:r w:rsidRPr="00A14942">
              <w:rPr>
                <w:rFonts w:ascii="Times New Roman" w:eastAsia="Times New Roman" w:hAnsi="Times New Roman" w:cs="Times New Roman"/>
                <w:color w:val="000000"/>
                <w:szCs w:val="22"/>
              </w:rPr>
              <w:t xml:space="preserve"> (Ofatumumab). Health Technology Assessment (HTA). </w:t>
            </w:r>
          </w:p>
        </w:tc>
      </w:tr>
      <w:tr w:rsidR="00F93E19" w:rsidRPr="00F93E19" w14:paraId="6D73C7CF" w14:textId="77777777" w:rsidTr="00F93E19">
        <w:trPr>
          <w:trHeight w:val="144"/>
        </w:trPr>
        <w:tc>
          <w:tcPr>
            <w:tcW w:w="9360" w:type="dxa"/>
            <w:tcBorders>
              <w:top w:val="nil"/>
              <w:left w:val="nil"/>
              <w:bottom w:val="nil"/>
              <w:right w:val="nil"/>
            </w:tcBorders>
            <w:shd w:val="clear" w:color="auto" w:fill="auto"/>
            <w:noWrap/>
            <w:vAlign w:val="bottom"/>
            <w:hideMark/>
          </w:tcPr>
          <w:p w14:paraId="13EC5B3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Chin P, Von Rosenstiel P, </w:t>
            </w:r>
            <w:proofErr w:type="spellStart"/>
            <w:r w:rsidRPr="00A14942">
              <w:rPr>
                <w:rFonts w:ascii="Times New Roman" w:eastAsia="Times New Roman" w:hAnsi="Times New Roman" w:cs="Times New Roman"/>
                <w:color w:val="000000"/>
                <w:szCs w:val="22"/>
              </w:rPr>
              <w:t>Haering</w:t>
            </w:r>
            <w:proofErr w:type="spellEnd"/>
            <w:r w:rsidRPr="00A14942">
              <w:rPr>
                <w:rFonts w:ascii="Times New Roman" w:eastAsia="Times New Roman" w:hAnsi="Times New Roman" w:cs="Times New Roman"/>
                <w:color w:val="000000"/>
                <w:szCs w:val="22"/>
              </w:rPr>
              <w:t xml:space="preserve"> D, Francis G, Kappos L (2012) Fingolimod leads to early clinical and MRI benefits in relapsing-remitting multiple sclerosis. Journal of Neurology 259 (1): S70-S71.</w:t>
            </w:r>
          </w:p>
        </w:tc>
      </w:tr>
      <w:tr w:rsidR="00F93E19" w:rsidRPr="00F93E19" w14:paraId="6299948B" w14:textId="77777777" w:rsidTr="00F93E19">
        <w:trPr>
          <w:trHeight w:val="144"/>
        </w:trPr>
        <w:tc>
          <w:tcPr>
            <w:tcW w:w="9360" w:type="dxa"/>
            <w:tcBorders>
              <w:top w:val="nil"/>
              <w:left w:val="nil"/>
              <w:bottom w:val="nil"/>
              <w:right w:val="nil"/>
            </w:tcBorders>
            <w:shd w:val="clear" w:color="auto" w:fill="auto"/>
            <w:noWrap/>
            <w:vAlign w:val="bottom"/>
            <w:hideMark/>
          </w:tcPr>
          <w:p w14:paraId="0DC53BF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Chin PS, Calabresi PA, Zhang Y, Von Rosenstiel P, Kappos L (2013) Early effect of fingolimod on clinical and MRI related outcomes in relapsing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187.</w:t>
            </w:r>
          </w:p>
        </w:tc>
      </w:tr>
      <w:tr w:rsidR="00F93E19" w:rsidRPr="00F93E19" w14:paraId="32E8920A" w14:textId="77777777" w:rsidTr="00F93E19">
        <w:trPr>
          <w:trHeight w:val="144"/>
        </w:trPr>
        <w:tc>
          <w:tcPr>
            <w:tcW w:w="9360" w:type="dxa"/>
            <w:tcBorders>
              <w:top w:val="nil"/>
              <w:left w:val="nil"/>
              <w:bottom w:val="nil"/>
              <w:right w:val="nil"/>
            </w:tcBorders>
            <w:shd w:val="clear" w:color="auto" w:fill="auto"/>
            <w:noWrap/>
            <w:vAlign w:val="bottom"/>
            <w:hideMark/>
          </w:tcPr>
          <w:p w14:paraId="38E48C5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(2005) A Safety and Efficacy Study of Oral Cladribine in Subjects With Relapsing-remitting Multiple Sclerosis (RRMS). https://clinicaltrialsgov/show/NCT00213135 </w:t>
            </w:r>
          </w:p>
        </w:tc>
      </w:tr>
      <w:tr w:rsidR="00F93E19" w:rsidRPr="00F93E19" w14:paraId="29495DA4" w14:textId="77777777" w:rsidTr="00F93E19">
        <w:trPr>
          <w:trHeight w:val="144"/>
        </w:trPr>
        <w:tc>
          <w:tcPr>
            <w:tcW w:w="9360" w:type="dxa"/>
            <w:tcBorders>
              <w:top w:val="nil"/>
              <w:left w:val="nil"/>
              <w:bottom w:val="nil"/>
              <w:right w:val="nil"/>
            </w:tcBorders>
            <w:shd w:val="clear" w:color="auto" w:fill="auto"/>
            <w:noWrap/>
            <w:vAlign w:val="bottom"/>
            <w:hideMark/>
          </w:tcPr>
          <w:p w14:paraId="1F37587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(2006) Efficacy and Safety of Fingolimod (FTY720) in Patients With Relapsing-remitting Multiple Sclerosis. https://clinicaltrialsgov/show/NCT00355134 </w:t>
            </w:r>
          </w:p>
        </w:tc>
      </w:tr>
      <w:tr w:rsidR="00F93E19" w:rsidRPr="00F93E19" w14:paraId="7BE1A727" w14:textId="77777777" w:rsidTr="00F93E19">
        <w:trPr>
          <w:trHeight w:val="144"/>
        </w:trPr>
        <w:tc>
          <w:tcPr>
            <w:tcW w:w="9360" w:type="dxa"/>
            <w:tcBorders>
              <w:top w:val="nil"/>
              <w:left w:val="nil"/>
              <w:bottom w:val="nil"/>
              <w:right w:val="nil"/>
            </w:tcBorders>
            <w:shd w:val="clear" w:color="auto" w:fill="auto"/>
            <w:noWrap/>
            <w:vAlign w:val="bottom"/>
            <w:hideMark/>
          </w:tcPr>
          <w:p w14:paraId="7E9A2DF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(2009) Safety, Tolerability, Efficacy and Optimal Dose Finding Study of BAF312 in Patients With Relapsing-remitting Multiple Sclerosis. https://clinicaltrialsgov/show/NCT00879658 </w:t>
            </w:r>
          </w:p>
        </w:tc>
      </w:tr>
      <w:tr w:rsidR="00F93E19" w:rsidRPr="00F93E19" w14:paraId="33385CB9" w14:textId="77777777" w:rsidTr="00F93E19">
        <w:trPr>
          <w:trHeight w:val="144"/>
        </w:trPr>
        <w:tc>
          <w:tcPr>
            <w:tcW w:w="9360" w:type="dxa"/>
            <w:tcBorders>
              <w:top w:val="nil"/>
              <w:left w:val="nil"/>
              <w:bottom w:val="nil"/>
              <w:right w:val="nil"/>
            </w:tcBorders>
            <w:shd w:val="clear" w:color="auto" w:fill="auto"/>
            <w:noWrap/>
            <w:vAlign w:val="bottom"/>
            <w:hideMark/>
          </w:tcPr>
          <w:p w14:paraId="1AD6885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(2010) A Study in Subjects With Relapsing-Remitting Multiple Sclerosis (RRMS) to Assess the Efficacy, Safety and Tolerability of Glatiramer Acetate (GA) Injection 40 mg Administered Three Times a Week Compared to Placebo. https://clinicaltrialsgov/show/NCT01067521 </w:t>
            </w:r>
          </w:p>
        </w:tc>
      </w:tr>
      <w:tr w:rsidR="00F93E19" w:rsidRPr="00F93E19" w14:paraId="76401BBA" w14:textId="77777777" w:rsidTr="00F93E19">
        <w:trPr>
          <w:trHeight w:val="144"/>
        </w:trPr>
        <w:tc>
          <w:tcPr>
            <w:tcW w:w="9360" w:type="dxa"/>
            <w:tcBorders>
              <w:top w:val="nil"/>
              <w:left w:val="nil"/>
              <w:bottom w:val="nil"/>
              <w:right w:val="nil"/>
            </w:tcBorders>
            <w:shd w:val="clear" w:color="auto" w:fill="auto"/>
            <w:noWrap/>
            <w:vAlign w:val="bottom"/>
            <w:hideMark/>
          </w:tcPr>
          <w:p w14:paraId="144A021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(2010) A Study of Ocrelizumab in Comparison With Interferon Beta-1a (Rebif) in Participants With Relapsing Multiple Sclerosis. https://clinicaltrialsgov/show/NCT01247324 </w:t>
            </w:r>
          </w:p>
        </w:tc>
      </w:tr>
      <w:tr w:rsidR="00F93E19" w:rsidRPr="00F93E19" w14:paraId="58FD6F4C" w14:textId="77777777" w:rsidTr="00F93E19">
        <w:trPr>
          <w:trHeight w:val="144"/>
        </w:trPr>
        <w:tc>
          <w:tcPr>
            <w:tcW w:w="9360" w:type="dxa"/>
            <w:tcBorders>
              <w:top w:val="nil"/>
              <w:left w:val="nil"/>
              <w:bottom w:val="nil"/>
              <w:right w:val="nil"/>
            </w:tcBorders>
            <w:shd w:val="clear" w:color="auto" w:fill="auto"/>
            <w:noWrap/>
            <w:vAlign w:val="bottom"/>
            <w:hideMark/>
          </w:tcPr>
          <w:p w14:paraId="14749ED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(Web Page) A Two-arm, Randomized, Double-blind, Control Group-compared, Multicenter, Phase </w:t>
            </w:r>
            <w:proofErr w:type="spellStart"/>
            <w:r w:rsidRPr="00A14942">
              <w:rPr>
                <w:rFonts w:ascii="Times New Roman" w:eastAsia="Times New Roman" w:hAnsi="Times New Roman" w:cs="Times New Roman"/>
                <w:color w:val="000000"/>
                <w:szCs w:val="22"/>
              </w:rPr>
              <w:t>IIIb</w:t>
            </w:r>
            <w:proofErr w:type="spellEnd"/>
            <w:r w:rsidRPr="00A14942">
              <w:rPr>
                <w:rFonts w:ascii="Times New Roman" w:eastAsia="Times New Roman" w:hAnsi="Times New Roman" w:cs="Times New Roman"/>
                <w:color w:val="000000"/>
                <w:szCs w:val="22"/>
              </w:rPr>
              <w:t xml:space="preserve"> Study With Monthly MRI and Biomarker Assessments to Evaluate the Efficacy, Safety, and Tolerability of Rebif® New Formulation (IFN Beta-1a) in </w:t>
            </w:r>
            <w:r w:rsidRPr="00A14942">
              <w:rPr>
                <w:rFonts w:ascii="Times New Roman" w:eastAsia="Times New Roman" w:hAnsi="Times New Roman" w:cs="Times New Roman"/>
                <w:color w:val="000000"/>
                <w:szCs w:val="22"/>
              </w:rPr>
              <w:lastRenderedPageBreak/>
              <w:t>Subjects With Relapsing Remitting Multiple Sclerosis. Updated July 9, 2014. Available online at: https://ClinicalTrials.gov/show/NCT00441103. Accessed: 01/19/2022.</w:t>
            </w:r>
          </w:p>
        </w:tc>
      </w:tr>
      <w:tr w:rsidR="00F93E19" w:rsidRPr="00F93E19" w14:paraId="583F6E0F" w14:textId="77777777" w:rsidTr="00F93E19">
        <w:trPr>
          <w:trHeight w:val="144"/>
        </w:trPr>
        <w:tc>
          <w:tcPr>
            <w:tcW w:w="9360" w:type="dxa"/>
            <w:tcBorders>
              <w:top w:val="nil"/>
              <w:left w:val="nil"/>
              <w:bottom w:val="nil"/>
              <w:right w:val="nil"/>
            </w:tcBorders>
            <w:shd w:val="clear" w:color="auto" w:fill="auto"/>
            <w:noWrap/>
            <w:vAlign w:val="bottom"/>
            <w:hideMark/>
          </w:tcPr>
          <w:p w14:paraId="0DA3995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Clinicaltrials.gov (Web Page) Multicenter Study of BG00002 in Japanese Subjects With RRMS, Consisting of a Multiple-Dose, Open-Label Evaluation of Its Safety, Tolerability, Pharmacokinetics and Pharmacodynamics (Part A) and a Randomized, Double-Blind, Placebo-Controlled, Multiple-Dose Evaluation of Safety and Efficacy (Part B). Updated October 21, 2014. Available online at: https://clinicaltrials.gov/show/NCT01440101. Accessed: 01/19/2022.</w:t>
            </w:r>
          </w:p>
        </w:tc>
      </w:tr>
      <w:tr w:rsidR="00F93E19" w:rsidRPr="00F93E19" w14:paraId="5E7B2DF9" w14:textId="77777777" w:rsidTr="00F93E19">
        <w:trPr>
          <w:trHeight w:val="144"/>
        </w:trPr>
        <w:tc>
          <w:tcPr>
            <w:tcW w:w="9360" w:type="dxa"/>
            <w:tcBorders>
              <w:top w:val="nil"/>
              <w:left w:val="nil"/>
              <w:bottom w:val="nil"/>
              <w:right w:val="nil"/>
            </w:tcBorders>
            <w:shd w:val="clear" w:color="auto" w:fill="auto"/>
            <w:noWrap/>
            <w:vAlign w:val="bottom"/>
            <w:hideMark/>
          </w:tcPr>
          <w:p w14:paraId="146E172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Fingolimod Versus Interferon Beta 1b in Cognitive Symptoms (Cognition). Updated March 21, 2017. Available online at: https://clinicaltrials.gov/ct2/show/NCT01333501. Accessed: 01/19/2022.</w:t>
            </w:r>
          </w:p>
        </w:tc>
      </w:tr>
      <w:tr w:rsidR="00F93E19" w:rsidRPr="00F93E19" w14:paraId="24903D57" w14:textId="77777777" w:rsidTr="00F93E19">
        <w:trPr>
          <w:trHeight w:val="144"/>
        </w:trPr>
        <w:tc>
          <w:tcPr>
            <w:tcW w:w="9360" w:type="dxa"/>
            <w:tcBorders>
              <w:top w:val="nil"/>
              <w:left w:val="nil"/>
              <w:bottom w:val="nil"/>
              <w:right w:val="nil"/>
            </w:tcBorders>
            <w:shd w:val="clear" w:color="auto" w:fill="auto"/>
            <w:noWrap/>
            <w:vAlign w:val="bottom"/>
            <w:hideMark/>
          </w:tcPr>
          <w:p w14:paraId="369F9E7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A Randomized, Double-Blind, Double-Dummy, Parallel-Group Study To Evaluate the Efficacy and Safety of Ocrelizumab in Comparison to Interferon Beta-1a (Rebif) in Patients With Relapsing Multiple Sclerosis. Updated December 17, 2020. Available online at: https://ClinicalTrials.gov/show/NCT01412333. Accessed: 01/19/2022.</w:t>
            </w:r>
          </w:p>
        </w:tc>
      </w:tr>
      <w:tr w:rsidR="00F93E19" w:rsidRPr="00F93E19" w14:paraId="7AB7E5AF" w14:textId="77777777" w:rsidTr="00F93E19">
        <w:trPr>
          <w:trHeight w:val="144"/>
        </w:trPr>
        <w:tc>
          <w:tcPr>
            <w:tcW w:w="9360" w:type="dxa"/>
            <w:tcBorders>
              <w:top w:val="nil"/>
              <w:left w:val="nil"/>
              <w:bottom w:val="nil"/>
              <w:right w:val="nil"/>
            </w:tcBorders>
            <w:shd w:val="clear" w:color="auto" w:fill="auto"/>
            <w:noWrap/>
            <w:vAlign w:val="bottom"/>
            <w:hideMark/>
          </w:tcPr>
          <w:p w14:paraId="4C8DE5D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Efficacy and Safety of Ofatumumab Compared to Teriflunomide in Patients With Relapsing Multiple Sclerosis. (ASCLEPIOS I). Updated October 1, 2021. Available online at: https://clinicaltrials.gov/ct2/show/NCT02792218. Accessed: 01/19/2022.</w:t>
            </w:r>
          </w:p>
        </w:tc>
      </w:tr>
      <w:tr w:rsidR="00F93E19" w:rsidRPr="00F93E19" w14:paraId="461D318D" w14:textId="77777777" w:rsidTr="00F93E19">
        <w:trPr>
          <w:trHeight w:val="144"/>
        </w:trPr>
        <w:tc>
          <w:tcPr>
            <w:tcW w:w="9360" w:type="dxa"/>
            <w:tcBorders>
              <w:top w:val="nil"/>
              <w:left w:val="nil"/>
              <w:bottom w:val="nil"/>
              <w:right w:val="nil"/>
            </w:tcBorders>
            <w:shd w:val="clear" w:color="auto" w:fill="auto"/>
            <w:noWrap/>
            <w:vAlign w:val="bottom"/>
            <w:hideMark/>
          </w:tcPr>
          <w:p w14:paraId="7BF376B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Efficacy and Safety of Ofatumumab Compared to Teriflunomide in Patients With Relapsing Multiple Sclerosis. (ASCLEPIOS II). Updated November 22, 2021. Available online at: https://clinicaltrials.gov/ct2/show/NCT02792231. Accessed: 01/19/2022.</w:t>
            </w:r>
          </w:p>
        </w:tc>
      </w:tr>
      <w:tr w:rsidR="00F93E19" w:rsidRPr="00F93E19" w14:paraId="2C544D61" w14:textId="77777777" w:rsidTr="00F93E19">
        <w:trPr>
          <w:trHeight w:val="144"/>
        </w:trPr>
        <w:tc>
          <w:tcPr>
            <w:tcW w:w="9360" w:type="dxa"/>
            <w:tcBorders>
              <w:top w:val="nil"/>
              <w:left w:val="nil"/>
              <w:bottom w:val="nil"/>
              <w:right w:val="nil"/>
            </w:tcBorders>
            <w:shd w:val="clear" w:color="auto" w:fill="auto"/>
            <w:noWrap/>
            <w:vAlign w:val="bottom"/>
            <w:hideMark/>
          </w:tcPr>
          <w:p w14:paraId="6902D28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Study of Ozanimod (RPC1063) in Relapsing Multiple Sclerosis (MS) (SUNBEAM). Updated November 25, 2020. Available online at: https://clinicaltrials.gov/ct2/show/NCT02294058. Accessed: 01/19/2022.</w:t>
            </w:r>
          </w:p>
        </w:tc>
      </w:tr>
      <w:tr w:rsidR="00F93E19" w:rsidRPr="00F93E19" w14:paraId="0273804E" w14:textId="77777777" w:rsidTr="00F93E19">
        <w:trPr>
          <w:trHeight w:val="144"/>
        </w:trPr>
        <w:tc>
          <w:tcPr>
            <w:tcW w:w="9360" w:type="dxa"/>
            <w:tcBorders>
              <w:top w:val="nil"/>
              <w:left w:val="nil"/>
              <w:bottom w:val="nil"/>
              <w:right w:val="nil"/>
            </w:tcBorders>
            <w:shd w:val="clear" w:color="auto" w:fill="auto"/>
            <w:noWrap/>
            <w:vAlign w:val="bottom"/>
            <w:hideMark/>
          </w:tcPr>
          <w:p w14:paraId="39295A2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Efficacy and Safety Study of Ozanimod (RPC1063) in Relapsing Multiple Sclerosis Patients (RADIANCE). Updated February 11, 2021. Available online at: https://clinicaltrials.gov/ct2/show/NCT01628393. Accessed: 01/19/2022.</w:t>
            </w:r>
          </w:p>
        </w:tc>
      </w:tr>
      <w:tr w:rsidR="00F93E19" w:rsidRPr="00F93E19" w14:paraId="42A782B9" w14:textId="77777777" w:rsidTr="00F93E19">
        <w:trPr>
          <w:trHeight w:val="144"/>
        </w:trPr>
        <w:tc>
          <w:tcPr>
            <w:tcW w:w="9360" w:type="dxa"/>
            <w:tcBorders>
              <w:top w:val="nil"/>
              <w:left w:val="nil"/>
              <w:bottom w:val="nil"/>
              <w:right w:val="nil"/>
            </w:tcBorders>
            <w:shd w:val="clear" w:color="auto" w:fill="auto"/>
            <w:noWrap/>
            <w:vAlign w:val="bottom"/>
            <w:hideMark/>
          </w:tcPr>
          <w:p w14:paraId="240DDB6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Clinicaltrials.gov (Web Page) Efficacy and Safety Study of Ozanimod in Relapsing Multiple Sclerosis. Updated February 11, 2021. Available online at: https://clinicaltrials.gov/ct2/show/NCT02047734. Accessed: 01/19/2022.</w:t>
            </w:r>
          </w:p>
        </w:tc>
      </w:tr>
      <w:tr w:rsidR="00F93E19" w:rsidRPr="00F93E19" w14:paraId="7AEC903F" w14:textId="77777777" w:rsidTr="00F93E19">
        <w:trPr>
          <w:trHeight w:val="144"/>
        </w:trPr>
        <w:tc>
          <w:tcPr>
            <w:tcW w:w="9360" w:type="dxa"/>
            <w:tcBorders>
              <w:top w:val="nil"/>
              <w:left w:val="nil"/>
              <w:bottom w:val="nil"/>
              <w:right w:val="nil"/>
            </w:tcBorders>
            <w:shd w:val="clear" w:color="auto" w:fill="auto"/>
            <w:noWrap/>
            <w:vAlign w:val="bottom"/>
            <w:hideMark/>
          </w:tcPr>
          <w:p w14:paraId="2F4EBE7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Clinicaltrials.gov (Web Page) Oral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Versus Teriflunomide In Relapsing </w:t>
            </w:r>
            <w:proofErr w:type="spellStart"/>
            <w:r w:rsidRPr="00A14942">
              <w:rPr>
                <w:rFonts w:ascii="Times New Roman" w:eastAsia="Times New Roman" w:hAnsi="Times New Roman" w:cs="Times New Roman"/>
                <w:color w:val="000000"/>
                <w:szCs w:val="22"/>
              </w:rPr>
              <w:t>MUltiple</w:t>
            </w:r>
            <w:proofErr w:type="spellEnd"/>
            <w:r w:rsidRPr="00A14942">
              <w:rPr>
                <w:rFonts w:ascii="Times New Roman" w:eastAsia="Times New Roman" w:hAnsi="Times New Roman" w:cs="Times New Roman"/>
                <w:color w:val="000000"/>
                <w:szCs w:val="22"/>
              </w:rPr>
              <w:t xml:space="preserve"> Sclerosis (OPTIMUM). Updated June 11, 2021. Available online at: https://clinicaltrials.gov/ct2/show/NCT02425644. Accessed: 01/19/2022.</w:t>
            </w:r>
          </w:p>
        </w:tc>
      </w:tr>
      <w:tr w:rsidR="00F93E19" w:rsidRPr="00F93E19" w14:paraId="60AB8571" w14:textId="77777777" w:rsidTr="00F93E19">
        <w:trPr>
          <w:trHeight w:val="144"/>
        </w:trPr>
        <w:tc>
          <w:tcPr>
            <w:tcW w:w="9360" w:type="dxa"/>
            <w:tcBorders>
              <w:top w:val="nil"/>
              <w:left w:val="nil"/>
              <w:bottom w:val="nil"/>
              <w:right w:val="nil"/>
            </w:tcBorders>
            <w:shd w:val="clear" w:color="auto" w:fill="auto"/>
            <w:noWrap/>
            <w:vAlign w:val="bottom"/>
            <w:hideMark/>
          </w:tcPr>
          <w:p w14:paraId="6066BE9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 Arnold DL, Comi G, Bar-Or A, </w:t>
            </w:r>
            <w:proofErr w:type="spellStart"/>
            <w:r w:rsidRPr="00A14942">
              <w:rPr>
                <w:rFonts w:ascii="Times New Roman" w:eastAsia="Times New Roman" w:hAnsi="Times New Roman" w:cs="Times New Roman"/>
                <w:color w:val="000000"/>
                <w:szCs w:val="22"/>
              </w:rPr>
              <w:t>Gujrathi</w:t>
            </w:r>
            <w:proofErr w:type="spellEnd"/>
            <w:r w:rsidRPr="00A14942">
              <w:rPr>
                <w:rFonts w:ascii="Times New Roman" w:eastAsia="Times New Roman" w:hAnsi="Times New Roman" w:cs="Times New Roman"/>
                <w:color w:val="000000"/>
                <w:szCs w:val="22"/>
              </w:rPr>
              <w:t xml:space="preserve"> S et al. (2014) Phase 2 results of the RADIANCE trial: A randomized, double-blind, placebo-controlled trial of oral RPC1063 in relapsing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497.</w:t>
            </w:r>
          </w:p>
        </w:tc>
      </w:tr>
      <w:tr w:rsidR="00F93E19" w:rsidRPr="00F93E19" w14:paraId="28B47624" w14:textId="77777777" w:rsidTr="00F93E19">
        <w:trPr>
          <w:trHeight w:val="144"/>
        </w:trPr>
        <w:tc>
          <w:tcPr>
            <w:tcW w:w="9360" w:type="dxa"/>
            <w:tcBorders>
              <w:top w:val="nil"/>
              <w:left w:val="nil"/>
              <w:bottom w:val="nil"/>
              <w:right w:val="nil"/>
            </w:tcBorders>
            <w:shd w:val="clear" w:color="auto" w:fill="auto"/>
            <w:noWrap/>
            <w:vAlign w:val="bottom"/>
            <w:hideMark/>
          </w:tcPr>
          <w:p w14:paraId="2F2B3C4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 Belova A,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Wolf C, </w:t>
            </w:r>
            <w:proofErr w:type="spellStart"/>
            <w:r w:rsidRPr="00A14942">
              <w:rPr>
                <w:rFonts w:ascii="Times New Roman" w:eastAsia="Times New Roman" w:hAnsi="Times New Roman" w:cs="Times New Roman"/>
                <w:color w:val="000000"/>
                <w:szCs w:val="22"/>
              </w:rPr>
              <w:t>Sormani</w:t>
            </w:r>
            <w:proofErr w:type="spellEnd"/>
            <w:r w:rsidRPr="00A14942">
              <w:rPr>
                <w:rFonts w:ascii="Times New Roman" w:eastAsia="Times New Roman" w:hAnsi="Times New Roman" w:cs="Times New Roman"/>
                <w:color w:val="000000"/>
                <w:szCs w:val="22"/>
              </w:rPr>
              <w:t xml:space="preserve"> MP et al. (2015) Equivalence of generic glatiramer acetate in multiple sclerosis: A randomized clinical trial. JAMA Neurology 72 (12): 1433-1441.</w:t>
            </w:r>
          </w:p>
        </w:tc>
      </w:tr>
      <w:tr w:rsidR="00F93E19" w:rsidRPr="00F93E19" w14:paraId="5EFEAA1F" w14:textId="77777777" w:rsidTr="00F93E19">
        <w:trPr>
          <w:trHeight w:val="144"/>
        </w:trPr>
        <w:tc>
          <w:tcPr>
            <w:tcW w:w="9360" w:type="dxa"/>
            <w:tcBorders>
              <w:top w:val="nil"/>
              <w:left w:val="nil"/>
              <w:bottom w:val="nil"/>
              <w:right w:val="nil"/>
            </w:tcBorders>
            <w:shd w:val="clear" w:color="auto" w:fill="auto"/>
            <w:noWrap/>
            <w:vAlign w:val="bottom"/>
            <w:hideMark/>
          </w:tcPr>
          <w:p w14:paraId="2E2510B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 Comi G,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Bar-Or A, Arnold D et al. (2018) Clinical and magnetic resonance imaging results from radiance part b, a multicenter, randomized, double-blind, phase 3 trial of ozanimod versus intramuscular interferon [beta]-1a in relapsing multiple sclerosis (RMS). Neurology 90 (15): </w:t>
            </w:r>
          </w:p>
        </w:tc>
      </w:tr>
      <w:tr w:rsidR="00F93E19" w:rsidRPr="00F93E19" w14:paraId="7B985323" w14:textId="77777777" w:rsidTr="00F93E19">
        <w:trPr>
          <w:trHeight w:val="144"/>
        </w:trPr>
        <w:tc>
          <w:tcPr>
            <w:tcW w:w="9360" w:type="dxa"/>
            <w:tcBorders>
              <w:top w:val="nil"/>
              <w:left w:val="nil"/>
              <w:bottom w:val="nil"/>
              <w:right w:val="nil"/>
            </w:tcBorders>
            <w:shd w:val="clear" w:color="auto" w:fill="auto"/>
            <w:noWrap/>
            <w:vAlign w:val="bottom"/>
            <w:hideMark/>
          </w:tcPr>
          <w:p w14:paraId="6AD1543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Cohen JA, Arnold DL, Comi G, Bar-Or A, </w:t>
            </w:r>
            <w:proofErr w:type="spellStart"/>
            <w:r w:rsidRPr="00A14942">
              <w:rPr>
                <w:rFonts w:ascii="Times New Roman" w:eastAsia="Times New Roman" w:hAnsi="Times New Roman" w:cs="Times New Roman"/>
                <w:color w:val="000000"/>
                <w:szCs w:val="22"/>
              </w:rPr>
              <w:t>Gujrathi</w:t>
            </w:r>
            <w:proofErr w:type="spellEnd"/>
            <w:r w:rsidRPr="00A14942">
              <w:rPr>
                <w:rFonts w:ascii="Times New Roman" w:eastAsia="Times New Roman" w:hAnsi="Times New Roman" w:cs="Times New Roman"/>
                <w:color w:val="000000"/>
                <w:szCs w:val="22"/>
              </w:rPr>
              <w:t xml:space="preserve"> S et al. (2016) Safety and efficacy of the selective sphingosine 1-phosphate receptor modulator ozanimod in relapsing multiple sclerosis (RADIANCE): A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placebo-controlled, phase 2 trial. The Lancet Neurology 15 (4): 373-381.</w:t>
            </w:r>
          </w:p>
        </w:tc>
      </w:tr>
      <w:tr w:rsidR="00F93E19" w:rsidRPr="00F93E19" w14:paraId="109494C3" w14:textId="77777777" w:rsidTr="00F93E19">
        <w:trPr>
          <w:trHeight w:val="144"/>
        </w:trPr>
        <w:tc>
          <w:tcPr>
            <w:tcW w:w="9360" w:type="dxa"/>
            <w:tcBorders>
              <w:top w:val="nil"/>
              <w:left w:val="nil"/>
              <w:bottom w:val="nil"/>
              <w:right w:val="nil"/>
            </w:tcBorders>
            <w:shd w:val="clear" w:color="auto" w:fill="auto"/>
            <w:noWrap/>
            <w:vAlign w:val="bottom"/>
            <w:hideMark/>
          </w:tcPr>
          <w:p w14:paraId="1DBA567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JA, </w:t>
            </w:r>
            <w:proofErr w:type="spellStart"/>
            <w:r w:rsidRPr="00A14942">
              <w:rPr>
                <w:rFonts w:ascii="Times New Roman" w:eastAsia="Times New Roman" w:hAnsi="Times New Roman" w:cs="Times New Roman"/>
                <w:color w:val="000000"/>
                <w:szCs w:val="22"/>
              </w:rPr>
              <w:t>Barkhof</w:t>
            </w:r>
            <w:proofErr w:type="spellEnd"/>
            <w:r w:rsidRPr="00A14942">
              <w:rPr>
                <w:rFonts w:ascii="Times New Roman" w:eastAsia="Times New Roman" w:hAnsi="Times New Roman" w:cs="Times New Roman"/>
                <w:color w:val="000000"/>
                <w:szCs w:val="22"/>
              </w:rPr>
              <w:t xml:space="preserve"> F, Comi G, Hartung HP, Khatri BO et al. (2010) Oral fingolimod or intramuscular interferon for relapsing multiple sclerosis. New England Journal of Medicine 362 (5): 402-415.</w:t>
            </w:r>
          </w:p>
        </w:tc>
      </w:tr>
      <w:tr w:rsidR="00F93E19" w:rsidRPr="00F93E19" w14:paraId="55FFB14F" w14:textId="77777777" w:rsidTr="00F93E19">
        <w:trPr>
          <w:trHeight w:val="144"/>
        </w:trPr>
        <w:tc>
          <w:tcPr>
            <w:tcW w:w="9360" w:type="dxa"/>
            <w:tcBorders>
              <w:top w:val="nil"/>
              <w:left w:val="nil"/>
              <w:bottom w:val="nil"/>
              <w:right w:val="nil"/>
            </w:tcBorders>
            <w:shd w:val="clear" w:color="auto" w:fill="auto"/>
            <w:noWrap/>
            <w:vAlign w:val="bottom"/>
            <w:hideMark/>
          </w:tcPr>
          <w:p w14:paraId="2F1BBBC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JA, </w:t>
            </w:r>
            <w:proofErr w:type="spellStart"/>
            <w:r w:rsidRPr="00A14942">
              <w:rPr>
                <w:rFonts w:ascii="Times New Roman" w:eastAsia="Times New Roman" w:hAnsi="Times New Roman" w:cs="Times New Roman"/>
                <w:color w:val="000000"/>
                <w:szCs w:val="22"/>
              </w:rPr>
              <w:t>Barkhof</w:t>
            </w:r>
            <w:proofErr w:type="spellEnd"/>
            <w:r w:rsidRPr="00A14942">
              <w:rPr>
                <w:rFonts w:ascii="Times New Roman" w:eastAsia="Times New Roman" w:hAnsi="Times New Roman" w:cs="Times New Roman"/>
                <w:color w:val="000000"/>
                <w:szCs w:val="22"/>
              </w:rPr>
              <w:t xml:space="preserve"> F, Comi G, Izquierdo G, Khatri B et al. (2013) Fingolimod versus intramuscular interferon in patient subgroups from TRANSFORMS. Journal of Neurology 260 (8): 2023-2032.</w:t>
            </w:r>
          </w:p>
        </w:tc>
      </w:tr>
      <w:tr w:rsidR="00F93E19" w:rsidRPr="00F93E19" w14:paraId="7AD5E434" w14:textId="77777777" w:rsidTr="00F93E19">
        <w:trPr>
          <w:trHeight w:val="144"/>
        </w:trPr>
        <w:tc>
          <w:tcPr>
            <w:tcW w:w="9360" w:type="dxa"/>
            <w:tcBorders>
              <w:top w:val="nil"/>
              <w:left w:val="nil"/>
              <w:bottom w:val="nil"/>
              <w:right w:val="nil"/>
            </w:tcBorders>
            <w:shd w:val="clear" w:color="auto" w:fill="auto"/>
            <w:noWrap/>
            <w:vAlign w:val="bottom"/>
            <w:hideMark/>
          </w:tcPr>
          <w:p w14:paraId="4D4212B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Cohen JA, Coles AJ, Arnold DL,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Fox EJ et al. </w:t>
            </w:r>
            <w:r w:rsidRPr="00A14942">
              <w:rPr>
                <w:rFonts w:ascii="Times New Roman" w:eastAsia="Times New Roman" w:hAnsi="Times New Roman" w:cs="Times New Roman"/>
                <w:color w:val="000000"/>
                <w:szCs w:val="22"/>
              </w:rPr>
              <w:t xml:space="preserve">(2012) Alemtuzumab versus interferon beta 1a as first-line treatment for patients with relapsing-remitting multiple sclerosis: A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controlled phase 3 trial. The Lancet 380 (9856): 1819-1828.</w:t>
            </w:r>
          </w:p>
        </w:tc>
      </w:tr>
      <w:tr w:rsidR="00F93E19" w:rsidRPr="00F93E19" w14:paraId="7CA5A8AD" w14:textId="77777777" w:rsidTr="00F93E19">
        <w:trPr>
          <w:trHeight w:val="144"/>
        </w:trPr>
        <w:tc>
          <w:tcPr>
            <w:tcW w:w="9360" w:type="dxa"/>
            <w:tcBorders>
              <w:top w:val="nil"/>
              <w:left w:val="nil"/>
              <w:bottom w:val="nil"/>
              <w:right w:val="nil"/>
            </w:tcBorders>
            <w:shd w:val="clear" w:color="auto" w:fill="auto"/>
            <w:noWrap/>
            <w:vAlign w:val="bottom"/>
            <w:hideMark/>
          </w:tcPr>
          <w:p w14:paraId="7AA08F4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Cohen JA, Comi G,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KW, Bar-Or A, Arnold DL et al. (2019) Safety and efficacy of ozanimod versus interferon beta-1a in relapsing multiple sclerosis (RADIANCE): a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24-month, phase 3 trial. The Lancet Neurology 18 (11): 1021-1033.</w:t>
            </w:r>
          </w:p>
        </w:tc>
      </w:tr>
      <w:tr w:rsidR="00F93E19" w:rsidRPr="00F93E19" w14:paraId="407FDC3B" w14:textId="77777777" w:rsidTr="00F93E19">
        <w:trPr>
          <w:trHeight w:val="144"/>
        </w:trPr>
        <w:tc>
          <w:tcPr>
            <w:tcW w:w="9360" w:type="dxa"/>
            <w:tcBorders>
              <w:top w:val="nil"/>
              <w:left w:val="nil"/>
              <w:bottom w:val="nil"/>
              <w:right w:val="nil"/>
            </w:tcBorders>
            <w:shd w:val="clear" w:color="auto" w:fill="auto"/>
            <w:noWrap/>
            <w:vAlign w:val="bottom"/>
            <w:hideMark/>
          </w:tcPr>
          <w:p w14:paraId="7A44E7D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Coles AJ, </w:t>
            </w:r>
            <w:proofErr w:type="spellStart"/>
            <w:r w:rsidRPr="00713F1E">
              <w:rPr>
                <w:rFonts w:ascii="Times New Roman" w:eastAsia="Times New Roman" w:hAnsi="Times New Roman" w:cs="Times New Roman"/>
                <w:color w:val="000000"/>
                <w:szCs w:val="22"/>
                <w:lang w:val="fr-FR"/>
              </w:rPr>
              <w:t>Twyman</w:t>
            </w:r>
            <w:proofErr w:type="spellEnd"/>
            <w:r w:rsidRPr="00713F1E">
              <w:rPr>
                <w:rFonts w:ascii="Times New Roman" w:eastAsia="Times New Roman" w:hAnsi="Times New Roman" w:cs="Times New Roman"/>
                <w:color w:val="000000"/>
                <w:szCs w:val="22"/>
                <w:lang w:val="fr-FR"/>
              </w:rPr>
              <w:t xml:space="preserve"> CL, Arnold DL, Cohen JA,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et al. </w:t>
            </w:r>
            <w:r w:rsidRPr="00A14942">
              <w:rPr>
                <w:rFonts w:ascii="Times New Roman" w:eastAsia="Times New Roman" w:hAnsi="Times New Roman" w:cs="Times New Roman"/>
                <w:color w:val="000000"/>
                <w:szCs w:val="22"/>
              </w:rPr>
              <w:t xml:space="preserve">(2012) Alemtuzumab for patients with relapsing multiple sclerosis after disease-modifying therapy: A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controlled phase 3 trial. The Lancet 380 (9856): 1829-1839.</w:t>
            </w:r>
          </w:p>
        </w:tc>
      </w:tr>
      <w:tr w:rsidR="00F93E19" w:rsidRPr="00F93E19" w14:paraId="588152ED" w14:textId="77777777" w:rsidTr="00F93E19">
        <w:trPr>
          <w:trHeight w:val="144"/>
        </w:trPr>
        <w:tc>
          <w:tcPr>
            <w:tcW w:w="9360" w:type="dxa"/>
            <w:tcBorders>
              <w:top w:val="nil"/>
              <w:left w:val="nil"/>
              <w:bottom w:val="nil"/>
              <w:right w:val="nil"/>
            </w:tcBorders>
            <w:shd w:val="clear" w:color="auto" w:fill="auto"/>
            <w:noWrap/>
            <w:vAlign w:val="bottom"/>
            <w:hideMark/>
          </w:tcPr>
          <w:p w14:paraId="0430A04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Comi G, Arnold D, Cree B, Kappos L,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et al. (2018) Ozanimod demonstrates efficacy and safety in a multicenter, randomized, double-blind, double-dummy, active-controlled phase 3 trial of relapsing multiple sclerosis (sunbeam). Neurology 90 (15): </w:t>
            </w:r>
          </w:p>
        </w:tc>
      </w:tr>
      <w:tr w:rsidR="00F93E19" w:rsidRPr="00F93E19" w14:paraId="529D8614" w14:textId="77777777" w:rsidTr="00F93E19">
        <w:trPr>
          <w:trHeight w:val="144"/>
        </w:trPr>
        <w:tc>
          <w:tcPr>
            <w:tcW w:w="9360" w:type="dxa"/>
            <w:tcBorders>
              <w:top w:val="nil"/>
              <w:left w:val="nil"/>
              <w:bottom w:val="nil"/>
              <w:right w:val="nil"/>
            </w:tcBorders>
            <w:shd w:val="clear" w:color="auto" w:fill="auto"/>
            <w:noWrap/>
            <w:vAlign w:val="bottom"/>
            <w:hideMark/>
          </w:tcPr>
          <w:p w14:paraId="7457427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Comi G, Cook SD, Giovannoni G, Rammohan K, Rieckmann P et al. (2013) MRI outcomes with cladribine tablets for multiple sclerosis in the CLARITY study. Journal of Neurology 260 (4): 1136-1146.</w:t>
            </w:r>
          </w:p>
        </w:tc>
      </w:tr>
      <w:tr w:rsidR="00F93E19" w:rsidRPr="00F93E19" w14:paraId="6D6B6B11" w14:textId="77777777" w:rsidTr="00F93E19">
        <w:trPr>
          <w:trHeight w:val="144"/>
        </w:trPr>
        <w:tc>
          <w:tcPr>
            <w:tcW w:w="9360" w:type="dxa"/>
            <w:tcBorders>
              <w:top w:val="nil"/>
              <w:left w:val="nil"/>
              <w:bottom w:val="nil"/>
              <w:right w:val="nil"/>
            </w:tcBorders>
            <w:shd w:val="clear" w:color="auto" w:fill="auto"/>
            <w:noWrap/>
            <w:vAlign w:val="bottom"/>
            <w:hideMark/>
          </w:tcPr>
          <w:p w14:paraId="002D859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Comi G, Kappos L,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KW, Bar-Or A, Arnold DL et al. (2019) Safety and efficacy of ozanimod versus interferon beta-1a in relapsing multiple sclerosis (SUNBEAM): a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minimum 12-month, phase 3 trial. The Lancet Neurology 18 (11): 1009-1020.</w:t>
            </w:r>
          </w:p>
        </w:tc>
      </w:tr>
      <w:tr w:rsidR="00F93E19" w:rsidRPr="00F93E19" w14:paraId="45E8C189" w14:textId="77777777" w:rsidTr="00F93E19">
        <w:trPr>
          <w:trHeight w:val="144"/>
        </w:trPr>
        <w:tc>
          <w:tcPr>
            <w:tcW w:w="9360" w:type="dxa"/>
            <w:tcBorders>
              <w:top w:val="nil"/>
              <w:left w:val="nil"/>
              <w:bottom w:val="nil"/>
              <w:right w:val="nil"/>
            </w:tcBorders>
            <w:shd w:val="clear" w:color="auto" w:fill="auto"/>
            <w:noWrap/>
            <w:vAlign w:val="bottom"/>
            <w:hideMark/>
          </w:tcPr>
          <w:p w14:paraId="4CF74A4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Comi G, Thangavelu K, </w:t>
            </w:r>
            <w:proofErr w:type="spellStart"/>
            <w:r w:rsidRPr="00A14942">
              <w:rPr>
                <w:rFonts w:ascii="Times New Roman" w:eastAsia="Times New Roman" w:hAnsi="Times New Roman" w:cs="Times New Roman"/>
                <w:color w:val="000000"/>
                <w:szCs w:val="22"/>
              </w:rPr>
              <w:t>Truffinet</w:t>
            </w:r>
            <w:proofErr w:type="spellEnd"/>
            <w:r w:rsidRPr="00A14942">
              <w:rPr>
                <w:rFonts w:ascii="Times New Roman" w:eastAsia="Times New Roman" w:hAnsi="Times New Roman" w:cs="Times New Roman"/>
                <w:color w:val="000000"/>
                <w:szCs w:val="22"/>
              </w:rPr>
              <w:t xml:space="preserve"> P, Rufi P, De </w:t>
            </w:r>
            <w:proofErr w:type="spellStart"/>
            <w:r w:rsidRPr="00A14942">
              <w:rPr>
                <w:rFonts w:ascii="Times New Roman" w:eastAsia="Times New Roman" w:hAnsi="Times New Roman" w:cs="Times New Roman"/>
                <w:color w:val="000000"/>
                <w:szCs w:val="22"/>
              </w:rPr>
              <w:t>Seze</w:t>
            </w:r>
            <w:proofErr w:type="spellEnd"/>
            <w:r w:rsidRPr="00A14942">
              <w:rPr>
                <w:rFonts w:ascii="Times New Roman" w:eastAsia="Times New Roman" w:hAnsi="Times New Roman" w:cs="Times New Roman"/>
                <w:color w:val="000000"/>
                <w:szCs w:val="22"/>
              </w:rPr>
              <w:t xml:space="preserve"> J (2015) Teriflunomide efficacy in subsets of patients with relapsing MS: Results from TEMSO and TOWER studies.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23 (11 SUPPL. 1): 535-536.</w:t>
            </w:r>
          </w:p>
        </w:tc>
      </w:tr>
      <w:tr w:rsidR="00F93E19" w:rsidRPr="00F93E19" w14:paraId="212C77C6" w14:textId="77777777" w:rsidTr="00F93E19">
        <w:trPr>
          <w:trHeight w:val="144"/>
        </w:trPr>
        <w:tc>
          <w:tcPr>
            <w:tcW w:w="9360" w:type="dxa"/>
            <w:tcBorders>
              <w:top w:val="nil"/>
              <w:left w:val="nil"/>
              <w:bottom w:val="nil"/>
              <w:right w:val="nil"/>
            </w:tcBorders>
            <w:shd w:val="clear" w:color="auto" w:fill="auto"/>
            <w:noWrap/>
            <w:vAlign w:val="bottom"/>
            <w:hideMark/>
          </w:tcPr>
          <w:p w14:paraId="0D556C6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Comi GK, L.;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K.; Bar-</w:t>
            </w:r>
            <w:proofErr w:type="gramStart"/>
            <w:r w:rsidRPr="00A14942">
              <w:rPr>
                <w:rFonts w:ascii="Times New Roman" w:eastAsia="Times New Roman" w:hAnsi="Times New Roman" w:cs="Times New Roman"/>
                <w:color w:val="000000"/>
                <w:szCs w:val="22"/>
              </w:rPr>
              <w:t>Or,</w:t>
            </w:r>
            <w:proofErr w:type="gramEnd"/>
            <w:r w:rsidRPr="00A14942">
              <w:rPr>
                <w:rFonts w:ascii="Times New Roman" w:eastAsia="Times New Roman" w:hAnsi="Times New Roman" w:cs="Times New Roman"/>
                <w:color w:val="000000"/>
                <w:szCs w:val="22"/>
              </w:rPr>
              <w:t xml:space="preserve"> A.; Arnold, D.L.; Steinman, L.; Hartung, H-P.; Montalban, X.;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 Cree, B.A.; Sheffield, J.; </w:t>
            </w:r>
            <w:proofErr w:type="spellStart"/>
            <w:r w:rsidRPr="00A14942">
              <w:rPr>
                <w:rFonts w:ascii="Times New Roman" w:eastAsia="Times New Roman" w:hAnsi="Times New Roman" w:cs="Times New Roman"/>
                <w:color w:val="000000"/>
                <w:szCs w:val="22"/>
              </w:rPr>
              <w:t>Raghupathi</w:t>
            </w:r>
            <w:proofErr w:type="spellEnd"/>
            <w:r w:rsidRPr="00A14942">
              <w:rPr>
                <w:rFonts w:ascii="Times New Roman" w:eastAsia="Times New Roman" w:hAnsi="Times New Roman" w:cs="Times New Roman"/>
                <w:color w:val="000000"/>
                <w:szCs w:val="22"/>
              </w:rPr>
              <w:t>, K.; Cohen, J.A. (2017) Ozanimod demonstrates efficacy and safety in a phase 3 trial of relapsing multiple sclerosis (SUNBEAM). Multiple Sclerosis Journal Conference: 7th Joint ECTRIMS-ACTRIMS, MSPARIS2017. France. 23 (3 Supplement 1): 73-74.</w:t>
            </w:r>
          </w:p>
        </w:tc>
      </w:tr>
      <w:tr w:rsidR="00F93E19" w:rsidRPr="00F93E19" w14:paraId="6CE6735F" w14:textId="77777777" w:rsidTr="00F93E19">
        <w:trPr>
          <w:trHeight w:val="144"/>
        </w:trPr>
        <w:tc>
          <w:tcPr>
            <w:tcW w:w="9360" w:type="dxa"/>
            <w:tcBorders>
              <w:top w:val="nil"/>
              <w:left w:val="nil"/>
              <w:bottom w:val="nil"/>
              <w:right w:val="nil"/>
            </w:tcBorders>
            <w:shd w:val="clear" w:color="auto" w:fill="auto"/>
            <w:noWrap/>
            <w:vAlign w:val="bottom"/>
            <w:hideMark/>
          </w:tcPr>
          <w:p w14:paraId="41FB9DE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Confavreux</w:t>
            </w:r>
            <w:proofErr w:type="spellEnd"/>
            <w:r w:rsidRPr="00A14942">
              <w:rPr>
                <w:rFonts w:ascii="Times New Roman" w:eastAsia="Times New Roman" w:hAnsi="Times New Roman" w:cs="Times New Roman"/>
                <w:color w:val="000000"/>
                <w:szCs w:val="22"/>
              </w:rPr>
              <w:t xml:space="preserve"> C, Li DK, Freedman MS, </w:t>
            </w:r>
            <w:proofErr w:type="spellStart"/>
            <w:r w:rsidRPr="00A14942">
              <w:rPr>
                <w:rFonts w:ascii="Times New Roman" w:eastAsia="Times New Roman" w:hAnsi="Times New Roman" w:cs="Times New Roman"/>
                <w:color w:val="000000"/>
                <w:szCs w:val="22"/>
              </w:rPr>
              <w:t>Truffinet</w:t>
            </w:r>
            <w:proofErr w:type="spellEnd"/>
            <w:r w:rsidRPr="00A14942">
              <w:rPr>
                <w:rFonts w:ascii="Times New Roman" w:eastAsia="Times New Roman" w:hAnsi="Times New Roman" w:cs="Times New Roman"/>
                <w:color w:val="000000"/>
                <w:szCs w:val="22"/>
              </w:rPr>
              <w:t xml:space="preserve"> P, </w:t>
            </w:r>
            <w:proofErr w:type="spellStart"/>
            <w:r w:rsidRPr="00A14942">
              <w:rPr>
                <w:rFonts w:ascii="Times New Roman" w:eastAsia="Times New Roman" w:hAnsi="Times New Roman" w:cs="Times New Roman"/>
                <w:color w:val="000000"/>
                <w:szCs w:val="22"/>
              </w:rPr>
              <w:t>Benzerdjeb</w:t>
            </w:r>
            <w:proofErr w:type="spellEnd"/>
            <w:r w:rsidRPr="00A14942">
              <w:rPr>
                <w:rFonts w:ascii="Times New Roman" w:eastAsia="Times New Roman" w:hAnsi="Times New Roman" w:cs="Times New Roman"/>
                <w:color w:val="000000"/>
                <w:szCs w:val="22"/>
              </w:rPr>
              <w:t xml:space="preserve"> H et al. (2012) Long-term follow-up of a phase 2 study of oral teriflunomide in relapsing multiple sclerosis: Safety and efficacy results up to 8.5 years. Multiple Sclerosis Journal 18 (9): 1278-1289.</w:t>
            </w:r>
          </w:p>
        </w:tc>
      </w:tr>
      <w:tr w:rsidR="00F93E19" w:rsidRPr="00F93E19" w14:paraId="6F733929" w14:textId="77777777" w:rsidTr="00F93E19">
        <w:trPr>
          <w:trHeight w:val="144"/>
        </w:trPr>
        <w:tc>
          <w:tcPr>
            <w:tcW w:w="9360" w:type="dxa"/>
            <w:tcBorders>
              <w:top w:val="nil"/>
              <w:left w:val="nil"/>
              <w:bottom w:val="nil"/>
              <w:right w:val="nil"/>
            </w:tcBorders>
            <w:shd w:val="clear" w:color="auto" w:fill="auto"/>
            <w:noWrap/>
            <w:vAlign w:val="bottom"/>
            <w:hideMark/>
          </w:tcPr>
          <w:p w14:paraId="5FE5016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Cree BAC, Goldman MD, Corboy JR, Singer BA, Fox EJ et al. (2020) Efficacy and Safety of 2 Fingolimod Doses vs Glatiramer Acetate for the Treatment of Patients With Relapsing-Remitting Multiple Sclerosis: A Randomized Clinical Trial. JAMA Neurology </w:t>
            </w:r>
          </w:p>
        </w:tc>
      </w:tr>
      <w:tr w:rsidR="00F93E19" w:rsidRPr="00F93E19" w14:paraId="5E249009" w14:textId="77777777" w:rsidTr="00F93E19">
        <w:trPr>
          <w:trHeight w:val="144"/>
        </w:trPr>
        <w:tc>
          <w:tcPr>
            <w:tcW w:w="9360" w:type="dxa"/>
            <w:tcBorders>
              <w:top w:val="nil"/>
              <w:left w:val="nil"/>
              <w:bottom w:val="nil"/>
              <w:right w:val="nil"/>
            </w:tcBorders>
            <w:shd w:val="clear" w:color="auto" w:fill="auto"/>
            <w:noWrap/>
            <w:vAlign w:val="bottom"/>
            <w:hideMark/>
          </w:tcPr>
          <w:p w14:paraId="3264BFF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De Stefano N, Curtin F, </w:t>
            </w:r>
            <w:proofErr w:type="spellStart"/>
            <w:r w:rsidRPr="00A14942">
              <w:rPr>
                <w:rFonts w:ascii="Times New Roman" w:eastAsia="Times New Roman" w:hAnsi="Times New Roman" w:cs="Times New Roman"/>
                <w:color w:val="000000"/>
                <w:szCs w:val="22"/>
              </w:rPr>
              <w:t>Stubinski</w:t>
            </w:r>
            <w:proofErr w:type="spellEnd"/>
            <w:r w:rsidRPr="00A14942">
              <w:rPr>
                <w:rFonts w:ascii="Times New Roman" w:eastAsia="Times New Roman" w:hAnsi="Times New Roman" w:cs="Times New Roman"/>
                <w:color w:val="000000"/>
                <w:szCs w:val="22"/>
              </w:rPr>
              <w:t xml:space="preserve"> B, Blevins G, </w:t>
            </w:r>
            <w:proofErr w:type="spellStart"/>
            <w:r w:rsidRPr="00A14942">
              <w:rPr>
                <w:rFonts w:ascii="Times New Roman" w:eastAsia="Times New Roman" w:hAnsi="Times New Roman" w:cs="Times New Roman"/>
                <w:color w:val="000000"/>
                <w:szCs w:val="22"/>
              </w:rPr>
              <w:t>Drulovic</w:t>
            </w:r>
            <w:proofErr w:type="spellEnd"/>
            <w:r w:rsidRPr="00A14942">
              <w:rPr>
                <w:rFonts w:ascii="Times New Roman" w:eastAsia="Times New Roman" w:hAnsi="Times New Roman" w:cs="Times New Roman"/>
                <w:color w:val="000000"/>
                <w:szCs w:val="22"/>
              </w:rPr>
              <w:t xml:space="preserve"> J et al. (2010) Rapid benefits of a new formulation of subcutaneous interferon beta-1a in relapsing-remitting multiple sclerosis. Multiple Sclerosis 16 (7): 888-892.</w:t>
            </w:r>
          </w:p>
        </w:tc>
      </w:tr>
      <w:tr w:rsidR="00F93E19" w:rsidRPr="00F93E19" w14:paraId="68A7831A" w14:textId="77777777" w:rsidTr="00F93E19">
        <w:trPr>
          <w:trHeight w:val="144"/>
        </w:trPr>
        <w:tc>
          <w:tcPr>
            <w:tcW w:w="9360" w:type="dxa"/>
            <w:tcBorders>
              <w:top w:val="nil"/>
              <w:left w:val="nil"/>
              <w:bottom w:val="nil"/>
              <w:right w:val="nil"/>
            </w:tcBorders>
            <w:shd w:val="clear" w:color="auto" w:fill="auto"/>
            <w:noWrap/>
            <w:vAlign w:val="bottom"/>
            <w:hideMark/>
          </w:tcPr>
          <w:p w14:paraId="3BB6A36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De Stefano N, Giorgio A, Battaglini M, De Leucio A, Hicking C et al. </w:t>
            </w:r>
            <w:r w:rsidRPr="00A14942">
              <w:rPr>
                <w:rFonts w:ascii="Times New Roman" w:eastAsia="Times New Roman" w:hAnsi="Times New Roman" w:cs="Times New Roman"/>
                <w:color w:val="000000"/>
                <w:szCs w:val="22"/>
              </w:rPr>
              <w:t>(2018) Reduced brain atrophy rates are associated with lower risk of disability progression in patients with relapsing multiple sclerosis treated with cladribine tablets. Multiple Sclerosis 24 (2): 222-226.</w:t>
            </w:r>
          </w:p>
        </w:tc>
      </w:tr>
      <w:tr w:rsidR="00F93E19" w:rsidRPr="00F93E19" w14:paraId="04BAB28B" w14:textId="77777777" w:rsidTr="00F93E19">
        <w:trPr>
          <w:trHeight w:val="144"/>
        </w:trPr>
        <w:tc>
          <w:tcPr>
            <w:tcW w:w="9360" w:type="dxa"/>
            <w:tcBorders>
              <w:top w:val="nil"/>
              <w:left w:val="nil"/>
              <w:bottom w:val="nil"/>
              <w:right w:val="nil"/>
            </w:tcBorders>
            <w:shd w:val="clear" w:color="auto" w:fill="auto"/>
            <w:noWrap/>
            <w:vAlign w:val="bottom"/>
            <w:hideMark/>
          </w:tcPr>
          <w:p w14:paraId="7D5D70B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De Stefano N, Giorgio A, Battaglini M, Giovannoni G, Hicking C et al. </w:t>
            </w:r>
            <w:r w:rsidRPr="00A14942">
              <w:rPr>
                <w:rFonts w:ascii="Times New Roman" w:eastAsia="Times New Roman" w:hAnsi="Times New Roman" w:cs="Times New Roman"/>
                <w:color w:val="000000"/>
                <w:szCs w:val="22"/>
              </w:rPr>
              <w:t xml:space="preserve">(2016) Effect of cladribine tablets on brain atrophy rates in patients with </w:t>
            </w:r>
            <w:proofErr w:type="spellStart"/>
            <w:r w:rsidRPr="00A14942">
              <w:rPr>
                <w:rFonts w:ascii="Times New Roman" w:eastAsia="Times New Roman" w:hAnsi="Times New Roman" w:cs="Times New Roman"/>
                <w:color w:val="000000"/>
                <w:szCs w:val="22"/>
              </w:rPr>
              <w:t>relapsingremitting</w:t>
            </w:r>
            <w:proofErr w:type="spellEnd"/>
            <w:r w:rsidRPr="00A14942">
              <w:rPr>
                <w:rFonts w:ascii="Times New Roman" w:eastAsia="Times New Roman" w:hAnsi="Times New Roman" w:cs="Times New Roman"/>
                <w:color w:val="000000"/>
                <w:szCs w:val="22"/>
              </w:rPr>
              <w:t xml:space="preserve"> multiple sclerosis (RRMS): exploratory analysis of the CLARITY study. European journal of neurology Conference: 2nd congress of the </w:t>
            </w:r>
            <w:proofErr w:type="spellStart"/>
            <w:r w:rsidRPr="00A14942">
              <w:rPr>
                <w:rFonts w:ascii="Times New Roman" w:eastAsia="Times New Roman" w:hAnsi="Times New Roman" w:cs="Times New Roman"/>
                <w:color w:val="000000"/>
                <w:szCs w:val="22"/>
              </w:rPr>
              <w:t>european</w:t>
            </w:r>
            <w:proofErr w:type="spellEnd"/>
            <w:r w:rsidRPr="00A14942">
              <w:rPr>
                <w:rFonts w:ascii="Times New Roman" w:eastAsia="Times New Roman" w:hAnsi="Times New Roman" w:cs="Times New Roman"/>
                <w:color w:val="000000"/>
                <w:szCs w:val="22"/>
              </w:rPr>
              <w:t xml:space="preserve"> academy of neurology Copenhagen </w:t>
            </w:r>
            <w:proofErr w:type="spellStart"/>
            <w:r w:rsidRPr="00A14942">
              <w:rPr>
                <w:rFonts w:ascii="Times New Roman" w:eastAsia="Times New Roman" w:hAnsi="Times New Roman" w:cs="Times New Roman"/>
                <w:color w:val="000000"/>
                <w:szCs w:val="22"/>
              </w:rPr>
              <w:t>denmark</w:t>
            </w:r>
            <w:proofErr w:type="spellEnd"/>
            <w:r w:rsidRPr="00A14942">
              <w:rPr>
                <w:rFonts w:ascii="Times New Roman" w:eastAsia="Times New Roman" w:hAnsi="Times New Roman" w:cs="Times New Roman"/>
                <w:color w:val="000000"/>
                <w:szCs w:val="22"/>
              </w:rPr>
              <w:t xml:space="preserve"> Conference start 23 (532): </w:t>
            </w:r>
          </w:p>
        </w:tc>
      </w:tr>
      <w:tr w:rsidR="00F93E19" w:rsidRPr="00F93E19" w14:paraId="4AD16A79" w14:textId="77777777" w:rsidTr="00F93E19">
        <w:trPr>
          <w:trHeight w:val="144"/>
        </w:trPr>
        <w:tc>
          <w:tcPr>
            <w:tcW w:w="9360" w:type="dxa"/>
            <w:tcBorders>
              <w:top w:val="nil"/>
              <w:left w:val="nil"/>
              <w:bottom w:val="nil"/>
              <w:right w:val="nil"/>
            </w:tcBorders>
            <w:shd w:val="clear" w:color="auto" w:fill="auto"/>
            <w:noWrap/>
            <w:vAlign w:val="bottom"/>
            <w:hideMark/>
          </w:tcPr>
          <w:p w14:paraId="096034A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De Stefano N, Giorgio A, De Leucio A, Hamlett A, Scaramozza M et al. </w:t>
            </w:r>
            <w:r w:rsidRPr="00A14942">
              <w:rPr>
                <w:rFonts w:ascii="Times New Roman" w:eastAsia="Times New Roman" w:hAnsi="Times New Roman" w:cs="Times New Roman"/>
                <w:color w:val="000000"/>
                <w:szCs w:val="22"/>
              </w:rPr>
              <w:t xml:space="preserve">(2013) Oral </w:t>
            </w:r>
            <w:proofErr w:type="spellStart"/>
            <w:r w:rsidRPr="00A14942">
              <w:rPr>
                <w:rFonts w:ascii="Times New Roman" w:eastAsia="Times New Roman" w:hAnsi="Times New Roman" w:cs="Times New Roman"/>
                <w:color w:val="000000"/>
                <w:szCs w:val="22"/>
              </w:rPr>
              <w:t>cladribrine</w:t>
            </w:r>
            <w:proofErr w:type="spellEnd"/>
            <w:r w:rsidRPr="00A14942">
              <w:rPr>
                <w:rFonts w:ascii="Times New Roman" w:eastAsia="Times New Roman" w:hAnsi="Times New Roman" w:cs="Times New Roman"/>
                <w:color w:val="000000"/>
                <w:szCs w:val="22"/>
              </w:rPr>
              <w:t xml:space="preserve"> treatment reduces brain atrophy rates in relapsing-remitting multiple sclerosis: Exploratory analysis of the clarity study. Neurology 80 (1 </w:t>
            </w:r>
            <w:proofErr w:type="spellStart"/>
            <w:r w:rsidRPr="00A14942">
              <w:rPr>
                <w:rFonts w:ascii="Times New Roman" w:eastAsia="Times New Roman" w:hAnsi="Times New Roman" w:cs="Times New Roman"/>
                <w:color w:val="000000"/>
                <w:szCs w:val="22"/>
              </w:rPr>
              <w:t>MeetingAbstracts</w:t>
            </w:r>
            <w:proofErr w:type="spellEnd"/>
            <w:r w:rsidRPr="00A14942">
              <w:rPr>
                <w:rFonts w:ascii="Times New Roman" w:eastAsia="Times New Roman" w:hAnsi="Times New Roman" w:cs="Times New Roman"/>
                <w:color w:val="000000"/>
                <w:szCs w:val="22"/>
              </w:rPr>
              <w:t>): CONFERENCE START: 2013 Mar 2016 CONFERENCE END: 2013 Mar 2023.</w:t>
            </w:r>
          </w:p>
        </w:tc>
      </w:tr>
      <w:tr w:rsidR="00F93E19" w:rsidRPr="00F93E19" w14:paraId="7F0F04C2" w14:textId="77777777" w:rsidTr="00F93E19">
        <w:trPr>
          <w:trHeight w:val="144"/>
        </w:trPr>
        <w:tc>
          <w:tcPr>
            <w:tcW w:w="9360" w:type="dxa"/>
            <w:tcBorders>
              <w:top w:val="nil"/>
              <w:left w:val="nil"/>
              <w:bottom w:val="nil"/>
              <w:right w:val="nil"/>
            </w:tcBorders>
            <w:shd w:val="clear" w:color="auto" w:fill="auto"/>
            <w:noWrap/>
            <w:vAlign w:val="bottom"/>
            <w:hideMark/>
          </w:tcPr>
          <w:p w14:paraId="5EEE827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De Stefano N, Giorgio A, Gentile G, Stromillo ML, Cortese R et al. </w:t>
            </w:r>
            <w:r w:rsidRPr="00A14942">
              <w:rPr>
                <w:rFonts w:ascii="Times New Roman" w:eastAsia="Times New Roman" w:hAnsi="Times New Roman" w:cs="Times New Roman"/>
                <w:color w:val="000000"/>
                <w:szCs w:val="22"/>
              </w:rPr>
              <w:t>(2021) Dynamics of pseudo-atrophy in RRMS reveals predominant gray matter compartmentalization. Annals of Clinical and Translational Neurology 8 (3): 623-630.</w:t>
            </w:r>
          </w:p>
        </w:tc>
      </w:tr>
      <w:tr w:rsidR="00F93E19" w:rsidRPr="00F93E19" w14:paraId="0EBC7D3C" w14:textId="77777777" w:rsidTr="00F93E19">
        <w:trPr>
          <w:trHeight w:val="144"/>
        </w:trPr>
        <w:tc>
          <w:tcPr>
            <w:tcW w:w="9360" w:type="dxa"/>
            <w:tcBorders>
              <w:top w:val="nil"/>
              <w:left w:val="nil"/>
              <w:bottom w:val="nil"/>
              <w:right w:val="nil"/>
            </w:tcBorders>
            <w:shd w:val="clear" w:color="auto" w:fill="auto"/>
            <w:noWrap/>
            <w:vAlign w:val="bottom"/>
            <w:hideMark/>
          </w:tcPr>
          <w:p w14:paraId="7E36934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De Stefano N, </w:t>
            </w: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w:t>
            </w:r>
            <w:proofErr w:type="spellStart"/>
            <w:r w:rsidRPr="00713F1E">
              <w:rPr>
                <w:rFonts w:ascii="Times New Roman" w:eastAsia="Times New Roman" w:hAnsi="Times New Roman" w:cs="Times New Roman"/>
                <w:color w:val="000000"/>
                <w:szCs w:val="22"/>
                <w:lang w:val="fr-FR"/>
              </w:rPr>
              <w:t>Radue</w:t>
            </w:r>
            <w:proofErr w:type="spellEnd"/>
            <w:r w:rsidRPr="00713F1E">
              <w:rPr>
                <w:rFonts w:ascii="Times New Roman" w:eastAsia="Times New Roman" w:hAnsi="Times New Roman" w:cs="Times New Roman"/>
                <w:color w:val="000000"/>
                <w:szCs w:val="22"/>
                <w:lang w:val="fr-FR"/>
              </w:rPr>
              <w:t xml:space="preserve"> EW,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w:t>
            </w:r>
            <w:proofErr w:type="spellStart"/>
            <w:r w:rsidRPr="00713F1E">
              <w:rPr>
                <w:rFonts w:ascii="Times New Roman" w:eastAsia="Times New Roman" w:hAnsi="Times New Roman" w:cs="Times New Roman"/>
                <w:color w:val="000000"/>
                <w:szCs w:val="22"/>
                <w:lang w:val="fr-FR"/>
              </w:rPr>
              <w:t>Piani</w:t>
            </w:r>
            <w:proofErr w:type="spellEnd"/>
            <w:r w:rsidRPr="00713F1E">
              <w:rPr>
                <w:rFonts w:ascii="Times New Roman" w:eastAsia="Times New Roman" w:hAnsi="Times New Roman" w:cs="Times New Roman"/>
                <w:color w:val="000000"/>
                <w:szCs w:val="22"/>
                <w:lang w:val="fr-FR"/>
              </w:rPr>
              <w:t xml:space="preserve"> Meier D et al. </w:t>
            </w:r>
            <w:r w:rsidRPr="00A14942">
              <w:rPr>
                <w:rFonts w:ascii="Times New Roman" w:eastAsia="Times New Roman" w:hAnsi="Times New Roman" w:cs="Times New Roman"/>
                <w:color w:val="000000"/>
                <w:szCs w:val="22"/>
              </w:rPr>
              <w:t xml:space="preserve">(2014) Fingolimod effect on diffuse tissue damage is partly independent of its effect on focal damage in </w:t>
            </w:r>
            <w:proofErr w:type="spellStart"/>
            <w:r w:rsidRPr="00A14942">
              <w:rPr>
                <w:rFonts w:ascii="Times New Roman" w:eastAsia="Times New Roman" w:hAnsi="Times New Roman" w:cs="Times New Roman"/>
                <w:color w:val="000000"/>
                <w:szCs w:val="22"/>
              </w:rPr>
              <w:t>relapsingremitting</w:t>
            </w:r>
            <w:proofErr w:type="spellEnd"/>
            <w:r w:rsidRPr="00A14942">
              <w:rPr>
                <w:rFonts w:ascii="Times New Roman" w:eastAsia="Times New Roman" w:hAnsi="Times New Roman" w:cs="Times New Roman"/>
                <w:color w:val="000000"/>
                <w:szCs w:val="22"/>
              </w:rPr>
              <w:t xml:space="preserve"> multiple sclerosis patients.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379.</w:t>
            </w:r>
          </w:p>
        </w:tc>
      </w:tr>
      <w:tr w:rsidR="00F93E19" w:rsidRPr="00F93E19" w14:paraId="283DB8D4" w14:textId="77777777" w:rsidTr="00F93E19">
        <w:trPr>
          <w:trHeight w:val="144"/>
        </w:trPr>
        <w:tc>
          <w:tcPr>
            <w:tcW w:w="9360" w:type="dxa"/>
            <w:tcBorders>
              <w:top w:val="nil"/>
              <w:left w:val="nil"/>
              <w:bottom w:val="nil"/>
              <w:right w:val="nil"/>
            </w:tcBorders>
            <w:shd w:val="clear" w:color="auto" w:fill="auto"/>
            <w:noWrap/>
            <w:vAlign w:val="bottom"/>
            <w:hideMark/>
          </w:tcPr>
          <w:p w14:paraId="701D1F1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De Stefano N, </w:t>
            </w:r>
            <w:proofErr w:type="spellStart"/>
            <w:r w:rsidRPr="00A14942">
              <w:rPr>
                <w:rFonts w:ascii="Times New Roman" w:eastAsia="Times New Roman" w:hAnsi="Times New Roman" w:cs="Times New Roman"/>
                <w:color w:val="000000"/>
                <w:szCs w:val="22"/>
              </w:rPr>
              <w:t>Sormani</w:t>
            </w:r>
            <w:proofErr w:type="spellEnd"/>
            <w:r w:rsidRPr="00A14942">
              <w:rPr>
                <w:rFonts w:ascii="Times New Roman" w:eastAsia="Times New Roman" w:hAnsi="Times New Roman" w:cs="Times New Roman"/>
                <w:color w:val="000000"/>
                <w:szCs w:val="22"/>
              </w:rPr>
              <w:t xml:space="preserve"> MP, </w:t>
            </w:r>
            <w:proofErr w:type="spellStart"/>
            <w:r w:rsidRPr="00A14942">
              <w:rPr>
                <w:rFonts w:ascii="Times New Roman" w:eastAsia="Times New Roman" w:hAnsi="Times New Roman" w:cs="Times New Roman"/>
                <w:color w:val="000000"/>
                <w:szCs w:val="22"/>
              </w:rPr>
              <w:t>Stubinski</w:t>
            </w:r>
            <w:proofErr w:type="spellEnd"/>
            <w:r w:rsidRPr="00A14942">
              <w:rPr>
                <w:rFonts w:ascii="Times New Roman" w:eastAsia="Times New Roman" w:hAnsi="Times New Roman" w:cs="Times New Roman"/>
                <w:color w:val="000000"/>
                <w:szCs w:val="22"/>
              </w:rPr>
              <w:t xml:space="preserve"> B, Blevins G, </w:t>
            </w:r>
            <w:proofErr w:type="spellStart"/>
            <w:r w:rsidRPr="00A14942">
              <w:rPr>
                <w:rFonts w:ascii="Times New Roman" w:eastAsia="Times New Roman" w:hAnsi="Times New Roman" w:cs="Times New Roman"/>
                <w:color w:val="000000"/>
                <w:szCs w:val="22"/>
              </w:rPr>
              <w:t>Drulovic</w:t>
            </w:r>
            <w:proofErr w:type="spellEnd"/>
            <w:r w:rsidRPr="00A14942">
              <w:rPr>
                <w:rFonts w:ascii="Times New Roman" w:eastAsia="Times New Roman" w:hAnsi="Times New Roman" w:cs="Times New Roman"/>
                <w:color w:val="000000"/>
                <w:szCs w:val="22"/>
              </w:rPr>
              <w:t xml:space="preserve"> JS et al. (2012) Efficacy and safety of subcutaneous interferon beta-1a in relapsing-remitting multiple sclerosis: Further outcomes from the IMPROVE study. Journal of the Neurological Sciences 312 (1-2): 97-101.</w:t>
            </w:r>
          </w:p>
        </w:tc>
      </w:tr>
      <w:tr w:rsidR="00F93E19" w:rsidRPr="00F93E19" w14:paraId="06113BB1" w14:textId="77777777" w:rsidTr="00F93E19">
        <w:trPr>
          <w:trHeight w:val="144"/>
        </w:trPr>
        <w:tc>
          <w:tcPr>
            <w:tcW w:w="9360" w:type="dxa"/>
            <w:tcBorders>
              <w:top w:val="nil"/>
              <w:left w:val="nil"/>
              <w:bottom w:val="nil"/>
              <w:right w:val="nil"/>
            </w:tcBorders>
            <w:shd w:val="clear" w:color="auto" w:fill="auto"/>
            <w:noWrap/>
            <w:vAlign w:val="bottom"/>
            <w:hideMark/>
          </w:tcPr>
          <w:p w14:paraId="62E854F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De Stefano N, Sprenger T, Freedman MS, Cree B, </w:t>
            </w:r>
            <w:proofErr w:type="spellStart"/>
            <w:r w:rsidRPr="00A14942">
              <w:rPr>
                <w:rFonts w:ascii="Times New Roman" w:eastAsia="Times New Roman" w:hAnsi="Times New Roman" w:cs="Times New Roman"/>
                <w:color w:val="000000"/>
                <w:szCs w:val="22"/>
              </w:rPr>
              <w:t>Sormani</w:t>
            </w:r>
            <w:proofErr w:type="spellEnd"/>
            <w:r w:rsidRPr="00A14942">
              <w:rPr>
                <w:rFonts w:ascii="Times New Roman" w:eastAsia="Times New Roman" w:hAnsi="Times New Roman" w:cs="Times New Roman"/>
                <w:color w:val="000000"/>
                <w:szCs w:val="22"/>
              </w:rPr>
              <w:t xml:space="preserve"> MP et al. (2014) Including threshold rates of brain volume loss in the definition of disease-activity-free in multiple sclerosis using fingolimod phase 3 data.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196-197.</w:t>
            </w:r>
          </w:p>
        </w:tc>
      </w:tr>
      <w:tr w:rsidR="00F93E19" w:rsidRPr="00F93E19" w14:paraId="49560A3A" w14:textId="77777777" w:rsidTr="00F93E19">
        <w:trPr>
          <w:trHeight w:val="144"/>
        </w:trPr>
        <w:tc>
          <w:tcPr>
            <w:tcW w:w="9360" w:type="dxa"/>
            <w:tcBorders>
              <w:top w:val="nil"/>
              <w:left w:val="nil"/>
              <w:bottom w:val="nil"/>
              <w:right w:val="nil"/>
            </w:tcBorders>
            <w:shd w:val="clear" w:color="auto" w:fill="auto"/>
            <w:noWrap/>
            <w:vAlign w:val="bottom"/>
            <w:hideMark/>
          </w:tcPr>
          <w:p w14:paraId="5E2B973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De Stefano N, Tomic D, </w:t>
            </w:r>
            <w:proofErr w:type="spellStart"/>
            <w:r w:rsidRPr="00713F1E">
              <w:rPr>
                <w:rFonts w:ascii="Times New Roman" w:eastAsia="Times New Roman" w:hAnsi="Times New Roman" w:cs="Times New Roman"/>
                <w:color w:val="000000"/>
                <w:szCs w:val="22"/>
                <w:lang w:val="fr-FR"/>
              </w:rPr>
              <w:t>Radue</w:t>
            </w:r>
            <w:proofErr w:type="spellEnd"/>
            <w:r w:rsidRPr="00713F1E">
              <w:rPr>
                <w:rFonts w:ascii="Times New Roman" w:eastAsia="Times New Roman" w:hAnsi="Times New Roman" w:cs="Times New Roman"/>
                <w:color w:val="000000"/>
                <w:szCs w:val="22"/>
                <w:lang w:val="fr-FR"/>
              </w:rPr>
              <w:t xml:space="preserve"> EW,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Meier DP et al. </w:t>
            </w:r>
            <w:r w:rsidRPr="00A14942">
              <w:rPr>
                <w:rFonts w:ascii="Times New Roman" w:eastAsia="Times New Roman" w:hAnsi="Times New Roman" w:cs="Times New Roman"/>
                <w:color w:val="000000"/>
                <w:szCs w:val="22"/>
              </w:rPr>
              <w:t>(2016) Effect of fingolimod on diffuse brain tissue damage in relapsing-remitting multiple sclerosis patients. Multiple Sclerosis and Related Disorders 7 98-101.</w:t>
            </w:r>
          </w:p>
        </w:tc>
      </w:tr>
      <w:tr w:rsidR="00F93E19" w:rsidRPr="00F93E19" w14:paraId="3526B00A" w14:textId="77777777" w:rsidTr="00F93E19">
        <w:trPr>
          <w:trHeight w:val="144"/>
        </w:trPr>
        <w:tc>
          <w:tcPr>
            <w:tcW w:w="9360" w:type="dxa"/>
            <w:tcBorders>
              <w:top w:val="nil"/>
              <w:left w:val="nil"/>
              <w:bottom w:val="nil"/>
              <w:right w:val="nil"/>
            </w:tcBorders>
            <w:shd w:val="clear" w:color="auto" w:fill="auto"/>
            <w:noWrap/>
            <w:vAlign w:val="bottom"/>
            <w:hideMark/>
          </w:tcPr>
          <w:p w14:paraId="04D331B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De Stefano NG, A.; Battaglini, M.; De Lucio, A.; </w:t>
            </w:r>
            <w:proofErr w:type="spellStart"/>
            <w:r w:rsidRPr="00A14942">
              <w:rPr>
                <w:rFonts w:ascii="Times New Roman" w:eastAsia="Times New Roman" w:hAnsi="Times New Roman" w:cs="Times New Roman"/>
                <w:color w:val="000000"/>
                <w:szCs w:val="22"/>
              </w:rPr>
              <w:t>Hicking</w:t>
            </w:r>
            <w:proofErr w:type="spellEnd"/>
            <w:r w:rsidRPr="00A14942">
              <w:rPr>
                <w:rFonts w:ascii="Times New Roman" w:eastAsia="Times New Roman" w:hAnsi="Times New Roman" w:cs="Times New Roman"/>
                <w:color w:val="000000"/>
                <w:szCs w:val="22"/>
              </w:rPr>
              <w:t xml:space="preserve">, C.; </w:t>
            </w:r>
            <w:proofErr w:type="spellStart"/>
            <w:r w:rsidRPr="00A14942">
              <w:rPr>
                <w:rFonts w:ascii="Times New Roman" w:eastAsia="Times New Roman" w:hAnsi="Times New Roman" w:cs="Times New Roman"/>
                <w:color w:val="000000"/>
                <w:szCs w:val="22"/>
              </w:rPr>
              <w:t>Dangond,F</w:t>
            </w:r>
            <w:proofErr w:type="spellEnd"/>
            <w:r w:rsidRPr="00A14942">
              <w:rPr>
                <w:rFonts w:ascii="Times New Roman" w:eastAsia="Times New Roman" w:hAnsi="Times New Roman" w:cs="Times New Roman"/>
                <w:color w:val="000000"/>
                <w:szCs w:val="22"/>
              </w:rPr>
              <w:t xml:space="preserve">.; Giovannoni, G.; </w:t>
            </w:r>
            <w:proofErr w:type="spellStart"/>
            <w:r w:rsidRPr="00A14942">
              <w:rPr>
                <w:rFonts w:ascii="Times New Roman" w:eastAsia="Times New Roman" w:hAnsi="Times New Roman" w:cs="Times New Roman"/>
                <w:color w:val="000000"/>
                <w:szCs w:val="22"/>
              </w:rPr>
              <w:t>Sormani</w:t>
            </w:r>
            <w:proofErr w:type="spellEnd"/>
            <w:r w:rsidRPr="00A14942">
              <w:rPr>
                <w:rFonts w:ascii="Times New Roman" w:eastAsia="Times New Roman" w:hAnsi="Times New Roman" w:cs="Times New Roman"/>
                <w:color w:val="000000"/>
                <w:szCs w:val="22"/>
              </w:rPr>
              <w:t xml:space="preserve">, M.P. (2017) Reduced brain atrophy rates are associated with lower risk of disability progression in patients with relapsing multiple sclerosis treated with cladribine tablets. Multiple Sclerosis Journal </w:t>
            </w:r>
          </w:p>
        </w:tc>
      </w:tr>
      <w:tr w:rsidR="00F93E19" w:rsidRPr="00F93E19" w14:paraId="2C823121" w14:textId="77777777" w:rsidTr="00F93E19">
        <w:trPr>
          <w:trHeight w:val="144"/>
        </w:trPr>
        <w:tc>
          <w:tcPr>
            <w:tcW w:w="9360" w:type="dxa"/>
            <w:tcBorders>
              <w:top w:val="nil"/>
              <w:left w:val="nil"/>
              <w:bottom w:val="nil"/>
              <w:right w:val="nil"/>
            </w:tcBorders>
            <w:shd w:val="clear" w:color="auto" w:fill="auto"/>
            <w:noWrap/>
            <w:vAlign w:val="bottom"/>
            <w:hideMark/>
          </w:tcPr>
          <w:p w14:paraId="283C4DD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De Stefano NG, A.; Gentile, G.; </w:t>
            </w:r>
            <w:proofErr w:type="spellStart"/>
            <w:r w:rsidRPr="00A14942">
              <w:rPr>
                <w:rFonts w:ascii="Times New Roman" w:eastAsia="Times New Roman" w:hAnsi="Times New Roman" w:cs="Times New Roman"/>
                <w:color w:val="000000"/>
                <w:szCs w:val="22"/>
              </w:rPr>
              <w:t>Stromillo</w:t>
            </w:r>
            <w:proofErr w:type="spellEnd"/>
            <w:r w:rsidRPr="00A14942">
              <w:rPr>
                <w:rFonts w:ascii="Times New Roman" w:eastAsia="Times New Roman" w:hAnsi="Times New Roman" w:cs="Times New Roman"/>
                <w:color w:val="000000"/>
                <w:szCs w:val="22"/>
              </w:rPr>
              <w:t xml:space="preserve">, M.L.; Visconti, A.; Battaglini, M. (2019) Rapid reduction of lesion accumulation in specific white matter tracts as assessed by lesion mapping in RR-MS patients treated with IFN beta-1a. European journal of neurology 26 (164): </w:t>
            </w:r>
          </w:p>
        </w:tc>
      </w:tr>
      <w:tr w:rsidR="00F93E19" w:rsidRPr="00F93E19" w14:paraId="32C65EBA" w14:textId="77777777" w:rsidTr="00F93E19">
        <w:trPr>
          <w:trHeight w:val="144"/>
        </w:trPr>
        <w:tc>
          <w:tcPr>
            <w:tcW w:w="9360" w:type="dxa"/>
            <w:tcBorders>
              <w:top w:val="nil"/>
              <w:left w:val="nil"/>
              <w:bottom w:val="nil"/>
              <w:right w:val="nil"/>
            </w:tcBorders>
            <w:shd w:val="clear" w:color="auto" w:fill="auto"/>
            <w:noWrap/>
            <w:vAlign w:val="bottom"/>
            <w:hideMark/>
          </w:tcPr>
          <w:p w14:paraId="19A38F8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Derfuss T, </w:t>
            </w:r>
            <w:proofErr w:type="spellStart"/>
            <w:r w:rsidRPr="00A14942">
              <w:rPr>
                <w:rFonts w:ascii="Times New Roman" w:eastAsia="Times New Roman" w:hAnsi="Times New Roman" w:cs="Times New Roman"/>
                <w:color w:val="000000"/>
                <w:szCs w:val="22"/>
              </w:rPr>
              <w:t>Bergvall</w:t>
            </w:r>
            <w:proofErr w:type="spellEnd"/>
            <w:r w:rsidRPr="00A14942">
              <w:rPr>
                <w:rFonts w:ascii="Times New Roman" w:eastAsia="Times New Roman" w:hAnsi="Times New Roman" w:cs="Times New Roman"/>
                <w:color w:val="000000"/>
                <w:szCs w:val="22"/>
              </w:rPr>
              <w:t xml:space="preserve"> NK, Sfikas N, Tomic DL (2015) Efficacy of fingolimod in patients with highly active relapsing-remitting multiple sclerosis. Current Medical Research and Opinion 31 (9): 1687-1691.</w:t>
            </w:r>
          </w:p>
        </w:tc>
      </w:tr>
      <w:tr w:rsidR="00F93E19" w:rsidRPr="00F93E19" w14:paraId="7389FE98" w14:textId="77777777" w:rsidTr="00F93E19">
        <w:trPr>
          <w:trHeight w:val="144"/>
        </w:trPr>
        <w:tc>
          <w:tcPr>
            <w:tcW w:w="9360" w:type="dxa"/>
            <w:tcBorders>
              <w:top w:val="nil"/>
              <w:left w:val="nil"/>
              <w:bottom w:val="nil"/>
              <w:right w:val="nil"/>
            </w:tcBorders>
            <w:shd w:val="clear" w:color="auto" w:fill="auto"/>
            <w:noWrap/>
            <w:vAlign w:val="bottom"/>
            <w:hideMark/>
          </w:tcPr>
          <w:p w14:paraId="7F2CC4E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(2004) A phase III,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double-blind, three-arm, placebo-controlled, multi-center study to evaluate the safety and efficacy of oral Cladribine in subjects with relapsing </w:t>
            </w:r>
            <w:r w:rsidRPr="00A14942">
              <w:rPr>
                <w:rFonts w:ascii="Times New Roman" w:eastAsia="Times New Roman" w:hAnsi="Times New Roman" w:cs="Times New Roman"/>
                <w:color w:val="000000"/>
                <w:szCs w:val="22"/>
              </w:rPr>
              <w:lastRenderedPageBreak/>
              <w:t xml:space="preserve">remitting multiple sclerosis - Oral Cladribine versus Placebo in RRMS. http://wwwwhoint/trialsearch/Trial2aspx?TrialID=EUCTR2004 </w:t>
            </w:r>
          </w:p>
        </w:tc>
      </w:tr>
      <w:tr w:rsidR="00F93E19" w:rsidRPr="00F93E19" w14:paraId="609BB8F2" w14:textId="77777777" w:rsidTr="00F93E19">
        <w:trPr>
          <w:trHeight w:val="144"/>
        </w:trPr>
        <w:tc>
          <w:tcPr>
            <w:tcW w:w="9360" w:type="dxa"/>
            <w:tcBorders>
              <w:top w:val="nil"/>
              <w:left w:val="nil"/>
              <w:bottom w:val="nil"/>
              <w:right w:val="nil"/>
            </w:tcBorders>
            <w:shd w:val="clear" w:color="auto" w:fill="auto"/>
            <w:noWrap/>
            <w:vAlign w:val="bottom"/>
            <w:hideMark/>
          </w:tcPr>
          <w:p w14:paraId="0FF90E0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es-ES"/>
              </w:rPr>
              <w:lastRenderedPageBreak/>
              <w:t xml:space="preserve">EUCTR (2006) Estudio en fase </w:t>
            </w:r>
            <w:proofErr w:type="spellStart"/>
            <w:r w:rsidRPr="00713F1E">
              <w:rPr>
                <w:rFonts w:ascii="Times New Roman" w:eastAsia="Times New Roman" w:hAnsi="Times New Roman" w:cs="Times New Roman"/>
                <w:color w:val="000000"/>
                <w:szCs w:val="22"/>
                <w:lang w:val="es-ES"/>
              </w:rPr>
              <w:t>IIIb</w:t>
            </w:r>
            <w:proofErr w:type="spellEnd"/>
            <w:r w:rsidRPr="00713F1E">
              <w:rPr>
                <w:rFonts w:ascii="Times New Roman" w:eastAsia="Times New Roman" w:hAnsi="Times New Roman" w:cs="Times New Roman"/>
                <w:color w:val="000000"/>
                <w:szCs w:val="22"/>
                <w:lang w:val="es-ES"/>
              </w:rPr>
              <w:t xml:space="preserve">, </w:t>
            </w:r>
            <w:proofErr w:type="spellStart"/>
            <w:r w:rsidRPr="00713F1E">
              <w:rPr>
                <w:rFonts w:ascii="Times New Roman" w:eastAsia="Times New Roman" w:hAnsi="Times New Roman" w:cs="Times New Roman"/>
                <w:color w:val="000000"/>
                <w:szCs w:val="22"/>
                <w:lang w:val="es-ES"/>
              </w:rPr>
              <w:t>multicentrico</w:t>
            </w:r>
            <w:proofErr w:type="spellEnd"/>
            <w:r w:rsidRPr="00713F1E">
              <w:rPr>
                <w:rFonts w:ascii="Times New Roman" w:eastAsia="Times New Roman" w:hAnsi="Times New Roman" w:cs="Times New Roman"/>
                <w:color w:val="000000"/>
                <w:szCs w:val="22"/>
                <w:lang w:val="es-ES"/>
              </w:rPr>
              <w:t xml:space="preserve">, comparado con grupo de control, doble ciego, aleatorizado y de dos brazos, con evaluaciones mensuales por resonancia </w:t>
            </w:r>
            <w:proofErr w:type="spellStart"/>
            <w:r w:rsidRPr="00713F1E">
              <w:rPr>
                <w:rFonts w:ascii="Times New Roman" w:eastAsia="Times New Roman" w:hAnsi="Times New Roman" w:cs="Times New Roman"/>
                <w:color w:val="000000"/>
                <w:szCs w:val="22"/>
                <w:lang w:val="es-ES"/>
              </w:rPr>
              <w:t>magnetica</w:t>
            </w:r>
            <w:proofErr w:type="spellEnd"/>
            <w:r w:rsidRPr="00713F1E">
              <w:rPr>
                <w:rFonts w:ascii="Times New Roman" w:eastAsia="Times New Roman" w:hAnsi="Times New Roman" w:cs="Times New Roman"/>
                <w:color w:val="000000"/>
                <w:szCs w:val="22"/>
                <w:lang w:val="es-ES"/>
              </w:rPr>
              <w:t xml:space="preserve"> y biomarcadores para evaluar la eficacia, la seguridad y la tolerabilidad de </w:t>
            </w:r>
            <w:proofErr w:type="spellStart"/>
            <w:r w:rsidRPr="00713F1E">
              <w:rPr>
                <w:rFonts w:ascii="Times New Roman" w:eastAsia="Times New Roman" w:hAnsi="Times New Roman" w:cs="Times New Roman"/>
                <w:color w:val="000000"/>
                <w:szCs w:val="22"/>
                <w:lang w:val="es-ES"/>
              </w:rPr>
              <w:t>Rebif</w:t>
            </w:r>
            <w:proofErr w:type="spellEnd"/>
            <w:r w:rsidRPr="00713F1E">
              <w:rPr>
                <w:rFonts w:ascii="Times New Roman" w:eastAsia="Times New Roman" w:hAnsi="Times New Roman" w:cs="Times New Roman"/>
                <w:color w:val="000000"/>
                <w:szCs w:val="22"/>
                <w:lang w:val="es-ES"/>
              </w:rPr>
              <w:t xml:space="preserve"> New </w:t>
            </w:r>
            <w:proofErr w:type="spellStart"/>
            <w:r w:rsidRPr="00713F1E">
              <w:rPr>
                <w:rFonts w:ascii="Times New Roman" w:eastAsia="Times New Roman" w:hAnsi="Times New Roman" w:cs="Times New Roman"/>
                <w:color w:val="000000"/>
                <w:szCs w:val="22"/>
                <w:lang w:val="es-ES"/>
              </w:rPr>
              <w:t>Formulation</w:t>
            </w:r>
            <w:proofErr w:type="spellEnd"/>
            <w:r w:rsidRPr="00713F1E">
              <w:rPr>
                <w:rFonts w:ascii="Times New Roman" w:eastAsia="Times New Roman" w:hAnsi="Times New Roman" w:cs="Times New Roman"/>
                <w:color w:val="000000"/>
                <w:szCs w:val="22"/>
                <w:lang w:val="es-ES"/>
              </w:rPr>
              <w:t xml:space="preserve"> (IFN beta-1a) en pacientes con esclerosis </w:t>
            </w:r>
            <w:proofErr w:type="spellStart"/>
            <w:r w:rsidRPr="00713F1E">
              <w:rPr>
                <w:rFonts w:ascii="Times New Roman" w:eastAsia="Times New Roman" w:hAnsi="Times New Roman" w:cs="Times New Roman"/>
                <w:color w:val="000000"/>
                <w:szCs w:val="22"/>
                <w:lang w:val="es-ES"/>
              </w:rPr>
              <w:t>multiple</w:t>
            </w:r>
            <w:proofErr w:type="spellEnd"/>
            <w:r w:rsidRPr="00713F1E">
              <w:rPr>
                <w:rFonts w:ascii="Times New Roman" w:eastAsia="Times New Roman" w:hAnsi="Times New Roman" w:cs="Times New Roman"/>
                <w:color w:val="000000"/>
                <w:szCs w:val="22"/>
                <w:lang w:val="es-ES"/>
              </w:rPr>
              <w:t xml:space="preserve"> remitente-recurrente. </w:t>
            </w:r>
            <w:r w:rsidRPr="00A14942">
              <w:rPr>
                <w:rFonts w:ascii="Times New Roman" w:eastAsia="Times New Roman" w:hAnsi="Times New Roman" w:cs="Times New Roman"/>
                <w:color w:val="000000"/>
                <w:szCs w:val="22"/>
              </w:rPr>
              <w:t xml:space="preserve">A two-arm, randomized, double-blind, control group-compared, multicenter, phase </w:t>
            </w:r>
            <w:proofErr w:type="spellStart"/>
            <w:r w:rsidRPr="00A14942">
              <w:rPr>
                <w:rFonts w:ascii="Times New Roman" w:eastAsia="Times New Roman" w:hAnsi="Times New Roman" w:cs="Times New Roman"/>
                <w:color w:val="000000"/>
                <w:szCs w:val="22"/>
              </w:rPr>
              <w:t>IIIb</w:t>
            </w:r>
            <w:proofErr w:type="spellEnd"/>
            <w:r w:rsidRPr="00A14942">
              <w:rPr>
                <w:rFonts w:ascii="Times New Roman" w:eastAsia="Times New Roman" w:hAnsi="Times New Roman" w:cs="Times New Roman"/>
                <w:color w:val="000000"/>
                <w:szCs w:val="22"/>
              </w:rPr>
              <w:t xml:space="preserve"> study with monthly MRI and biomarker assessments to evaluate the efficacy, safety, and tolerability of Rebif(R) New Formulation (IFN-beta-1a) in subjects with relapsing remitting multiple sclerosis. - IMPROVE (Investigating MRI Parameters with Rebif(R) </w:t>
            </w:r>
            <w:proofErr w:type="spellStart"/>
            <w:r w:rsidRPr="00A14942">
              <w:rPr>
                <w:rFonts w:ascii="Times New Roman" w:eastAsia="Times New Roman" w:hAnsi="Times New Roman" w:cs="Times New Roman"/>
                <w:color w:val="000000"/>
                <w:szCs w:val="22"/>
              </w:rPr>
              <w:t>imprOVEd</w:t>
            </w:r>
            <w:proofErr w:type="spellEnd"/>
            <w:r w:rsidRPr="00A14942">
              <w:rPr>
                <w:rFonts w:ascii="Times New Roman" w:eastAsia="Times New Roman" w:hAnsi="Times New Roman" w:cs="Times New Roman"/>
                <w:color w:val="000000"/>
                <w:szCs w:val="22"/>
              </w:rPr>
              <w:t xml:space="preserve"> formulation). http://wwwwhoint/trialsearch/Trial2aspx?TrialID=EUCTR2006 </w:t>
            </w:r>
          </w:p>
        </w:tc>
      </w:tr>
      <w:tr w:rsidR="00F93E19" w:rsidRPr="00F93E19" w14:paraId="6133CA38" w14:textId="77777777" w:rsidTr="00F93E19">
        <w:trPr>
          <w:trHeight w:val="144"/>
        </w:trPr>
        <w:tc>
          <w:tcPr>
            <w:tcW w:w="9360" w:type="dxa"/>
            <w:tcBorders>
              <w:top w:val="nil"/>
              <w:left w:val="nil"/>
              <w:bottom w:val="nil"/>
              <w:right w:val="nil"/>
            </w:tcBorders>
            <w:shd w:val="clear" w:color="auto" w:fill="auto"/>
            <w:noWrap/>
            <w:vAlign w:val="bottom"/>
            <w:hideMark/>
          </w:tcPr>
          <w:p w14:paraId="511301A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(2008) A phase II, double-blind, randomized, multi-center, adaptive dose-ranging, placebo-controlled, parallel-group study evaluating safety, tolerability and efficacy on MRI lesion parameters and determining the dose response curve of BAF312 given orally once daily in patients with relapsing-remitting multiple sclerosis. http://wwwwhoint/trialsearch/Trial2aspx?TrialID=EUCTR2008 </w:t>
            </w:r>
          </w:p>
        </w:tc>
      </w:tr>
      <w:tr w:rsidR="00F93E19" w:rsidRPr="00F93E19" w14:paraId="6203A09C" w14:textId="77777777" w:rsidTr="00F93E19">
        <w:trPr>
          <w:trHeight w:val="144"/>
        </w:trPr>
        <w:tc>
          <w:tcPr>
            <w:tcW w:w="9360" w:type="dxa"/>
            <w:tcBorders>
              <w:top w:val="nil"/>
              <w:left w:val="nil"/>
              <w:bottom w:val="nil"/>
              <w:right w:val="nil"/>
            </w:tcBorders>
            <w:shd w:val="clear" w:color="auto" w:fill="auto"/>
            <w:noWrap/>
            <w:vAlign w:val="bottom"/>
            <w:hideMark/>
          </w:tcPr>
          <w:p w14:paraId="1AE1C30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(2008) A 24-month double-blind, randomized, multicenter, </w:t>
            </w:r>
            <w:proofErr w:type="spellStart"/>
            <w:r w:rsidRPr="00A14942">
              <w:rPr>
                <w:rFonts w:ascii="Times New Roman" w:eastAsia="Times New Roman" w:hAnsi="Times New Roman" w:cs="Times New Roman"/>
                <w:color w:val="000000"/>
                <w:szCs w:val="22"/>
              </w:rPr>
              <w:t>placebocontrolled</w:t>
            </w:r>
            <w:proofErr w:type="spellEnd"/>
            <w:r w:rsidRPr="00A14942">
              <w:rPr>
                <w:rFonts w:ascii="Times New Roman" w:eastAsia="Times New Roman" w:hAnsi="Times New Roman" w:cs="Times New Roman"/>
                <w:color w:val="000000"/>
                <w:szCs w:val="22"/>
              </w:rPr>
              <w:t xml:space="preserve">, parallel-group study comparing the efficacy and safety of 0.5 mg and 1.25 mg fingolimod (FTY720) administered orally once daily versus placebo in patients with relapsing-remitting multiple sclerosis. - N/A. http://wwwwhoint/trialsearch/Trial2aspx?TrialID=EUCTR2008 </w:t>
            </w:r>
          </w:p>
        </w:tc>
      </w:tr>
      <w:tr w:rsidR="00F93E19" w:rsidRPr="00F93E19" w14:paraId="5A14C2CE" w14:textId="77777777" w:rsidTr="00F93E19">
        <w:trPr>
          <w:trHeight w:val="144"/>
        </w:trPr>
        <w:tc>
          <w:tcPr>
            <w:tcW w:w="9360" w:type="dxa"/>
            <w:tcBorders>
              <w:top w:val="nil"/>
              <w:left w:val="nil"/>
              <w:bottom w:val="nil"/>
              <w:right w:val="nil"/>
            </w:tcBorders>
            <w:shd w:val="clear" w:color="auto" w:fill="auto"/>
            <w:noWrap/>
            <w:vAlign w:val="bottom"/>
            <w:hideMark/>
          </w:tcPr>
          <w:p w14:paraId="40355BE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(2008) Multicenter, randomized, double-blind, placebo-controlled, parallel-group, dose finding study to evaluate the efficacy, safety, and tolerability of three doses of ACT-128800, an oral S1P1 receptor agonist, administered for twenty-four weeks in patients with relapsing-remitting multiple sclerosis. http://wwwwhoint/trialsearch/Trial2aspx?TrialID=EUCTR2008 </w:t>
            </w:r>
          </w:p>
        </w:tc>
      </w:tr>
      <w:tr w:rsidR="00F93E19" w:rsidRPr="00F93E19" w14:paraId="42914C03" w14:textId="77777777" w:rsidTr="00F93E19">
        <w:trPr>
          <w:trHeight w:val="144"/>
        </w:trPr>
        <w:tc>
          <w:tcPr>
            <w:tcW w:w="9360" w:type="dxa"/>
            <w:tcBorders>
              <w:top w:val="nil"/>
              <w:left w:val="nil"/>
              <w:bottom w:val="nil"/>
              <w:right w:val="nil"/>
            </w:tcBorders>
            <w:shd w:val="clear" w:color="auto" w:fill="auto"/>
            <w:noWrap/>
            <w:vAlign w:val="bottom"/>
            <w:hideMark/>
          </w:tcPr>
          <w:p w14:paraId="698230A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(2010) A Study of Ocrelizumab in Comparison With Interferon Beta-1a in Patients With Relapsing Multiple Sclerosis. http://wwwwhoint/trialsearch/Trial2aspx?TrialID=EUCTR2010 </w:t>
            </w:r>
          </w:p>
        </w:tc>
      </w:tr>
      <w:tr w:rsidR="00F93E19" w:rsidRPr="00F93E19" w14:paraId="24D9EB82" w14:textId="77777777" w:rsidTr="00F93E19">
        <w:trPr>
          <w:trHeight w:val="144"/>
        </w:trPr>
        <w:tc>
          <w:tcPr>
            <w:tcW w:w="9360" w:type="dxa"/>
            <w:tcBorders>
              <w:top w:val="nil"/>
              <w:left w:val="nil"/>
              <w:bottom w:val="nil"/>
              <w:right w:val="nil"/>
            </w:tcBorders>
            <w:shd w:val="clear" w:color="auto" w:fill="auto"/>
            <w:noWrap/>
            <w:vAlign w:val="bottom"/>
            <w:hideMark/>
          </w:tcPr>
          <w:p w14:paraId="5B1DE4A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(2012) International clinical trial to compare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and teriflunomide in relapsing multiple sclerosis. http://wwwwhoint/trialsearch/Trial2aspx?TrialID=EUCTR2012 </w:t>
            </w:r>
          </w:p>
        </w:tc>
      </w:tr>
      <w:tr w:rsidR="00F93E19" w:rsidRPr="00F93E19" w14:paraId="63E8DCB0" w14:textId="77777777" w:rsidTr="00F93E19">
        <w:trPr>
          <w:trHeight w:val="144"/>
        </w:trPr>
        <w:tc>
          <w:tcPr>
            <w:tcW w:w="9360" w:type="dxa"/>
            <w:tcBorders>
              <w:top w:val="nil"/>
              <w:left w:val="nil"/>
              <w:bottom w:val="nil"/>
              <w:right w:val="nil"/>
            </w:tcBorders>
            <w:shd w:val="clear" w:color="auto" w:fill="auto"/>
            <w:noWrap/>
            <w:vAlign w:val="bottom"/>
            <w:hideMark/>
          </w:tcPr>
          <w:p w14:paraId="572C91F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EUCTR (Web Page) A Randomized, Double-Blind, Double-Dummy, Parallel-Group Study To Evaluate The Efficacy And Safety Of Ocrelizumab In Comparison To Interferon Beta-1a (</w:t>
            </w:r>
            <w:proofErr w:type="spellStart"/>
            <w:r w:rsidRPr="00A14942">
              <w:rPr>
                <w:rFonts w:ascii="Times New Roman" w:eastAsia="Times New Roman" w:hAnsi="Times New Roman" w:cs="Times New Roman"/>
                <w:color w:val="000000"/>
                <w:szCs w:val="22"/>
              </w:rPr>
              <w:t>RebifÂ</w:t>
            </w:r>
            <w:proofErr w:type="spellEnd"/>
            <w:r w:rsidRPr="00A14942">
              <w:rPr>
                <w:rFonts w:ascii="Times New Roman" w:eastAsia="Times New Roman" w:hAnsi="Times New Roman" w:cs="Times New Roman"/>
                <w:color w:val="000000"/>
                <w:szCs w:val="22"/>
              </w:rPr>
              <w:t>®) In Patients With Relapsing Multiple Sc…. Updated December 17, 2020. Available online at: https://www.clinicaltrialsregister.eu/ctr-search/trial/2010-020337-99/results. Accessed: 01/19/2022.</w:t>
            </w:r>
          </w:p>
        </w:tc>
      </w:tr>
      <w:tr w:rsidR="00F93E19" w:rsidRPr="00F93E19" w14:paraId="501A7BAC" w14:textId="77777777" w:rsidTr="00F93E19">
        <w:trPr>
          <w:trHeight w:val="144"/>
        </w:trPr>
        <w:tc>
          <w:tcPr>
            <w:tcW w:w="9360" w:type="dxa"/>
            <w:tcBorders>
              <w:top w:val="nil"/>
              <w:left w:val="nil"/>
              <w:bottom w:val="nil"/>
              <w:right w:val="nil"/>
            </w:tcBorders>
            <w:shd w:val="clear" w:color="auto" w:fill="auto"/>
            <w:noWrap/>
            <w:vAlign w:val="bottom"/>
            <w:hideMark/>
          </w:tcPr>
          <w:p w14:paraId="776746F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EUCTR (Web Page) A multinational, multicenter, randomized, parallel-group study performed in subjects with Relapsing-Remitting Multiple Sclerosis (RRMS) to assess the efficacy, </w:t>
            </w:r>
            <w:proofErr w:type="gramStart"/>
            <w:r w:rsidRPr="00A14942">
              <w:rPr>
                <w:rFonts w:ascii="Times New Roman" w:eastAsia="Times New Roman" w:hAnsi="Times New Roman" w:cs="Times New Roman"/>
                <w:color w:val="000000"/>
                <w:szCs w:val="22"/>
              </w:rPr>
              <w:t>safety</w:t>
            </w:r>
            <w:proofErr w:type="gramEnd"/>
            <w:r w:rsidRPr="00A14942">
              <w:rPr>
                <w:rFonts w:ascii="Times New Roman" w:eastAsia="Times New Roman" w:hAnsi="Times New Roman" w:cs="Times New Roman"/>
                <w:color w:val="000000"/>
                <w:szCs w:val="22"/>
              </w:rPr>
              <w:t xml:space="preserve"> and tolerability of Glatiramer…. Updated December 9, 2021. Available online at: https://www.clinicaltrialsregister.eu/ctr-search/trial/2009-018084-27/results. Accessed: 01/19/2022.</w:t>
            </w:r>
          </w:p>
        </w:tc>
      </w:tr>
      <w:tr w:rsidR="00F93E19" w:rsidRPr="00F93E19" w14:paraId="6CCB1A2E" w14:textId="77777777" w:rsidTr="00F93E19">
        <w:trPr>
          <w:trHeight w:val="144"/>
        </w:trPr>
        <w:tc>
          <w:tcPr>
            <w:tcW w:w="9360" w:type="dxa"/>
            <w:tcBorders>
              <w:top w:val="nil"/>
              <w:left w:val="nil"/>
              <w:bottom w:val="nil"/>
              <w:right w:val="nil"/>
            </w:tcBorders>
            <w:shd w:val="clear" w:color="auto" w:fill="auto"/>
            <w:noWrap/>
            <w:vAlign w:val="bottom"/>
            <w:hideMark/>
          </w:tcPr>
          <w:p w14:paraId="23075EC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EUCTR (Web Page) A PHASE 2/3, MULTI-CENTER, RANDOMIZED, DOUBLE-BLIND, PLACEBO CONTROLLED (PART A) AND DOUBLE-BLIND, DOUBLE-DUMMY, ACTIVE CONTROLLED (PART B), PARALLEL GROUP STUDY TO EVALUATE THE EFFICACY AND SAFETY…. Updated February 11, 2021. Available online at: https://www.clinicaltrialsregister.eu/ctr-search/trial/2012-002714-40/results. Accessed: 01/19/2022.</w:t>
            </w:r>
          </w:p>
        </w:tc>
      </w:tr>
      <w:tr w:rsidR="00F93E19" w:rsidRPr="00F93E19" w14:paraId="281C2A11" w14:textId="77777777" w:rsidTr="00F93E19">
        <w:trPr>
          <w:trHeight w:val="144"/>
        </w:trPr>
        <w:tc>
          <w:tcPr>
            <w:tcW w:w="9360" w:type="dxa"/>
            <w:tcBorders>
              <w:top w:val="nil"/>
              <w:left w:val="nil"/>
              <w:bottom w:val="nil"/>
              <w:right w:val="nil"/>
            </w:tcBorders>
            <w:shd w:val="clear" w:color="auto" w:fill="auto"/>
            <w:noWrap/>
            <w:vAlign w:val="bottom"/>
            <w:hideMark/>
          </w:tcPr>
          <w:p w14:paraId="46B8518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EUCTR (Web Page) A Phase 3, multi-center, randomized, Double-Blind, double-dummy, active controlled, parallel group study to evaluate the efficacy and safety of RPC1063 administered orally to relapsing multiple </w:t>
            </w:r>
            <w:proofErr w:type="spellStart"/>
            <w:r w:rsidRPr="00A14942">
              <w:rPr>
                <w:rFonts w:ascii="Times New Roman" w:eastAsia="Times New Roman" w:hAnsi="Times New Roman" w:cs="Times New Roman"/>
                <w:color w:val="000000"/>
                <w:szCs w:val="22"/>
              </w:rPr>
              <w:t>scl</w:t>
            </w:r>
            <w:proofErr w:type="spellEnd"/>
            <w:r w:rsidRPr="00A14942">
              <w:rPr>
                <w:rFonts w:ascii="Times New Roman" w:eastAsia="Times New Roman" w:hAnsi="Times New Roman" w:cs="Times New Roman"/>
                <w:color w:val="000000"/>
                <w:szCs w:val="22"/>
              </w:rPr>
              <w:t>…. Updated November 25, 2020. Available online at: https://www.clinicaltrialsregister.eu/ctr-search/trial/2014-002320-27/results. Accessed: 01/19/2022.</w:t>
            </w:r>
          </w:p>
        </w:tc>
      </w:tr>
      <w:tr w:rsidR="00F93E19" w:rsidRPr="00F93E19" w14:paraId="575B9976" w14:textId="77777777" w:rsidTr="00F93E19">
        <w:trPr>
          <w:trHeight w:val="144"/>
        </w:trPr>
        <w:tc>
          <w:tcPr>
            <w:tcW w:w="9360" w:type="dxa"/>
            <w:tcBorders>
              <w:top w:val="nil"/>
              <w:left w:val="nil"/>
              <w:bottom w:val="nil"/>
              <w:right w:val="nil"/>
            </w:tcBorders>
            <w:shd w:val="clear" w:color="auto" w:fill="auto"/>
            <w:noWrap/>
            <w:vAlign w:val="bottom"/>
            <w:hideMark/>
          </w:tcPr>
          <w:p w14:paraId="5B86A45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EUCTR (Web Page) A randomized, double-blind, double-dummy, parallel-group study comparing the efficacy and safety of ofatumumab versus teriflunomide in patients with relapsing multiple sclerosis. Updated October 1, 2021. Available online at: https://www.clinicaltrialsregister.eu/ctr-search/trial/2015-005418-31/results. Accessed: 01/19/2022.</w:t>
            </w:r>
          </w:p>
        </w:tc>
      </w:tr>
      <w:tr w:rsidR="00F93E19" w:rsidRPr="00F93E19" w14:paraId="5CC249BE" w14:textId="77777777" w:rsidTr="00F93E19">
        <w:trPr>
          <w:trHeight w:val="144"/>
        </w:trPr>
        <w:tc>
          <w:tcPr>
            <w:tcW w:w="9360" w:type="dxa"/>
            <w:tcBorders>
              <w:top w:val="nil"/>
              <w:left w:val="nil"/>
              <w:bottom w:val="nil"/>
              <w:right w:val="nil"/>
            </w:tcBorders>
            <w:shd w:val="clear" w:color="auto" w:fill="auto"/>
            <w:noWrap/>
            <w:vAlign w:val="bottom"/>
            <w:hideMark/>
          </w:tcPr>
          <w:p w14:paraId="701B275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EUCTR (Web Page) A randomized, double-blind, double-dummy, parallel-group study comparing the efficacy and safety of ofatumumab versus teriflunomide in patients with relapsing multiple sclerosis. Updated November 22, 2021. Available online at: https://www.clinicaltrialsregister.eu/ctr-search/trial/2015-005419-33/results. Accessed: 01/19/2022.</w:t>
            </w:r>
          </w:p>
        </w:tc>
      </w:tr>
      <w:tr w:rsidR="00F93E19" w:rsidRPr="00F93E19" w14:paraId="57908229" w14:textId="77777777" w:rsidTr="00F93E19">
        <w:trPr>
          <w:trHeight w:val="144"/>
        </w:trPr>
        <w:tc>
          <w:tcPr>
            <w:tcW w:w="9360" w:type="dxa"/>
            <w:tcBorders>
              <w:top w:val="nil"/>
              <w:left w:val="nil"/>
              <w:bottom w:val="nil"/>
              <w:right w:val="nil"/>
            </w:tcBorders>
            <w:shd w:val="clear" w:color="auto" w:fill="auto"/>
            <w:noWrap/>
            <w:vAlign w:val="bottom"/>
            <w:hideMark/>
          </w:tcPr>
          <w:p w14:paraId="2493DCF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European Medicines Agency (2011). GILENYA (fingolimod). Available online at: https://www.ema.europa.eu/en/medicines/human/EPAR/gilenya. Accessed: </w:t>
            </w:r>
          </w:p>
        </w:tc>
      </w:tr>
      <w:tr w:rsidR="00F93E19" w:rsidRPr="00F93E19" w14:paraId="352168B5" w14:textId="77777777" w:rsidTr="00F93E19">
        <w:trPr>
          <w:trHeight w:val="144"/>
        </w:trPr>
        <w:tc>
          <w:tcPr>
            <w:tcW w:w="9360" w:type="dxa"/>
            <w:tcBorders>
              <w:top w:val="nil"/>
              <w:left w:val="nil"/>
              <w:bottom w:val="nil"/>
              <w:right w:val="nil"/>
            </w:tcBorders>
            <w:shd w:val="clear" w:color="auto" w:fill="auto"/>
            <w:noWrap/>
            <w:vAlign w:val="bottom"/>
            <w:hideMark/>
          </w:tcPr>
          <w:p w14:paraId="5DDE52F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European</w:t>
            </w:r>
            <w:proofErr w:type="spellEnd"/>
            <w:r w:rsidRPr="00713F1E">
              <w:rPr>
                <w:rFonts w:ascii="Times New Roman" w:eastAsia="Times New Roman" w:hAnsi="Times New Roman" w:cs="Times New Roman"/>
                <w:color w:val="000000"/>
                <w:szCs w:val="22"/>
                <w:lang w:val="es-ES"/>
              </w:rPr>
              <w:t xml:space="preserve"> Medicines Agency (2013). LEMTRADA (</w:t>
            </w:r>
            <w:proofErr w:type="spellStart"/>
            <w:r w:rsidRPr="00713F1E">
              <w:rPr>
                <w:rFonts w:ascii="Times New Roman" w:eastAsia="Times New Roman" w:hAnsi="Times New Roman" w:cs="Times New Roman"/>
                <w:color w:val="000000"/>
                <w:szCs w:val="22"/>
                <w:lang w:val="es-ES"/>
              </w:rPr>
              <w:t>alemtuzumab</w:t>
            </w:r>
            <w:proofErr w:type="spellEnd"/>
            <w:r w:rsidRPr="00713F1E">
              <w:rPr>
                <w:rFonts w:ascii="Times New Roman" w:eastAsia="Times New Roman" w:hAnsi="Times New Roman" w:cs="Times New Roman"/>
                <w:color w:val="000000"/>
                <w:szCs w:val="22"/>
                <w:lang w:val="es-ES"/>
              </w:rPr>
              <w:t xml:space="preserve">). </w:t>
            </w:r>
            <w:r w:rsidRPr="00A14942">
              <w:rPr>
                <w:rFonts w:ascii="Times New Roman" w:eastAsia="Times New Roman" w:hAnsi="Times New Roman" w:cs="Times New Roman"/>
                <w:color w:val="000000"/>
                <w:szCs w:val="22"/>
              </w:rPr>
              <w:t xml:space="preserve">Available online at: https://www.ema.europa.eu/en/medicines/human/EPAR/lemtrada. Accessed: </w:t>
            </w:r>
          </w:p>
        </w:tc>
      </w:tr>
      <w:tr w:rsidR="00F93E19" w:rsidRPr="00F93E19" w14:paraId="5D20DE3D" w14:textId="77777777" w:rsidTr="00F93E19">
        <w:trPr>
          <w:trHeight w:val="144"/>
        </w:trPr>
        <w:tc>
          <w:tcPr>
            <w:tcW w:w="9360" w:type="dxa"/>
            <w:tcBorders>
              <w:top w:val="nil"/>
              <w:left w:val="nil"/>
              <w:bottom w:val="nil"/>
              <w:right w:val="nil"/>
            </w:tcBorders>
            <w:shd w:val="clear" w:color="auto" w:fill="auto"/>
            <w:noWrap/>
            <w:vAlign w:val="bottom"/>
            <w:hideMark/>
          </w:tcPr>
          <w:p w14:paraId="5DBAAA3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European</w:t>
            </w:r>
            <w:proofErr w:type="spellEnd"/>
            <w:r w:rsidRPr="00713F1E">
              <w:rPr>
                <w:rFonts w:ascii="Times New Roman" w:eastAsia="Times New Roman" w:hAnsi="Times New Roman" w:cs="Times New Roman"/>
                <w:color w:val="000000"/>
                <w:szCs w:val="22"/>
                <w:lang w:val="es-ES"/>
              </w:rPr>
              <w:t xml:space="preserve"> Medicines Agency (2017). MAVENCLAD (</w:t>
            </w:r>
            <w:proofErr w:type="spellStart"/>
            <w:r w:rsidRPr="00713F1E">
              <w:rPr>
                <w:rFonts w:ascii="Times New Roman" w:eastAsia="Times New Roman" w:hAnsi="Times New Roman" w:cs="Times New Roman"/>
                <w:color w:val="000000"/>
                <w:szCs w:val="22"/>
                <w:lang w:val="es-ES"/>
              </w:rPr>
              <w:t>cladribine</w:t>
            </w:r>
            <w:proofErr w:type="spellEnd"/>
            <w:r w:rsidRPr="00713F1E">
              <w:rPr>
                <w:rFonts w:ascii="Times New Roman" w:eastAsia="Times New Roman" w:hAnsi="Times New Roman" w:cs="Times New Roman"/>
                <w:color w:val="000000"/>
                <w:szCs w:val="22"/>
                <w:lang w:val="es-ES"/>
              </w:rPr>
              <w:t xml:space="preserve">). </w:t>
            </w:r>
            <w:r w:rsidRPr="00A14942">
              <w:rPr>
                <w:rFonts w:ascii="Times New Roman" w:eastAsia="Times New Roman" w:hAnsi="Times New Roman" w:cs="Times New Roman"/>
                <w:color w:val="000000"/>
                <w:szCs w:val="22"/>
              </w:rPr>
              <w:t xml:space="preserve">Available online at: https://www.ema.europa.eu/en/medicines/human/EPAR/mavenclad. Accessed: </w:t>
            </w:r>
          </w:p>
        </w:tc>
      </w:tr>
      <w:tr w:rsidR="00F93E19" w:rsidRPr="00F93E19" w14:paraId="3D58044E" w14:textId="77777777" w:rsidTr="00F93E19">
        <w:trPr>
          <w:trHeight w:val="144"/>
        </w:trPr>
        <w:tc>
          <w:tcPr>
            <w:tcW w:w="9360" w:type="dxa"/>
            <w:tcBorders>
              <w:top w:val="nil"/>
              <w:left w:val="nil"/>
              <w:bottom w:val="nil"/>
              <w:right w:val="nil"/>
            </w:tcBorders>
            <w:shd w:val="clear" w:color="auto" w:fill="auto"/>
            <w:noWrap/>
            <w:vAlign w:val="bottom"/>
            <w:hideMark/>
          </w:tcPr>
          <w:p w14:paraId="50FAB75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European</w:t>
            </w:r>
            <w:proofErr w:type="spellEnd"/>
            <w:r w:rsidRPr="00713F1E">
              <w:rPr>
                <w:rFonts w:ascii="Times New Roman" w:eastAsia="Times New Roman" w:hAnsi="Times New Roman" w:cs="Times New Roman"/>
                <w:color w:val="000000"/>
                <w:szCs w:val="22"/>
                <w:lang w:val="es-ES"/>
              </w:rPr>
              <w:t xml:space="preserve"> Medicines Agency (2018). OCREVUS (</w:t>
            </w:r>
            <w:proofErr w:type="spellStart"/>
            <w:r w:rsidRPr="00713F1E">
              <w:rPr>
                <w:rFonts w:ascii="Times New Roman" w:eastAsia="Times New Roman" w:hAnsi="Times New Roman" w:cs="Times New Roman"/>
                <w:color w:val="000000"/>
                <w:szCs w:val="22"/>
                <w:lang w:val="es-ES"/>
              </w:rPr>
              <w:t>ocrelizumab</w:t>
            </w:r>
            <w:proofErr w:type="spellEnd"/>
            <w:r w:rsidRPr="00713F1E">
              <w:rPr>
                <w:rFonts w:ascii="Times New Roman" w:eastAsia="Times New Roman" w:hAnsi="Times New Roman" w:cs="Times New Roman"/>
                <w:color w:val="000000"/>
                <w:szCs w:val="22"/>
                <w:lang w:val="es-ES"/>
              </w:rPr>
              <w:t xml:space="preserve">). </w:t>
            </w:r>
            <w:r w:rsidRPr="00A14942">
              <w:rPr>
                <w:rFonts w:ascii="Times New Roman" w:eastAsia="Times New Roman" w:hAnsi="Times New Roman" w:cs="Times New Roman"/>
                <w:color w:val="000000"/>
                <w:szCs w:val="22"/>
              </w:rPr>
              <w:t xml:space="preserve">Available online at: https://www.ema.europa.eu/en/medicines/human/EPAR/ocrevus. Accessed: </w:t>
            </w:r>
          </w:p>
        </w:tc>
      </w:tr>
      <w:tr w:rsidR="00F93E19" w:rsidRPr="00F93E19" w14:paraId="3A1B43EA" w14:textId="77777777" w:rsidTr="00F93E19">
        <w:trPr>
          <w:trHeight w:val="144"/>
        </w:trPr>
        <w:tc>
          <w:tcPr>
            <w:tcW w:w="9360" w:type="dxa"/>
            <w:tcBorders>
              <w:top w:val="nil"/>
              <w:left w:val="nil"/>
              <w:bottom w:val="nil"/>
              <w:right w:val="nil"/>
            </w:tcBorders>
            <w:shd w:val="clear" w:color="auto" w:fill="auto"/>
            <w:noWrap/>
            <w:vAlign w:val="bottom"/>
            <w:hideMark/>
          </w:tcPr>
          <w:p w14:paraId="74AA08A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European Medicines Agency (2019). MAYZENT (</w:t>
            </w:r>
            <w:proofErr w:type="spellStart"/>
            <w:r w:rsidRPr="00A14942">
              <w:rPr>
                <w:rFonts w:ascii="Times New Roman" w:eastAsia="Times New Roman" w:hAnsi="Times New Roman" w:cs="Times New Roman"/>
                <w:color w:val="000000"/>
                <w:szCs w:val="22"/>
              </w:rPr>
              <w:t>siponimod</w:t>
            </w:r>
            <w:proofErr w:type="spellEnd"/>
            <w:r w:rsidRPr="00A14942">
              <w:rPr>
                <w:rFonts w:ascii="Times New Roman" w:eastAsia="Times New Roman" w:hAnsi="Times New Roman" w:cs="Times New Roman"/>
                <w:color w:val="000000"/>
                <w:szCs w:val="22"/>
              </w:rPr>
              <w:t xml:space="preserve">). Available online at: https://www.ema.europa.eu/en/medicines/human/EPAR/mayzent. Accessed: </w:t>
            </w:r>
          </w:p>
        </w:tc>
      </w:tr>
      <w:tr w:rsidR="00F93E19" w:rsidRPr="00F93E19" w14:paraId="54EAF69B" w14:textId="77777777" w:rsidTr="00F93E19">
        <w:trPr>
          <w:trHeight w:val="144"/>
        </w:trPr>
        <w:tc>
          <w:tcPr>
            <w:tcW w:w="9360" w:type="dxa"/>
            <w:tcBorders>
              <w:top w:val="nil"/>
              <w:left w:val="nil"/>
              <w:bottom w:val="nil"/>
              <w:right w:val="nil"/>
            </w:tcBorders>
            <w:shd w:val="clear" w:color="auto" w:fill="auto"/>
            <w:noWrap/>
            <w:vAlign w:val="bottom"/>
            <w:hideMark/>
          </w:tcPr>
          <w:p w14:paraId="4309400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European</w:t>
            </w:r>
            <w:proofErr w:type="spellEnd"/>
            <w:r w:rsidRPr="00713F1E">
              <w:rPr>
                <w:rFonts w:ascii="Times New Roman" w:eastAsia="Times New Roman" w:hAnsi="Times New Roman" w:cs="Times New Roman"/>
                <w:color w:val="000000"/>
                <w:szCs w:val="22"/>
                <w:lang w:val="es-ES"/>
              </w:rPr>
              <w:t xml:space="preserve"> Medicines Agency (2020). ZEPOSIA (</w:t>
            </w:r>
            <w:proofErr w:type="spellStart"/>
            <w:r w:rsidRPr="00713F1E">
              <w:rPr>
                <w:rFonts w:ascii="Times New Roman" w:eastAsia="Times New Roman" w:hAnsi="Times New Roman" w:cs="Times New Roman"/>
                <w:color w:val="000000"/>
                <w:szCs w:val="22"/>
                <w:lang w:val="es-ES"/>
              </w:rPr>
              <w:t>ozanimod</w:t>
            </w:r>
            <w:proofErr w:type="spellEnd"/>
            <w:r w:rsidRPr="00713F1E">
              <w:rPr>
                <w:rFonts w:ascii="Times New Roman" w:eastAsia="Times New Roman" w:hAnsi="Times New Roman" w:cs="Times New Roman"/>
                <w:color w:val="000000"/>
                <w:szCs w:val="22"/>
                <w:lang w:val="es-ES"/>
              </w:rPr>
              <w:t xml:space="preserve">). </w:t>
            </w:r>
            <w:r w:rsidRPr="00A14942">
              <w:rPr>
                <w:rFonts w:ascii="Times New Roman" w:eastAsia="Times New Roman" w:hAnsi="Times New Roman" w:cs="Times New Roman"/>
                <w:color w:val="000000"/>
                <w:szCs w:val="22"/>
              </w:rPr>
              <w:t xml:space="preserve">Available online at: https://www.ema.europa.eu/en/medicines/human/EPAR/zeposia. Accessed: </w:t>
            </w:r>
          </w:p>
        </w:tc>
      </w:tr>
      <w:tr w:rsidR="00F93E19" w:rsidRPr="00F93E19" w14:paraId="038087FA" w14:textId="77777777" w:rsidTr="00F93E19">
        <w:trPr>
          <w:trHeight w:val="144"/>
        </w:trPr>
        <w:tc>
          <w:tcPr>
            <w:tcW w:w="9360" w:type="dxa"/>
            <w:tcBorders>
              <w:top w:val="nil"/>
              <w:left w:val="nil"/>
              <w:bottom w:val="nil"/>
              <w:right w:val="nil"/>
            </w:tcBorders>
            <w:shd w:val="clear" w:color="auto" w:fill="auto"/>
            <w:noWrap/>
            <w:vAlign w:val="bottom"/>
            <w:hideMark/>
          </w:tcPr>
          <w:p w14:paraId="550387E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Fisher E, Nakamura K, Lee JC, You X, Sperling B et al. (2016) Effect of intramuscular interferon beta-1a on gray matter atrophy in relapsing-remitting multiple sclerosis: A retrospective analysis. Multiple Sclerosis Journal 22 (5): 668-676.</w:t>
            </w:r>
          </w:p>
        </w:tc>
      </w:tr>
      <w:tr w:rsidR="00F93E19" w:rsidRPr="00F93E19" w14:paraId="4A310125" w14:textId="77777777" w:rsidTr="00F93E19">
        <w:trPr>
          <w:trHeight w:val="144"/>
        </w:trPr>
        <w:tc>
          <w:tcPr>
            <w:tcW w:w="9360" w:type="dxa"/>
            <w:tcBorders>
              <w:top w:val="nil"/>
              <w:left w:val="nil"/>
              <w:bottom w:val="nil"/>
              <w:right w:val="nil"/>
            </w:tcBorders>
            <w:shd w:val="clear" w:color="auto" w:fill="auto"/>
            <w:noWrap/>
            <w:vAlign w:val="bottom"/>
            <w:hideMark/>
          </w:tcPr>
          <w:p w14:paraId="74ED2F0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Fox R, </w:t>
            </w:r>
            <w:proofErr w:type="spellStart"/>
            <w:r w:rsidRPr="00A14942">
              <w:rPr>
                <w:rFonts w:ascii="Times New Roman" w:eastAsia="Times New Roman" w:hAnsi="Times New Roman" w:cs="Times New Roman"/>
                <w:color w:val="000000"/>
                <w:szCs w:val="22"/>
              </w:rPr>
              <w:t>Burcklen</w:t>
            </w:r>
            <w:proofErr w:type="spellEnd"/>
            <w:r w:rsidRPr="00A14942">
              <w:rPr>
                <w:rFonts w:ascii="Times New Roman" w:eastAsia="Times New Roman" w:hAnsi="Times New Roman" w:cs="Times New Roman"/>
                <w:color w:val="000000"/>
                <w:szCs w:val="22"/>
              </w:rPr>
              <w:t xml:space="preserve"> M, Freedman MS,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EK, Hennessy B et al. (2020)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Versus Teriflunomide in Relapsing Multiple Sclerosis: Efficacy Results from the OPTIMUM Phase 3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Double-Blind Superiority Study. European journal of neurology 27 338-338.</w:t>
            </w:r>
          </w:p>
        </w:tc>
      </w:tr>
      <w:tr w:rsidR="00F93E19" w:rsidRPr="00F93E19" w14:paraId="591214CB" w14:textId="77777777" w:rsidTr="00F93E19">
        <w:trPr>
          <w:trHeight w:val="144"/>
        </w:trPr>
        <w:tc>
          <w:tcPr>
            <w:tcW w:w="9360" w:type="dxa"/>
            <w:tcBorders>
              <w:top w:val="nil"/>
              <w:left w:val="nil"/>
              <w:bottom w:val="nil"/>
              <w:right w:val="nil"/>
            </w:tcBorders>
            <w:shd w:val="clear" w:color="auto" w:fill="auto"/>
            <w:noWrap/>
            <w:vAlign w:val="bottom"/>
            <w:hideMark/>
          </w:tcPr>
          <w:p w14:paraId="5505C2E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Fox R, Kappos L, </w:t>
            </w:r>
            <w:proofErr w:type="spellStart"/>
            <w:r w:rsidRPr="00A14942">
              <w:rPr>
                <w:rFonts w:ascii="Times New Roman" w:eastAsia="Times New Roman" w:hAnsi="Times New Roman" w:cs="Times New Roman"/>
                <w:color w:val="000000"/>
                <w:szCs w:val="22"/>
              </w:rPr>
              <w:t>Burcklen</w:t>
            </w:r>
            <w:proofErr w:type="spellEnd"/>
            <w:r w:rsidRPr="00A14942">
              <w:rPr>
                <w:rFonts w:ascii="Times New Roman" w:eastAsia="Times New Roman" w:hAnsi="Times New Roman" w:cs="Times New Roman"/>
                <w:color w:val="000000"/>
                <w:szCs w:val="22"/>
              </w:rPr>
              <w:t xml:space="preserve"> M, Freedman C,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 et al. (2020) Efficacy Outcome Measures of Oral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Compared to Teriflunomide in Patients with Relapsing Multiple Sclerosis: Results of the Randomized, Active-Controlled, Double-Blind, Parallel-Group Phase 3 OPTIMUM Study. American Academy of Neurology 94 (15 Supplement): 3972.</w:t>
            </w:r>
          </w:p>
        </w:tc>
      </w:tr>
      <w:tr w:rsidR="00F93E19" w:rsidRPr="00F93E19" w14:paraId="1ACCC8A2" w14:textId="77777777" w:rsidTr="00F93E19">
        <w:trPr>
          <w:trHeight w:val="144"/>
        </w:trPr>
        <w:tc>
          <w:tcPr>
            <w:tcW w:w="9360" w:type="dxa"/>
            <w:tcBorders>
              <w:top w:val="nil"/>
              <w:left w:val="nil"/>
              <w:bottom w:val="nil"/>
              <w:right w:val="nil"/>
            </w:tcBorders>
            <w:shd w:val="clear" w:color="auto" w:fill="auto"/>
            <w:noWrap/>
            <w:vAlign w:val="bottom"/>
            <w:hideMark/>
          </w:tcPr>
          <w:p w14:paraId="25B48E8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Freedman</w:t>
            </w:r>
            <w:proofErr w:type="spellEnd"/>
            <w:r w:rsidRPr="00713F1E">
              <w:rPr>
                <w:rFonts w:ascii="Times New Roman" w:eastAsia="Times New Roman" w:hAnsi="Times New Roman" w:cs="Times New Roman"/>
                <w:color w:val="000000"/>
                <w:szCs w:val="22"/>
                <w:lang w:val="fr-FR"/>
              </w:rPr>
              <w:t xml:space="preserve"> MS, Olsson T, </w:t>
            </w:r>
            <w:proofErr w:type="spellStart"/>
            <w:r w:rsidRPr="00713F1E">
              <w:rPr>
                <w:rFonts w:ascii="Times New Roman" w:eastAsia="Times New Roman" w:hAnsi="Times New Roman" w:cs="Times New Roman"/>
                <w:color w:val="000000"/>
                <w:szCs w:val="22"/>
                <w:lang w:val="fr-FR"/>
              </w:rPr>
              <w:t>Melanson</w:t>
            </w:r>
            <w:proofErr w:type="spellEnd"/>
            <w:r w:rsidRPr="00713F1E">
              <w:rPr>
                <w:rFonts w:ascii="Times New Roman" w:eastAsia="Times New Roman" w:hAnsi="Times New Roman" w:cs="Times New Roman"/>
                <w:color w:val="000000"/>
                <w:szCs w:val="22"/>
                <w:lang w:val="fr-FR"/>
              </w:rPr>
              <w:t xml:space="preserve"> M, Fernandez O, </w:t>
            </w:r>
            <w:proofErr w:type="spellStart"/>
            <w:r w:rsidRPr="00713F1E">
              <w:rPr>
                <w:rFonts w:ascii="Times New Roman" w:eastAsia="Times New Roman" w:hAnsi="Times New Roman" w:cs="Times New Roman"/>
                <w:color w:val="000000"/>
                <w:szCs w:val="22"/>
                <w:lang w:val="fr-FR"/>
              </w:rPr>
              <w:t>Boster</w:t>
            </w:r>
            <w:proofErr w:type="spellEnd"/>
            <w:r w:rsidRPr="00713F1E">
              <w:rPr>
                <w:rFonts w:ascii="Times New Roman" w:eastAsia="Times New Roman" w:hAnsi="Times New Roman" w:cs="Times New Roman"/>
                <w:color w:val="000000"/>
                <w:szCs w:val="22"/>
                <w:lang w:val="fr-FR"/>
              </w:rPr>
              <w:t xml:space="preserve"> A et al. </w:t>
            </w:r>
            <w:r w:rsidRPr="00A14942">
              <w:rPr>
                <w:rFonts w:ascii="Times New Roman" w:eastAsia="Times New Roman" w:hAnsi="Times New Roman" w:cs="Times New Roman"/>
                <w:color w:val="000000"/>
                <w:szCs w:val="22"/>
              </w:rPr>
              <w:t xml:space="preserve">(2012) Dose-dependent effect of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an oral, selective sphingosine 1-phosphate receptor-1 modulator, on magnetic resonance imaging outcomes in patients with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420-421.</w:t>
            </w:r>
          </w:p>
        </w:tc>
      </w:tr>
      <w:tr w:rsidR="00F93E19" w:rsidRPr="00F93E19" w14:paraId="667FC8E9" w14:textId="77777777" w:rsidTr="00F93E19">
        <w:trPr>
          <w:trHeight w:val="144"/>
        </w:trPr>
        <w:tc>
          <w:tcPr>
            <w:tcW w:w="9360" w:type="dxa"/>
            <w:tcBorders>
              <w:top w:val="nil"/>
              <w:left w:val="nil"/>
              <w:bottom w:val="nil"/>
              <w:right w:val="nil"/>
            </w:tcBorders>
            <w:shd w:val="clear" w:color="auto" w:fill="auto"/>
            <w:noWrap/>
            <w:vAlign w:val="bottom"/>
            <w:hideMark/>
          </w:tcPr>
          <w:p w14:paraId="3D399E6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Freedman MS, Sprenger T, Radue EW, Wuerfel J, Miller AE et al. (2016) Teriflunomide is effective in reducing brain volume loss in previously treated patients: A subgroup analysis of </w:t>
            </w:r>
            <w:r w:rsidRPr="00A14942">
              <w:rPr>
                <w:rFonts w:ascii="Times New Roman" w:eastAsia="Times New Roman" w:hAnsi="Times New Roman" w:cs="Times New Roman"/>
                <w:color w:val="000000"/>
                <w:szCs w:val="22"/>
              </w:rPr>
              <w:lastRenderedPageBreak/>
              <w:t>TEMSO SIENA data. Multiple Sclerosis Conference: 32nd Congress of the European Committee for Treatment and Research in Multiple Sclerosis, ECTRIMS 22 362-363.</w:t>
            </w:r>
          </w:p>
        </w:tc>
      </w:tr>
      <w:tr w:rsidR="00F93E19" w:rsidRPr="00F93E19" w14:paraId="1EDABCB3" w14:textId="77777777" w:rsidTr="00F93E19">
        <w:trPr>
          <w:trHeight w:val="144"/>
        </w:trPr>
        <w:tc>
          <w:tcPr>
            <w:tcW w:w="9360" w:type="dxa"/>
            <w:tcBorders>
              <w:top w:val="nil"/>
              <w:left w:val="nil"/>
              <w:bottom w:val="nil"/>
              <w:right w:val="nil"/>
            </w:tcBorders>
            <w:shd w:val="clear" w:color="auto" w:fill="auto"/>
            <w:noWrap/>
            <w:vAlign w:val="bottom"/>
            <w:hideMark/>
          </w:tcPr>
          <w:p w14:paraId="4F4B828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Ge Y, Grossman RI, Udupa JK, Fulton J, Constantinescu CS et al. (2000) Glatiramer acetate (Copaxone) treatment in relapsing-remitting MS: Quantitative MR assessment. Neurology 54 (4): 813-817.</w:t>
            </w:r>
          </w:p>
        </w:tc>
      </w:tr>
      <w:tr w:rsidR="00F93E19" w:rsidRPr="00F93E19" w14:paraId="533F55A2" w14:textId="77777777" w:rsidTr="00F93E19">
        <w:trPr>
          <w:trHeight w:val="144"/>
        </w:trPr>
        <w:tc>
          <w:tcPr>
            <w:tcW w:w="9360" w:type="dxa"/>
            <w:tcBorders>
              <w:top w:val="nil"/>
              <w:left w:val="nil"/>
              <w:bottom w:val="nil"/>
              <w:right w:val="nil"/>
            </w:tcBorders>
            <w:shd w:val="clear" w:color="auto" w:fill="auto"/>
            <w:noWrap/>
            <w:vAlign w:val="bottom"/>
            <w:hideMark/>
          </w:tcPr>
          <w:p w14:paraId="4885E21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Giorgio AB, M.; Gentile, G.; </w:t>
            </w:r>
            <w:proofErr w:type="spellStart"/>
            <w:r w:rsidRPr="00A14942">
              <w:rPr>
                <w:rFonts w:ascii="Times New Roman" w:eastAsia="Times New Roman" w:hAnsi="Times New Roman" w:cs="Times New Roman"/>
                <w:color w:val="000000"/>
                <w:szCs w:val="22"/>
              </w:rPr>
              <w:t>Stromillo</w:t>
            </w:r>
            <w:proofErr w:type="spellEnd"/>
            <w:r w:rsidRPr="00A14942">
              <w:rPr>
                <w:rFonts w:ascii="Times New Roman" w:eastAsia="Times New Roman" w:hAnsi="Times New Roman" w:cs="Times New Roman"/>
                <w:color w:val="000000"/>
                <w:szCs w:val="22"/>
              </w:rPr>
              <w:t xml:space="preserve">, M.L.; Visconti, A.; De Stefano, N. (2018) Rapid reduction of lesion accumulation in specific white matter tracts as assessed by lesion mapping in </w:t>
            </w:r>
            <w:proofErr w:type="spellStart"/>
            <w:r w:rsidRPr="00A14942">
              <w:rPr>
                <w:rFonts w:ascii="Times New Roman" w:eastAsia="Times New Roman" w:hAnsi="Times New Roman" w:cs="Times New Roman"/>
                <w:color w:val="000000"/>
                <w:szCs w:val="22"/>
              </w:rPr>
              <w:t>relapsingremitting</w:t>
            </w:r>
            <w:proofErr w:type="spellEnd"/>
            <w:r w:rsidRPr="00A14942">
              <w:rPr>
                <w:rFonts w:ascii="Times New Roman" w:eastAsia="Times New Roman" w:hAnsi="Times New Roman" w:cs="Times New Roman"/>
                <w:color w:val="000000"/>
                <w:szCs w:val="22"/>
              </w:rPr>
              <w:t xml:space="preserve"> MS patients treated with IFN beta-1a. Multiple Sclerosis Journal 24 (2): 855-.</w:t>
            </w:r>
          </w:p>
        </w:tc>
      </w:tr>
      <w:tr w:rsidR="00F93E19" w:rsidRPr="00F93E19" w14:paraId="07934A4D" w14:textId="77777777" w:rsidTr="00F93E19">
        <w:trPr>
          <w:trHeight w:val="144"/>
        </w:trPr>
        <w:tc>
          <w:tcPr>
            <w:tcW w:w="9360" w:type="dxa"/>
            <w:tcBorders>
              <w:top w:val="nil"/>
              <w:left w:val="nil"/>
              <w:bottom w:val="nil"/>
              <w:right w:val="nil"/>
            </w:tcBorders>
            <w:shd w:val="clear" w:color="auto" w:fill="auto"/>
            <w:noWrap/>
            <w:vAlign w:val="bottom"/>
            <w:hideMark/>
          </w:tcPr>
          <w:p w14:paraId="3FC51A6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Giovannoni G, Comi G, Cook S, Rammohan K, Rieckmann P et al. (2010) A placebo-controlled trial of oral cladribine for relapsing multiple sclerosis. New England Journal of Medicine 362 (5): 416-426.</w:t>
            </w:r>
          </w:p>
        </w:tc>
      </w:tr>
      <w:tr w:rsidR="00F93E19" w:rsidRPr="00F93E19" w14:paraId="6F9AEEF8" w14:textId="77777777" w:rsidTr="00F93E19">
        <w:trPr>
          <w:trHeight w:val="144"/>
        </w:trPr>
        <w:tc>
          <w:tcPr>
            <w:tcW w:w="9360" w:type="dxa"/>
            <w:tcBorders>
              <w:top w:val="nil"/>
              <w:left w:val="nil"/>
              <w:bottom w:val="nil"/>
              <w:right w:val="nil"/>
            </w:tcBorders>
            <w:shd w:val="clear" w:color="auto" w:fill="auto"/>
            <w:noWrap/>
            <w:vAlign w:val="bottom"/>
            <w:hideMark/>
          </w:tcPr>
          <w:p w14:paraId="38960DC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Giovannoni G, Rammohan K, Cook S, Comi G, Rieckmann P et al. (2017) Effects of cladribine tablets on radiological outcomes in high disease activity (HDA) subgroups of patients with relapsing multiple sclerosis (RMS) in the CLARITY study. Multiple Sclerosis Journal 23 (3): 613-614.</w:t>
            </w:r>
          </w:p>
        </w:tc>
      </w:tr>
      <w:tr w:rsidR="00F93E19" w:rsidRPr="00F93E19" w14:paraId="7F1CC111" w14:textId="77777777" w:rsidTr="00F93E19">
        <w:trPr>
          <w:trHeight w:val="144"/>
        </w:trPr>
        <w:tc>
          <w:tcPr>
            <w:tcW w:w="9360" w:type="dxa"/>
            <w:tcBorders>
              <w:top w:val="nil"/>
              <w:left w:val="nil"/>
              <w:bottom w:val="nil"/>
              <w:right w:val="nil"/>
            </w:tcBorders>
            <w:shd w:val="clear" w:color="auto" w:fill="auto"/>
            <w:noWrap/>
            <w:vAlign w:val="bottom"/>
            <w:hideMark/>
          </w:tcPr>
          <w:p w14:paraId="25CE86F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Giovannoni G, Soelberg Sorensen P, Cook S, Rammohan KW, Rieckmann P et al. (2019) Efficacy of Cladribine Tablets in high disease activity subgroups of patients with relapsing multiple sclerosis: A post hoc analysis of the CLARITY study. Multiple Sclerosis Journal 25 (6): 819-827.</w:t>
            </w:r>
          </w:p>
        </w:tc>
      </w:tr>
      <w:tr w:rsidR="00F93E19" w:rsidRPr="00F93E19" w14:paraId="429A4271" w14:textId="77777777" w:rsidTr="00F93E19">
        <w:trPr>
          <w:trHeight w:val="144"/>
        </w:trPr>
        <w:tc>
          <w:tcPr>
            <w:tcW w:w="9360" w:type="dxa"/>
            <w:tcBorders>
              <w:top w:val="nil"/>
              <w:left w:val="nil"/>
              <w:bottom w:val="nil"/>
              <w:right w:val="nil"/>
            </w:tcBorders>
            <w:shd w:val="clear" w:color="auto" w:fill="auto"/>
            <w:noWrap/>
            <w:vAlign w:val="bottom"/>
            <w:hideMark/>
          </w:tcPr>
          <w:p w14:paraId="0D27956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Giovannoni GS, P.S.; Cook, S.; Rammohan, K.W.; Rieckman, P.; Comi, G.; </w:t>
            </w:r>
            <w:proofErr w:type="spellStart"/>
            <w:r w:rsidRPr="00A14942">
              <w:rPr>
                <w:rFonts w:ascii="Times New Roman" w:eastAsia="Times New Roman" w:hAnsi="Times New Roman" w:cs="Times New Roman"/>
                <w:color w:val="000000"/>
                <w:szCs w:val="22"/>
              </w:rPr>
              <w:t>Dangond</w:t>
            </w:r>
            <w:proofErr w:type="spellEnd"/>
            <w:r w:rsidRPr="00A14942">
              <w:rPr>
                <w:rFonts w:ascii="Times New Roman" w:eastAsia="Times New Roman" w:hAnsi="Times New Roman" w:cs="Times New Roman"/>
                <w:color w:val="000000"/>
                <w:szCs w:val="22"/>
              </w:rPr>
              <w:t xml:space="preserve">, F.; </w:t>
            </w:r>
            <w:proofErr w:type="spellStart"/>
            <w:r w:rsidRPr="00A14942">
              <w:rPr>
                <w:rFonts w:ascii="Times New Roman" w:eastAsia="Times New Roman" w:hAnsi="Times New Roman" w:cs="Times New Roman"/>
                <w:color w:val="000000"/>
                <w:szCs w:val="22"/>
              </w:rPr>
              <w:t>Hicking</w:t>
            </w:r>
            <w:proofErr w:type="spellEnd"/>
            <w:r w:rsidRPr="00A14942">
              <w:rPr>
                <w:rFonts w:ascii="Times New Roman" w:eastAsia="Times New Roman" w:hAnsi="Times New Roman" w:cs="Times New Roman"/>
                <w:color w:val="000000"/>
                <w:szCs w:val="22"/>
              </w:rPr>
              <w:t xml:space="preserve">, C.; </w:t>
            </w:r>
            <w:proofErr w:type="spellStart"/>
            <w:r w:rsidRPr="00A14942">
              <w:rPr>
                <w:rFonts w:ascii="Times New Roman" w:eastAsia="Times New Roman" w:hAnsi="Times New Roman" w:cs="Times New Roman"/>
                <w:color w:val="000000"/>
                <w:szCs w:val="22"/>
              </w:rPr>
              <w:t>Vermersch</w:t>
            </w:r>
            <w:proofErr w:type="spellEnd"/>
            <w:r w:rsidRPr="00A14942">
              <w:rPr>
                <w:rFonts w:ascii="Times New Roman" w:eastAsia="Times New Roman" w:hAnsi="Times New Roman" w:cs="Times New Roman"/>
                <w:color w:val="000000"/>
                <w:szCs w:val="22"/>
              </w:rPr>
              <w:t>, P. (2019) Efficacy of Cladribine Tablets in high disease activity subgroups of patients with relapsing multiple sclerosis: a post hoc analysis of the CLARITY study. Multiple Sclerosis Journal 25 (6): 819-827.</w:t>
            </w:r>
          </w:p>
        </w:tc>
      </w:tr>
      <w:tr w:rsidR="00F93E19" w:rsidRPr="00F93E19" w14:paraId="4AA2AC5B" w14:textId="77777777" w:rsidTr="00F93E19">
        <w:trPr>
          <w:trHeight w:val="144"/>
        </w:trPr>
        <w:tc>
          <w:tcPr>
            <w:tcW w:w="9360" w:type="dxa"/>
            <w:tcBorders>
              <w:top w:val="nil"/>
              <w:left w:val="nil"/>
              <w:bottom w:val="nil"/>
              <w:right w:val="nil"/>
            </w:tcBorders>
            <w:shd w:val="clear" w:color="auto" w:fill="auto"/>
            <w:noWrap/>
            <w:vAlign w:val="bottom"/>
            <w:hideMark/>
          </w:tcPr>
          <w:p w14:paraId="32F3B63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Gobbi C, Arnold DL, Bar-Or A, Hartung HP, Hauser SL et al. (2016) Effect of ocrelizumab on MRI inflammatory and neurodegenerative markers of disease in patients with relapsing multiple sclerosis: analysis of the phase III, double-blind, double-dummy, interferon beta-1a-controlled OPERA I and OPERA II Studies. Swiss medical weekly 146 </w:t>
            </w:r>
          </w:p>
        </w:tc>
      </w:tr>
      <w:tr w:rsidR="00F93E19" w:rsidRPr="00F93E19" w14:paraId="69BD37C9" w14:textId="77777777" w:rsidTr="00F93E19">
        <w:trPr>
          <w:trHeight w:val="144"/>
        </w:trPr>
        <w:tc>
          <w:tcPr>
            <w:tcW w:w="9360" w:type="dxa"/>
            <w:tcBorders>
              <w:top w:val="nil"/>
              <w:left w:val="nil"/>
              <w:bottom w:val="nil"/>
              <w:right w:val="nil"/>
            </w:tcBorders>
            <w:shd w:val="clear" w:color="auto" w:fill="auto"/>
            <w:noWrap/>
            <w:vAlign w:val="bottom"/>
            <w:hideMark/>
          </w:tcPr>
          <w:p w14:paraId="5DBAFE5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Haring D, Tomic D, </w:t>
            </w:r>
            <w:proofErr w:type="spellStart"/>
            <w:r w:rsidRPr="00A14942">
              <w:rPr>
                <w:rFonts w:ascii="Times New Roman" w:eastAsia="Times New Roman" w:hAnsi="Times New Roman" w:cs="Times New Roman"/>
                <w:color w:val="000000"/>
                <w:szCs w:val="22"/>
              </w:rPr>
              <w:t>Piani</w:t>
            </w:r>
            <w:proofErr w:type="spellEnd"/>
            <w:r w:rsidRPr="00A14942">
              <w:rPr>
                <w:rFonts w:ascii="Times New Roman" w:eastAsia="Times New Roman" w:hAnsi="Times New Roman" w:cs="Times New Roman"/>
                <w:color w:val="000000"/>
                <w:szCs w:val="22"/>
              </w:rPr>
              <w:t xml:space="preserve"> Meier D, Sfikas N, Chin P et al. (2014) Time to brain atrophy is prolonged in continuously fingolimod-treated MS patients vs placebo or interferon beta 1-a in phase 3 studies of fingolimod.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103-104.</w:t>
            </w:r>
          </w:p>
        </w:tc>
      </w:tr>
      <w:tr w:rsidR="00F93E19" w:rsidRPr="00F93E19" w14:paraId="1B9CA6E6" w14:textId="77777777" w:rsidTr="00F93E19">
        <w:trPr>
          <w:trHeight w:val="144"/>
        </w:trPr>
        <w:tc>
          <w:tcPr>
            <w:tcW w:w="9360" w:type="dxa"/>
            <w:tcBorders>
              <w:top w:val="nil"/>
              <w:left w:val="nil"/>
              <w:bottom w:val="nil"/>
              <w:right w:val="nil"/>
            </w:tcBorders>
            <w:shd w:val="clear" w:color="auto" w:fill="auto"/>
            <w:noWrap/>
            <w:vAlign w:val="bottom"/>
            <w:hideMark/>
          </w:tcPr>
          <w:p w14:paraId="1B11F97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Hauser S, Arnold, D., Bar-Or, A., Comi, G., Hartung, H., Lublin, F.,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Traboulsee, A., </w:t>
            </w:r>
            <w:proofErr w:type="spellStart"/>
            <w:r w:rsidRPr="00A14942">
              <w:rPr>
                <w:rFonts w:ascii="Times New Roman" w:eastAsia="Times New Roman" w:hAnsi="Times New Roman" w:cs="Times New Roman"/>
                <w:color w:val="000000"/>
                <w:szCs w:val="22"/>
              </w:rPr>
              <w:t>Klingeschmitt</w:t>
            </w:r>
            <w:proofErr w:type="spellEnd"/>
            <w:r w:rsidRPr="00A14942">
              <w:rPr>
                <w:rFonts w:ascii="Times New Roman" w:eastAsia="Times New Roman" w:hAnsi="Times New Roman" w:cs="Times New Roman"/>
                <w:color w:val="000000"/>
                <w:szCs w:val="22"/>
              </w:rPr>
              <w:t xml:space="preserve">, G., Masterman, D., Fontoura, P., Chin, P., Garren, H., Kappos, L. (2012) MS Study Evaluating Safety and Efficacy of Two Doses of Fingolimod Versus Copaxone. https://clinicaltrialsgov/show/NCT01633112 </w:t>
            </w:r>
          </w:p>
        </w:tc>
      </w:tr>
      <w:tr w:rsidR="00F93E19" w:rsidRPr="00F93E19" w14:paraId="29BA5E1B" w14:textId="77777777" w:rsidTr="00F93E19">
        <w:trPr>
          <w:trHeight w:val="144"/>
        </w:trPr>
        <w:tc>
          <w:tcPr>
            <w:tcW w:w="9360" w:type="dxa"/>
            <w:tcBorders>
              <w:top w:val="nil"/>
              <w:left w:val="nil"/>
              <w:bottom w:val="nil"/>
              <w:right w:val="nil"/>
            </w:tcBorders>
            <w:shd w:val="clear" w:color="auto" w:fill="auto"/>
            <w:noWrap/>
            <w:vAlign w:val="bottom"/>
            <w:hideMark/>
          </w:tcPr>
          <w:p w14:paraId="63BB766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Hauser SL, Bar-Or A, Cohen JA, Comi G, Correale J et al. (2020) Ofatumumab versus Teriflunomide in Multiple Sclerosis. New England Journal of Medicine 383 (6): 546.</w:t>
            </w:r>
          </w:p>
        </w:tc>
      </w:tr>
      <w:tr w:rsidR="00F93E19" w:rsidRPr="00F93E19" w14:paraId="6D8DE1A8" w14:textId="77777777" w:rsidTr="00F93E19">
        <w:trPr>
          <w:trHeight w:val="144"/>
        </w:trPr>
        <w:tc>
          <w:tcPr>
            <w:tcW w:w="9360" w:type="dxa"/>
            <w:tcBorders>
              <w:top w:val="nil"/>
              <w:left w:val="nil"/>
              <w:bottom w:val="nil"/>
              <w:right w:val="nil"/>
            </w:tcBorders>
            <w:shd w:val="clear" w:color="auto" w:fill="auto"/>
            <w:noWrap/>
            <w:vAlign w:val="bottom"/>
            <w:hideMark/>
          </w:tcPr>
          <w:p w14:paraId="6DB901F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Hauser SL, Bar-Or A, Comi G, Giovannoni G, Hartung HP et al. </w:t>
            </w:r>
            <w:r w:rsidRPr="00A14942">
              <w:rPr>
                <w:rFonts w:ascii="Times New Roman" w:eastAsia="Times New Roman" w:hAnsi="Times New Roman" w:cs="Times New Roman"/>
                <w:color w:val="000000"/>
                <w:szCs w:val="22"/>
              </w:rPr>
              <w:t>(2017) Ocrelizumab versus interferon beta-1a in relapsing multiple sclerosis. New England Journal of Medicine 376 (3): 221-234.</w:t>
            </w:r>
          </w:p>
        </w:tc>
      </w:tr>
      <w:tr w:rsidR="00F93E19" w:rsidRPr="00F93E19" w14:paraId="44449BA2" w14:textId="77777777" w:rsidTr="00F93E19">
        <w:trPr>
          <w:trHeight w:val="144"/>
        </w:trPr>
        <w:tc>
          <w:tcPr>
            <w:tcW w:w="9360" w:type="dxa"/>
            <w:tcBorders>
              <w:top w:val="nil"/>
              <w:left w:val="nil"/>
              <w:bottom w:val="nil"/>
              <w:right w:val="nil"/>
            </w:tcBorders>
            <w:shd w:val="clear" w:color="auto" w:fill="auto"/>
            <w:noWrap/>
            <w:vAlign w:val="bottom"/>
            <w:hideMark/>
          </w:tcPr>
          <w:p w14:paraId="7716E46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Investigators A-B (2013) A multicenter, randomized, double-blind, placebo-controlled, parallel-group, dose-finding study to evaluate the efficacy, safety, and tolerability of three doses of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(ACT-128800), an oral S1P1 receptor agonist, administered for twenty-four weeks in patients with relapsing-remitting multiple sclerosis. Clinical Study Report </w:t>
            </w:r>
          </w:p>
        </w:tc>
      </w:tr>
      <w:tr w:rsidR="00F93E19" w:rsidRPr="00F93E19" w14:paraId="5D1B88B7" w14:textId="77777777" w:rsidTr="00F93E19">
        <w:trPr>
          <w:trHeight w:val="144"/>
        </w:trPr>
        <w:tc>
          <w:tcPr>
            <w:tcW w:w="9360" w:type="dxa"/>
            <w:tcBorders>
              <w:top w:val="nil"/>
              <w:left w:val="nil"/>
              <w:bottom w:val="nil"/>
              <w:right w:val="nil"/>
            </w:tcBorders>
            <w:shd w:val="clear" w:color="auto" w:fill="auto"/>
            <w:noWrap/>
            <w:vAlign w:val="bottom"/>
            <w:hideMark/>
          </w:tcPr>
          <w:p w14:paraId="17135E7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Investigators O (2020) Multicenter, Randomized, Double-Blind, Parallel group, Active-Controlled, Superiority Study to Compare the Efficacy and Safety of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to Teriflunomide in Subjects With Relapsing Multiple Sclerosis. Clinical Study Report </w:t>
            </w:r>
          </w:p>
        </w:tc>
      </w:tr>
      <w:tr w:rsidR="00F93E19" w:rsidRPr="00F93E19" w14:paraId="5D23A36B" w14:textId="77777777" w:rsidTr="00F93E19">
        <w:trPr>
          <w:trHeight w:val="144"/>
        </w:trPr>
        <w:tc>
          <w:tcPr>
            <w:tcW w:w="9360" w:type="dxa"/>
            <w:tcBorders>
              <w:top w:val="nil"/>
              <w:left w:val="nil"/>
              <w:bottom w:val="nil"/>
              <w:right w:val="nil"/>
            </w:tcBorders>
            <w:shd w:val="clear" w:color="auto" w:fill="auto"/>
            <w:noWrap/>
            <w:vAlign w:val="bottom"/>
            <w:hideMark/>
          </w:tcPr>
          <w:p w14:paraId="0458C8F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Kappos L, </w:t>
            </w:r>
            <w:proofErr w:type="spellStart"/>
            <w:r w:rsidRPr="00A14942">
              <w:rPr>
                <w:rFonts w:ascii="Times New Roman" w:eastAsia="Times New Roman" w:hAnsi="Times New Roman" w:cs="Times New Roman"/>
                <w:color w:val="000000"/>
                <w:szCs w:val="22"/>
              </w:rPr>
              <w:t>Burcklen</w:t>
            </w:r>
            <w:proofErr w:type="spellEnd"/>
            <w:r w:rsidRPr="00A14942">
              <w:rPr>
                <w:rFonts w:ascii="Times New Roman" w:eastAsia="Times New Roman" w:hAnsi="Times New Roman" w:cs="Times New Roman"/>
                <w:color w:val="000000"/>
                <w:szCs w:val="22"/>
              </w:rPr>
              <w:t xml:space="preserve"> M, Freedman MS, Fox R, </w:t>
            </w:r>
            <w:proofErr w:type="spellStart"/>
            <w:r w:rsidRPr="00A14942">
              <w:rPr>
                <w:rFonts w:ascii="Times New Roman" w:eastAsia="Times New Roman" w:hAnsi="Times New Roman" w:cs="Times New Roman"/>
                <w:color w:val="000000"/>
                <w:szCs w:val="22"/>
              </w:rPr>
              <w:t>Havrdová</w:t>
            </w:r>
            <w:proofErr w:type="spellEnd"/>
            <w:r w:rsidRPr="00A14942">
              <w:rPr>
                <w:rFonts w:ascii="Times New Roman" w:eastAsia="Times New Roman" w:hAnsi="Times New Roman" w:cs="Times New Roman"/>
                <w:color w:val="000000"/>
                <w:szCs w:val="22"/>
              </w:rPr>
              <w:t xml:space="preserve"> EK et al. (2020) Effect of oral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on clinical disease activity and MRI-based outcomes in patients with relapsing multiple sclerosis: Phase 3 OPTIMUM study. Multiple Sclerosis Journal 26 (3_ SUPPL): 151-152.</w:t>
            </w:r>
          </w:p>
        </w:tc>
      </w:tr>
      <w:tr w:rsidR="00F93E19" w:rsidRPr="00F93E19" w14:paraId="4FCE3B63" w14:textId="77777777" w:rsidTr="00F93E19">
        <w:trPr>
          <w:trHeight w:val="144"/>
        </w:trPr>
        <w:tc>
          <w:tcPr>
            <w:tcW w:w="9360" w:type="dxa"/>
            <w:tcBorders>
              <w:top w:val="nil"/>
              <w:left w:val="nil"/>
              <w:bottom w:val="nil"/>
              <w:right w:val="nil"/>
            </w:tcBorders>
            <w:shd w:val="clear" w:color="auto" w:fill="auto"/>
            <w:noWrap/>
            <w:vAlign w:val="bottom"/>
            <w:hideMark/>
          </w:tcPr>
          <w:p w14:paraId="3B41365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Kappos L, </w:t>
            </w:r>
            <w:proofErr w:type="spellStart"/>
            <w:r w:rsidRPr="00A14942">
              <w:rPr>
                <w:rFonts w:ascii="Times New Roman" w:eastAsia="Times New Roman" w:hAnsi="Times New Roman" w:cs="Times New Roman"/>
                <w:color w:val="000000"/>
                <w:szCs w:val="22"/>
              </w:rPr>
              <w:t>Burcklen</w:t>
            </w:r>
            <w:proofErr w:type="spellEnd"/>
            <w:r w:rsidRPr="00A14942">
              <w:rPr>
                <w:rFonts w:ascii="Times New Roman" w:eastAsia="Times New Roman" w:hAnsi="Times New Roman" w:cs="Times New Roman"/>
                <w:color w:val="000000"/>
                <w:szCs w:val="22"/>
              </w:rPr>
              <w:t xml:space="preserve"> M, Freedman MS, Fox R,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EK et al. (2019) Efficacy and safety of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compared to teriflunomide in patients with relapsing multiple sclerosis: results of the randomized, active-controlled, double-blind, parallel-group phase 3 OPTIMUM study. European Committee for Treatment and Research in Multiple Sclerosis </w:t>
            </w:r>
          </w:p>
        </w:tc>
      </w:tr>
      <w:tr w:rsidR="00F93E19" w:rsidRPr="00F93E19" w14:paraId="7F6A999C" w14:textId="77777777" w:rsidTr="00F93E19">
        <w:trPr>
          <w:trHeight w:val="144"/>
        </w:trPr>
        <w:tc>
          <w:tcPr>
            <w:tcW w:w="9360" w:type="dxa"/>
            <w:tcBorders>
              <w:top w:val="nil"/>
              <w:left w:val="nil"/>
              <w:bottom w:val="nil"/>
              <w:right w:val="nil"/>
            </w:tcBorders>
            <w:shd w:val="clear" w:color="auto" w:fill="auto"/>
            <w:noWrap/>
            <w:vAlign w:val="bottom"/>
            <w:hideMark/>
          </w:tcPr>
          <w:p w14:paraId="35C91D0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Kappos L, Fox RJ, </w:t>
            </w:r>
            <w:proofErr w:type="spellStart"/>
            <w:r w:rsidRPr="00A14942">
              <w:rPr>
                <w:rFonts w:ascii="Times New Roman" w:eastAsia="Times New Roman" w:hAnsi="Times New Roman" w:cs="Times New Roman"/>
                <w:color w:val="000000"/>
                <w:szCs w:val="22"/>
              </w:rPr>
              <w:t>Burcklen</w:t>
            </w:r>
            <w:proofErr w:type="spellEnd"/>
            <w:r w:rsidRPr="00A14942">
              <w:rPr>
                <w:rFonts w:ascii="Times New Roman" w:eastAsia="Times New Roman" w:hAnsi="Times New Roman" w:cs="Times New Roman"/>
                <w:color w:val="000000"/>
                <w:szCs w:val="22"/>
              </w:rPr>
              <w:t xml:space="preserve"> M, Hennessy B, Scherz T et al. (2021)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Compared with Teriflunomide in Patients with Relapsing Multiple Sclerosis in the Active-Comparator Phase 3 OPTIMUM Study: A Randomized Clinical Trial. JAMA Neurology 78 (5): 558-567.</w:t>
            </w:r>
          </w:p>
        </w:tc>
      </w:tr>
      <w:tr w:rsidR="00F93E19" w:rsidRPr="00F93E19" w14:paraId="3FCE40D5" w14:textId="77777777" w:rsidTr="00F93E19">
        <w:trPr>
          <w:trHeight w:val="144"/>
        </w:trPr>
        <w:tc>
          <w:tcPr>
            <w:tcW w:w="9360" w:type="dxa"/>
            <w:tcBorders>
              <w:top w:val="nil"/>
              <w:left w:val="nil"/>
              <w:bottom w:val="nil"/>
              <w:right w:val="nil"/>
            </w:tcBorders>
            <w:shd w:val="clear" w:color="auto" w:fill="auto"/>
            <w:noWrap/>
            <w:vAlign w:val="bottom"/>
            <w:hideMark/>
          </w:tcPr>
          <w:p w14:paraId="3793E53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Kappos L, Radue EW, Chin P, Ritter S, Tomic D et al. (2016) Onset of clinical and MRI efficacy occurs early after fingolimod treatment initiation in relapsing multiple sclerosis. Journal of Neurology 263 (2): 354-360.</w:t>
            </w:r>
          </w:p>
        </w:tc>
      </w:tr>
      <w:tr w:rsidR="00F93E19" w:rsidRPr="00F93E19" w14:paraId="3DE0E5DA" w14:textId="77777777" w:rsidTr="00F93E19">
        <w:trPr>
          <w:trHeight w:val="144"/>
        </w:trPr>
        <w:tc>
          <w:tcPr>
            <w:tcW w:w="9360" w:type="dxa"/>
            <w:tcBorders>
              <w:top w:val="nil"/>
              <w:left w:val="nil"/>
              <w:bottom w:val="nil"/>
              <w:right w:val="nil"/>
            </w:tcBorders>
            <w:shd w:val="clear" w:color="auto" w:fill="auto"/>
            <w:noWrap/>
            <w:vAlign w:val="bottom"/>
            <w:hideMark/>
          </w:tcPr>
          <w:p w14:paraId="669A05E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Kappos L, Radue EW, O'Connor P, Polman C, Hohlfeld R et al. (2010) A placebo-controlled trial of oral fingolimod in relapsing multiple sclerosis. New England Journal of Medicine 362 (5): 387-401.</w:t>
            </w:r>
          </w:p>
        </w:tc>
      </w:tr>
      <w:tr w:rsidR="00F93E19" w:rsidRPr="00F93E19" w14:paraId="3619E785" w14:textId="77777777" w:rsidTr="00F93E19">
        <w:trPr>
          <w:trHeight w:val="144"/>
        </w:trPr>
        <w:tc>
          <w:tcPr>
            <w:tcW w:w="9360" w:type="dxa"/>
            <w:tcBorders>
              <w:top w:val="nil"/>
              <w:left w:val="nil"/>
              <w:bottom w:val="nil"/>
              <w:right w:val="nil"/>
            </w:tcBorders>
            <w:shd w:val="clear" w:color="auto" w:fill="auto"/>
            <w:noWrap/>
            <w:vAlign w:val="bottom"/>
            <w:hideMark/>
          </w:tcPr>
          <w:p w14:paraId="77DEB6D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Khan O, Rieckmann P, Boyko A,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w:t>
            </w:r>
            <w:proofErr w:type="spellStart"/>
            <w:r w:rsidRPr="00A14942">
              <w:rPr>
                <w:rFonts w:ascii="Times New Roman" w:eastAsia="Times New Roman" w:hAnsi="Times New Roman" w:cs="Times New Roman"/>
                <w:color w:val="000000"/>
                <w:szCs w:val="22"/>
              </w:rPr>
              <w:t>Zivadinov</w:t>
            </w:r>
            <w:proofErr w:type="spellEnd"/>
            <w:r w:rsidRPr="00A14942">
              <w:rPr>
                <w:rFonts w:ascii="Times New Roman" w:eastAsia="Times New Roman" w:hAnsi="Times New Roman" w:cs="Times New Roman"/>
                <w:color w:val="000000"/>
                <w:szCs w:val="22"/>
              </w:rPr>
              <w:t xml:space="preserve"> R (2012) A phase 3 trial to assess the efficacy and safety of glatiramer acetate injections 40mg administered 3 times a week compared to placebo.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512.</w:t>
            </w:r>
          </w:p>
        </w:tc>
      </w:tr>
      <w:tr w:rsidR="00F93E19" w:rsidRPr="00F93E19" w14:paraId="457323E1" w14:textId="77777777" w:rsidTr="00F93E19">
        <w:trPr>
          <w:trHeight w:val="144"/>
        </w:trPr>
        <w:tc>
          <w:tcPr>
            <w:tcW w:w="9360" w:type="dxa"/>
            <w:tcBorders>
              <w:top w:val="nil"/>
              <w:left w:val="nil"/>
              <w:bottom w:val="nil"/>
              <w:right w:val="nil"/>
            </w:tcBorders>
            <w:shd w:val="clear" w:color="auto" w:fill="auto"/>
            <w:noWrap/>
            <w:vAlign w:val="bottom"/>
            <w:hideMark/>
          </w:tcPr>
          <w:p w14:paraId="1AD3ABD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Khan O, Rieckmann P, Boyko A,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w:t>
            </w:r>
            <w:proofErr w:type="spellStart"/>
            <w:r w:rsidRPr="00A14942">
              <w:rPr>
                <w:rFonts w:ascii="Times New Roman" w:eastAsia="Times New Roman" w:hAnsi="Times New Roman" w:cs="Times New Roman"/>
                <w:color w:val="000000"/>
                <w:szCs w:val="22"/>
              </w:rPr>
              <w:t>Zivadinov</w:t>
            </w:r>
            <w:proofErr w:type="spellEnd"/>
            <w:r w:rsidRPr="00A14942">
              <w:rPr>
                <w:rFonts w:ascii="Times New Roman" w:eastAsia="Times New Roman" w:hAnsi="Times New Roman" w:cs="Times New Roman"/>
                <w:color w:val="000000"/>
                <w:szCs w:val="22"/>
              </w:rPr>
              <w:t xml:space="preserve"> R (2013) Three times weekly glatiramer acetate in relapsing-remitting multiple sclerosis. Annals of Neurology 73 (6): 705-713.</w:t>
            </w:r>
          </w:p>
        </w:tc>
      </w:tr>
      <w:tr w:rsidR="00F93E19" w:rsidRPr="00F93E19" w14:paraId="07084784" w14:textId="77777777" w:rsidTr="00F93E19">
        <w:trPr>
          <w:trHeight w:val="144"/>
        </w:trPr>
        <w:tc>
          <w:tcPr>
            <w:tcW w:w="9360" w:type="dxa"/>
            <w:tcBorders>
              <w:top w:val="nil"/>
              <w:left w:val="nil"/>
              <w:bottom w:val="nil"/>
              <w:right w:val="nil"/>
            </w:tcBorders>
            <w:shd w:val="clear" w:color="auto" w:fill="auto"/>
            <w:noWrap/>
            <w:vAlign w:val="bottom"/>
            <w:hideMark/>
          </w:tcPr>
          <w:p w14:paraId="6D3435F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Khatri BO, Pelletier J, Kappos L, Hartung HP, Comi G et al. (2014) Effect of prior treatment status and reasons for discontinuation on the efficacy and safety of fingolimod vs. interferon beta-1a intramuscular: Subgroup analyses of the Trial Assessing Injectable Interferon vs. Fingolimod Oral in Relapsing-Remitting Multiple Sclerosis (TRANSFORMS). Multiple Sclerosis and Related Disorders 3 (3): 355-363.</w:t>
            </w:r>
          </w:p>
        </w:tc>
      </w:tr>
      <w:tr w:rsidR="00F93E19" w:rsidRPr="00F93E19" w14:paraId="60FA53F2" w14:textId="77777777" w:rsidTr="00F93E19">
        <w:trPr>
          <w:trHeight w:val="144"/>
        </w:trPr>
        <w:tc>
          <w:tcPr>
            <w:tcW w:w="9360" w:type="dxa"/>
            <w:tcBorders>
              <w:top w:val="nil"/>
              <w:left w:val="nil"/>
              <w:bottom w:val="nil"/>
              <w:right w:val="nil"/>
            </w:tcBorders>
            <w:shd w:val="clear" w:color="auto" w:fill="auto"/>
            <w:noWrap/>
            <w:vAlign w:val="bottom"/>
            <w:hideMark/>
          </w:tcPr>
          <w:p w14:paraId="63AC3857"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Krieger S, </w:t>
            </w:r>
            <w:proofErr w:type="spellStart"/>
            <w:r w:rsidRPr="00A14942">
              <w:rPr>
                <w:rFonts w:ascii="Times New Roman" w:eastAsia="Times New Roman" w:hAnsi="Times New Roman" w:cs="Times New Roman"/>
                <w:color w:val="000000"/>
                <w:szCs w:val="22"/>
              </w:rPr>
              <w:t>Lubetzki</w:t>
            </w:r>
            <w:proofErr w:type="spellEnd"/>
            <w:r w:rsidRPr="00A14942">
              <w:rPr>
                <w:rFonts w:ascii="Times New Roman" w:eastAsia="Times New Roman" w:hAnsi="Times New Roman" w:cs="Times New Roman"/>
                <w:color w:val="000000"/>
                <w:szCs w:val="22"/>
              </w:rPr>
              <w:t xml:space="preserve"> C, Palmer J, Margolin DH (2014) Alemtuzumab reduces disease activity in </w:t>
            </w:r>
            <w:proofErr w:type="spellStart"/>
            <w:r w:rsidRPr="00A14942">
              <w:rPr>
                <w:rFonts w:ascii="Times New Roman" w:eastAsia="Times New Roman" w:hAnsi="Times New Roman" w:cs="Times New Roman"/>
                <w:color w:val="000000"/>
                <w:szCs w:val="22"/>
              </w:rPr>
              <w:t>treatmentnaive</w:t>
            </w:r>
            <w:proofErr w:type="spellEnd"/>
            <w:r w:rsidRPr="00A14942">
              <w:rPr>
                <w:rFonts w:ascii="Times New Roman" w:eastAsia="Times New Roman" w:hAnsi="Times New Roman" w:cs="Times New Roman"/>
                <w:color w:val="000000"/>
                <w:szCs w:val="22"/>
              </w:rPr>
              <w:t xml:space="preserve"> patients with highly active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106-107.</w:t>
            </w:r>
          </w:p>
        </w:tc>
      </w:tr>
      <w:tr w:rsidR="00F93E19" w:rsidRPr="00F93E19" w14:paraId="282FA5A1" w14:textId="77777777" w:rsidTr="00F93E19">
        <w:trPr>
          <w:trHeight w:val="144"/>
        </w:trPr>
        <w:tc>
          <w:tcPr>
            <w:tcW w:w="9360" w:type="dxa"/>
            <w:tcBorders>
              <w:top w:val="nil"/>
              <w:left w:val="nil"/>
              <w:bottom w:val="nil"/>
              <w:right w:val="nil"/>
            </w:tcBorders>
            <w:shd w:val="clear" w:color="auto" w:fill="auto"/>
            <w:noWrap/>
            <w:vAlign w:val="bottom"/>
            <w:hideMark/>
          </w:tcPr>
          <w:p w14:paraId="7E734BC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Li D, Cascione M, Fang J, Dangond F, Traboulsee A et al. </w:t>
            </w:r>
            <w:r w:rsidRPr="00A14942">
              <w:rPr>
                <w:rFonts w:ascii="Times New Roman" w:eastAsia="Times New Roman" w:hAnsi="Times New Roman" w:cs="Times New Roman"/>
                <w:color w:val="000000"/>
                <w:szCs w:val="22"/>
              </w:rPr>
              <w:t xml:space="preserve">(2015) Early onset and predictive value of MRI measures among patients receiving interferon Beta-1a SC </w:t>
            </w:r>
            <w:proofErr w:type="spellStart"/>
            <w:r w:rsidRPr="00A14942">
              <w:rPr>
                <w:rFonts w:ascii="Times New Roman" w:eastAsia="Times New Roman" w:hAnsi="Times New Roman" w:cs="Times New Roman"/>
                <w:color w:val="000000"/>
                <w:szCs w:val="22"/>
              </w:rPr>
              <w:t>tiw</w:t>
            </w:r>
            <w:proofErr w:type="spellEnd"/>
            <w:r w:rsidRPr="00A14942">
              <w:rPr>
                <w:rFonts w:ascii="Times New Roman" w:eastAsia="Times New Roman" w:hAnsi="Times New Roman" w:cs="Times New Roman"/>
                <w:color w:val="000000"/>
                <w:szCs w:val="22"/>
              </w:rPr>
              <w:t xml:space="preserve"> for RRMS: Post hoc analyses of PRISMS-2 data. Neurology 84 (18): </w:t>
            </w:r>
          </w:p>
        </w:tc>
      </w:tr>
      <w:tr w:rsidR="00F93E19" w:rsidRPr="00F93E19" w14:paraId="493CCE6E" w14:textId="77777777" w:rsidTr="00F93E19">
        <w:trPr>
          <w:trHeight w:val="144"/>
        </w:trPr>
        <w:tc>
          <w:tcPr>
            <w:tcW w:w="9360" w:type="dxa"/>
            <w:tcBorders>
              <w:top w:val="nil"/>
              <w:left w:val="nil"/>
              <w:bottom w:val="nil"/>
              <w:right w:val="nil"/>
            </w:tcBorders>
            <w:shd w:val="clear" w:color="auto" w:fill="auto"/>
            <w:noWrap/>
            <w:vAlign w:val="bottom"/>
            <w:hideMark/>
          </w:tcPr>
          <w:p w14:paraId="46F1E72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Li D, </w:t>
            </w:r>
            <w:proofErr w:type="spellStart"/>
            <w:r w:rsidRPr="00713F1E">
              <w:rPr>
                <w:rFonts w:ascii="Times New Roman" w:eastAsia="Times New Roman" w:hAnsi="Times New Roman" w:cs="Times New Roman"/>
                <w:color w:val="000000"/>
                <w:szCs w:val="22"/>
                <w:lang w:val="fr-FR"/>
              </w:rPr>
              <w:t>Selmaj</w:t>
            </w:r>
            <w:proofErr w:type="spellEnd"/>
            <w:r w:rsidRPr="00713F1E">
              <w:rPr>
                <w:rFonts w:ascii="Times New Roman" w:eastAsia="Times New Roman" w:hAnsi="Times New Roman" w:cs="Times New Roman"/>
                <w:color w:val="000000"/>
                <w:szCs w:val="22"/>
                <w:lang w:val="fr-FR"/>
              </w:rPr>
              <w:t xml:space="preserve"> K, Zhao G, Cheng Y, Mercier F et al. </w:t>
            </w:r>
            <w:r w:rsidRPr="00A14942">
              <w:rPr>
                <w:rFonts w:ascii="Times New Roman" w:eastAsia="Times New Roman" w:hAnsi="Times New Roman" w:cs="Times New Roman"/>
                <w:color w:val="000000"/>
                <w:szCs w:val="22"/>
              </w:rPr>
              <w:t>(2012) MRI findings of BOLD: A phase 2 dose-finding study using adaptive design and modeling methods for BAF312 in relapsing-remitting MS. Neurology 78 (1 Meeting Abstract): CONFERENCE START: 2012 Apr 2021 CONFERENCE END: 2012 Apr 2028.</w:t>
            </w:r>
          </w:p>
        </w:tc>
      </w:tr>
      <w:tr w:rsidR="00F93E19" w:rsidRPr="00F93E19" w14:paraId="664AE8E2" w14:textId="77777777" w:rsidTr="00F93E19">
        <w:trPr>
          <w:trHeight w:val="144"/>
        </w:trPr>
        <w:tc>
          <w:tcPr>
            <w:tcW w:w="9360" w:type="dxa"/>
            <w:tcBorders>
              <w:top w:val="nil"/>
              <w:left w:val="nil"/>
              <w:bottom w:val="nil"/>
              <w:right w:val="nil"/>
            </w:tcBorders>
            <w:shd w:val="clear" w:color="auto" w:fill="auto"/>
            <w:noWrap/>
            <w:vAlign w:val="bottom"/>
            <w:hideMark/>
          </w:tcPr>
          <w:p w14:paraId="3CC82BF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Li DK, Paty DW (1999) Magnetic resonance imaging results of the PRISMS trial: a randomized, double-blind, placebo-controlled study of interferon-beta1a in relapsing-remitting </w:t>
            </w:r>
            <w:r w:rsidRPr="00A14942">
              <w:rPr>
                <w:rFonts w:ascii="Times New Roman" w:eastAsia="Times New Roman" w:hAnsi="Times New Roman" w:cs="Times New Roman"/>
                <w:color w:val="000000"/>
                <w:szCs w:val="22"/>
              </w:rPr>
              <w:lastRenderedPageBreak/>
              <w:t>multiple sclerosis. Prevention of Relapses and Disability by Interferon-beta1a Subcutaneously in Multiple Sclerosis. Annals of Neurology 46 (2): 197-206.</w:t>
            </w:r>
          </w:p>
        </w:tc>
      </w:tr>
      <w:tr w:rsidR="00F93E19" w:rsidRPr="00F93E19" w14:paraId="24DDDF03" w14:textId="77777777" w:rsidTr="00F93E19">
        <w:trPr>
          <w:trHeight w:val="144"/>
        </w:trPr>
        <w:tc>
          <w:tcPr>
            <w:tcW w:w="9360" w:type="dxa"/>
            <w:tcBorders>
              <w:top w:val="nil"/>
              <w:left w:val="nil"/>
              <w:bottom w:val="nil"/>
              <w:right w:val="nil"/>
            </w:tcBorders>
            <w:shd w:val="clear" w:color="auto" w:fill="auto"/>
            <w:noWrap/>
            <w:vAlign w:val="bottom"/>
            <w:hideMark/>
          </w:tcPr>
          <w:p w14:paraId="62D51D9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lastRenderedPageBreak/>
              <w:t xml:space="preserve">Li DKB, Hemmer B, Stuve O, Hartung HP, Freedman MS et al. </w:t>
            </w:r>
            <w:r w:rsidRPr="00A14942">
              <w:rPr>
                <w:rFonts w:ascii="Times New Roman" w:eastAsia="Times New Roman" w:hAnsi="Times New Roman" w:cs="Times New Roman"/>
                <w:color w:val="000000"/>
                <w:szCs w:val="22"/>
              </w:rPr>
              <w:t>(2012) Siponimod (BAF312) treatment leads to early MRI benefits in relapsing-remitting multiple sclerosis patients: Results from a phase 2 study.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207-208.</w:t>
            </w:r>
          </w:p>
        </w:tc>
      </w:tr>
      <w:tr w:rsidR="00F93E19" w:rsidRPr="00F93E19" w14:paraId="05F9939B" w14:textId="77777777" w:rsidTr="00F93E19">
        <w:trPr>
          <w:trHeight w:val="144"/>
        </w:trPr>
        <w:tc>
          <w:tcPr>
            <w:tcW w:w="9360" w:type="dxa"/>
            <w:tcBorders>
              <w:top w:val="nil"/>
              <w:left w:val="nil"/>
              <w:bottom w:val="nil"/>
              <w:right w:val="nil"/>
            </w:tcBorders>
            <w:shd w:val="clear" w:color="auto" w:fill="auto"/>
            <w:noWrap/>
            <w:vAlign w:val="bottom"/>
            <w:hideMark/>
          </w:tcPr>
          <w:p w14:paraId="6EC13AC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Lublin FD, Cofield SS, Cutter GR, </w:t>
            </w:r>
            <w:proofErr w:type="spellStart"/>
            <w:r w:rsidRPr="00A14942">
              <w:rPr>
                <w:rFonts w:ascii="Times New Roman" w:eastAsia="Times New Roman" w:hAnsi="Times New Roman" w:cs="Times New Roman"/>
                <w:color w:val="000000"/>
                <w:szCs w:val="22"/>
              </w:rPr>
              <w:t>Conwit</w:t>
            </w:r>
            <w:proofErr w:type="spellEnd"/>
            <w:r w:rsidRPr="00A14942">
              <w:rPr>
                <w:rFonts w:ascii="Times New Roman" w:eastAsia="Times New Roman" w:hAnsi="Times New Roman" w:cs="Times New Roman"/>
                <w:color w:val="000000"/>
                <w:szCs w:val="22"/>
              </w:rPr>
              <w:t xml:space="preserve"> R, Narayana PA et al. (2013) Randomized study combining interferon and glatiramer acetate in multiple sclerosis. Annals of Neurology 73 (3): 327-340.</w:t>
            </w:r>
          </w:p>
        </w:tc>
      </w:tr>
      <w:tr w:rsidR="00F93E19" w:rsidRPr="00F93E19" w14:paraId="6D7F6211" w14:textId="77777777" w:rsidTr="00F93E19">
        <w:trPr>
          <w:trHeight w:val="144"/>
        </w:trPr>
        <w:tc>
          <w:tcPr>
            <w:tcW w:w="9360" w:type="dxa"/>
            <w:tcBorders>
              <w:top w:val="nil"/>
              <w:left w:val="nil"/>
              <w:bottom w:val="nil"/>
              <w:right w:val="nil"/>
            </w:tcBorders>
            <w:shd w:val="clear" w:color="auto" w:fill="auto"/>
            <w:noWrap/>
            <w:vAlign w:val="bottom"/>
            <w:hideMark/>
          </w:tcPr>
          <w:p w14:paraId="52A05F9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Lublin FD, Cofield SS, Cutter GR, Gustafson T, Krieger S et al. (2017) Long-term follow-up of a randomized study of combination interferon and glatiramer acetate in multiple sclerosis: Efficacy and safety results up to 7 years. Multiple Sclerosis and Related Disorders 18 95-102.</w:t>
            </w:r>
          </w:p>
        </w:tc>
      </w:tr>
      <w:tr w:rsidR="00F93E19" w:rsidRPr="00F93E19" w14:paraId="5E2408CC" w14:textId="77777777" w:rsidTr="00F93E19">
        <w:trPr>
          <w:trHeight w:val="144"/>
        </w:trPr>
        <w:tc>
          <w:tcPr>
            <w:tcW w:w="9360" w:type="dxa"/>
            <w:tcBorders>
              <w:top w:val="nil"/>
              <w:left w:val="nil"/>
              <w:bottom w:val="nil"/>
              <w:right w:val="nil"/>
            </w:tcBorders>
            <w:shd w:val="clear" w:color="auto" w:fill="auto"/>
            <w:noWrap/>
            <w:vAlign w:val="bottom"/>
            <w:hideMark/>
          </w:tcPr>
          <w:p w14:paraId="4AE213F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Mikol DD, </w:t>
            </w:r>
            <w:proofErr w:type="spellStart"/>
            <w:r w:rsidRPr="00A14942">
              <w:rPr>
                <w:rFonts w:ascii="Times New Roman" w:eastAsia="Times New Roman" w:hAnsi="Times New Roman" w:cs="Times New Roman"/>
                <w:color w:val="000000"/>
                <w:szCs w:val="22"/>
              </w:rPr>
              <w:t>Barkhof</w:t>
            </w:r>
            <w:proofErr w:type="spellEnd"/>
            <w:r w:rsidRPr="00A14942">
              <w:rPr>
                <w:rFonts w:ascii="Times New Roman" w:eastAsia="Times New Roman" w:hAnsi="Times New Roman" w:cs="Times New Roman"/>
                <w:color w:val="000000"/>
                <w:szCs w:val="22"/>
              </w:rPr>
              <w:t xml:space="preserve"> F, Chang P, Coyle PK, Jeffery DR et al. (2008) Comparison of subcutaneous interferon beta-1a with glatiramer acetate in patients with relapsing multiple sclerosis (the </w:t>
            </w:r>
            <w:proofErr w:type="spellStart"/>
            <w:r w:rsidRPr="00A14942">
              <w:rPr>
                <w:rFonts w:ascii="Times New Roman" w:eastAsia="Times New Roman" w:hAnsi="Times New Roman" w:cs="Times New Roman"/>
                <w:color w:val="000000"/>
                <w:szCs w:val="22"/>
              </w:rPr>
              <w:t>REbif</w:t>
            </w:r>
            <w:proofErr w:type="spellEnd"/>
            <w:r w:rsidRPr="00A14942">
              <w:rPr>
                <w:rFonts w:ascii="Times New Roman" w:eastAsia="Times New Roman" w:hAnsi="Times New Roman" w:cs="Times New Roman"/>
                <w:color w:val="000000"/>
                <w:szCs w:val="22"/>
              </w:rPr>
              <w:t xml:space="preserve"> vs Glatiramer Acetate in Relapsing MS Disease [REGARD] study): a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parallel, open-label trial. The Lancet Neurology 7 (10): 903-914.</w:t>
            </w:r>
          </w:p>
        </w:tc>
      </w:tr>
      <w:tr w:rsidR="00F93E19" w:rsidRPr="00F93E19" w14:paraId="6B781B81" w14:textId="77777777" w:rsidTr="00F93E19">
        <w:trPr>
          <w:trHeight w:val="144"/>
        </w:trPr>
        <w:tc>
          <w:tcPr>
            <w:tcW w:w="9360" w:type="dxa"/>
            <w:tcBorders>
              <w:top w:val="nil"/>
              <w:left w:val="nil"/>
              <w:bottom w:val="nil"/>
              <w:right w:val="nil"/>
            </w:tcBorders>
            <w:shd w:val="clear" w:color="auto" w:fill="auto"/>
            <w:noWrap/>
            <w:vAlign w:val="bottom"/>
            <w:hideMark/>
          </w:tcPr>
          <w:p w14:paraId="27726AC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Miller DH, Fox RJ, Phillips JT, Hutchinson M,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 et al. (2015) Effects of delayed-release dimethyl fumarate on MRI measures in the phase 3 CONFIRM study. Neurology 84 (11): 1145-1152.</w:t>
            </w:r>
          </w:p>
        </w:tc>
      </w:tr>
      <w:tr w:rsidR="00F93E19" w:rsidRPr="00F93E19" w14:paraId="70334556" w14:textId="77777777" w:rsidTr="00F93E19">
        <w:trPr>
          <w:trHeight w:val="144"/>
        </w:trPr>
        <w:tc>
          <w:tcPr>
            <w:tcW w:w="9360" w:type="dxa"/>
            <w:tcBorders>
              <w:top w:val="nil"/>
              <w:left w:val="nil"/>
              <w:bottom w:val="nil"/>
              <w:right w:val="nil"/>
            </w:tcBorders>
            <w:shd w:val="clear" w:color="auto" w:fill="auto"/>
            <w:noWrap/>
            <w:vAlign w:val="bottom"/>
            <w:hideMark/>
          </w:tcPr>
          <w:p w14:paraId="79C4065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Miller DH, Soon D, Fernando KT, MacManus DG, Barker GJ et al. (2007) MRI outcomes in a placebo-controlled trial of natalizumab in relapsing MS. Neurology 68 (17): 1390-1401.</w:t>
            </w:r>
          </w:p>
        </w:tc>
      </w:tr>
      <w:tr w:rsidR="00F93E19" w:rsidRPr="00F93E19" w14:paraId="38698B29" w14:textId="77777777" w:rsidTr="00F93E19">
        <w:trPr>
          <w:trHeight w:val="144"/>
        </w:trPr>
        <w:tc>
          <w:tcPr>
            <w:tcW w:w="9360" w:type="dxa"/>
            <w:tcBorders>
              <w:top w:val="nil"/>
              <w:left w:val="nil"/>
              <w:bottom w:val="nil"/>
              <w:right w:val="nil"/>
            </w:tcBorders>
            <w:shd w:val="clear" w:color="auto" w:fill="auto"/>
            <w:noWrap/>
            <w:vAlign w:val="bottom"/>
            <w:hideMark/>
          </w:tcPr>
          <w:p w14:paraId="79F7F47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Montalban X, Arnold DL, Fisher E, Margolin DH, Palmer J (2014) Improvement in MRI outcomes across subgroups with alemtuzumab versus interferon beta-1a in </w:t>
            </w:r>
            <w:proofErr w:type="spellStart"/>
            <w:r w:rsidRPr="00A14942">
              <w:rPr>
                <w:rFonts w:ascii="Times New Roman" w:eastAsia="Times New Roman" w:hAnsi="Times New Roman" w:cs="Times New Roman"/>
                <w:color w:val="000000"/>
                <w:szCs w:val="22"/>
              </w:rPr>
              <w:t>treatmentnaive</w:t>
            </w:r>
            <w:proofErr w:type="spellEnd"/>
            <w:r w:rsidRPr="00A14942">
              <w:rPr>
                <w:rFonts w:ascii="Times New Roman" w:eastAsia="Times New Roman" w:hAnsi="Times New Roman" w:cs="Times New Roman"/>
                <w:color w:val="000000"/>
                <w:szCs w:val="22"/>
              </w:rPr>
              <w:t xml:space="preserve">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20 (1 SUPPL. 1): 83-84.</w:t>
            </w:r>
          </w:p>
        </w:tc>
      </w:tr>
      <w:tr w:rsidR="00F93E19" w:rsidRPr="00F93E19" w14:paraId="2F3D5B97" w14:textId="77777777" w:rsidTr="00F93E19">
        <w:trPr>
          <w:trHeight w:val="144"/>
        </w:trPr>
        <w:tc>
          <w:tcPr>
            <w:tcW w:w="9360" w:type="dxa"/>
            <w:tcBorders>
              <w:top w:val="nil"/>
              <w:left w:val="nil"/>
              <w:bottom w:val="nil"/>
              <w:right w:val="nil"/>
            </w:tcBorders>
            <w:shd w:val="clear" w:color="auto" w:fill="auto"/>
            <w:noWrap/>
            <w:vAlign w:val="bottom"/>
            <w:hideMark/>
          </w:tcPr>
          <w:p w14:paraId="440C845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O'Connor P, Filippi M, Arnason B, Comi G, Cook S et al. (2009) 250 mug or 500 mug interferon beta-1b versus 20 mg glatiramer acetate in relapsing-remitting multiple sclerosis: a prospective,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study. The Lancet Neurology 8 (10): 889-897.</w:t>
            </w:r>
          </w:p>
        </w:tc>
      </w:tr>
      <w:tr w:rsidR="00F93E19" w:rsidRPr="00F93E19" w14:paraId="00D6221F" w14:textId="77777777" w:rsidTr="00F93E19">
        <w:trPr>
          <w:trHeight w:val="144"/>
        </w:trPr>
        <w:tc>
          <w:tcPr>
            <w:tcW w:w="9360" w:type="dxa"/>
            <w:tcBorders>
              <w:top w:val="nil"/>
              <w:left w:val="nil"/>
              <w:bottom w:val="nil"/>
              <w:right w:val="nil"/>
            </w:tcBorders>
            <w:shd w:val="clear" w:color="auto" w:fill="auto"/>
            <w:noWrap/>
            <w:vAlign w:val="bottom"/>
            <w:hideMark/>
          </w:tcPr>
          <w:p w14:paraId="5FEF77D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O'Connor P, Wolinsky JS, </w:t>
            </w:r>
            <w:proofErr w:type="spellStart"/>
            <w:r w:rsidRPr="00A14942">
              <w:rPr>
                <w:rFonts w:ascii="Times New Roman" w:eastAsia="Times New Roman" w:hAnsi="Times New Roman" w:cs="Times New Roman"/>
                <w:color w:val="000000"/>
                <w:szCs w:val="22"/>
              </w:rPr>
              <w:t>Confavreux</w:t>
            </w:r>
            <w:proofErr w:type="spellEnd"/>
            <w:r w:rsidRPr="00A14942">
              <w:rPr>
                <w:rFonts w:ascii="Times New Roman" w:eastAsia="Times New Roman" w:hAnsi="Times New Roman" w:cs="Times New Roman"/>
                <w:color w:val="000000"/>
                <w:szCs w:val="22"/>
              </w:rPr>
              <w:t xml:space="preserve"> C, Comi G, Kappos L et al. (2011) Randomized trial of oral teriflunomide for relapsing multiple sclerosis. New England Journal of Medicine 365 (14): 1293-1303.</w:t>
            </w:r>
          </w:p>
        </w:tc>
      </w:tr>
      <w:tr w:rsidR="00F93E19" w:rsidRPr="00F93E19" w14:paraId="1E316BD2" w14:textId="77777777" w:rsidTr="00F93E19">
        <w:trPr>
          <w:trHeight w:val="144"/>
        </w:trPr>
        <w:tc>
          <w:tcPr>
            <w:tcW w:w="9360" w:type="dxa"/>
            <w:tcBorders>
              <w:top w:val="nil"/>
              <w:left w:val="nil"/>
              <w:bottom w:val="nil"/>
              <w:right w:val="nil"/>
            </w:tcBorders>
            <w:shd w:val="clear" w:color="auto" w:fill="auto"/>
            <w:noWrap/>
            <w:vAlign w:val="bottom"/>
            <w:hideMark/>
          </w:tcPr>
          <w:p w14:paraId="31E7A1A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O'Connor PW, Li D, Freedman MS, Bar-Or A, Rice GPA et al. (2006) A phase II study of the safety and efficacy of teriflunomide in multiple sclerosis with relapses. Neurology 66 (6): 894-900.</w:t>
            </w:r>
          </w:p>
        </w:tc>
      </w:tr>
      <w:tr w:rsidR="00F93E19" w:rsidRPr="00F93E19" w14:paraId="12E02F36" w14:textId="77777777" w:rsidTr="00F93E19">
        <w:trPr>
          <w:trHeight w:val="144"/>
        </w:trPr>
        <w:tc>
          <w:tcPr>
            <w:tcW w:w="9360" w:type="dxa"/>
            <w:tcBorders>
              <w:top w:val="nil"/>
              <w:left w:val="nil"/>
              <w:bottom w:val="nil"/>
              <w:right w:val="nil"/>
            </w:tcBorders>
            <w:shd w:val="clear" w:color="auto" w:fill="auto"/>
            <w:noWrap/>
            <w:vAlign w:val="bottom"/>
            <w:hideMark/>
          </w:tcPr>
          <w:p w14:paraId="690228B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Oh J, Wuerfel J, Khatri B, Miller AE, </w:t>
            </w:r>
            <w:proofErr w:type="spellStart"/>
            <w:r w:rsidRPr="00A14942">
              <w:rPr>
                <w:rFonts w:ascii="Times New Roman" w:eastAsia="Times New Roman" w:hAnsi="Times New Roman" w:cs="Times New Roman"/>
                <w:color w:val="000000"/>
                <w:szCs w:val="22"/>
              </w:rPr>
              <w:t>Inshasi</w:t>
            </w:r>
            <w:proofErr w:type="spellEnd"/>
            <w:r w:rsidRPr="00A14942">
              <w:rPr>
                <w:rFonts w:ascii="Times New Roman" w:eastAsia="Times New Roman" w:hAnsi="Times New Roman" w:cs="Times New Roman"/>
                <w:color w:val="000000"/>
                <w:szCs w:val="22"/>
              </w:rPr>
              <w:t xml:space="preserve"> JS et al. (2020) Effect of teriflunomide on brain volume loss in patients with relapsing multiple sclerosis of differing ages in </w:t>
            </w:r>
            <w:proofErr w:type="spellStart"/>
            <w:r w:rsidRPr="00A14942">
              <w:rPr>
                <w:rFonts w:ascii="Times New Roman" w:eastAsia="Times New Roman" w:hAnsi="Times New Roman" w:cs="Times New Roman"/>
                <w:color w:val="000000"/>
                <w:szCs w:val="22"/>
              </w:rPr>
              <w:t>temso</w:t>
            </w:r>
            <w:proofErr w:type="spellEnd"/>
            <w:r w:rsidRPr="00A14942">
              <w:rPr>
                <w:rFonts w:ascii="Times New Roman" w:eastAsia="Times New Roman" w:hAnsi="Times New Roman" w:cs="Times New Roman"/>
                <w:color w:val="000000"/>
                <w:szCs w:val="22"/>
              </w:rPr>
              <w:t xml:space="preserve">. Neurology 94 (15): </w:t>
            </w:r>
          </w:p>
        </w:tc>
      </w:tr>
      <w:tr w:rsidR="00F93E19" w:rsidRPr="00F93E19" w14:paraId="70C24A7F" w14:textId="77777777" w:rsidTr="00F93E19">
        <w:trPr>
          <w:trHeight w:val="144"/>
        </w:trPr>
        <w:tc>
          <w:tcPr>
            <w:tcW w:w="9360" w:type="dxa"/>
            <w:tcBorders>
              <w:top w:val="nil"/>
              <w:left w:val="nil"/>
              <w:bottom w:val="nil"/>
              <w:right w:val="nil"/>
            </w:tcBorders>
            <w:shd w:val="clear" w:color="auto" w:fill="auto"/>
            <w:noWrap/>
            <w:vAlign w:val="bottom"/>
            <w:hideMark/>
          </w:tcPr>
          <w:p w14:paraId="3D7FF40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Oh J, Wuerfel J, Khatri B, Miller AE, </w:t>
            </w:r>
            <w:proofErr w:type="spellStart"/>
            <w:r w:rsidRPr="00A14942">
              <w:rPr>
                <w:rFonts w:ascii="Times New Roman" w:eastAsia="Times New Roman" w:hAnsi="Times New Roman" w:cs="Times New Roman"/>
                <w:color w:val="000000"/>
                <w:szCs w:val="22"/>
              </w:rPr>
              <w:t>Inshasi</w:t>
            </w:r>
            <w:proofErr w:type="spellEnd"/>
            <w:r w:rsidRPr="00A14942">
              <w:rPr>
                <w:rFonts w:ascii="Times New Roman" w:eastAsia="Times New Roman" w:hAnsi="Times New Roman" w:cs="Times New Roman"/>
                <w:color w:val="000000"/>
                <w:szCs w:val="22"/>
              </w:rPr>
              <w:t xml:space="preserve"> JS et al. (2020) Effect of teriflunomide on brain volume loss in patients with relapsing multiple sclerosis of differing ages in TEMSO. American Academy of Neurology 94 (15 Supplement): </w:t>
            </w:r>
          </w:p>
        </w:tc>
      </w:tr>
      <w:tr w:rsidR="00F93E19" w:rsidRPr="00F93E19" w14:paraId="634F1DA1" w14:textId="77777777" w:rsidTr="00F93E19">
        <w:trPr>
          <w:trHeight w:val="144"/>
        </w:trPr>
        <w:tc>
          <w:tcPr>
            <w:tcW w:w="9360" w:type="dxa"/>
            <w:tcBorders>
              <w:top w:val="nil"/>
              <w:left w:val="nil"/>
              <w:bottom w:val="nil"/>
              <w:right w:val="nil"/>
            </w:tcBorders>
            <w:shd w:val="clear" w:color="auto" w:fill="auto"/>
            <w:noWrap/>
            <w:vAlign w:val="bottom"/>
            <w:hideMark/>
          </w:tcPr>
          <w:p w14:paraId="68B0D7A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Olsson T, Boster A, Fernandez O, Freedman MS, </w:t>
            </w:r>
            <w:proofErr w:type="spellStart"/>
            <w:r w:rsidRPr="00A14942">
              <w:rPr>
                <w:rFonts w:ascii="Times New Roman" w:eastAsia="Times New Roman" w:hAnsi="Times New Roman" w:cs="Times New Roman"/>
                <w:color w:val="000000"/>
                <w:szCs w:val="22"/>
              </w:rPr>
              <w:t>Pozzilli</w:t>
            </w:r>
            <w:proofErr w:type="spellEnd"/>
            <w:r w:rsidRPr="00A14942">
              <w:rPr>
                <w:rFonts w:ascii="Times New Roman" w:eastAsia="Times New Roman" w:hAnsi="Times New Roman" w:cs="Times New Roman"/>
                <w:color w:val="000000"/>
                <w:szCs w:val="22"/>
              </w:rPr>
              <w:t xml:space="preserve"> C et al. (2014) Oral </w:t>
            </w:r>
            <w:proofErr w:type="spellStart"/>
            <w:r w:rsidRPr="00A14942">
              <w:rPr>
                <w:rFonts w:ascii="Times New Roman" w:eastAsia="Times New Roman" w:hAnsi="Times New Roman" w:cs="Times New Roman"/>
                <w:color w:val="000000"/>
                <w:szCs w:val="22"/>
              </w:rPr>
              <w:t>ponesimod</w:t>
            </w:r>
            <w:proofErr w:type="spellEnd"/>
            <w:r w:rsidRPr="00A14942">
              <w:rPr>
                <w:rFonts w:ascii="Times New Roman" w:eastAsia="Times New Roman" w:hAnsi="Times New Roman" w:cs="Times New Roman"/>
                <w:color w:val="000000"/>
                <w:szCs w:val="22"/>
              </w:rPr>
              <w:t xml:space="preserve"> in relapsing-remitting multiple sclerosis: A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phase II trial. Journal of Neurology, Neurosurgery and Psychiatry 85 (11): 1198-1208.</w:t>
            </w:r>
          </w:p>
        </w:tc>
      </w:tr>
      <w:tr w:rsidR="00F93E19" w:rsidRPr="00F93E19" w14:paraId="79BD9897" w14:textId="77777777" w:rsidTr="00F93E19">
        <w:trPr>
          <w:trHeight w:val="144"/>
        </w:trPr>
        <w:tc>
          <w:tcPr>
            <w:tcW w:w="9360" w:type="dxa"/>
            <w:tcBorders>
              <w:top w:val="nil"/>
              <w:left w:val="nil"/>
              <w:bottom w:val="nil"/>
              <w:right w:val="nil"/>
            </w:tcBorders>
            <w:shd w:val="clear" w:color="auto" w:fill="auto"/>
            <w:noWrap/>
            <w:vAlign w:val="bottom"/>
            <w:hideMark/>
          </w:tcPr>
          <w:p w14:paraId="6D30872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Panitch</w:t>
            </w:r>
            <w:proofErr w:type="spellEnd"/>
            <w:r w:rsidRPr="00713F1E">
              <w:rPr>
                <w:rFonts w:ascii="Times New Roman" w:eastAsia="Times New Roman" w:hAnsi="Times New Roman" w:cs="Times New Roman"/>
                <w:color w:val="000000"/>
                <w:szCs w:val="22"/>
                <w:lang w:val="fr-FR"/>
              </w:rPr>
              <w:t xml:space="preserve"> H, </w:t>
            </w:r>
            <w:proofErr w:type="spellStart"/>
            <w:r w:rsidRPr="00713F1E">
              <w:rPr>
                <w:rFonts w:ascii="Times New Roman" w:eastAsia="Times New Roman" w:hAnsi="Times New Roman" w:cs="Times New Roman"/>
                <w:color w:val="000000"/>
                <w:szCs w:val="22"/>
                <w:lang w:val="fr-FR"/>
              </w:rPr>
              <w:t>Anaissie</w:t>
            </w:r>
            <w:proofErr w:type="spellEnd"/>
            <w:r w:rsidRPr="00713F1E">
              <w:rPr>
                <w:rFonts w:ascii="Times New Roman" w:eastAsia="Times New Roman" w:hAnsi="Times New Roman" w:cs="Times New Roman"/>
                <w:color w:val="000000"/>
                <w:szCs w:val="22"/>
                <w:lang w:val="fr-FR"/>
              </w:rPr>
              <w:t xml:space="preserve"> E, </w:t>
            </w:r>
            <w:proofErr w:type="spellStart"/>
            <w:r w:rsidRPr="00713F1E">
              <w:rPr>
                <w:rFonts w:ascii="Times New Roman" w:eastAsia="Times New Roman" w:hAnsi="Times New Roman" w:cs="Times New Roman"/>
                <w:color w:val="000000"/>
                <w:szCs w:val="22"/>
                <w:lang w:val="fr-FR"/>
              </w:rPr>
              <w:t>Cines</w:t>
            </w:r>
            <w:proofErr w:type="spellEnd"/>
            <w:r w:rsidRPr="00713F1E">
              <w:rPr>
                <w:rFonts w:ascii="Times New Roman" w:eastAsia="Times New Roman" w:hAnsi="Times New Roman" w:cs="Times New Roman"/>
                <w:color w:val="000000"/>
                <w:szCs w:val="22"/>
                <w:lang w:val="fr-FR"/>
              </w:rPr>
              <w:t xml:space="preserve"> D, </w:t>
            </w:r>
            <w:proofErr w:type="spellStart"/>
            <w:r w:rsidRPr="00713F1E">
              <w:rPr>
                <w:rFonts w:ascii="Times New Roman" w:eastAsia="Times New Roman" w:hAnsi="Times New Roman" w:cs="Times New Roman"/>
                <w:color w:val="000000"/>
                <w:szCs w:val="22"/>
                <w:lang w:val="fr-FR"/>
              </w:rPr>
              <w:t>DeGroot</w:t>
            </w:r>
            <w:proofErr w:type="spellEnd"/>
            <w:r w:rsidRPr="00713F1E">
              <w:rPr>
                <w:rFonts w:ascii="Times New Roman" w:eastAsia="Times New Roman" w:hAnsi="Times New Roman" w:cs="Times New Roman"/>
                <w:color w:val="000000"/>
                <w:szCs w:val="22"/>
                <w:lang w:val="fr-FR"/>
              </w:rPr>
              <w:t xml:space="preserve"> L, Dorsey F et al. </w:t>
            </w:r>
            <w:r w:rsidRPr="00A14942">
              <w:rPr>
                <w:rFonts w:ascii="Times New Roman" w:eastAsia="Times New Roman" w:hAnsi="Times New Roman" w:cs="Times New Roman"/>
                <w:color w:val="000000"/>
                <w:szCs w:val="22"/>
              </w:rPr>
              <w:t>(2008) Alemtuzumab vs. interferon beta-1a in early multiple sclerosis. New England Journal of Medicine 359 (17): 1786-1801.</w:t>
            </w:r>
          </w:p>
        </w:tc>
      </w:tr>
      <w:tr w:rsidR="00F93E19" w:rsidRPr="00F93E19" w14:paraId="352C4687" w14:textId="77777777" w:rsidTr="00F93E19">
        <w:trPr>
          <w:trHeight w:val="144"/>
        </w:trPr>
        <w:tc>
          <w:tcPr>
            <w:tcW w:w="9360" w:type="dxa"/>
            <w:tcBorders>
              <w:top w:val="nil"/>
              <w:left w:val="nil"/>
              <w:bottom w:val="nil"/>
              <w:right w:val="nil"/>
            </w:tcBorders>
            <w:shd w:val="clear" w:color="auto" w:fill="auto"/>
            <w:noWrap/>
            <w:vAlign w:val="bottom"/>
            <w:hideMark/>
          </w:tcPr>
          <w:p w14:paraId="7993C65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Panitch H, Goodin DS, Francis G, Chang P, Coyle PK et al. (2002) Randomized, comparative study of interferon beta-1a treatment regimens in MS: The evidence trial. Neurology 59 (10): 1496-1506.</w:t>
            </w:r>
          </w:p>
        </w:tc>
      </w:tr>
      <w:tr w:rsidR="00F93E19" w:rsidRPr="00F93E19" w14:paraId="08C427F7" w14:textId="77777777" w:rsidTr="00F93E19">
        <w:trPr>
          <w:trHeight w:val="144"/>
        </w:trPr>
        <w:tc>
          <w:tcPr>
            <w:tcW w:w="9360" w:type="dxa"/>
            <w:tcBorders>
              <w:top w:val="nil"/>
              <w:left w:val="nil"/>
              <w:bottom w:val="nil"/>
              <w:right w:val="nil"/>
            </w:tcBorders>
            <w:shd w:val="clear" w:color="auto" w:fill="auto"/>
            <w:noWrap/>
            <w:vAlign w:val="bottom"/>
            <w:hideMark/>
          </w:tcPr>
          <w:p w14:paraId="7E9A83E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Radue EW, Gaetano L, Mueller-Lenke N, Wuerfel J, Sprenger T et al. (2016) Teriflunomide slows brain volume loss in relapsing multiple sclerosis: a structural image evaluation using normalization of atrophy-Analysis of the tempo magnetic resonance imaging data set. Multiple Sclerosis Conference: 2nd MENACTRIMS congress. 2016. Amman </w:t>
            </w:r>
            <w:proofErr w:type="spellStart"/>
            <w:r w:rsidRPr="00A14942">
              <w:rPr>
                <w:rFonts w:ascii="Times New Roman" w:eastAsia="Times New Roman" w:hAnsi="Times New Roman" w:cs="Times New Roman"/>
                <w:color w:val="000000"/>
                <w:szCs w:val="22"/>
              </w:rPr>
              <w:t>jordan</w:t>
            </w:r>
            <w:proofErr w:type="spellEnd"/>
            <w:r w:rsidRPr="00A14942">
              <w:rPr>
                <w:rFonts w:ascii="Times New Roman" w:eastAsia="Times New Roman" w:hAnsi="Times New Roman" w:cs="Times New Roman"/>
                <w:color w:val="000000"/>
                <w:szCs w:val="22"/>
              </w:rPr>
              <w:t>. Conference start: 20160317. Conference end: 20160319. Conference publication: (</w:t>
            </w:r>
            <w:proofErr w:type="spellStart"/>
            <w:r w:rsidRPr="00A14942">
              <w:rPr>
                <w:rFonts w:ascii="Times New Roman" w:eastAsia="Times New Roman" w:hAnsi="Times New Roman" w:cs="Times New Roman"/>
                <w:color w:val="000000"/>
                <w:szCs w:val="22"/>
              </w:rPr>
              <w:t>var.pagings</w:t>
            </w:r>
            <w:proofErr w:type="spellEnd"/>
            <w:r w:rsidRPr="00A14942">
              <w:rPr>
                <w:rFonts w:ascii="Times New Roman" w:eastAsia="Times New Roman" w:hAnsi="Times New Roman" w:cs="Times New Roman"/>
                <w:color w:val="000000"/>
                <w:szCs w:val="22"/>
              </w:rPr>
              <w:t>) 22(6): NP13.</w:t>
            </w:r>
          </w:p>
        </w:tc>
      </w:tr>
      <w:tr w:rsidR="00F93E19" w:rsidRPr="00F93E19" w14:paraId="2BE4BCDB" w14:textId="77777777" w:rsidTr="00F93E19">
        <w:trPr>
          <w:trHeight w:val="144"/>
        </w:trPr>
        <w:tc>
          <w:tcPr>
            <w:tcW w:w="9360" w:type="dxa"/>
            <w:tcBorders>
              <w:top w:val="nil"/>
              <w:left w:val="nil"/>
              <w:bottom w:val="nil"/>
              <w:right w:val="nil"/>
            </w:tcBorders>
            <w:shd w:val="clear" w:color="auto" w:fill="auto"/>
            <w:noWrap/>
            <w:vAlign w:val="bottom"/>
            <w:hideMark/>
          </w:tcPr>
          <w:p w14:paraId="683DF4C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Radue EW, O'Connor P, Polman CH, Hohlfeld R, Calabresi P et al. (2012) Impact of fingolimod therapy on magnetic resonance imaging outcomes in patients with multiple sclerosis. Archives of Neurology 69 (10): 1259-1269.</w:t>
            </w:r>
          </w:p>
        </w:tc>
      </w:tr>
      <w:tr w:rsidR="00F93E19" w:rsidRPr="00F93E19" w14:paraId="57B8C0EC" w14:textId="77777777" w:rsidTr="00F93E19">
        <w:trPr>
          <w:trHeight w:val="144"/>
        </w:trPr>
        <w:tc>
          <w:tcPr>
            <w:tcW w:w="9360" w:type="dxa"/>
            <w:tcBorders>
              <w:top w:val="nil"/>
              <w:left w:val="nil"/>
              <w:bottom w:val="nil"/>
              <w:right w:val="nil"/>
            </w:tcBorders>
            <w:shd w:val="clear" w:color="auto" w:fill="auto"/>
            <w:noWrap/>
            <w:vAlign w:val="bottom"/>
            <w:hideMark/>
          </w:tcPr>
          <w:p w14:paraId="012DDE6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Radue</w:t>
            </w:r>
            <w:proofErr w:type="spellEnd"/>
            <w:r w:rsidRPr="00713F1E">
              <w:rPr>
                <w:rFonts w:ascii="Times New Roman" w:eastAsia="Times New Roman" w:hAnsi="Times New Roman" w:cs="Times New Roman"/>
                <w:color w:val="000000"/>
                <w:szCs w:val="22"/>
                <w:lang w:val="fr-FR"/>
              </w:rPr>
              <w:t xml:space="preserve"> EW,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Gaetano L, Mueller-</w:t>
            </w:r>
            <w:proofErr w:type="spellStart"/>
            <w:r w:rsidRPr="00713F1E">
              <w:rPr>
                <w:rFonts w:ascii="Times New Roman" w:eastAsia="Times New Roman" w:hAnsi="Times New Roman" w:cs="Times New Roman"/>
                <w:color w:val="000000"/>
                <w:szCs w:val="22"/>
                <w:lang w:val="fr-FR"/>
              </w:rPr>
              <w:t>Lenke</w:t>
            </w:r>
            <w:proofErr w:type="spellEnd"/>
            <w:r w:rsidRPr="00713F1E">
              <w:rPr>
                <w:rFonts w:ascii="Times New Roman" w:eastAsia="Times New Roman" w:hAnsi="Times New Roman" w:cs="Times New Roman"/>
                <w:color w:val="000000"/>
                <w:szCs w:val="22"/>
                <w:lang w:val="fr-FR"/>
              </w:rPr>
              <w:t xml:space="preserve"> N, Cavalier S et al. </w:t>
            </w:r>
            <w:r w:rsidRPr="00A14942">
              <w:rPr>
                <w:rFonts w:ascii="Times New Roman" w:eastAsia="Times New Roman" w:hAnsi="Times New Roman" w:cs="Times New Roman"/>
                <w:color w:val="000000"/>
                <w:szCs w:val="22"/>
              </w:rPr>
              <w:t>(2017) Teriflunomide slows BVL in relapsing MS: A reanalysis of the TEMSO MRI data set using SIENA. Neurology neuroimmunology &amp; neuroinflammation 4 (5): e390.</w:t>
            </w:r>
          </w:p>
        </w:tc>
      </w:tr>
      <w:tr w:rsidR="00F93E19" w:rsidRPr="00F93E19" w14:paraId="28DC2856" w14:textId="77777777" w:rsidTr="00F93E19">
        <w:trPr>
          <w:trHeight w:val="144"/>
        </w:trPr>
        <w:tc>
          <w:tcPr>
            <w:tcW w:w="9360" w:type="dxa"/>
            <w:tcBorders>
              <w:top w:val="nil"/>
              <w:left w:val="nil"/>
              <w:bottom w:val="nil"/>
              <w:right w:val="nil"/>
            </w:tcBorders>
            <w:shd w:val="clear" w:color="auto" w:fill="auto"/>
            <w:noWrap/>
            <w:vAlign w:val="bottom"/>
            <w:hideMark/>
          </w:tcPr>
          <w:p w14:paraId="65CDF27A"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Radue</w:t>
            </w:r>
            <w:proofErr w:type="spellEnd"/>
            <w:r w:rsidRPr="00713F1E">
              <w:rPr>
                <w:rFonts w:ascii="Times New Roman" w:eastAsia="Times New Roman" w:hAnsi="Times New Roman" w:cs="Times New Roman"/>
                <w:color w:val="000000"/>
                <w:szCs w:val="22"/>
                <w:lang w:val="fr-FR"/>
              </w:rPr>
              <w:t xml:space="preserve"> EW,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Gaetano L, Mueller-</w:t>
            </w:r>
            <w:proofErr w:type="spellStart"/>
            <w:r w:rsidRPr="00713F1E">
              <w:rPr>
                <w:rFonts w:ascii="Times New Roman" w:eastAsia="Times New Roman" w:hAnsi="Times New Roman" w:cs="Times New Roman"/>
                <w:color w:val="000000"/>
                <w:szCs w:val="22"/>
                <w:lang w:val="fr-FR"/>
              </w:rPr>
              <w:t>Lenke</w:t>
            </w:r>
            <w:proofErr w:type="spellEnd"/>
            <w:r w:rsidRPr="00713F1E">
              <w:rPr>
                <w:rFonts w:ascii="Times New Roman" w:eastAsia="Times New Roman" w:hAnsi="Times New Roman" w:cs="Times New Roman"/>
                <w:color w:val="000000"/>
                <w:szCs w:val="22"/>
                <w:lang w:val="fr-FR"/>
              </w:rPr>
              <w:t xml:space="preserve"> N, Cavalier S et al. </w:t>
            </w:r>
            <w:r w:rsidRPr="00A14942">
              <w:rPr>
                <w:rFonts w:ascii="Times New Roman" w:eastAsia="Times New Roman" w:hAnsi="Times New Roman" w:cs="Times New Roman"/>
                <w:color w:val="000000"/>
                <w:szCs w:val="22"/>
              </w:rPr>
              <w:t xml:space="preserve">(2017) Teriflunomide slows BVL in relapsing MS. Neurology: neuroimmunology and neuroinflammation 4 (5): </w:t>
            </w:r>
          </w:p>
        </w:tc>
      </w:tr>
      <w:tr w:rsidR="00F93E19" w:rsidRPr="00F93E19" w14:paraId="3696E4F5" w14:textId="77777777" w:rsidTr="00F93E19">
        <w:trPr>
          <w:trHeight w:val="144"/>
        </w:trPr>
        <w:tc>
          <w:tcPr>
            <w:tcW w:w="9360" w:type="dxa"/>
            <w:tcBorders>
              <w:top w:val="nil"/>
              <w:left w:val="nil"/>
              <w:bottom w:val="nil"/>
              <w:right w:val="nil"/>
            </w:tcBorders>
            <w:shd w:val="clear" w:color="auto" w:fill="auto"/>
            <w:noWrap/>
            <w:vAlign w:val="bottom"/>
            <w:hideMark/>
          </w:tcPr>
          <w:p w14:paraId="210421F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Radue EW, Sprenger T, Gaetano L, Mueller-Lenke N, Wuerfel J et al. (2016) Teriflunomide slows brain volume loss in relapsing MS: a </w:t>
            </w:r>
            <w:proofErr w:type="spellStart"/>
            <w:r w:rsidRPr="00A14942">
              <w:rPr>
                <w:rFonts w:ascii="Times New Roman" w:eastAsia="Times New Roman" w:hAnsi="Times New Roman" w:cs="Times New Roman"/>
                <w:color w:val="000000"/>
                <w:szCs w:val="22"/>
              </w:rPr>
              <w:t>siena</w:t>
            </w:r>
            <w:proofErr w:type="spellEnd"/>
            <w:r w:rsidRPr="00A14942">
              <w:rPr>
                <w:rFonts w:ascii="Times New Roman" w:eastAsia="Times New Roman" w:hAnsi="Times New Roman" w:cs="Times New Roman"/>
                <w:color w:val="000000"/>
                <w:szCs w:val="22"/>
              </w:rPr>
              <w:t xml:space="preserve"> analysis of the TEMSO MRI dataset. Multiple Sclerosis Conference: 9th congress of the pan-</w:t>
            </w:r>
            <w:proofErr w:type="spellStart"/>
            <w:r w:rsidRPr="00A14942">
              <w:rPr>
                <w:rFonts w:ascii="Times New Roman" w:eastAsia="Times New Roman" w:hAnsi="Times New Roman" w:cs="Times New Roman"/>
                <w:color w:val="000000"/>
                <w:szCs w:val="22"/>
              </w:rPr>
              <w:t>asian</w:t>
            </w:r>
            <w:proofErr w:type="spellEnd"/>
            <w:r w:rsidRPr="00A14942">
              <w:rPr>
                <w:rFonts w:ascii="Times New Roman" w:eastAsia="Times New Roman" w:hAnsi="Times New Roman" w:cs="Times New Roman"/>
                <w:color w:val="000000"/>
                <w:szCs w:val="22"/>
              </w:rPr>
              <w:t xml:space="preserve"> committee for treatment and research in multiple sclerosis, PACTRIMS. 2016. Thailand 22 (3): 405.</w:t>
            </w:r>
          </w:p>
        </w:tc>
      </w:tr>
      <w:tr w:rsidR="00F93E19" w:rsidRPr="00F93E19" w14:paraId="32BB0DEA" w14:textId="77777777" w:rsidTr="00F93E19">
        <w:trPr>
          <w:trHeight w:val="144"/>
        </w:trPr>
        <w:tc>
          <w:tcPr>
            <w:tcW w:w="9360" w:type="dxa"/>
            <w:tcBorders>
              <w:top w:val="nil"/>
              <w:left w:val="nil"/>
              <w:bottom w:val="nil"/>
              <w:right w:val="nil"/>
            </w:tcBorders>
            <w:shd w:val="clear" w:color="auto" w:fill="auto"/>
            <w:noWrap/>
            <w:vAlign w:val="bottom"/>
            <w:hideMark/>
          </w:tcPr>
          <w:p w14:paraId="55DA4CA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Rocca MA, Mattioli FC, Gallo P, Centonze D, Sacca F et al. </w:t>
            </w:r>
            <w:r w:rsidRPr="00A14942">
              <w:rPr>
                <w:rFonts w:ascii="Times New Roman" w:eastAsia="Times New Roman" w:hAnsi="Times New Roman" w:cs="Times New Roman"/>
                <w:color w:val="000000"/>
                <w:szCs w:val="22"/>
              </w:rPr>
              <w:t xml:space="preserve">(2017) Efficacy of fingolimod and interferon beta-1b on cognitive, MRI, and clinical outcomes in relapsing-remitting multiple sclerosis: an 18-month, open-label, rater-blinded,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study (the GOLDEN study). Journal of Neurology 264 (12): 2436-2449.</w:t>
            </w:r>
          </w:p>
        </w:tc>
      </w:tr>
      <w:tr w:rsidR="00F93E19" w:rsidRPr="00F93E19" w14:paraId="36F8C254" w14:textId="77777777" w:rsidTr="00F93E19">
        <w:trPr>
          <w:trHeight w:val="144"/>
        </w:trPr>
        <w:tc>
          <w:tcPr>
            <w:tcW w:w="9360" w:type="dxa"/>
            <w:tcBorders>
              <w:top w:val="nil"/>
              <w:left w:val="nil"/>
              <w:bottom w:val="nil"/>
              <w:right w:val="nil"/>
            </w:tcBorders>
            <w:shd w:val="clear" w:color="auto" w:fill="auto"/>
            <w:noWrap/>
            <w:vAlign w:val="bottom"/>
            <w:hideMark/>
          </w:tcPr>
          <w:p w14:paraId="4D1197C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Rovaris M, Comi G, Rocca MA, Wolinsky JS, Filippi M et al. </w:t>
            </w:r>
            <w:r w:rsidRPr="00A14942">
              <w:rPr>
                <w:rFonts w:ascii="Times New Roman" w:eastAsia="Times New Roman" w:hAnsi="Times New Roman" w:cs="Times New Roman"/>
                <w:color w:val="000000"/>
                <w:szCs w:val="22"/>
              </w:rPr>
              <w:t>(2001) Short-term brain volume change in relapsing-remitting multiple sclerosis: Effect of glatiramer acetate and implications. Brain 124 (9): 1803-1812.</w:t>
            </w:r>
          </w:p>
        </w:tc>
      </w:tr>
      <w:tr w:rsidR="00F93E19" w:rsidRPr="00F93E19" w14:paraId="44638631" w14:textId="77777777" w:rsidTr="00F93E19">
        <w:trPr>
          <w:trHeight w:val="144"/>
        </w:trPr>
        <w:tc>
          <w:tcPr>
            <w:tcW w:w="9360" w:type="dxa"/>
            <w:tcBorders>
              <w:top w:val="nil"/>
              <w:left w:val="nil"/>
              <w:bottom w:val="nil"/>
              <w:right w:val="nil"/>
            </w:tcBorders>
            <w:shd w:val="clear" w:color="auto" w:fill="auto"/>
            <w:noWrap/>
            <w:vAlign w:val="bottom"/>
            <w:hideMark/>
          </w:tcPr>
          <w:p w14:paraId="0043CED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Rudick RA, Fisher E, Lee JC, Simon J, Jacobs L (1999) Use of the brain parenchymal fraction to measure whole brain atrophy in relapsing-remitting MS. Neurology 53 (8): 1698-1704.</w:t>
            </w:r>
          </w:p>
        </w:tc>
      </w:tr>
      <w:tr w:rsidR="00F93E19" w:rsidRPr="00F93E19" w14:paraId="1931FB5A" w14:textId="77777777" w:rsidTr="00F93E19">
        <w:trPr>
          <w:trHeight w:val="144"/>
        </w:trPr>
        <w:tc>
          <w:tcPr>
            <w:tcW w:w="9360" w:type="dxa"/>
            <w:tcBorders>
              <w:top w:val="nil"/>
              <w:left w:val="nil"/>
              <w:bottom w:val="nil"/>
              <w:right w:val="nil"/>
            </w:tcBorders>
            <w:shd w:val="clear" w:color="auto" w:fill="auto"/>
            <w:noWrap/>
            <w:vAlign w:val="bottom"/>
            <w:hideMark/>
          </w:tcPr>
          <w:p w14:paraId="391FEF7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Saida T, Kira JI, </w:t>
            </w:r>
            <w:proofErr w:type="spellStart"/>
            <w:r w:rsidRPr="00713F1E">
              <w:rPr>
                <w:rFonts w:ascii="Times New Roman" w:eastAsia="Times New Roman" w:hAnsi="Times New Roman" w:cs="Times New Roman"/>
                <w:color w:val="000000"/>
                <w:szCs w:val="22"/>
                <w:lang w:val="fr-FR"/>
              </w:rPr>
              <w:t>Kishida</w:t>
            </w:r>
            <w:proofErr w:type="spellEnd"/>
            <w:r w:rsidRPr="00713F1E">
              <w:rPr>
                <w:rFonts w:ascii="Times New Roman" w:eastAsia="Times New Roman" w:hAnsi="Times New Roman" w:cs="Times New Roman"/>
                <w:color w:val="000000"/>
                <w:szCs w:val="22"/>
                <w:lang w:val="fr-FR"/>
              </w:rPr>
              <w:t xml:space="preserve"> S, </w:t>
            </w:r>
            <w:proofErr w:type="spellStart"/>
            <w:r w:rsidRPr="00713F1E">
              <w:rPr>
                <w:rFonts w:ascii="Times New Roman" w:eastAsia="Times New Roman" w:hAnsi="Times New Roman" w:cs="Times New Roman"/>
                <w:color w:val="000000"/>
                <w:szCs w:val="22"/>
                <w:lang w:val="fr-FR"/>
              </w:rPr>
              <w:t>Yamamura</w:t>
            </w:r>
            <w:proofErr w:type="spellEnd"/>
            <w:r w:rsidRPr="00713F1E">
              <w:rPr>
                <w:rFonts w:ascii="Times New Roman" w:eastAsia="Times New Roman" w:hAnsi="Times New Roman" w:cs="Times New Roman"/>
                <w:color w:val="000000"/>
                <w:szCs w:val="22"/>
                <w:lang w:val="fr-FR"/>
              </w:rPr>
              <w:t xml:space="preserve"> T, </w:t>
            </w:r>
            <w:proofErr w:type="spellStart"/>
            <w:r w:rsidRPr="00713F1E">
              <w:rPr>
                <w:rFonts w:ascii="Times New Roman" w:eastAsia="Times New Roman" w:hAnsi="Times New Roman" w:cs="Times New Roman"/>
                <w:color w:val="000000"/>
                <w:szCs w:val="22"/>
                <w:lang w:val="fr-FR"/>
              </w:rPr>
              <w:t>Sudo</w:t>
            </w:r>
            <w:proofErr w:type="spellEnd"/>
            <w:r w:rsidRPr="00713F1E">
              <w:rPr>
                <w:rFonts w:ascii="Times New Roman" w:eastAsia="Times New Roman" w:hAnsi="Times New Roman" w:cs="Times New Roman"/>
                <w:color w:val="000000"/>
                <w:szCs w:val="22"/>
                <w:lang w:val="fr-FR"/>
              </w:rPr>
              <w:t xml:space="preserve"> Y et al. </w:t>
            </w:r>
            <w:r w:rsidRPr="00A14942">
              <w:rPr>
                <w:rFonts w:ascii="Times New Roman" w:eastAsia="Times New Roman" w:hAnsi="Times New Roman" w:cs="Times New Roman"/>
                <w:color w:val="000000"/>
                <w:szCs w:val="22"/>
              </w:rPr>
              <w:t>(2017) Efficacy, safety, and pharmacokinetics of natalizumab in Japanese multiple sclerosis patients: A double-blind, randomized controlled trial and open-label pharmacokinetic study. Multiple Sclerosis and Related Disorders 11 25-31.</w:t>
            </w:r>
          </w:p>
        </w:tc>
      </w:tr>
      <w:tr w:rsidR="00F93E19" w:rsidRPr="00F93E19" w14:paraId="4B663F98" w14:textId="77777777" w:rsidTr="00F93E19">
        <w:trPr>
          <w:trHeight w:val="144"/>
        </w:trPr>
        <w:tc>
          <w:tcPr>
            <w:tcW w:w="9360" w:type="dxa"/>
            <w:tcBorders>
              <w:top w:val="nil"/>
              <w:left w:val="nil"/>
              <w:bottom w:val="nil"/>
              <w:right w:val="nil"/>
            </w:tcBorders>
            <w:shd w:val="clear" w:color="auto" w:fill="auto"/>
            <w:noWrap/>
            <w:vAlign w:val="bottom"/>
            <w:hideMark/>
          </w:tcPr>
          <w:p w14:paraId="2D8466B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Li D, Stuve O, Kappos L, Hartung H et al. (2011) BAF312, a selective sphingosine 1-phosphate receptor modulator, effectively suppresses MRI lesion activity in </w:t>
            </w:r>
            <w:r w:rsidRPr="00A14942">
              <w:rPr>
                <w:rFonts w:ascii="Times New Roman" w:eastAsia="Times New Roman" w:hAnsi="Times New Roman" w:cs="Times New Roman"/>
                <w:color w:val="000000"/>
                <w:szCs w:val="22"/>
              </w:rPr>
              <w:lastRenderedPageBreak/>
              <w:t>relapsing-remitting multiple sclerosis: Findings of an adaptive dose-ranging phase 2 study.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17 (10 SUPPL. 1): S510-S511.</w:t>
            </w:r>
          </w:p>
        </w:tc>
      </w:tr>
      <w:tr w:rsidR="00F93E19" w:rsidRPr="00F93E19" w14:paraId="727D1BF0" w14:textId="77777777" w:rsidTr="00F93E19">
        <w:trPr>
          <w:trHeight w:val="144"/>
        </w:trPr>
        <w:tc>
          <w:tcPr>
            <w:tcW w:w="9360" w:type="dxa"/>
            <w:tcBorders>
              <w:top w:val="nil"/>
              <w:left w:val="nil"/>
              <w:bottom w:val="nil"/>
              <w:right w:val="nil"/>
            </w:tcBorders>
            <w:shd w:val="clear" w:color="auto" w:fill="auto"/>
            <w:noWrap/>
            <w:vAlign w:val="bottom"/>
            <w:hideMark/>
          </w:tcPr>
          <w:p w14:paraId="2CA28961"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lastRenderedPageBreak/>
              <w:t>Selmaj</w:t>
            </w:r>
            <w:proofErr w:type="spellEnd"/>
            <w:r w:rsidRPr="00A14942">
              <w:rPr>
                <w:rFonts w:ascii="Times New Roman" w:eastAsia="Times New Roman" w:hAnsi="Times New Roman" w:cs="Times New Roman"/>
                <w:color w:val="000000"/>
                <w:szCs w:val="22"/>
              </w:rPr>
              <w:t xml:space="preserve"> K, Li DKB, Hartung HP, Hemmer B, Kappos L et al. (2013) Siponimod for patients with relapsing-remitting multiple sclerosis (BOLD): An adaptive, dose-ranging,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phase 2 study. The Lancet Neurology 12 (8): 756-767.</w:t>
            </w:r>
          </w:p>
        </w:tc>
      </w:tr>
      <w:tr w:rsidR="00F93E19" w:rsidRPr="00F93E19" w14:paraId="230CC64B" w14:textId="77777777" w:rsidTr="00F93E19">
        <w:trPr>
          <w:trHeight w:val="144"/>
        </w:trPr>
        <w:tc>
          <w:tcPr>
            <w:tcW w:w="9360" w:type="dxa"/>
            <w:tcBorders>
              <w:top w:val="nil"/>
              <w:left w:val="nil"/>
              <w:bottom w:val="nil"/>
              <w:right w:val="nil"/>
            </w:tcBorders>
            <w:shd w:val="clear" w:color="auto" w:fill="auto"/>
            <w:noWrap/>
            <w:vAlign w:val="bottom"/>
            <w:hideMark/>
          </w:tcPr>
          <w:p w14:paraId="44A5ADE3"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Sormani</w:t>
            </w:r>
            <w:proofErr w:type="spellEnd"/>
            <w:r w:rsidRPr="00713F1E">
              <w:rPr>
                <w:rFonts w:ascii="Times New Roman" w:eastAsia="Times New Roman" w:hAnsi="Times New Roman" w:cs="Times New Roman"/>
                <w:color w:val="000000"/>
                <w:szCs w:val="22"/>
                <w:lang w:val="fr-FR"/>
              </w:rPr>
              <w:t xml:space="preserve"> MP, De Stefano N, Francis G,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Chin P et al. </w:t>
            </w:r>
            <w:r w:rsidRPr="00A14942">
              <w:rPr>
                <w:rFonts w:ascii="Times New Roman" w:eastAsia="Times New Roman" w:hAnsi="Times New Roman" w:cs="Times New Roman"/>
                <w:color w:val="000000"/>
                <w:szCs w:val="22"/>
              </w:rPr>
              <w:t>(2015) Fingolimod effect on brain volume loss independently contributes to its effect on disability.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21 (7): 916-924.</w:t>
            </w:r>
          </w:p>
        </w:tc>
      </w:tr>
      <w:tr w:rsidR="00F93E19" w:rsidRPr="00F93E19" w14:paraId="2E59C940" w14:textId="77777777" w:rsidTr="00F93E19">
        <w:trPr>
          <w:trHeight w:val="144"/>
        </w:trPr>
        <w:tc>
          <w:tcPr>
            <w:tcW w:w="9360" w:type="dxa"/>
            <w:tcBorders>
              <w:top w:val="nil"/>
              <w:left w:val="nil"/>
              <w:bottom w:val="nil"/>
              <w:right w:val="nil"/>
            </w:tcBorders>
            <w:shd w:val="clear" w:color="auto" w:fill="auto"/>
            <w:noWrap/>
            <w:vAlign w:val="bottom"/>
            <w:hideMark/>
          </w:tcPr>
          <w:p w14:paraId="3C1FE32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Sprenger TS, M.P.; Wolinsky, J.S.; Wuerfel, J.; Thangavelu, K.; Cavalier, S.;  Mandel, M.; Kappos, L. (2017) Evaluation of the long-term treatment effect of teriflunomide on cognitive outcomes and association with brain volume change: data from TEMSO and its extension study. Multiple Sclerosis Journal Conference: 7th Joint ECTRIMS-ACTRIMS, MSPARIS2017. France. 23 (3 Supplement 1): 331.</w:t>
            </w:r>
          </w:p>
        </w:tc>
      </w:tr>
      <w:tr w:rsidR="00F93E19" w:rsidRPr="00F93E19" w14:paraId="69DE992D" w14:textId="77777777" w:rsidTr="00F93E19">
        <w:trPr>
          <w:trHeight w:val="144"/>
        </w:trPr>
        <w:tc>
          <w:tcPr>
            <w:tcW w:w="9360" w:type="dxa"/>
            <w:tcBorders>
              <w:top w:val="nil"/>
              <w:left w:val="nil"/>
              <w:bottom w:val="nil"/>
              <w:right w:val="nil"/>
            </w:tcBorders>
            <w:shd w:val="clear" w:color="auto" w:fill="auto"/>
            <w:noWrap/>
            <w:vAlign w:val="bottom"/>
            <w:hideMark/>
          </w:tcPr>
          <w:p w14:paraId="458A68AD"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Stephen Hauser DA, Amit Bar-Or, Giancarlo Comi, Hans-Peter Hartung, Fred Lublin, Krzysztof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Anthony </w:t>
            </w:r>
            <w:proofErr w:type="spellStart"/>
            <w:r w:rsidRPr="00A14942">
              <w:rPr>
                <w:rFonts w:ascii="Times New Roman" w:eastAsia="Times New Roman" w:hAnsi="Times New Roman" w:cs="Times New Roman"/>
                <w:color w:val="000000"/>
                <w:szCs w:val="22"/>
              </w:rPr>
              <w:t>Traboulsee</w:t>
            </w:r>
            <w:proofErr w:type="spellEnd"/>
            <w:r w:rsidRPr="00A14942">
              <w:rPr>
                <w:rFonts w:ascii="Times New Roman" w:eastAsia="Times New Roman" w:hAnsi="Times New Roman" w:cs="Times New Roman"/>
                <w:color w:val="000000"/>
                <w:szCs w:val="22"/>
              </w:rPr>
              <w:t xml:space="preserve">, Gaelle </w:t>
            </w:r>
            <w:proofErr w:type="spellStart"/>
            <w:r w:rsidRPr="00A14942">
              <w:rPr>
                <w:rFonts w:ascii="Times New Roman" w:eastAsia="Times New Roman" w:hAnsi="Times New Roman" w:cs="Times New Roman"/>
                <w:color w:val="000000"/>
                <w:szCs w:val="22"/>
              </w:rPr>
              <w:t>Klingelschmitt</w:t>
            </w:r>
            <w:proofErr w:type="spellEnd"/>
            <w:r w:rsidRPr="00A14942">
              <w:rPr>
                <w:rFonts w:ascii="Times New Roman" w:eastAsia="Times New Roman" w:hAnsi="Times New Roman" w:cs="Times New Roman"/>
                <w:color w:val="000000"/>
                <w:szCs w:val="22"/>
              </w:rPr>
              <w:t xml:space="preserve">, Donna Masterman, Paulo Fontoura, Peter Chin, Hideki Garren, Ludwig Kappos (2016) Efficacy of ocrelizumab in patients with relapsing multiple sclerosis: pooled analysis of two identical phase III, double-blind, double-dummy, interferon beta-1a-controlled studies. Journal of Neurology 86 (16 Suppl): </w:t>
            </w:r>
          </w:p>
        </w:tc>
      </w:tr>
      <w:tr w:rsidR="00F93E19" w:rsidRPr="00F93E19" w14:paraId="78BC6DC0" w14:textId="77777777" w:rsidTr="00F93E19">
        <w:trPr>
          <w:trHeight w:val="144"/>
        </w:trPr>
        <w:tc>
          <w:tcPr>
            <w:tcW w:w="9360" w:type="dxa"/>
            <w:tcBorders>
              <w:top w:val="nil"/>
              <w:left w:val="nil"/>
              <w:bottom w:val="nil"/>
              <w:right w:val="nil"/>
            </w:tcBorders>
            <w:shd w:val="clear" w:color="auto" w:fill="auto"/>
            <w:noWrap/>
            <w:vAlign w:val="bottom"/>
            <w:hideMark/>
          </w:tcPr>
          <w:p w14:paraId="1BA73582"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Traboulsee A, Hauser S,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 Kappos L, Racke M et al. (2017) Efficacy of ocrelizumab on brain MRI outcomes in patients with early relapsing multiple sclerosis: pooled analysis of the opera studies. Neurology 88 (16): </w:t>
            </w:r>
          </w:p>
        </w:tc>
      </w:tr>
      <w:tr w:rsidR="00F93E19" w:rsidRPr="00F93E19" w14:paraId="6865640B" w14:textId="77777777" w:rsidTr="00F93E19">
        <w:trPr>
          <w:trHeight w:val="144"/>
        </w:trPr>
        <w:tc>
          <w:tcPr>
            <w:tcW w:w="9360" w:type="dxa"/>
            <w:tcBorders>
              <w:top w:val="nil"/>
              <w:left w:val="nil"/>
              <w:bottom w:val="nil"/>
              <w:right w:val="nil"/>
            </w:tcBorders>
            <w:shd w:val="clear" w:color="auto" w:fill="auto"/>
            <w:noWrap/>
            <w:vAlign w:val="bottom"/>
            <w:hideMark/>
          </w:tcPr>
          <w:p w14:paraId="6FCB616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Turner B, Cree BAC, </w:t>
            </w: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w:t>
            </w:r>
            <w:proofErr w:type="spellStart"/>
            <w:r w:rsidRPr="00713F1E">
              <w:rPr>
                <w:rFonts w:ascii="Times New Roman" w:eastAsia="Times New Roman" w:hAnsi="Times New Roman" w:cs="Times New Roman"/>
                <w:color w:val="000000"/>
                <w:szCs w:val="22"/>
                <w:lang w:val="fr-FR"/>
              </w:rPr>
              <w:t>Montalban</w:t>
            </w:r>
            <w:proofErr w:type="spellEnd"/>
            <w:r w:rsidRPr="00713F1E">
              <w:rPr>
                <w:rFonts w:ascii="Times New Roman" w:eastAsia="Times New Roman" w:hAnsi="Times New Roman" w:cs="Times New Roman"/>
                <w:color w:val="000000"/>
                <w:szCs w:val="22"/>
                <w:lang w:val="fr-FR"/>
              </w:rPr>
              <w:t xml:space="preserve"> X, </w:t>
            </w:r>
            <w:proofErr w:type="spellStart"/>
            <w:r w:rsidRPr="00713F1E">
              <w:rPr>
                <w:rFonts w:ascii="Times New Roman" w:eastAsia="Times New Roman" w:hAnsi="Times New Roman" w:cs="Times New Roman"/>
                <w:color w:val="000000"/>
                <w:szCs w:val="22"/>
                <w:lang w:val="fr-FR"/>
              </w:rPr>
              <w:t>Papeix</w:t>
            </w:r>
            <w:proofErr w:type="spellEnd"/>
            <w:r w:rsidRPr="00713F1E">
              <w:rPr>
                <w:rFonts w:ascii="Times New Roman" w:eastAsia="Times New Roman" w:hAnsi="Times New Roman" w:cs="Times New Roman"/>
                <w:color w:val="000000"/>
                <w:szCs w:val="22"/>
                <w:lang w:val="fr-FR"/>
              </w:rPr>
              <w:t xml:space="preserve"> C et al. </w:t>
            </w:r>
            <w:r w:rsidRPr="00A14942">
              <w:rPr>
                <w:rFonts w:ascii="Times New Roman" w:eastAsia="Times New Roman" w:hAnsi="Times New Roman" w:cs="Times New Roman"/>
                <w:color w:val="000000"/>
                <w:szCs w:val="22"/>
              </w:rPr>
              <w:t>(2019) Ocrelizumab efficacy in subgroups of patients with relapsing multiple sclerosis. Journal of Neurology 266 (5): 1182-1193.</w:t>
            </w:r>
          </w:p>
        </w:tc>
      </w:tr>
      <w:tr w:rsidR="00F93E19" w:rsidRPr="00F93E19" w14:paraId="0749ECEE" w14:textId="77777777" w:rsidTr="00F93E19">
        <w:trPr>
          <w:trHeight w:val="144"/>
        </w:trPr>
        <w:tc>
          <w:tcPr>
            <w:tcW w:w="9360" w:type="dxa"/>
            <w:tcBorders>
              <w:top w:val="nil"/>
              <w:left w:val="nil"/>
              <w:bottom w:val="nil"/>
              <w:right w:val="nil"/>
            </w:tcBorders>
            <w:shd w:val="clear" w:color="auto" w:fill="auto"/>
            <w:noWrap/>
            <w:vAlign w:val="bottom"/>
            <w:hideMark/>
          </w:tcPr>
          <w:p w14:paraId="14BBE4EC"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(2002). REBIF (interferon beta-1a subcutaneous), New Drug Application No. 103780. Available online at: https://www.accessdata.fda.gov/scripts/cder/daf/index.cfm?event=overview.process&amp;ApplNo=103780. Accessed: </w:t>
            </w:r>
          </w:p>
        </w:tc>
      </w:tr>
      <w:tr w:rsidR="00F93E19" w:rsidRPr="00F93E19" w14:paraId="0CB0FD04" w14:textId="77777777" w:rsidTr="00F93E19">
        <w:trPr>
          <w:trHeight w:val="144"/>
        </w:trPr>
        <w:tc>
          <w:tcPr>
            <w:tcW w:w="9360" w:type="dxa"/>
            <w:tcBorders>
              <w:top w:val="nil"/>
              <w:left w:val="nil"/>
              <w:bottom w:val="nil"/>
              <w:right w:val="nil"/>
            </w:tcBorders>
            <w:shd w:val="clear" w:color="auto" w:fill="auto"/>
            <w:noWrap/>
            <w:vAlign w:val="bottom"/>
            <w:hideMark/>
          </w:tcPr>
          <w:p w14:paraId="3A132CF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(2003). BETASERON (interferon beta-1b), New Drug Application No. 103471. Available online at: https://www.accessdata.fda.gov/scripts/cder/daf/index.cfm?event=overview.process&amp;ApplNo=103471. Accessed: </w:t>
            </w:r>
          </w:p>
        </w:tc>
      </w:tr>
      <w:tr w:rsidR="00F93E19" w:rsidRPr="00F93E19" w14:paraId="4B57D0CA" w14:textId="77777777" w:rsidTr="00F93E19">
        <w:trPr>
          <w:trHeight w:val="144"/>
        </w:trPr>
        <w:tc>
          <w:tcPr>
            <w:tcW w:w="9360" w:type="dxa"/>
            <w:tcBorders>
              <w:top w:val="nil"/>
              <w:left w:val="nil"/>
              <w:bottom w:val="nil"/>
              <w:right w:val="nil"/>
            </w:tcBorders>
            <w:shd w:val="clear" w:color="auto" w:fill="auto"/>
            <w:noWrap/>
            <w:vAlign w:val="bottom"/>
            <w:hideMark/>
          </w:tcPr>
          <w:p w14:paraId="7CE72A89"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(2010). GILENYA (fingolimod), New Drug Application No. 022527. Available online at: https://www.accessdata.fda.gov/scripts/cder/daf/index.cfm?event=overview.process&amp;ApplNo=022527. Accessed: </w:t>
            </w:r>
          </w:p>
        </w:tc>
      </w:tr>
      <w:tr w:rsidR="00F93E19" w:rsidRPr="00F93E19" w14:paraId="0EB35A2C" w14:textId="77777777" w:rsidTr="00F93E19">
        <w:trPr>
          <w:trHeight w:val="144"/>
        </w:trPr>
        <w:tc>
          <w:tcPr>
            <w:tcW w:w="9360" w:type="dxa"/>
            <w:tcBorders>
              <w:top w:val="nil"/>
              <w:left w:val="nil"/>
              <w:bottom w:val="nil"/>
              <w:right w:val="nil"/>
            </w:tcBorders>
            <w:shd w:val="clear" w:color="auto" w:fill="auto"/>
            <w:noWrap/>
            <w:vAlign w:val="bottom"/>
            <w:hideMark/>
          </w:tcPr>
          <w:p w14:paraId="02F1BB8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(2012). AUBAGIO (teriflunomide), New Drug Application No. 202992. Available online at: https://www.accessdata.fda.gov/scripts/cder/daf/index.cfm?event=overview.process&amp;ApplNo=202992. Accessed: </w:t>
            </w:r>
          </w:p>
        </w:tc>
      </w:tr>
      <w:tr w:rsidR="00F93E19" w:rsidRPr="00F93E19" w14:paraId="6AA8A7F8" w14:textId="77777777" w:rsidTr="00F93E19">
        <w:trPr>
          <w:trHeight w:val="144"/>
        </w:trPr>
        <w:tc>
          <w:tcPr>
            <w:tcW w:w="9360" w:type="dxa"/>
            <w:tcBorders>
              <w:top w:val="nil"/>
              <w:left w:val="nil"/>
              <w:bottom w:val="nil"/>
              <w:right w:val="nil"/>
            </w:tcBorders>
            <w:shd w:val="clear" w:color="auto" w:fill="auto"/>
            <w:noWrap/>
            <w:vAlign w:val="bottom"/>
            <w:hideMark/>
          </w:tcPr>
          <w:p w14:paraId="11970BB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(2013). TECFIDERA (dimethyl fumarate), New Drug Application No. 204063. Available online at: https://www.accessdata.fda.gov/scripts/cder/daf/index.cfm?event=overview.process&amp;ApplNo=204063. Accessed: </w:t>
            </w:r>
          </w:p>
        </w:tc>
      </w:tr>
      <w:tr w:rsidR="00F93E19" w:rsidRPr="00F93E19" w14:paraId="457AE1DD" w14:textId="77777777" w:rsidTr="00F93E19">
        <w:trPr>
          <w:trHeight w:val="144"/>
        </w:trPr>
        <w:tc>
          <w:tcPr>
            <w:tcW w:w="9360" w:type="dxa"/>
            <w:tcBorders>
              <w:top w:val="nil"/>
              <w:left w:val="nil"/>
              <w:bottom w:val="nil"/>
              <w:right w:val="nil"/>
            </w:tcBorders>
            <w:shd w:val="clear" w:color="auto" w:fill="auto"/>
            <w:noWrap/>
            <w:vAlign w:val="bottom"/>
            <w:hideMark/>
          </w:tcPr>
          <w:p w14:paraId="6340BC0B"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lastRenderedPageBreak/>
              <w:t xml:space="preserve">United States Food and Drug Administration (2014). PLEGRIDY (peginterferon), New Drug Application No. 125499. Available online at: https://www.accessdata.fda.gov/scripts/cder/daf/index.cfm?event=overview.process&amp;ApplNo=125499. Accessed: </w:t>
            </w:r>
          </w:p>
        </w:tc>
      </w:tr>
      <w:tr w:rsidR="00F93E19" w:rsidRPr="00F93E19" w14:paraId="734331C0" w14:textId="77777777" w:rsidTr="00F93E19">
        <w:trPr>
          <w:trHeight w:val="144"/>
        </w:trPr>
        <w:tc>
          <w:tcPr>
            <w:tcW w:w="9360" w:type="dxa"/>
            <w:tcBorders>
              <w:top w:val="nil"/>
              <w:left w:val="nil"/>
              <w:bottom w:val="nil"/>
              <w:right w:val="nil"/>
            </w:tcBorders>
            <w:shd w:val="clear" w:color="auto" w:fill="auto"/>
            <w:noWrap/>
            <w:vAlign w:val="bottom"/>
            <w:hideMark/>
          </w:tcPr>
          <w:p w14:paraId="1637BC65"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United States Food and Drug Administration (2017). OCREVUS (ocrelizumab), New Drug Application No. 761053. Available online at: https://www.accessdata.fda.gov/scripts/cder/daf/index.cfm?event=overview.process&amp;ApplNo=761053. Accessed: </w:t>
            </w:r>
          </w:p>
        </w:tc>
      </w:tr>
      <w:tr w:rsidR="00F93E19" w:rsidRPr="00F93E19" w14:paraId="540F290B" w14:textId="77777777" w:rsidTr="00F93E19">
        <w:trPr>
          <w:trHeight w:val="144"/>
        </w:trPr>
        <w:tc>
          <w:tcPr>
            <w:tcW w:w="9360" w:type="dxa"/>
            <w:tcBorders>
              <w:top w:val="nil"/>
              <w:left w:val="nil"/>
              <w:bottom w:val="nil"/>
              <w:right w:val="nil"/>
            </w:tcBorders>
            <w:shd w:val="clear" w:color="auto" w:fill="auto"/>
            <w:noWrap/>
            <w:vAlign w:val="bottom"/>
            <w:hideMark/>
          </w:tcPr>
          <w:p w14:paraId="73D88264"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United States Food and Drug Administration (2019). MAYZENT (</w:t>
            </w:r>
            <w:proofErr w:type="spellStart"/>
            <w:r w:rsidRPr="00A14942">
              <w:rPr>
                <w:rFonts w:ascii="Times New Roman" w:eastAsia="Times New Roman" w:hAnsi="Times New Roman" w:cs="Times New Roman"/>
                <w:color w:val="000000"/>
                <w:szCs w:val="22"/>
              </w:rPr>
              <w:t>siponimod</w:t>
            </w:r>
            <w:proofErr w:type="spellEnd"/>
            <w:r w:rsidRPr="00A14942">
              <w:rPr>
                <w:rFonts w:ascii="Times New Roman" w:eastAsia="Times New Roman" w:hAnsi="Times New Roman" w:cs="Times New Roman"/>
                <w:color w:val="000000"/>
                <w:szCs w:val="22"/>
              </w:rPr>
              <w:t xml:space="preserve">), New Drug Application No. 209884. Available online at: https://www.accessdata.fda.gov/scripts/cder/daf/index.cfm?event=overview.process&amp;ApplNo=209884. Accessed: </w:t>
            </w:r>
          </w:p>
        </w:tc>
      </w:tr>
      <w:tr w:rsidR="00F93E19" w:rsidRPr="00F93E19" w14:paraId="5F013134" w14:textId="77777777" w:rsidTr="00F93E19">
        <w:trPr>
          <w:trHeight w:val="144"/>
        </w:trPr>
        <w:tc>
          <w:tcPr>
            <w:tcW w:w="9360" w:type="dxa"/>
            <w:tcBorders>
              <w:top w:val="nil"/>
              <w:left w:val="nil"/>
              <w:bottom w:val="nil"/>
              <w:right w:val="nil"/>
            </w:tcBorders>
            <w:shd w:val="clear" w:color="auto" w:fill="auto"/>
            <w:noWrap/>
            <w:vAlign w:val="bottom"/>
            <w:hideMark/>
          </w:tcPr>
          <w:p w14:paraId="64A6686E"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Vermersch</w:t>
            </w:r>
            <w:proofErr w:type="spellEnd"/>
            <w:r w:rsidRPr="00A14942">
              <w:rPr>
                <w:rFonts w:ascii="Times New Roman" w:eastAsia="Times New Roman" w:hAnsi="Times New Roman" w:cs="Times New Roman"/>
                <w:color w:val="000000"/>
                <w:szCs w:val="22"/>
              </w:rPr>
              <w:t xml:space="preserve"> P, Galazka A, </w:t>
            </w:r>
            <w:proofErr w:type="spellStart"/>
            <w:r w:rsidRPr="00A14942">
              <w:rPr>
                <w:rFonts w:ascii="Times New Roman" w:eastAsia="Times New Roman" w:hAnsi="Times New Roman" w:cs="Times New Roman"/>
                <w:color w:val="000000"/>
                <w:szCs w:val="22"/>
              </w:rPr>
              <w:t>Dangond</w:t>
            </w:r>
            <w:proofErr w:type="spellEnd"/>
            <w:r w:rsidRPr="00A14942">
              <w:rPr>
                <w:rFonts w:ascii="Times New Roman" w:eastAsia="Times New Roman" w:hAnsi="Times New Roman" w:cs="Times New Roman"/>
                <w:color w:val="000000"/>
                <w:szCs w:val="22"/>
              </w:rPr>
              <w:t xml:space="preserve"> F, Damian D, Wong SL et al. (2021) Efficacy of cladribine tablets in high disease activity patients with relapsing multiple sclerosis: post hoc analysis of subgroups with and without prior disease-modifying drug treatment. Current Medical Research and Opinion 37 (3): 459-464.</w:t>
            </w:r>
          </w:p>
        </w:tc>
      </w:tr>
      <w:tr w:rsidR="00F93E19" w:rsidRPr="00F93E19" w14:paraId="0EE56D84" w14:textId="77777777" w:rsidTr="00F93E19">
        <w:trPr>
          <w:trHeight w:val="144"/>
        </w:trPr>
        <w:tc>
          <w:tcPr>
            <w:tcW w:w="9360" w:type="dxa"/>
            <w:tcBorders>
              <w:top w:val="nil"/>
              <w:left w:val="nil"/>
              <w:bottom w:val="nil"/>
              <w:right w:val="nil"/>
            </w:tcBorders>
            <w:shd w:val="clear" w:color="auto" w:fill="auto"/>
            <w:noWrap/>
            <w:vAlign w:val="bottom"/>
            <w:hideMark/>
          </w:tcPr>
          <w:p w14:paraId="4BC991A6"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proofErr w:type="spellStart"/>
            <w:r w:rsidRPr="00A14942">
              <w:rPr>
                <w:rFonts w:ascii="Times New Roman" w:eastAsia="Times New Roman" w:hAnsi="Times New Roman" w:cs="Times New Roman"/>
                <w:color w:val="000000"/>
                <w:szCs w:val="22"/>
              </w:rPr>
              <w:t>Vermersch</w:t>
            </w:r>
            <w:proofErr w:type="spellEnd"/>
            <w:r w:rsidRPr="00A14942">
              <w:rPr>
                <w:rFonts w:ascii="Times New Roman" w:eastAsia="Times New Roman" w:hAnsi="Times New Roman" w:cs="Times New Roman"/>
                <w:color w:val="000000"/>
                <w:szCs w:val="22"/>
              </w:rPr>
              <w:t xml:space="preserve"> P, Rammohan K, Damian D, Jack D, Harty G et al. (2019) The CLARITY Study: Efficacy Outcomes Among Patients who Received Disease-Modifying Therapies Prior to Treatment with Cladribine Tablets. Multiple Sclerosis Journal 25 301-302.</w:t>
            </w:r>
          </w:p>
        </w:tc>
      </w:tr>
      <w:tr w:rsidR="00F93E19" w:rsidRPr="00F93E19" w14:paraId="301502A2" w14:textId="77777777" w:rsidTr="00F93E19">
        <w:trPr>
          <w:trHeight w:val="144"/>
        </w:trPr>
        <w:tc>
          <w:tcPr>
            <w:tcW w:w="9360" w:type="dxa"/>
            <w:tcBorders>
              <w:top w:val="nil"/>
              <w:left w:val="nil"/>
              <w:bottom w:val="nil"/>
              <w:right w:val="nil"/>
            </w:tcBorders>
            <w:shd w:val="clear" w:color="auto" w:fill="auto"/>
            <w:noWrap/>
            <w:vAlign w:val="bottom"/>
            <w:hideMark/>
          </w:tcPr>
          <w:p w14:paraId="12A71D20"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Vollmer TL, Soelberg Sorensen P, Arnold DL (2011) A placebo-controlled and active comparator phase III trial (BRAVO) for relapsing-remitting multiple sclerosis.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17 (10 SUPPL. 1): S507-S508.</w:t>
            </w:r>
          </w:p>
        </w:tc>
      </w:tr>
      <w:tr w:rsidR="00F93E19" w:rsidRPr="00F93E19" w14:paraId="38A4E945" w14:textId="77777777" w:rsidTr="00F93E19">
        <w:trPr>
          <w:trHeight w:val="144"/>
        </w:trPr>
        <w:tc>
          <w:tcPr>
            <w:tcW w:w="9360" w:type="dxa"/>
            <w:tcBorders>
              <w:top w:val="nil"/>
              <w:left w:val="nil"/>
              <w:bottom w:val="nil"/>
              <w:right w:val="nil"/>
            </w:tcBorders>
            <w:shd w:val="clear" w:color="auto" w:fill="auto"/>
            <w:noWrap/>
            <w:vAlign w:val="bottom"/>
            <w:hideMark/>
          </w:tcPr>
          <w:p w14:paraId="3112C88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Vollmer TL, Sorensen PS, </w:t>
            </w:r>
            <w:proofErr w:type="spellStart"/>
            <w:r w:rsidRPr="00A14942">
              <w:rPr>
                <w:rFonts w:ascii="Times New Roman" w:eastAsia="Times New Roman" w:hAnsi="Times New Roman" w:cs="Times New Roman"/>
                <w:color w:val="000000"/>
                <w:szCs w:val="22"/>
              </w:rPr>
              <w:t>Selmaj</w:t>
            </w:r>
            <w:proofErr w:type="spellEnd"/>
            <w:r w:rsidRPr="00A14942">
              <w:rPr>
                <w:rFonts w:ascii="Times New Roman" w:eastAsia="Times New Roman" w:hAnsi="Times New Roman" w:cs="Times New Roman"/>
                <w:color w:val="000000"/>
                <w:szCs w:val="22"/>
              </w:rPr>
              <w:t xml:space="preserve"> K, Zipp F, </w:t>
            </w:r>
            <w:proofErr w:type="spellStart"/>
            <w:r w:rsidRPr="00A14942">
              <w:rPr>
                <w:rFonts w:ascii="Times New Roman" w:eastAsia="Times New Roman" w:hAnsi="Times New Roman" w:cs="Times New Roman"/>
                <w:color w:val="000000"/>
                <w:szCs w:val="22"/>
              </w:rPr>
              <w:t>Havrdova</w:t>
            </w:r>
            <w:proofErr w:type="spellEnd"/>
            <w:r w:rsidRPr="00A14942">
              <w:rPr>
                <w:rFonts w:ascii="Times New Roman" w:eastAsia="Times New Roman" w:hAnsi="Times New Roman" w:cs="Times New Roman"/>
                <w:color w:val="000000"/>
                <w:szCs w:val="22"/>
              </w:rPr>
              <w:t xml:space="preserve"> E et al. (2014) A randomized placebo-controlled phase III trial of oral </w:t>
            </w:r>
            <w:proofErr w:type="spellStart"/>
            <w:r w:rsidRPr="00A14942">
              <w:rPr>
                <w:rFonts w:ascii="Times New Roman" w:eastAsia="Times New Roman" w:hAnsi="Times New Roman" w:cs="Times New Roman"/>
                <w:color w:val="000000"/>
                <w:szCs w:val="22"/>
              </w:rPr>
              <w:t>laquinimod</w:t>
            </w:r>
            <w:proofErr w:type="spellEnd"/>
            <w:r w:rsidRPr="00A14942">
              <w:rPr>
                <w:rFonts w:ascii="Times New Roman" w:eastAsia="Times New Roman" w:hAnsi="Times New Roman" w:cs="Times New Roman"/>
                <w:color w:val="000000"/>
                <w:szCs w:val="22"/>
              </w:rPr>
              <w:t xml:space="preserve"> for multiple sclerosis. Journal of Neurology 261 (4): 773-783.</w:t>
            </w:r>
          </w:p>
        </w:tc>
      </w:tr>
      <w:tr w:rsidR="00F93E19" w:rsidRPr="00F93E19" w14:paraId="7424F7FC" w14:textId="77777777" w:rsidTr="00F93E19">
        <w:trPr>
          <w:trHeight w:val="144"/>
        </w:trPr>
        <w:tc>
          <w:tcPr>
            <w:tcW w:w="9360" w:type="dxa"/>
            <w:tcBorders>
              <w:top w:val="nil"/>
              <w:left w:val="nil"/>
              <w:bottom w:val="nil"/>
              <w:right w:val="nil"/>
            </w:tcBorders>
            <w:shd w:val="clear" w:color="auto" w:fill="auto"/>
            <w:noWrap/>
            <w:vAlign w:val="bottom"/>
            <w:hideMark/>
          </w:tcPr>
          <w:p w14:paraId="2995D54F"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Wolinsky JS, Narayana PA, Nelson F, Datta S, O'Connor P et al. (2013) Magnetic resonance imaging outcomes from a phase III trial of teriflunomide. Multiple Sclerosis Journal 19 (10): 1310-1319.</w:t>
            </w:r>
          </w:p>
        </w:tc>
      </w:tr>
      <w:tr w:rsidR="00F93E19" w:rsidRPr="00F93E19" w14:paraId="490D2795" w14:textId="77777777" w:rsidTr="00F93E19">
        <w:trPr>
          <w:trHeight w:val="144"/>
        </w:trPr>
        <w:tc>
          <w:tcPr>
            <w:tcW w:w="9360" w:type="dxa"/>
            <w:tcBorders>
              <w:top w:val="nil"/>
              <w:left w:val="nil"/>
              <w:bottom w:val="nil"/>
              <w:right w:val="nil"/>
            </w:tcBorders>
            <w:shd w:val="clear" w:color="auto" w:fill="auto"/>
            <w:noWrap/>
            <w:vAlign w:val="bottom"/>
            <w:hideMark/>
          </w:tcPr>
          <w:p w14:paraId="494A78E8" w14:textId="77777777" w:rsidR="00F93E19" w:rsidRPr="00A14942" w:rsidRDefault="00F93E19" w:rsidP="00223A29">
            <w:pPr>
              <w:pStyle w:val="ListParagraph"/>
              <w:numPr>
                <w:ilvl w:val="0"/>
                <w:numId w:val="21"/>
              </w:numPr>
              <w:spacing w:after="120" w:line="240" w:lineRule="auto"/>
              <w:rPr>
                <w:rFonts w:ascii="Times New Roman" w:eastAsia="Times New Roman" w:hAnsi="Times New Roman" w:cs="Times New Roman"/>
                <w:color w:val="000000"/>
                <w:szCs w:val="22"/>
              </w:rPr>
            </w:pPr>
            <w:r w:rsidRPr="00A14942">
              <w:rPr>
                <w:rFonts w:ascii="Times New Roman" w:eastAsia="Times New Roman" w:hAnsi="Times New Roman" w:cs="Times New Roman"/>
                <w:color w:val="000000"/>
                <w:szCs w:val="22"/>
              </w:rPr>
              <w:t xml:space="preserve">Zhao Y, Li DKB, </w:t>
            </w:r>
            <w:proofErr w:type="spellStart"/>
            <w:r w:rsidRPr="00A14942">
              <w:rPr>
                <w:rFonts w:ascii="Times New Roman" w:eastAsia="Times New Roman" w:hAnsi="Times New Roman" w:cs="Times New Roman"/>
                <w:color w:val="000000"/>
                <w:szCs w:val="22"/>
              </w:rPr>
              <w:t>Riddehough</w:t>
            </w:r>
            <w:proofErr w:type="spellEnd"/>
            <w:r w:rsidRPr="00A14942">
              <w:rPr>
                <w:rFonts w:ascii="Times New Roman" w:eastAsia="Times New Roman" w:hAnsi="Times New Roman" w:cs="Times New Roman"/>
                <w:color w:val="000000"/>
                <w:szCs w:val="22"/>
              </w:rPr>
              <w:t xml:space="preserve"> A, </w:t>
            </w:r>
            <w:proofErr w:type="spellStart"/>
            <w:r w:rsidRPr="00A14942">
              <w:rPr>
                <w:rFonts w:ascii="Times New Roman" w:eastAsia="Times New Roman" w:hAnsi="Times New Roman" w:cs="Times New Roman"/>
                <w:color w:val="000000"/>
                <w:szCs w:val="22"/>
              </w:rPr>
              <w:t>Traboulsee</w:t>
            </w:r>
            <w:proofErr w:type="spellEnd"/>
            <w:r w:rsidRPr="00A14942">
              <w:rPr>
                <w:rFonts w:ascii="Times New Roman" w:eastAsia="Times New Roman" w:hAnsi="Times New Roman" w:cs="Times New Roman"/>
                <w:color w:val="000000"/>
                <w:szCs w:val="22"/>
              </w:rPr>
              <w:t xml:space="preserve"> A, Masterman D et al. (2012) Ocrelizumab in relapsing-remitting multiple sclerosis: Brain volume results of a phase II </w:t>
            </w:r>
            <w:proofErr w:type="spellStart"/>
            <w:r w:rsidRPr="00A14942">
              <w:rPr>
                <w:rFonts w:ascii="Times New Roman" w:eastAsia="Times New Roman" w:hAnsi="Times New Roman" w:cs="Times New Roman"/>
                <w:color w:val="000000"/>
                <w:szCs w:val="22"/>
              </w:rPr>
              <w:t>randomised</w:t>
            </w:r>
            <w:proofErr w:type="spellEnd"/>
            <w:r w:rsidRPr="00A14942">
              <w:rPr>
                <w:rFonts w:ascii="Times New Roman" w:eastAsia="Times New Roman" w:hAnsi="Times New Roman" w:cs="Times New Roman"/>
                <w:color w:val="000000"/>
                <w:szCs w:val="22"/>
              </w:rPr>
              <w:t xml:space="preserve"> placebo-controlled </w:t>
            </w:r>
            <w:proofErr w:type="spellStart"/>
            <w:r w:rsidRPr="00A14942">
              <w:rPr>
                <w:rFonts w:ascii="Times New Roman" w:eastAsia="Times New Roman" w:hAnsi="Times New Roman" w:cs="Times New Roman"/>
                <w:color w:val="000000"/>
                <w:szCs w:val="22"/>
              </w:rPr>
              <w:t>multicentre</w:t>
            </w:r>
            <w:proofErr w:type="spellEnd"/>
            <w:r w:rsidRPr="00A14942">
              <w:rPr>
                <w:rFonts w:ascii="Times New Roman" w:eastAsia="Times New Roman" w:hAnsi="Times New Roman" w:cs="Times New Roman"/>
                <w:color w:val="000000"/>
                <w:szCs w:val="22"/>
              </w:rPr>
              <w:t xml:space="preserve"> trial. Multiple sclerosis (</w:t>
            </w:r>
            <w:proofErr w:type="spellStart"/>
            <w:r w:rsidRPr="00A14942">
              <w:rPr>
                <w:rFonts w:ascii="Times New Roman" w:eastAsia="Times New Roman" w:hAnsi="Times New Roman" w:cs="Times New Roman"/>
                <w:color w:val="000000"/>
                <w:szCs w:val="22"/>
              </w:rPr>
              <w:t>Houndmills</w:t>
            </w:r>
            <w:proofErr w:type="spellEnd"/>
            <w:r w:rsidRPr="00A14942">
              <w:rPr>
                <w:rFonts w:ascii="Times New Roman" w:eastAsia="Times New Roman" w:hAnsi="Times New Roman" w:cs="Times New Roman"/>
                <w:color w:val="000000"/>
                <w:szCs w:val="22"/>
              </w:rPr>
              <w:t>, Basingstoke, England) 18 (4 SUPPL. 1): 446-447.</w:t>
            </w:r>
          </w:p>
        </w:tc>
      </w:tr>
    </w:tbl>
    <w:p w14:paraId="7157AED7" w14:textId="77777777" w:rsidR="00F93E19" w:rsidRPr="00A14942" w:rsidRDefault="00F93E19" w:rsidP="00F93E19">
      <w:pPr>
        <w:rPr>
          <w:rFonts w:ascii="Times New Roman" w:hAnsi="Times New Roman" w:cs="Times New Roman"/>
          <w:lang w:bidi="ar-SA"/>
        </w:rPr>
      </w:pPr>
    </w:p>
    <w:p w14:paraId="21CEEB59" w14:textId="77777777" w:rsidR="00367D58" w:rsidRPr="00A14942" w:rsidRDefault="00367D58" w:rsidP="00223A29">
      <w:pPr>
        <w:pStyle w:val="Heading2"/>
        <w:rPr>
          <w:rFonts w:ascii="Times New Roman" w:hAnsi="Times New Roman" w:cs="Times New Roman"/>
        </w:rPr>
        <w:sectPr w:rsidR="00367D58" w:rsidRPr="00A14942" w:rsidSect="00B145B9">
          <w:pgSz w:w="12240" w:h="15840"/>
          <w:pgMar w:top="1440" w:right="1440" w:bottom="1440" w:left="1440" w:header="720" w:footer="720" w:gutter="0"/>
          <w:cols w:space="720"/>
          <w:docGrid w:linePitch="360"/>
        </w:sectPr>
      </w:pPr>
    </w:p>
    <w:p w14:paraId="617C41AC" w14:textId="0814EEB4" w:rsidR="00DC12BB" w:rsidRPr="00A14942" w:rsidRDefault="00DC12BB" w:rsidP="00223A29">
      <w:pPr>
        <w:pStyle w:val="Heading2"/>
        <w:rPr>
          <w:rFonts w:ascii="Times New Roman" w:hAnsi="Times New Roman" w:cs="Times New Roman"/>
        </w:rPr>
      </w:pPr>
      <w:bookmarkStart w:id="21" w:name="_Toc130240186"/>
      <w:r w:rsidRPr="00A14942">
        <w:rPr>
          <w:rFonts w:ascii="Times New Roman" w:hAnsi="Times New Roman" w:cs="Times New Roman"/>
        </w:rPr>
        <w:lastRenderedPageBreak/>
        <w:t>Cochrane risk of bias assessments</w:t>
      </w:r>
      <w:bookmarkEnd w:id="21"/>
    </w:p>
    <w:tbl>
      <w:tblPr>
        <w:tblW w:w="12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1"/>
        <w:gridCol w:w="2054"/>
        <w:gridCol w:w="1070"/>
        <w:gridCol w:w="981"/>
        <w:gridCol w:w="1195"/>
        <w:gridCol w:w="1195"/>
        <w:gridCol w:w="1133"/>
        <w:gridCol w:w="1061"/>
        <w:gridCol w:w="972"/>
        <w:gridCol w:w="981"/>
      </w:tblGrid>
      <w:tr w:rsidR="00013343" w:rsidRPr="00A14942" w14:paraId="57AC31A0" w14:textId="77777777" w:rsidTr="00013343">
        <w:trPr>
          <w:trHeight w:val="20"/>
        </w:trPr>
        <w:tc>
          <w:tcPr>
            <w:tcW w:w="1541" w:type="dxa"/>
            <w:vMerge w:val="restart"/>
            <w:shd w:val="clear" w:color="auto" w:fill="auto"/>
            <w:noWrap/>
            <w:vAlign w:val="center"/>
            <w:hideMark/>
          </w:tcPr>
          <w:p w14:paraId="27B54683" w14:textId="44BFD3E0" w:rsidR="00013343" w:rsidRPr="00367D58" w:rsidRDefault="00013343"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b/>
                <w:bCs/>
                <w:color w:val="000000"/>
                <w:sz w:val="16"/>
                <w:szCs w:val="16"/>
              </w:rPr>
              <w:t>ClinicalTrials.gov ID</w:t>
            </w:r>
          </w:p>
        </w:tc>
        <w:tc>
          <w:tcPr>
            <w:tcW w:w="2054" w:type="dxa"/>
            <w:vMerge w:val="restart"/>
            <w:shd w:val="clear" w:color="auto" w:fill="auto"/>
            <w:noWrap/>
            <w:vAlign w:val="center"/>
            <w:hideMark/>
          </w:tcPr>
          <w:p w14:paraId="705EE83A" w14:textId="75E3CD87" w:rsidR="00013343" w:rsidRPr="00367D58" w:rsidRDefault="00013343"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b/>
                <w:bCs/>
                <w:color w:val="000000"/>
                <w:sz w:val="16"/>
                <w:szCs w:val="16"/>
              </w:rPr>
              <w:t>Trial name</w:t>
            </w:r>
          </w:p>
        </w:tc>
        <w:tc>
          <w:tcPr>
            <w:tcW w:w="1070" w:type="dxa"/>
            <w:vMerge w:val="restart"/>
            <w:shd w:val="clear" w:color="auto" w:fill="auto"/>
            <w:noWrap/>
            <w:vAlign w:val="center"/>
            <w:hideMark/>
          </w:tcPr>
          <w:p w14:paraId="03FFF4B5" w14:textId="6DBC235D" w:rsidR="00013343" w:rsidRPr="00367D58" w:rsidRDefault="00013343"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b/>
                <w:bCs/>
                <w:color w:val="000000"/>
                <w:sz w:val="16"/>
                <w:szCs w:val="16"/>
              </w:rPr>
              <w:t>Year of primary publication</w:t>
            </w:r>
          </w:p>
        </w:tc>
        <w:tc>
          <w:tcPr>
            <w:tcW w:w="2176" w:type="dxa"/>
            <w:gridSpan w:val="2"/>
            <w:shd w:val="clear" w:color="auto" w:fill="auto"/>
            <w:vAlign w:val="center"/>
            <w:hideMark/>
          </w:tcPr>
          <w:p w14:paraId="07507740" w14:textId="20572300"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Selection Bias</w:t>
            </w:r>
          </w:p>
        </w:tc>
        <w:tc>
          <w:tcPr>
            <w:tcW w:w="1195" w:type="dxa"/>
            <w:shd w:val="clear" w:color="auto" w:fill="auto"/>
            <w:vAlign w:val="center"/>
            <w:hideMark/>
          </w:tcPr>
          <w:p w14:paraId="34FB8162" w14:textId="77777777"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Performance Bias</w:t>
            </w:r>
          </w:p>
        </w:tc>
        <w:tc>
          <w:tcPr>
            <w:tcW w:w="1133" w:type="dxa"/>
            <w:shd w:val="clear" w:color="auto" w:fill="auto"/>
            <w:vAlign w:val="center"/>
            <w:hideMark/>
          </w:tcPr>
          <w:p w14:paraId="2F9F49BF" w14:textId="77777777"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Detection Bias</w:t>
            </w:r>
          </w:p>
        </w:tc>
        <w:tc>
          <w:tcPr>
            <w:tcW w:w="1061" w:type="dxa"/>
            <w:shd w:val="clear" w:color="auto" w:fill="auto"/>
            <w:vAlign w:val="center"/>
            <w:hideMark/>
          </w:tcPr>
          <w:p w14:paraId="0CDCE042" w14:textId="77777777"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Attrition Bias</w:t>
            </w:r>
          </w:p>
        </w:tc>
        <w:tc>
          <w:tcPr>
            <w:tcW w:w="972" w:type="dxa"/>
            <w:shd w:val="clear" w:color="auto" w:fill="auto"/>
            <w:vAlign w:val="center"/>
            <w:hideMark/>
          </w:tcPr>
          <w:p w14:paraId="1093FC7A" w14:textId="77777777"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Reporting Bias</w:t>
            </w:r>
          </w:p>
        </w:tc>
        <w:tc>
          <w:tcPr>
            <w:tcW w:w="981" w:type="dxa"/>
            <w:vMerge w:val="restart"/>
            <w:shd w:val="clear" w:color="auto" w:fill="auto"/>
            <w:vAlign w:val="center"/>
            <w:hideMark/>
          </w:tcPr>
          <w:p w14:paraId="18498626" w14:textId="77777777" w:rsidR="00013343" w:rsidRPr="00367D58" w:rsidRDefault="00013343" w:rsidP="00013343">
            <w:pPr>
              <w:spacing w:after="0" w:line="240" w:lineRule="auto"/>
              <w:rPr>
                <w:rFonts w:ascii="Times New Roman" w:eastAsia="Times New Roman" w:hAnsi="Times New Roman" w:cs="Times New Roman"/>
                <w:b/>
                <w:bCs/>
                <w:sz w:val="16"/>
                <w:szCs w:val="16"/>
                <w:u w:val="single"/>
              </w:rPr>
            </w:pPr>
            <w:r w:rsidRPr="00367D58">
              <w:rPr>
                <w:rFonts w:ascii="Times New Roman" w:eastAsia="Times New Roman" w:hAnsi="Times New Roman" w:cs="Times New Roman"/>
                <w:b/>
                <w:bCs/>
                <w:sz w:val="16"/>
                <w:szCs w:val="16"/>
                <w:u w:val="single"/>
              </w:rPr>
              <w:t>Other Biases</w:t>
            </w:r>
          </w:p>
        </w:tc>
      </w:tr>
      <w:tr w:rsidR="00013343" w:rsidRPr="00A14942" w14:paraId="7BC13F9F" w14:textId="77777777" w:rsidTr="00013343">
        <w:trPr>
          <w:trHeight w:val="20"/>
        </w:trPr>
        <w:tc>
          <w:tcPr>
            <w:tcW w:w="1541" w:type="dxa"/>
            <w:vMerge/>
            <w:shd w:val="clear" w:color="auto" w:fill="auto"/>
            <w:noWrap/>
            <w:vAlign w:val="center"/>
            <w:hideMark/>
          </w:tcPr>
          <w:p w14:paraId="03F8AE75" w14:textId="0089E26B" w:rsidR="00013343" w:rsidRPr="00367D58" w:rsidRDefault="00013343" w:rsidP="00013343">
            <w:pPr>
              <w:spacing w:after="0" w:line="240" w:lineRule="auto"/>
              <w:rPr>
                <w:rFonts w:ascii="Times New Roman" w:eastAsia="Times New Roman" w:hAnsi="Times New Roman" w:cs="Times New Roman"/>
                <w:b/>
                <w:bCs/>
                <w:sz w:val="16"/>
                <w:szCs w:val="16"/>
                <w:u w:val="single"/>
              </w:rPr>
            </w:pPr>
          </w:p>
        </w:tc>
        <w:tc>
          <w:tcPr>
            <w:tcW w:w="2054" w:type="dxa"/>
            <w:vMerge/>
            <w:shd w:val="clear" w:color="auto" w:fill="auto"/>
            <w:noWrap/>
            <w:vAlign w:val="center"/>
            <w:hideMark/>
          </w:tcPr>
          <w:p w14:paraId="76495E1F" w14:textId="1F7C12A4" w:rsidR="00013343" w:rsidRPr="00367D58" w:rsidRDefault="00013343" w:rsidP="00013343">
            <w:pPr>
              <w:spacing w:after="0" w:line="240" w:lineRule="auto"/>
              <w:rPr>
                <w:rFonts w:ascii="Times New Roman" w:eastAsia="Times New Roman" w:hAnsi="Times New Roman" w:cs="Times New Roman"/>
                <w:sz w:val="16"/>
                <w:szCs w:val="16"/>
              </w:rPr>
            </w:pPr>
          </w:p>
        </w:tc>
        <w:tc>
          <w:tcPr>
            <w:tcW w:w="1070" w:type="dxa"/>
            <w:vMerge/>
            <w:shd w:val="clear" w:color="auto" w:fill="auto"/>
            <w:noWrap/>
            <w:vAlign w:val="center"/>
            <w:hideMark/>
          </w:tcPr>
          <w:p w14:paraId="77ACBE20" w14:textId="3A26634C" w:rsidR="00013343" w:rsidRPr="00367D58" w:rsidRDefault="00013343" w:rsidP="00013343">
            <w:pPr>
              <w:spacing w:after="0" w:line="240" w:lineRule="auto"/>
              <w:rPr>
                <w:rFonts w:ascii="Times New Roman" w:eastAsia="Times New Roman" w:hAnsi="Times New Roman" w:cs="Times New Roman"/>
                <w:sz w:val="16"/>
                <w:szCs w:val="16"/>
              </w:rPr>
            </w:pPr>
          </w:p>
        </w:tc>
        <w:tc>
          <w:tcPr>
            <w:tcW w:w="981" w:type="dxa"/>
            <w:shd w:val="clear" w:color="auto" w:fill="auto"/>
            <w:vAlign w:val="center"/>
            <w:hideMark/>
          </w:tcPr>
          <w:p w14:paraId="3906BCFF"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Random sequence</w:t>
            </w:r>
          </w:p>
        </w:tc>
        <w:tc>
          <w:tcPr>
            <w:tcW w:w="1195" w:type="dxa"/>
            <w:shd w:val="clear" w:color="auto" w:fill="auto"/>
            <w:vAlign w:val="center"/>
            <w:hideMark/>
          </w:tcPr>
          <w:p w14:paraId="528D67B7"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Allocation concealment</w:t>
            </w:r>
          </w:p>
        </w:tc>
        <w:tc>
          <w:tcPr>
            <w:tcW w:w="1195" w:type="dxa"/>
            <w:shd w:val="clear" w:color="auto" w:fill="auto"/>
            <w:vAlign w:val="center"/>
            <w:hideMark/>
          </w:tcPr>
          <w:p w14:paraId="15D0B299"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Blinding of participants and personnel</w:t>
            </w:r>
          </w:p>
        </w:tc>
        <w:tc>
          <w:tcPr>
            <w:tcW w:w="1133" w:type="dxa"/>
            <w:shd w:val="clear" w:color="auto" w:fill="auto"/>
            <w:vAlign w:val="center"/>
            <w:hideMark/>
          </w:tcPr>
          <w:p w14:paraId="02604644"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Blinding of outcome assessment</w:t>
            </w:r>
          </w:p>
        </w:tc>
        <w:tc>
          <w:tcPr>
            <w:tcW w:w="1061" w:type="dxa"/>
            <w:shd w:val="clear" w:color="auto" w:fill="auto"/>
            <w:vAlign w:val="center"/>
            <w:hideMark/>
          </w:tcPr>
          <w:p w14:paraId="42745866"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Incomplete outcome data</w:t>
            </w:r>
          </w:p>
        </w:tc>
        <w:tc>
          <w:tcPr>
            <w:tcW w:w="972" w:type="dxa"/>
            <w:shd w:val="clear" w:color="auto" w:fill="auto"/>
            <w:vAlign w:val="center"/>
            <w:hideMark/>
          </w:tcPr>
          <w:p w14:paraId="047015A8" w14:textId="77777777" w:rsidR="00013343" w:rsidRPr="00367D58" w:rsidRDefault="00013343"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Selective reporting</w:t>
            </w:r>
          </w:p>
        </w:tc>
        <w:tc>
          <w:tcPr>
            <w:tcW w:w="981" w:type="dxa"/>
            <w:vMerge/>
            <w:shd w:val="clear" w:color="auto" w:fill="auto"/>
            <w:vAlign w:val="center"/>
            <w:hideMark/>
          </w:tcPr>
          <w:p w14:paraId="5AFB74EB" w14:textId="77777777" w:rsidR="00013343" w:rsidRPr="00367D58" w:rsidRDefault="00013343" w:rsidP="00013343">
            <w:pPr>
              <w:spacing w:after="0" w:line="240" w:lineRule="auto"/>
              <w:rPr>
                <w:rFonts w:ascii="Times New Roman" w:eastAsia="Times New Roman" w:hAnsi="Times New Roman" w:cs="Times New Roman"/>
                <w:i/>
                <w:iCs/>
                <w:sz w:val="16"/>
                <w:szCs w:val="16"/>
              </w:rPr>
            </w:pPr>
          </w:p>
        </w:tc>
      </w:tr>
      <w:tr w:rsidR="00367D58" w:rsidRPr="00A14942" w14:paraId="280343A0" w14:textId="77777777" w:rsidTr="00013343">
        <w:trPr>
          <w:trHeight w:val="20"/>
        </w:trPr>
        <w:tc>
          <w:tcPr>
            <w:tcW w:w="1541" w:type="dxa"/>
            <w:vMerge/>
            <w:shd w:val="clear" w:color="auto" w:fill="auto"/>
            <w:noWrap/>
            <w:vAlign w:val="center"/>
            <w:hideMark/>
          </w:tcPr>
          <w:p w14:paraId="3FB2B850" w14:textId="3C702921" w:rsidR="00367D58" w:rsidRPr="00367D58" w:rsidRDefault="00367D58" w:rsidP="00013343">
            <w:pPr>
              <w:spacing w:after="0" w:line="240" w:lineRule="auto"/>
              <w:rPr>
                <w:rFonts w:ascii="Times New Roman" w:eastAsia="Times New Roman" w:hAnsi="Times New Roman" w:cs="Times New Roman"/>
                <w:b/>
                <w:bCs/>
                <w:color w:val="000000"/>
                <w:sz w:val="16"/>
                <w:szCs w:val="16"/>
              </w:rPr>
            </w:pPr>
          </w:p>
        </w:tc>
        <w:tc>
          <w:tcPr>
            <w:tcW w:w="2054" w:type="dxa"/>
            <w:vMerge/>
            <w:shd w:val="clear" w:color="auto" w:fill="auto"/>
            <w:noWrap/>
            <w:vAlign w:val="center"/>
            <w:hideMark/>
          </w:tcPr>
          <w:p w14:paraId="4655B126" w14:textId="24B155D3" w:rsidR="00367D58" w:rsidRPr="00367D58" w:rsidRDefault="00367D58" w:rsidP="00013343">
            <w:pPr>
              <w:spacing w:after="0" w:line="240" w:lineRule="auto"/>
              <w:rPr>
                <w:rFonts w:ascii="Times New Roman" w:eastAsia="Times New Roman" w:hAnsi="Times New Roman" w:cs="Times New Roman"/>
                <w:b/>
                <w:bCs/>
                <w:color w:val="000000"/>
                <w:sz w:val="16"/>
                <w:szCs w:val="16"/>
              </w:rPr>
            </w:pPr>
          </w:p>
        </w:tc>
        <w:tc>
          <w:tcPr>
            <w:tcW w:w="1070" w:type="dxa"/>
            <w:vMerge/>
            <w:shd w:val="clear" w:color="auto" w:fill="auto"/>
            <w:noWrap/>
            <w:vAlign w:val="center"/>
            <w:hideMark/>
          </w:tcPr>
          <w:p w14:paraId="6079E1B5" w14:textId="06EF92F8" w:rsidR="00367D58" w:rsidRPr="00367D58" w:rsidRDefault="00367D58" w:rsidP="00013343">
            <w:pPr>
              <w:spacing w:after="0" w:line="240" w:lineRule="auto"/>
              <w:rPr>
                <w:rFonts w:ascii="Times New Roman" w:eastAsia="Times New Roman" w:hAnsi="Times New Roman" w:cs="Times New Roman"/>
                <w:b/>
                <w:bCs/>
                <w:color w:val="000000"/>
                <w:sz w:val="16"/>
                <w:szCs w:val="16"/>
              </w:rPr>
            </w:pPr>
          </w:p>
        </w:tc>
        <w:tc>
          <w:tcPr>
            <w:tcW w:w="981" w:type="dxa"/>
            <w:shd w:val="clear" w:color="auto" w:fill="auto"/>
            <w:vAlign w:val="center"/>
            <w:hideMark/>
          </w:tcPr>
          <w:p w14:paraId="3ED4D3F7"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1195" w:type="dxa"/>
            <w:shd w:val="clear" w:color="auto" w:fill="auto"/>
            <w:vAlign w:val="center"/>
            <w:hideMark/>
          </w:tcPr>
          <w:p w14:paraId="05D48433"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1195" w:type="dxa"/>
            <w:shd w:val="clear" w:color="auto" w:fill="auto"/>
            <w:vAlign w:val="center"/>
            <w:hideMark/>
          </w:tcPr>
          <w:p w14:paraId="44E0475C"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1133" w:type="dxa"/>
            <w:shd w:val="clear" w:color="auto" w:fill="auto"/>
            <w:vAlign w:val="center"/>
            <w:hideMark/>
          </w:tcPr>
          <w:p w14:paraId="6B1E5C0D"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1061" w:type="dxa"/>
            <w:shd w:val="clear" w:color="auto" w:fill="auto"/>
            <w:vAlign w:val="center"/>
            <w:hideMark/>
          </w:tcPr>
          <w:p w14:paraId="06BE5171"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972" w:type="dxa"/>
            <w:shd w:val="clear" w:color="auto" w:fill="auto"/>
            <w:vAlign w:val="center"/>
            <w:hideMark/>
          </w:tcPr>
          <w:p w14:paraId="4E47131F"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c>
          <w:tcPr>
            <w:tcW w:w="981" w:type="dxa"/>
            <w:shd w:val="clear" w:color="auto" w:fill="auto"/>
            <w:vAlign w:val="center"/>
            <w:hideMark/>
          </w:tcPr>
          <w:p w14:paraId="17B57983" w14:textId="77777777" w:rsidR="00367D58" w:rsidRPr="00367D58" w:rsidRDefault="00367D58" w:rsidP="00013343">
            <w:pPr>
              <w:spacing w:after="0" w:line="240" w:lineRule="auto"/>
              <w:rPr>
                <w:rFonts w:ascii="Times New Roman" w:eastAsia="Times New Roman" w:hAnsi="Times New Roman" w:cs="Times New Roman"/>
                <w:i/>
                <w:iCs/>
                <w:sz w:val="16"/>
                <w:szCs w:val="16"/>
              </w:rPr>
            </w:pPr>
            <w:r w:rsidRPr="00367D58">
              <w:rPr>
                <w:rFonts w:ascii="Times New Roman" w:eastAsia="Times New Roman" w:hAnsi="Times New Roman" w:cs="Times New Roman"/>
                <w:i/>
                <w:iCs/>
                <w:sz w:val="16"/>
                <w:szCs w:val="16"/>
              </w:rPr>
              <w:t>Risk of Bias</w:t>
            </w:r>
          </w:p>
        </w:tc>
      </w:tr>
      <w:tr w:rsidR="00367D58" w:rsidRPr="00A14942" w14:paraId="63970561" w14:textId="77777777" w:rsidTr="00013343">
        <w:trPr>
          <w:trHeight w:val="216"/>
        </w:trPr>
        <w:tc>
          <w:tcPr>
            <w:tcW w:w="1541" w:type="dxa"/>
            <w:shd w:val="clear" w:color="auto" w:fill="auto"/>
            <w:noWrap/>
            <w:vAlign w:val="center"/>
            <w:hideMark/>
          </w:tcPr>
          <w:p w14:paraId="20460AF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NCT00906399</w:t>
            </w:r>
          </w:p>
        </w:tc>
        <w:tc>
          <w:tcPr>
            <w:tcW w:w="2054" w:type="dxa"/>
            <w:shd w:val="clear" w:color="auto" w:fill="auto"/>
            <w:noWrap/>
            <w:vAlign w:val="center"/>
            <w:hideMark/>
          </w:tcPr>
          <w:p w14:paraId="3A1FAEA0"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ADVANCE</w:t>
            </w:r>
          </w:p>
        </w:tc>
        <w:tc>
          <w:tcPr>
            <w:tcW w:w="1070" w:type="dxa"/>
            <w:shd w:val="clear" w:color="auto" w:fill="auto"/>
            <w:noWrap/>
            <w:vAlign w:val="center"/>
            <w:hideMark/>
          </w:tcPr>
          <w:p w14:paraId="6C7B047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2014</w:t>
            </w:r>
          </w:p>
        </w:tc>
        <w:tc>
          <w:tcPr>
            <w:tcW w:w="981" w:type="dxa"/>
            <w:shd w:val="clear" w:color="000000" w:fill="E6F5DB"/>
            <w:noWrap/>
            <w:vAlign w:val="center"/>
            <w:hideMark/>
          </w:tcPr>
          <w:p w14:paraId="466843D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28FF88D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E32667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1E92D24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019ACEC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2AFB9D5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11CF951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4740CBAA" w14:textId="77777777" w:rsidTr="00013343">
        <w:trPr>
          <w:trHeight w:val="216"/>
        </w:trPr>
        <w:tc>
          <w:tcPr>
            <w:tcW w:w="1541" w:type="dxa"/>
            <w:shd w:val="clear" w:color="auto" w:fill="auto"/>
            <w:noWrap/>
            <w:vAlign w:val="center"/>
            <w:hideMark/>
          </w:tcPr>
          <w:p w14:paraId="33B64C0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NCT00027300</w:t>
            </w:r>
          </w:p>
        </w:tc>
        <w:tc>
          <w:tcPr>
            <w:tcW w:w="2054" w:type="dxa"/>
            <w:shd w:val="clear" w:color="auto" w:fill="auto"/>
            <w:noWrap/>
            <w:vAlign w:val="center"/>
            <w:hideMark/>
          </w:tcPr>
          <w:p w14:paraId="738F1BA7"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AFFIRM</w:t>
            </w:r>
          </w:p>
        </w:tc>
        <w:tc>
          <w:tcPr>
            <w:tcW w:w="1070" w:type="dxa"/>
            <w:shd w:val="clear" w:color="auto" w:fill="auto"/>
            <w:noWrap/>
            <w:vAlign w:val="center"/>
            <w:hideMark/>
          </w:tcPr>
          <w:p w14:paraId="5424CC9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2006</w:t>
            </w:r>
          </w:p>
        </w:tc>
        <w:tc>
          <w:tcPr>
            <w:tcW w:w="981" w:type="dxa"/>
            <w:shd w:val="clear" w:color="000000" w:fill="E6F5DB"/>
            <w:noWrap/>
            <w:vAlign w:val="center"/>
            <w:hideMark/>
          </w:tcPr>
          <w:p w14:paraId="22C92DC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AEEB16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21831B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0537A13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4230276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4C654AC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64F2876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23FEF5A9" w14:textId="77777777" w:rsidTr="00013343">
        <w:trPr>
          <w:trHeight w:val="216"/>
        </w:trPr>
        <w:tc>
          <w:tcPr>
            <w:tcW w:w="1541" w:type="dxa"/>
            <w:shd w:val="clear" w:color="auto" w:fill="auto"/>
            <w:noWrap/>
            <w:vAlign w:val="center"/>
            <w:hideMark/>
          </w:tcPr>
          <w:p w14:paraId="1BD2056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NCT02792218</w:t>
            </w:r>
          </w:p>
        </w:tc>
        <w:tc>
          <w:tcPr>
            <w:tcW w:w="2054" w:type="dxa"/>
            <w:shd w:val="clear" w:color="auto" w:fill="auto"/>
            <w:noWrap/>
            <w:vAlign w:val="center"/>
            <w:hideMark/>
          </w:tcPr>
          <w:p w14:paraId="63266003"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ASCLEPIOS I</w:t>
            </w:r>
          </w:p>
        </w:tc>
        <w:tc>
          <w:tcPr>
            <w:tcW w:w="1070" w:type="dxa"/>
            <w:shd w:val="clear" w:color="auto" w:fill="auto"/>
            <w:noWrap/>
            <w:vAlign w:val="center"/>
            <w:hideMark/>
          </w:tcPr>
          <w:p w14:paraId="523E4F3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2020</w:t>
            </w:r>
          </w:p>
        </w:tc>
        <w:tc>
          <w:tcPr>
            <w:tcW w:w="981" w:type="dxa"/>
            <w:shd w:val="clear" w:color="000000" w:fill="E6F5DB"/>
            <w:noWrap/>
            <w:vAlign w:val="center"/>
            <w:hideMark/>
          </w:tcPr>
          <w:p w14:paraId="3B72FCE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455CFBA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B2F891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09AC0E0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8A2087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6B2C923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27F2ADB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7284B3E0" w14:textId="77777777" w:rsidTr="00013343">
        <w:trPr>
          <w:trHeight w:val="216"/>
        </w:trPr>
        <w:tc>
          <w:tcPr>
            <w:tcW w:w="1541" w:type="dxa"/>
            <w:shd w:val="clear" w:color="auto" w:fill="auto"/>
            <w:noWrap/>
            <w:vAlign w:val="center"/>
            <w:hideMark/>
          </w:tcPr>
          <w:p w14:paraId="0723265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lang w:val="en-GB"/>
              </w:rPr>
              <w:t>NCT02792231</w:t>
            </w:r>
          </w:p>
        </w:tc>
        <w:tc>
          <w:tcPr>
            <w:tcW w:w="2054" w:type="dxa"/>
            <w:shd w:val="clear" w:color="auto" w:fill="auto"/>
            <w:noWrap/>
            <w:vAlign w:val="center"/>
            <w:hideMark/>
          </w:tcPr>
          <w:p w14:paraId="6A83B30C"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ASCLEPIOS II</w:t>
            </w:r>
          </w:p>
        </w:tc>
        <w:tc>
          <w:tcPr>
            <w:tcW w:w="1070" w:type="dxa"/>
            <w:shd w:val="clear" w:color="auto" w:fill="auto"/>
            <w:noWrap/>
            <w:vAlign w:val="center"/>
            <w:hideMark/>
          </w:tcPr>
          <w:p w14:paraId="5978B77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2020</w:t>
            </w:r>
          </w:p>
        </w:tc>
        <w:tc>
          <w:tcPr>
            <w:tcW w:w="981" w:type="dxa"/>
            <w:shd w:val="clear" w:color="000000" w:fill="E6F5DB"/>
            <w:noWrap/>
            <w:vAlign w:val="center"/>
            <w:hideMark/>
          </w:tcPr>
          <w:p w14:paraId="07231D7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92EDBE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45B8616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4D7C7BE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3BA98F6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72EF376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5E2CAA0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44E64676" w14:textId="77777777" w:rsidTr="00013343">
        <w:trPr>
          <w:trHeight w:val="216"/>
        </w:trPr>
        <w:tc>
          <w:tcPr>
            <w:tcW w:w="1541" w:type="dxa"/>
            <w:shd w:val="clear" w:color="auto" w:fill="auto"/>
            <w:noWrap/>
            <w:vAlign w:val="center"/>
            <w:hideMark/>
          </w:tcPr>
          <w:p w14:paraId="67F57B9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NCT00340834</w:t>
            </w:r>
          </w:p>
        </w:tc>
        <w:tc>
          <w:tcPr>
            <w:tcW w:w="2054" w:type="dxa"/>
            <w:shd w:val="clear" w:color="auto" w:fill="auto"/>
            <w:noWrap/>
            <w:vAlign w:val="center"/>
            <w:hideMark/>
          </w:tcPr>
          <w:p w14:paraId="4F92C97C"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ASSESS</w:t>
            </w:r>
          </w:p>
        </w:tc>
        <w:tc>
          <w:tcPr>
            <w:tcW w:w="1070" w:type="dxa"/>
            <w:shd w:val="clear" w:color="auto" w:fill="auto"/>
            <w:noWrap/>
            <w:vAlign w:val="center"/>
            <w:hideMark/>
          </w:tcPr>
          <w:p w14:paraId="4D48896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2020</w:t>
            </w:r>
          </w:p>
        </w:tc>
        <w:tc>
          <w:tcPr>
            <w:tcW w:w="981" w:type="dxa"/>
            <w:shd w:val="clear" w:color="000000" w:fill="E6F5DB"/>
            <w:noWrap/>
            <w:vAlign w:val="center"/>
            <w:hideMark/>
          </w:tcPr>
          <w:p w14:paraId="72CB980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0793D7B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4DC7C13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E6F5DB"/>
            <w:noWrap/>
            <w:vAlign w:val="center"/>
            <w:hideMark/>
          </w:tcPr>
          <w:p w14:paraId="034CB2E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3078F44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2B4135B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FFD1"/>
            <w:noWrap/>
            <w:vAlign w:val="center"/>
            <w:hideMark/>
          </w:tcPr>
          <w:p w14:paraId="7FB7AFF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r>
      <w:tr w:rsidR="00367D58" w:rsidRPr="00A14942" w14:paraId="3EF5F6EF" w14:textId="77777777" w:rsidTr="00013343">
        <w:trPr>
          <w:trHeight w:val="216"/>
        </w:trPr>
        <w:tc>
          <w:tcPr>
            <w:tcW w:w="1541" w:type="dxa"/>
            <w:shd w:val="clear" w:color="auto" w:fill="auto"/>
            <w:noWrap/>
            <w:vAlign w:val="center"/>
            <w:hideMark/>
          </w:tcPr>
          <w:p w14:paraId="5129EB7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NCT00099502</w:t>
            </w:r>
          </w:p>
        </w:tc>
        <w:tc>
          <w:tcPr>
            <w:tcW w:w="2054" w:type="dxa"/>
            <w:shd w:val="clear" w:color="auto" w:fill="auto"/>
            <w:noWrap/>
            <w:vAlign w:val="center"/>
            <w:hideMark/>
          </w:tcPr>
          <w:p w14:paraId="503B22D3"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BEYOND</w:t>
            </w:r>
          </w:p>
        </w:tc>
        <w:tc>
          <w:tcPr>
            <w:tcW w:w="1070" w:type="dxa"/>
            <w:shd w:val="clear" w:color="auto" w:fill="auto"/>
            <w:noWrap/>
            <w:vAlign w:val="center"/>
            <w:hideMark/>
          </w:tcPr>
          <w:p w14:paraId="07B3D66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2009</w:t>
            </w:r>
          </w:p>
        </w:tc>
        <w:tc>
          <w:tcPr>
            <w:tcW w:w="981" w:type="dxa"/>
            <w:shd w:val="clear" w:color="000000" w:fill="E6F5DB"/>
            <w:noWrap/>
            <w:vAlign w:val="center"/>
            <w:hideMark/>
          </w:tcPr>
          <w:p w14:paraId="193476B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0CBB5A1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0A7D129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E6F5DB"/>
            <w:noWrap/>
            <w:vAlign w:val="center"/>
            <w:hideMark/>
          </w:tcPr>
          <w:p w14:paraId="7B3F98C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FFE5E5"/>
            <w:noWrap/>
            <w:vAlign w:val="center"/>
            <w:hideMark/>
          </w:tcPr>
          <w:p w14:paraId="51D3F2C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972" w:type="dxa"/>
            <w:shd w:val="clear" w:color="000000" w:fill="E6F5DB"/>
            <w:noWrap/>
            <w:vAlign w:val="center"/>
            <w:hideMark/>
          </w:tcPr>
          <w:p w14:paraId="4B15FEB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25DA337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1139DE67" w14:textId="77777777" w:rsidTr="00013343">
        <w:trPr>
          <w:trHeight w:val="216"/>
        </w:trPr>
        <w:tc>
          <w:tcPr>
            <w:tcW w:w="1541" w:type="dxa"/>
            <w:shd w:val="clear" w:color="auto" w:fill="auto"/>
            <w:noWrap/>
            <w:vAlign w:val="center"/>
            <w:hideMark/>
          </w:tcPr>
          <w:p w14:paraId="7D0F155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NCT00605215</w:t>
            </w:r>
          </w:p>
        </w:tc>
        <w:tc>
          <w:tcPr>
            <w:tcW w:w="2054" w:type="dxa"/>
            <w:shd w:val="clear" w:color="auto" w:fill="auto"/>
            <w:noWrap/>
            <w:vAlign w:val="center"/>
            <w:hideMark/>
          </w:tcPr>
          <w:p w14:paraId="46B1FD93"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BRAVO</w:t>
            </w:r>
          </w:p>
        </w:tc>
        <w:tc>
          <w:tcPr>
            <w:tcW w:w="1070" w:type="dxa"/>
            <w:shd w:val="clear" w:color="auto" w:fill="auto"/>
            <w:noWrap/>
            <w:vAlign w:val="center"/>
            <w:hideMark/>
          </w:tcPr>
          <w:p w14:paraId="3559C3F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2014</w:t>
            </w:r>
          </w:p>
        </w:tc>
        <w:tc>
          <w:tcPr>
            <w:tcW w:w="981" w:type="dxa"/>
            <w:shd w:val="clear" w:color="000000" w:fill="E6F5DB"/>
            <w:noWrap/>
            <w:vAlign w:val="center"/>
            <w:hideMark/>
          </w:tcPr>
          <w:p w14:paraId="4FBF090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ECB5EB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0AFE4DC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E6F5DB"/>
            <w:noWrap/>
            <w:vAlign w:val="center"/>
            <w:hideMark/>
          </w:tcPr>
          <w:p w14:paraId="58FAB25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497C44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6D511B5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5B9228F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26A114E6" w14:textId="77777777" w:rsidTr="00013343">
        <w:trPr>
          <w:trHeight w:val="216"/>
        </w:trPr>
        <w:tc>
          <w:tcPr>
            <w:tcW w:w="1541" w:type="dxa"/>
            <w:shd w:val="clear" w:color="auto" w:fill="auto"/>
            <w:noWrap/>
            <w:vAlign w:val="center"/>
            <w:hideMark/>
          </w:tcPr>
          <w:p w14:paraId="7415CD0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NCT00050778</w:t>
            </w:r>
          </w:p>
        </w:tc>
        <w:tc>
          <w:tcPr>
            <w:tcW w:w="2054" w:type="dxa"/>
            <w:shd w:val="clear" w:color="auto" w:fill="auto"/>
            <w:noWrap/>
            <w:vAlign w:val="center"/>
            <w:hideMark/>
          </w:tcPr>
          <w:p w14:paraId="0366E3C1"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CAMMS223</w:t>
            </w:r>
          </w:p>
        </w:tc>
        <w:tc>
          <w:tcPr>
            <w:tcW w:w="1070" w:type="dxa"/>
            <w:shd w:val="clear" w:color="auto" w:fill="auto"/>
            <w:noWrap/>
            <w:vAlign w:val="center"/>
            <w:hideMark/>
          </w:tcPr>
          <w:p w14:paraId="1D3C19B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2008</w:t>
            </w:r>
          </w:p>
        </w:tc>
        <w:tc>
          <w:tcPr>
            <w:tcW w:w="981" w:type="dxa"/>
            <w:shd w:val="clear" w:color="000000" w:fill="E6F5DB"/>
            <w:noWrap/>
            <w:vAlign w:val="center"/>
            <w:hideMark/>
          </w:tcPr>
          <w:p w14:paraId="25B42B1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0BE623D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16F9CD1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FFFFD1"/>
            <w:noWrap/>
            <w:vAlign w:val="center"/>
            <w:hideMark/>
          </w:tcPr>
          <w:p w14:paraId="083CD67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061" w:type="dxa"/>
            <w:shd w:val="clear" w:color="000000" w:fill="E6F5DB"/>
            <w:noWrap/>
            <w:vAlign w:val="center"/>
            <w:hideMark/>
          </w:tcPr>
          <w:p w14:paraId="20FCBCD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1AE6737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15E8FF9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125A24EE" w14:textId="77777777" w:rsidTr="00013343">
        <w:trPr>
          <w:trHeight w:val="216"/>
        </w:trPr>
        <w:tc>
          <w:tcPr>
            <w:tcW w:w="1541" w:type="dxa"/>
            <w:shd w:val="clear" w:color="auto" w:fill="auto"/>
            <w:noWrap/>
            <w:vAlign w:val="center"/>
            <w:hideMark/>
          </w:tcPr>
          <w:p w14:paraId="0CAB906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NCT00530348</w:t>
            </w:r>
          </w:p>
        </w:tc>
        <w:tc>
          <w:tcPr>
            <w:tcW w:w="2054" w:type="dxa"/>
            <w:shd w:val="clear" w:color="auto" w:fill="auto"/>
            <w:noWrap/>
            <w:vAlign w:val="center"/>
            <w:hideMark/>
          </w:tcPr>
          <w:p w14:paraId="2CCE7E08"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CARE-MS I</w:t>
            </w:r>
          </w:p>
        </w:tc>
        <w:tc>
          <w:tcPr>
            <w:tcW w:w="1070" w:type="dxa"/>
            <w:shd w:val="clear" w:color="auto" w:fill="auto"/>
            <w:noWrap/>
            <w:vAlign w:val="center"/>
            <w:hideMark/>
          </w:tcPr>
          <w:p w14:paraId="08C5B38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2012</w:t>
            </w:r>
          </w:p>
        </w:tc>
        <w:tc>
          <w:tcPr>
            <w:tcW w:w="981" w:type="dxa"/>
            <w:shd w:val="clear" w:color="000000" w:fill="E6F5DB"/>
            <w:noWrap/>
            <w:vAlign w:val="center"/>
            <w:hideMark/>
          </w:tcPr>
          <w:p w14:paraId="238410F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C8C8B6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56CDECC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FFE5E5"/>
            <w:noWrap/>
            <w:vAlign w:val="center"/>
            <w:hideMark/>
          </w:tcPr>
          <w:p w14:paraId="350164C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061" w:type="dxa"/>
            <w:shd w:val="clear" w:color="000000" w:fill="E6F5DB"/>
            <w:noWrap/>
            <w:vAlign w:val="center"/>
            <w:hideMark/>
          </w:tcPr>
          <w:p w14:paraId="118357D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76CDCC7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502ABB2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37ABD966" w14:textId="77777777" w:rsidTr="00013343">
        <w:trPr>
          <w:trHeight w:val="216"/>
        </w:trPr>
        <w:tc>
          <w:tcPr>
            <w:tcW w:w="1541" w:type="dxa"/>
            <w:shd w:val="clear" w:color="auto" w:fill="auto"/>
            <w:noWrap/>
            <w:vAlign w:val="center"/>
            <w:hideMark/>
          </w:tcPr>
          <w:p w14:paraId="2747719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NCT00548405</w:t>
            </w:r>
          </w:p>
        </w:tc>
        <w:tc>
          <w:tcPr>
            <w:tcW w:w="2054" w:type="dxa"/>
            <w:shd w:val="clear" w:color="auto" w:fill="auto"/>
            <w:noWrap/>
            <w:vAlign w:val="center"/>
            <w:hideMark/>
          </w:tcPr>
          <w:p w14:paraId="7ADC7681"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CARE-MS II</w:t>
            </w:r>
          </w:p>
        </w:tc>
        <w:tc>
          <w:tcPr>
            <w:tcW w:w="1070" w:type="dxa"/>
            <w:shd w:val="clear" w:color="auto" w:fill="auto"/>
            <w:noWrap/>
            <w:vAlign w:val="center"/>
            <w:hideMark/>
          </w:tcPr>
          <w:p w14:paraId="76BB20D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2012</w:t>
            </w:r>
          </w:p>
        </w:tc>
        <w:tc>
          <w:tcPr>
            <w:tcW w:w="981" w:type="dxa"/>
            <w:shd w:val="clear" w:color="000000" w:fill="E6F5DB"/>
            <w:noWrap/>
            <w:vAlign w:val="center"/>
            <w:hideMark/>
          </w:tcPr>
          <w:p w14:paraId="03E8644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055BAED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2950418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FFE5E5"/>
            <w:noWrap/>
            <w:vAlign w:val="center"/>
            <w:hideMark/>
          </w:tcPr>
          <w:p w14:paraId="06EED1C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061" w:type="dxa"/>
            <w:shd w:val="clear" w:color="000000" w:fill="E6F5DB"/>
            <w:noWrap/>
            <w:vAlign w:val="center"/>
            <w:hideMark/>
          </w:tcPr>
          <w:p w14:paraId="12F385A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FFE5E5"/>
            <w:noWrap/>
            <w:vAlign w:val="center"/>
            <w:hideMark/>
          </w:tcPr>
          <w:p w14:paraId="235C46B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981" w:type="dxa"/>
            <w:shd w:val="clear" w:color="000000" w:fill="FFE5E5"/>
            <w:noWrap/>
            <w:vAlign w:val="center"/>
            <w:hideMark/>
          </w:tcPr>
          <w:p w14:paraId="2612BB6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3A33173B" w14:textId="77777777" w:rsidTr="00013343">
        <w:trPr>
          <w:trHeight w:val="216"/>
        </w:trPr>
        <w:tc>
          <w:tcPr>
            <w:tcW w:w="1541" w:type="dxa"/>
            <w:shd w:val="clear" w:color="auto" w:fill="auto"/>
            <w:noWrap/>
            <w:vAlign w:val="center"/>
            <w:hideMark/>
          </w:tcPr>
          <w:p w14:paraId="56BFF16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NCT00213135</w:t>
            </w:r>
          </w:p>
        </w:tc>
        <w:tc>
          <w:tcPr>
            <w:tcW w:w="2054" w:type="dxa"/>
            <w:shd w:val="clear" w:color="auto" w:fill="auto"/>
            <w:noWrap/>
            <w:vAlign w:val="center"/>
            <w:hideMark/>
          </w:tcPr>
          <w:p w14:paraId="1C9BC91E"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CLARITY</w:t>
            </w:r>
          </w:p>
        </w:tc>
        <w:tc>
          <w:tcPr>
            <w:tcW w:w="1070" w:type="dxa"/>
            <w:shd w:val="clear" w:color="auto" w:fill="auto"/>
            <w:noWrap/>
            <w:vAlign w:val="center"/>
            <w:hideMark/>
          </w:tcPr>
          <w:p w14:paraId="1F7F443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2010</w:t>
            </w:r>
          </w:p>
        </w:tc>
        <w:tc>
          <w:tcPr>
            <w:tcW w:w="981" w:type="dxa"/>
            <w:shd w:val="clear" w:color="000000" w:fill="E6F5DB"/>
            <w:noWrap/>
            <w:vAlign w:val="center"/>
            <w:hideMark/>
          </w:tcPr>
          <w:p w14:paraId="7067B96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641A28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2F05E32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0FE8002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525B69E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17F9CB0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64EEDA2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3908B074" w14:textId="77777777" w:rsidTr="00013343">
        <w:trPr>
          <w:trHeight w:val="216"/>
        </w:trPr>
        <w:tc>
          <w:tcPr>
            <w:tcW w:w="1541" w:type="dxa"/>
            <w:shd w:val="clear" w:color="auto" w:fill="auto"/>
            <w:noWrap/>
            <w:vAlign w:val="center"/>
            <w:hideMark/>
          </w:tcPr>
          <w:p w14:paraId="550EF3D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NCT00451451</w:t>
            </w:r>
          </w:p>
        </w:tc>
        <w:tc>
          <w:tcPr>
            <w:tcW w:w="2054" w:type="dxa"/>
            <w:shd w:val="clear" w:color="auto" w:fill="auto"/>
            <w:noWrap/>
            <w:vAlign w:val="center"/>
            <w:hideMark/>
          </w:tcPr>
          <w:p w14:paraId="39AD9543"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CONFIRM</w:t>
            </w:r>
          </w:p>
        </w:tc>
        <w:tc>
          <w:tcPr>
            <w:tcW w:w="1070" w:type="dxa"/>
            <w:shd w:val="clear" w:color="auto" w:fill="auto"/>
            <w:noWrap/>
            <w:vAlign w:val="center"/>
            <w:hideMark/>
          </w:tcPr>
          <w:p w14:paraId="5344057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2012</w:t>
            </w:r>
          </w:p>
        </w:tc>
        <w:tc>
          <w:tcPr>
            <w:tcW w:w="981" w:type="dxa"/>
            <w:shd w:val="clear" w:color="000000" w:fill="E6F5DB"/>
            <w:noWrap/>
            <w:vAlign w:val="center"/>
            <w:hideMark/>
          </w:tcPr>
          <w:p w14:paraId="739306D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A7B3B8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14A8866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E6F5DB"/>
            <w:noWrap/>
            <w:vAlign w:val="center"/>
            <w:hideMark/>
          </w:tcPr>
          <w:p w14:paraId="2038489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A45FE1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5A323A8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53FD573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72A7F4BA" w14:textId="77777777" w:rsidTr="00013343">
        <w:trPr>
          <w:trHeight w:val="216"/>
        </w:trPr>
        <w:tc>
          <w:tcPr>
            <w:tcW w:w="1541" w:type="dxa"/>
            <w:shd w:val="clear" w:color="auto" w:fill="auto"/>
            <w:noWrap/>
            <w:vAlign w:val="center"/>
            <w:hideMark/>
          </w:tcPr>
          <w:p w14:paraId="1D661E3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NCT00004814</w:t>
            </w:r>
          </w:p>
        </w:tc>
        <w:tc>
          <w:tcPr>
            <w:tcW w:w="2054" w:type="dxa"/>
            <w:shd w:val="clear" w:color="auto" w:fill="auto"/>
            <w:noWrap/>
            <w:vAlign w:val="center"/>
            <w:hideMark/>
          </w:tcPr>
          <w:p w14:paraId="71A125A6"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COPOLYMER I</w:t>
            </w:r>
          </w:p>
        </w:tc>
        <w:tc>
          <w:tcPr>
            <w:tcW w:w="1070" w:type="dxa"/>
            <w:shd w:val="clear" w:color="auto" w:fill="auto"/>
            <w:noWrap/>
            <w:vAlign w:val="center"/>
            <w:hideMark/>
          </w:tcPr>
          <w:p w14:paraId="4E2E481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1995</w:t>
            </w:r>
          </w:p>
        </w:tc>
        <w:tc>
          <w:tcPr>
            <w:tcW w:w="981" w:type="dxa"/>
            <w:shd w:val="clear" w:color="000000" w:fill="FFFFD1"/>
            <w:noWrap/>
            <w:vAlign w:val="center"/>
            <w:hideMark/>
          </w:tcPr>
          <w:p w14:paraId="608F8A4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95" w:type="dxa"/>
            <w:shd w:val="clear" w:color="000000" w:fill="FFFFD1"/>
            <w:noWrap/>
            <w:vAlign w:val="center"/>
            <w:hideMark/>
          </w:tcPr>
          <w:p w14:paraId="7DB8479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95" w:type="dxa"/>
            <w:shd w:val="clear" w:color="000000" w:fill="FFFFD1"/>
            <w:noWrap/>
            <w:vAlign w:val="center"/>
            <w:hideMark/>
          </w:tcPr>
          <w:p w14:paraId="219F537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33" w:type="dxa"/>
            <w:shd w:val="clear" w:color="000000" w:fill="E6F5DB"/>
            <w:noWrap/>
            <w:vAlign w:val="center"/>
            <w:hideMark/>
          </w:tcPr>
          <w:p w14:paraId="7852779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0EC3AB6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0392B76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2E93AED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7D9B0D05" w14:textId="77777777" w:rsidTr="00013343">
        <w:trPr>
          <w:trHeight w:val="216"/>
        </w:trPr>
        <w:tc>
          <w:tcPr>
            <w:tcW w:w="1541" w:type="dxa"/>
            <w:shd w:val="clear" w:color="auto" w:fill="auto"/>
            <w:noWrap/>
            <w:vAlign w:val="center"/>
            <w:hideMark/>
          </w:tcPr>
          <w:p w14:paraId="3064765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NCT00420212</w:t>
            </w:r>
          </w:p>
        </w:tc>
        <w:tc>
          <w:tcPr>
            <w:tcW w:w="2054" w:type="dxa"/>
            <w:shd w:val="clear" w:color="auto" w:fill="auto"/>
            <w:noWrap/>
            <w:vAlign w:val="center"/>
            <w:hideMark/>
          </w:tcPr>
          <w:p w14:paraId="191D8BC1"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DEFINE</w:t>
            </w:r>
          </w:p>
        </w:tc>
        <w:tc>
          <w:tcPr>
            <w:tcW w:w="1070" w:type="dxa"/>
            <w:shd w:val="clear" w:color="auto" w:fill="auto"/>
            <w:noWrap/>
            <w:vAlign w:val="center"/>
            <w:hideMark/>
          </w:tcPr>
          <w:p w14:paraId="1D8726E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2012</w:t>
            </w:r>
          </w:p>
        </w:tc>
        <w:tc>
          <w:tcPr>
            <w:tcW w:w="981" w:type="dxa"/>
            <w:shd w:val="clear" w:color="000000" w:fill="E6F5DB"/>
            <w:noWrap/>
            <w:vAlign w:val="center"/>
            <w:hideMark/>
          </w:tcPr>
          <w:p w14:paraId="64EC6A2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CB1F64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3242930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3F106AE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73E32D6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6D52062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7EC2434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0BFC682F" w14:textId="77777777" w:rsidTr="00013343">
        <w:trPr>
          <w:trHeight w:val="216"/>
        </w:trPr>
        <w:tc>
          <w:tcPr>
            <w:tcW w:w="1541" w:type="dxa"/>
            <w:shd w:val="clear" w:color="auto" w:fill="auto"/>
            <w:noWrap/>
            <w:vAlign w:val="center"/>
            <w:hideMark/>
          </w:tcPr>
          <w:p w14:paraId="404F751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n/a</w:t>
            </w:r>
          </w:p>
        </w:tc>
        <w:tc>
          <w:tcPr>
            <w:tcW w:w="2054" w:type="dxa"/>
            <w:shd w:val="clear" w:color="auto" w:fill="auto"/>
            <w:noWrap/>
            <w:vAlign w:val="center"/>
            <w:hideMark/>
          </w:tcPr>
          <w:p w14:paraId="434D0D4A"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European/Canadian GA</w:t>
            </w:r>
          </w:p>
        </w:tc>
        <w:tc>
          <w:tcPr>
            <w:tcW w:w="1070" w:type="dxa"/>
            <w:shd w:val="clear" w:color="auto" w:fill="auto"/>
            <w:noWrap/>
            <w:vAlign w:val="center"/>
            <w:hideMark/>
          </w:tcPr>
          <w:p w14:paraId="7E03A05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2001</w:t>
            </w:r>
          </w:p>
        </w:tc>
        <w:tc>
          <w:tcPr>
            <w:tcW w:w="981" w:type="dxa"/>
            <w:shd w:val="clear" w:color="000000" w:fill="E6F5DB"/>
            <w:noWrap/>
            <w:vAlign w:val="center"/>
            <w:hideMark/>
          </w:tcPr>
          <w:p w14:paraId="6C2BA00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0A7AFD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C12CAD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17FB6E5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3C6001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7DFD3F9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777CDB7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58D1798A" w14:textId="77777777" w:rsidTr="00013343">
        <w:trPr>
          <w:trHeight w:val="216"/>
        </w:trPr>
        <w:tc>
          <w:tcPr>
            <w:tcW w:w="1541" w:type="dxa"/>
            <w:shd w:val="clear" w:color="auto" w:fill="auto"/>
            <w:noWrap/>
            <w:vAlign w:val="center"/>
            <w:hideMark/>
          </w:tcPr>
          <w:p w14:paraId="6D35819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NCT00289978</w:t>
            </w:r>
          </w:p>
        </w:tc>
        <w:tc>
          <w:tcPr>
            <w:tcW w:w="2054" w:type="dxa"/>
            <w:shd w:val="clear" w:color="auto" w:fill="auto"/>
            <w:noWrap/>
            <w:vAlign w:val="center"/>
            <w:hideMark/>
          </w:tcPr>
          <w:p w14:paraId="38B9E96E"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FREEDOMS</w:t>
            </w:r>
          </w:p>
        </w:tc>
        <w:tc>
          <w:tcPr>
            <w:tcW w:w="1070" w:type="dxa"/>
            <w:shd w:val="clear" w:color="auto" w:fill="auto"/>
            <w:noWrap/>
            <w:vAlign w:val="center"/>
            <w:hideMark/>
          </w:tcPr>
          <w:p w14:paraId="4F3CFDC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2010</w:t>
            </w:r>
          </w:p>
        </w:tc>
        <w:tc>
          <w:tcPr>
            <w:tcW w:w="981" w:type="dxa"/>
            <w:shd w:val="clear" w:color="000000" w:fill="E6F5DB"/>
            <w:noWrap/>
            <w:vAlign w:val="center"/>
            <w:hideMark/>
          </w:tcPr>
          <w:p w14:paraId="71E156F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CD25C7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D31D1C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5B4A11C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43986EC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49DFD68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2B362FB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289FFEA1" w14:textId="77777777" w:rsidTr="00013343">
        <w:trPr>
          <w:trHeight w:val="216"/>
        </w:trPr>
        <w:tc>
          <w:tcPr>
            <w:tcW w:w="1541" w:type="dxa"/>
            <w:shd w:val="clear" w:color="auto" w:fill="auto"/>
            <w:noWrap/>
            <w:vAlign w:val="center"/>
            <w:hideMark/>
          </w:tcPr>
          <w:p w14:paraId="773078D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NCT00355134</w:t>
            </w:r>
          </w:p>
        </w:tc>
        <w:tc>
          <w:tcPr>
            <w:tcW w:w="2054" w:type="dxa"/>
            <w:shd w:val="clear" w:color="auto" w:fill="auto"/>
            <w:noWrap/>
            <w:vAlign w:val="center"/>
            <w:hideMark/>
          </w:tcPr>
          <w:p w14:paraId="1999153F"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FREEDOMS II</w:t>
            </w:r>
          </w:p>
        </w:tc>
        <w:tc>
          <w:tcPr>
            <w:tcW w:w="1070" w:type="dxa"/>
            <w:shd w:val="clear" w:color="auto" w:fill="auto"/>
            <w:noWrap/>
            <w:vAlign w:val="center"/>
            <w:hideMark/>
          </w:tcPr>
          <w:p w14:paraId="20D0C17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2014</w:t>
            </w:r>
          </w:p>
        </w:tc>
        <w:tc>
          <w:tcPr>
            <w:tcW w:w="981" w:type="dxa"/>
            <w:shd w:val="clear" w:color="000000" w:fill="E6F5DB"/>
            <w:noWrap/>
            <w:vAlign w:val="center"/>
            <w:hideMark/>
          </w:tcPr>
          <w:p w14:paraId="039AD93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68AA99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09873D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23A21B7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1D03610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25AEB62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3A8F5AE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796F550A" w14:textId="77777777" w:rsidTr="00013343">
        <w:trPr>
          <w:trHeight w:val="216"/>
        </w:trPr>
        <w:tc>
          <w:tcPr>
            <w:tcW w:w="1541" w:type="dxa"/>
            <w:shd w:val="clear" w:color="auto" w:fill="auto"/>
            <w:noWrap/>
            <w:vAlign w:val="center"/>
            <w:hideMark/>
          </w:tcPr>
          <w:p w14:paraId="1CF839B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NCT01067521</w:t>
            </w:r>
          </w:p>
        </w:tc>
        <w:tc>
          <w:tcPr>
            <w:tcW w:w="2054" w:type="dxa"/>
            <w:shd w:val="clear" w:color="auto" w:fill="auto"/>
            <w:noWrap/>
            <w:vAlign w:val="center"/>
            <w:hideMark/>
          </w:tcPr>
          <w:p w14:paraId="79CBB391"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GALA</w:t>
            </w:r>
          </w:p>
        </w:tc>
        <w:tc>
          <w:tcPr>
            <w:tcW w:w="1070" w:type="dxa"/>
            <w:shd w:val="clear" w:color="auto" w:fill="auto"/>
            <w:noWrap/>
            <w:vAlign w:val="center"/>
            <w:hideMark/>
          </w:tcPr>
          <w:p w14:paraId="16B4AC7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2013</w:t>
            </w:r>
          </w:p>
        </w:tc>
        <w:tc>
          <w:tcPr>
            <w:tcW w:w="981" w:type="dxa"/>
            <w:shd w:val="clear" w:color="000000" w:fill="E6F5DB"/>
            <w:noWrap/>
            <w:vAlign w:val="center"/>
            <w:hideMark/>
          </w:tcPr>
          <w:p w14:paraId="2C488B7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61B76A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6A49CE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4423D32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D67A64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7C63C7D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1AF6643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7F77E733" w14:textId="77777777" w:rsidTr="00013343">
        <w:trPr>
          <w:trHeight w:val="216"/>
        </w:trPr>
        <w:tc>
          <w:tcPr>
            <w:tcW w:w="1541" w:type="dxa"/>
            <w:shd w:val="clear" w:color="auto" w:fill="auto"/>
            <w:noWrap/>
            <w:vAlign w:val="center"/>
            <w:hideMark/>
          </w:tcPr>
          <w:p w14:paraId="3F1E504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NCT01489254</w:t>
            </w:r>
          </w:p>
        </w:tc>
        <w:tc>
          <w:tcPr>
            <w:tcW w:w="2054" w:type="dxa"/>
            <w:shd w:val="clear" w:color="auto" w:fill="auto"/>
            <w:noWrap/>
            <w:vAlign w:val="center"/>
            <w:hideMark/>
          </w:tcPr>
          <w:p w14:paraId="08FA8026"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GATE</w:t>
            </w:r>
          </w:p>
        </w:tc>
        <w:tc>
          <w:tcPr>
            <w:tcW w:w="1070" w:type="dxa"/>
            <w:shd w:val="clear" w:color="auto" w:fill="auto"/>
            <w:noWrap/>
            <w:vAlign w:val="center"/>
            <w:hideMark/>
          </w:tcPr>
          <w:p w14:paraId="0D12E8C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2015</w:t>
            </w:r>
          </w:p>
        </w:tc>
        <w:tc>
          <w:tcPr>
            <w:tcW w:w="981" w:type="dxa"/>
            <w:shd w:val="clear" w:color="000000" w:fill="E6F5DB"/>
            <w:noWrap/>
            <w:vAlign w:val="center"/>
            <w:hideMark/>
          </w:tcPr>
          <w:p w14:paraId="2979E6C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44962B4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006AF8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2B8900D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41F1614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642D338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351EF3B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2D9F8A4C" w14:textId="77777777" w:rsidTr="00013343">
        <w:trPr>
          <w:trHeight w:val="216"/>
        </w:trPr>
        <w:tc>
          <w:tcPr>
            <w:tcW w:w="1541" w:type="dxa"/>
            <w:shd w:val="clear" w:color="auto" w:fill="auto"/>
            <w:noWrap/>
            <w:vAlign w:val="center"/>
            <w:hideMark/>
          </w:tcPr>
          <w:p w14:paraId="35ED932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NCT01333501</w:t>
            </w:r>
          </w:p>
        </w:tc>
        <w:tc>
          <w:tcPr>
            <w:tcW w:w="2054" w:type="dxa"/>
            <w:shd w:val="clear" w:color="auto" w:fill="auto"/>
            <w:noWrap/>
            <w:vAlign w:val="center"/>
            <w:hideMark/>
          </w:tcPr>
          <w:p w14:paraId="763404BA"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GOLDEN </w:t>
            </w:r>
          </w:p>
        </w:tc>
        <w:tc>
          <w:tcPr>
            <w:tcW w:w="1070" w:type="dxa"/>
            <w:shd w:val="clear" w:color="auto" w:fill="auto"/>
            <w:noWrap/>
            <w:vAlign w:val="center"/>
            <w:hideMark/>
          </w:tcPr>
          <w:p w14:paraId="44A65C8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2017</w:t>
            </w:r>
          </w:p>
        </w:tc>
        <w:tc>
          <w:tcPr>
            <w:tcW w:w="981" w:type="dxa"/>
            <w:shd w:val="clear" w:color="000000" w:fill="FFFFD1"/>
            <w:noWrap/>
            <w:vAlign w:val="center"/>
            <w:hideMark/>
          </w:tcPr>
          <w:p w14:paraId="3D38F57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95" w:type="dxa"/>
            <w:shd w:val="clear" w:color="000000" w:fill="FFFFD1"/>
            <w:noWrap/>
            <w:vAlign w:val="center"/>
            <w:hideMark/>
          </w:tcPr>
          <w:p w14:paraId="4D2DE68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95" w:type="dxa"/>
            <w:shd w:val="clear" w:color="000000" w:fill="FFE5E5"/>
            <w:noWrap/>
            <w:vAlign w:val="center"/>
            <w:hideMark/>
          </w:tcPr>
          <w:p w14:paraId="74F2363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FFFFD1"/>
            <w:noWrap/>
            <w:vAlign w:val="center"/>
            <w:hideMark/>
          </w:tcPr>
          <w:p w14:paraId="0B15CB8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061" w:type="dxa"/>
            <w:shd w:val="clear" w:color="000000" w:fill="E6F5DB"/>
            <w:noWrap/>
            <w:vAlign w:val="center"/>
            <w:hideMark/>
          </w:tcPr>
          <w:p w14:paraId="5E2D7F5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127BE8A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36992EA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3C23C1AD" w14:textId="77777777" w:rsidTr="00013343">
        <w:trPr>
          <w:trHeight w:val="216"/>
        </w:trPr>
        <w:tc>
          <w:tcPr>
            <w:tcW w:w="1541" w:type="dxa"/>
            <w:shd w:val="clear" w:color="auto" w:fill="auto"/>
            <w:noWrap/>
            <w:vAlign w:val="center"/>
            <w:hideMark/>
          </w:tcPr>
          <w:p w14:paraId="5C893FF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n/a</w:t>
            </w:r>
          </w:p>
        </w:tc>
        <w:tc>
          <w:tcPr>
            <w:tcW w:w="2054" w:type="dxa"/>
            <w:shd w:val="clear" w:color="auto" w:fill="auto"/>
            <w:noWrap/>
            <w:vAlign w:val="center"/>
            <w:hideMark/>
          </w:tcPr>
          <w:p w14:paraId="186846C5"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MSCRG</w:t>
            </w:r>
          </w:p>
        </w:tc>
        <w:tc>
          <w:tcPr>
            <w:tcW w:w="1070" w:type="dxa"/>
            <w:shd w:val="clear" w:color="auto" w:fill="auto"/>
            <w:noWrap/>
            <w:vAlign w:val="center"/>
            <w:hideMark/>
          </w:tcPr>
          <w:p w14:paraId="736FAB1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1996</w:t>
            </w:r>
          </w:p>
        </w:tc>
        <w:tc>
          <w:tcPr>
            <w:tcW w:w="981" w:type="dxa"/>
            <w:shd w:val="clear" w:color="000000" w:fill="E6F5DB"/>
            <w:noWrap/>
            <w:vAlign w:val="center"/>
            <w:hideMark/>
          </w:tcPr>
          <w:p w14:paraId="1E035BB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FFD1"/>
            <w:noWrap/>
            <w:vAlign w:val="center"/>
            <w:hideMark/>
          </w:tcPr>
          <w:p w14:paraId="01E1299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195" w:type="dxa"/>
            <w:shd w:val="clear" w:color="000000" w:fill="E6F5DB"/>
            <w:noWrap/>
            <w:vAlign w:val="center"/>
            <w:hideMark/>
          </w:tcPr>
          <w:p w14:paraId="360601C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1F7E899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FFFFD1"/>
            <w:noWrap/>
            <w:vAlign w:val="center"/>
            <w:hideMark/>
          </w:tcPr>
          <w:p w14:paraId="5471E22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972" w:type="dxa"/>
            <w:shd w:val="clear" w:color="000000" w:fill="E6F5DB"/>
            <w:noWrap/>
            <w:vAlign w:val="center"/>
            <w:hideMark/>
          </w:tcPr>
          <w:p w14:paraId="2FFD48F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22E4BC9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650DE905" w14:textId="77777777" w:rsidTr="00013343">
        <w:trPr>
          <w:trHeight w:val="216"/>
        </w:trPr>
        <w:tc>
          <w:tcPr>
            <w:tcW w:w="1541" w:type="dxa"/>
            <w:shd w:val="clear" w:color="auto" w:fill="auto"/>
            <w:noWrap/>
            <w:vAlign w:val="center"/>
            <w:hideMark/>
          </w:tcPr>
          <w:p w14:paraId="42C9D50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NCT01247324</w:t>
            </w:r>
          </w:p>
        </w:tc>
        <w:tc>
          <w:tcPr>
            <w:tcW w:w="2054" w:type="dxa"/>
            <w:shd w:val="clear" w:color="auto" w:fill="auto"/>
            <w:noWrap/>
            <w:vAlign w:val="center"/>
            <w:hideMark/>
          </w:tcPr>
          <w:p w14:paraId="53FD41F5"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OPERA I</w:t>
            </w:r>
          </w:p>
        </w:tc>
        <w:tc>
          <w:tcPr>
            <w:tcW w:w="1070" w:type="dxa"/>
            <w:shd w:val="clear" w:color="auto" w:fill="auto"/>
            <w:noWrap/>
            <w:vAlign w:val="center"/>
            <w:hideMark/>
          </w:tcPr>
          <w:p w14:paraId="35D82F7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2016</w:t>
            </w:r>
          </w:p>
        </w:tc>
        <w:tc>
          <w:tcPr>
            <w:tcW w:w="981" w:type="dxa"/>
            <w:shd w:val="clear" w:color="000000" w:fill="E6F5DB"/>
            <w:noWrap/>
            <w:vAlign w:val="center"/>
            <w:hideMark/>
          </w:tcPr>
          <w:p w14:paraId="41A2C64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C9E1D1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8CDC54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0916262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31C2C5F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1832659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6070DE5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6C1D36D8" w14:textId="77777777" w:rsidTr="00013343">
        <w:trPr>
          <w:trHeight w:val="216"/>
        </w:trPr>
        <w:tc>
          <w:tcPr>
            <w:tcW w:w="1541" w:type="dxa"/>
            <w:shd w:val="clear" w:color="auto" w:fill="auto"/>
            <w:noWrap/>
            <w:vAlign w:val="center"/>
            <w:hideMark/>
          </w:tcPr>
          <w:p w14:paraId="61B160F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NCT01412333</w:t>
            </w:r>
          </w:p>
        </w:tc>
        <w:tc>
          <w:tcPr>
            <w:tcW w:w="2054" w:type="dxa"/>
            <w:shd w:val="clear" w:color="auto" w:fill="auto"/>
            <w:noWrap/>
            <w:vAlign w:val="center"/>
            <w:hideMark/>
          </w:tcPr>
          <w:p w14:paraId="6CE20978"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OPERA II</w:t>
            </w:r>
          </w:p>
        </w:tc>
        <w:tc>
          <w:tcPr>
            <w:tcW w:w="1070" w:type="dxa"/>
            <w:shd w:val="clear" w:color="auto" w:fill="auto"/>
            <w:noWrap/>
            <w:vAlign w:val="center"/>
            <w:hideMark/>
          </w:tcPr>
          <w:p w14:paraId="369238B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2016</w:t>
            </w:r>
          </w:p>
        </w:tc>
        <w:tc>
          <w:tcPr>
            <w:tcW w:w="981" w:type="dxa"/>
            <w:shd w:val="clear" w:color="000000" w:fill="E6F5DB"/>
            <w:noWrap/>
            <w:vAlign w:val="center"/>
            <w:hideMark/>
          </w:tcPr>
          <w:p w14:paraId="229631D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7023CB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2BE0739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5CBEBDA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1C7F3F3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58A8B84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5BB28EC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5B72E7AD" w14:textId="77777777" w:rsidTr="00013343">
        <w:trPr>
          <w:trHeight w:val="216"/>
        </w:trPr>
        <w:tc>
          <w:tcPr>
            <w:tcW w:w="1541" w:type="dxa"/>
            <w:shd w:val="clear" w:color="auto" w:fill="auto"/>
            <w:noWrap/>
            <w:vAlign w:val="center"/>
            <w:hideMark/>
          </w:tcPr>
          <w:p w14:paraId="37CDFDA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NCT02425644</w:t>
            </w:r>
          </w:p>
        </w:tc>
        <w:tc>
          <w:tcPr>
            <w:tcW w:w="2054" w:type="dxa"/>
            <w:shd w:val="clear" w:color="auto" w:fill="auto"/>
            <w:noWrap/>
            <w:vAlign w:val="center"/>
            <w:hideMark/>
          </w:tcPr>
          <w:p w14:paraId="74888279"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OPTIMUM</w:t>
            </w:r>
          </w:p>
        </w:tc>
        <w:tc>
          <w:tcPr>
            <w:tcW w:w="1070" w:type="dxa"/>
            <w:shd w:val="clear" w:color="auto" w:fill="auto"/>
            <w:noWrap/>
            <w:vAlign w:val="center"/>
            <w:hideMark/>
          </w:tcPr>
          <w:p w14:paraId="34024C8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2020</w:t>
            </w:r>
          </w:p>
        </w:tc>
        <w:tc>
          <w:tcPr>
            <w:tcW w:w="981" w:type="dxa"/>
            <w:shd w:val="clear" w:color="000000" w:fill="E6F5DB"/>
            <w:noWrap/>
            <w:vAlign w:val="center"/>
            <w:hideMark/>
          </w:tcPr>
          <w:p w14:paraId="573D9DB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1D97AA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3F4369C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183ED78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3DDF522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3B5E67A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2FBC075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 xml:space="preserve">Low  </w:t>
            </w:r>
          </w:p>
        </w:tc>
      </w:tr>
      <w:tr w:rsidR="00367D58" w:rsidRPr="00A14942" w14:paraId="35F4932B" w14:textId="77777777" w:rsidTr="00013343">
        <w:trPr>
          <w:trHeight w:val="216"/>
        </w:trPr>
        <w:tc>
          <w:tcPr>
            <w:tcW w:w="1541" w:type="dxa"/>
            <w:shd w:val="clear" w:color="auto" w:fill="auto"/>
            <w:noWrap/>
            <w:vAlign w:val="center"/>
            <w:hideMark/>
          </w:tcPr>
          <w:p w14:paraId="622ECBD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NCT00676715</w:t>
            </w:r>
          </w:p>
        </w:tc>
        <w:tc>
          <w:tcPr>
            <w:tcW w:w="2054" w:type="dxa"/>
            <w:shd w:val="clear" w:color="auto" w:fill="auto"/>
            <w:noWrap/>
            <w:vAlign w:val="center"/>
            <w:hideMark/>
          </w:tcPr>
          <w:p w14:paraId="384EB17A"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Phase 2 ocrelizumab trial</w:t>
            </w:r>
          </w:p>
        </w:tc>
        <w:tc>
          <w:tcPr>
            <w:tcW w:w="1070" w:type="dxa"/>
            <w:shd w:val="clear" w:color="auto" w:fill="auto"/>
            <w:noWrap/>
            <w:vAlign w:val="center"/>
            <w:hideMark/>
          </w:tcPr>
          <w:p w14:paraId="3DFB5BE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2011</w:t>
            </w:r>
          </w:p>
        </w:tc>
        <w:tc>
          <w:tcPr>
            <w:tcW w:w="981" w:type="dxa"/>
            <w:shd w:val="clear" w:color="000000" w:fill="E6F5DB"/>
            <w:noWrap/>
            <w:vAlign w:val="center"/>
            <w:hideMark/>
          </w:tcPr>
          <w:p w14:paraId="6F018AC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2936CB2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361CEB4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E6F5DB"/>
            <w:noWrap/>
            <w:vAlign w:val="center"/>
            <w:hideMark/>
          </w:tcPr>
          <w:p w14:paraId="0E7B585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CF8CF0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602A4B8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51A1598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3F80C397" w14:textId="77777777" w:rsidTr="00013343">
        <w:trPr>
          <w:trHeight w:val="216"/>
        </w:trPr>
        <w:tc>
          <w:tcPr>
            <w:tcW w:w="1541" w:type="dxa"/>
            <w:shd w:val="clear" w:color="auto" w:fill="auto"/>
            <w:noWrap/>
            <w:vAlign w:val="center"/>
            <w:hideMark/>
          </w:tcPr>
          <w:p w14:paraId="02BEAD8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NCT01006265</w:t>
            </w:r>
          </w:p>
        </w:tc>
        <w:tc>
          <w:tcPr>
            <w:tcW w:w="2054" w:type="dxa"/>
            <w:shd w:val="clear" w:color="auto" w:fill="auto"/>
            <w:noWrap/>
            <w:vAlign w:val="center"/>
            <w:hideMark/>
          </w:tcPr>
          <w:p w14:paraId="68137313"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 xml:space="preserve">Phase 2 </w:t>
            </w:r>
            <w:proofErr w:type="spellStart"/>
            <w:r w:rsidRPr="00367D58">
              <w:rPr>
                <w:rFonts w:ascii="Times New Roman" w:eastAsia="Times New Roman" w:hAnsi="Times New Roman" w:cs="Times New Roman"/>
                <w:color w:val="000000"/>
                <w:sz w:val="16"/>
                <w:szCs w:val="16"/>
                <w:lang w:val="en-GB"/>
              </w:rPr>
              <w:t>ponesimod</w:t>
            </w:r>
            <w:proofErr w:type="spellEnd"/>
            <w:r w:rsidRPr="00367D58">
              <w:rPr>
                <w:rFonts w:ascii="Times New Roman" w:eastAsia="Times New Roman" w:hAnsi="Times New Roman" w:cs="Times New Roman"/>
                <w:color w:val="000000"/>
                <w:sz w:val="16"/>
                <w:szCs w:val="16"/>
                <w:lang w:val="en-GB"/>
              </w:rPr>
              <w:t xml:space="preserve"> trial</w:t>
            </w:r>
          </w:p>
        </w:tc>
        <w:tc>
          <w:tcPr>
            <w:tcW w:w="1070" w:type="dxa"/>
            <w:shd w:val="clear" w:color="auto" w:fill="auto"/>
            <w:noWrap/>
            <w:vAlign w:val="center"/>
            <w:hideMark/>
          </w:tcPr>
          <w:p w14:paraId="4D327CB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2014</w:t>
            </w:r>
          </w:p>
        </w:tc>
        <w:tc>
          <w:tcPr>
            <w:tcW w:w="981" w:type="dxa"/>
            <w:shd w:val="clear" w:color="000000" w:fill="E6F5DB"/>
            <w:noWrap/>
            <w:vAlign w:val="center"/>
            <w:hideMark/>
          </w:tcPr>
          <w:p w14:paraId="24E8518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F8C6CF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493D90DB"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59EAF9E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2681CC5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5C87F82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FFD1"/>
            <w:noWrap/>
            <w:vAlign w:val="center"/>
            <w:hideMark/>
          </w:tcPr>
          <w:p w14:paraId="6747908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r>
      <w:tr w:rsidR="00367D58" w:rsidRPr="00A14942" w14:paraId="53A2D8CD" w14:textId="77777777" w:rsidTr="00013343">
        <w:trPr>
          <w:trHeight w:val="216"/>
        </w:trPr>
        <w:tc>
          <w:tcPr>
            <w:tcW w:w="1541" w:type="dxa"/>
            <w:shd w:val="clear" w:color="auto" w:fill="auto"/>
            <w:noWrap/>
            <w:vAlign w:val="center"/>
            <w:hideMark/>
          </w:tcPr>
          <w:p w14:paraId="49DC604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NCT02047734</w:t>
            </w:r>
          </w:p>
        </w:tc>
        <w:tc>
          <w:tcPr>
            <w:tcW w:w="2054" w:type="dxa"/>
            <w:shd w:val="clear" w:color="auto" w:fill="auto"/>
            <w:noWrap/>
            <w:vAlign w:val="center"/>
            <w:hideMark/>
          </w:tcPr>
          <w:p w14:paraId="2667721F"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RADIANCE B</w:t>
            </w:r>
          </w:p>
        </w:tc>
        <w:tc>
          <w:tcPr>
            <w:tcW w:w="1070" w:type="dxa"/>
            <w:shd w:val="clear" w:color="auto" w:fill="auto"/>
            <w:noWrap/>
            <w:vAlign w:val="center"/>
            <w:hideMark/>
          </w:tcPr>
          <w:p w14:paraId="6991C44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2019</w:t>
            </w:r>
          </w:p>
        </w:tc>
        <w:tc>
          <w:tcPr>
            <w:tcW w:w="981" w:type="dxa"/>
            <w:shd w:val="clear" w:color="000000" w:fill="E6F5DB"/>
            <w:noWrap/>
            <w:vAlign w:val="center"/>
            <w:hideMark/>
          </w:tcPr>
          <w:p w14:paraId="1824FB9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5DD5ABF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933458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6F0000BF"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6E29870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4A2D6005"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49C9893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154A8AD7" w14:textId="77777777" w:rsidTr="00013343">
        <w:trPr>
          <w:trHeight w:val="216"/>
        </w:trPr>
        <w:tc>
          <w:tcPr>
            <w:tcW w:w="1541" w:type="dxa"/>
            <w:shd w:val="clear" w:color="auto" w:fill="auto"/>
            <w:noWrap/>
            <w:vAlign w:val="center"/>
            <w:hideMark/>
          </w:tcPr>
          <w:p w14:paraId="2964230A"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rPr>
              <w:t>NCT02975349</w:t>
            </w:r>
          </w:p>
        </w:tc>
        <w:tc>
          <w:tcPr>
            <w:tcW w:w="2054" w:type="dxa"/>
            <w:shd w:val="clear" w:color="auto" w:fill="auto"/>
            <w:noWrap/>
            <w:vAlign w:val="center"/>
            <w:hideMark/>
          </w:tcPr>
          <w:p w14:paraId="01A10610"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REGARD</w:t>
            </w:r>
          </w:p>
        </w:tc>
        <w:tc>
          <w:tcPr>
            <w:tcW w:w="1070" w:type="dxa"/>
            <w:shd w:val="clear" w:color="auto" w:fill="auto"/>
            <w:noWrap/>
            <w:vAlign w:val="center"/>
            <w:hideMark/>
          </w:tcPr>
          <w:p w14:paraId="1972359C"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2008</w:t>
            </w:r>
          </w:p>
        </w:tc>
        <w:tc>
          <w:tcPr>
            <w:tcW w:w="981" w:type="dxa"/>
            <w:shd w:val="clear" w:color="000000" w:fill="E6F5DB"/>
            <w:noWrap/>
            <w:vAlign w:val="center"/>
            <w:hideMark/>
          </w:tcPr>
          <w:p w14:paraId="4D7F521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287C954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FFE5E5"/>
            <w:noWrap/>
            <w:vAlign w:val="center"/>
            <w:hideMark/>
          </w:tcPr>
          <w:p w14:paraId="4E77BC6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c>
          <w:tcPr>
            <w:tcW w:w="1133" w:type="dxa"/>
            <w:shd w:val="clear" w:color="000000" w:fill="FFFFD1"/>
            <w:noWrap/>
            <w:vAlign w:val="center"/>
            <w:hideMark/>
          </w:tcPr>
          <w:p w14:paraId="6282AB2E"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UNCLEAR</w:t>
            </w:r>
          </w:p>
        </w:tc>
        <w:tc>
          <w:tcPr>
            <w:tcW w:w="1061" w:type="dxa"/>
            <w:shd w:val="clear" w:color="000000" w:fill="E6F5DB"/>
            <w:noWrap/>
            <w:vAlign w:val="center"/>
            <w:hideMark/>
          </w:tcPr>
          <w:p w14:paraId="49EDEAA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4750454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6D7DFC72"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1FC0388A" w14:textId="77777777" w:rsidTr="00013343">
        <w:trPr>
          <w:trHeight w:val="216"/>
        </w:trPr>
        <w:tc>
          <w:tcPr>
            <w:tcW w:w="1541" w:type="dxa"/>
            <w:shd w:val="clear" w:color="auto" w:fill="auto"/>
            <w:noWrap/>
            <w:vAlign w:val="center"/>
            <w:hideMark/>
          </w:tcPr>
          <w:p w14:paraId="67BD2375"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rPr>
              <w:t>NCT02975353</w:t>
            </w:r>
          </w:p>
        </w:tc>
        <w:tc>
          <w:tcPr>
            <w:tcW w:w="2054" w:type="dxa"/>
            <w:shd w:val="clear" w:color="auto" w:fill="auto"/>
            <w:noWrap/>
            <w:vAlign w:val="center"/>
            <w:hideMark/>
          </w:tcPr>
          <w:p w14:paraId="5E063909"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SUNBEAM</w:t>
            </w:r>
          </w:p>
        </w:tc>
        <w:tc>
          <w:tcPr>
            <w:tcW w:w="1070" w:type="dxa"/>
            <w:shd w:val="clear" w:color="auto" w:fill="auto"/>
            <w:noWrap/>
            <w:vAlign w:val="center"/>
            <w:hideMark/>
          </w:tcPr>
          <w:p w14:paraId="2FC6FFF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2019</w:t>
            </w:r>
          </w:p>
        </w:tc>
        <w:tc>
          <w:tcPr>
            <w:tcW w:w="981" w:type="dxa"/>
            <w:shd w:val="clear" w:color="000000" w:fill="E6F5DB"/>
            <w:noWrap/>
            <w:vAlign w:val="center"/>
            <w:hideMark/>
          </w:tcPr>
          <w:p w14:paraId="005562B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6B90016"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624544A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1666A749"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7B2C6A5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71F88F1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6796D041"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r w:rsidR="00367D58" w:rsidRPr="00A14942" w14:paraId="31156B47" w14:textId="77777777" w:rsidTr="00013343">
        <w:trPr>
          <w:trHeight w:val="216"/>
        </w:trPr>
        <w:tc>
          <w:tcPr>
            <w:tcW w:w="1541" w:type="dxa"/>
            <w:shd w:val="clear" w:color="auto" w:fill="auto"/>
            <w:noWrap/>
            <w:vAlign w:val="center"/>
            <w:hideMark/>
          </w:tcPr>
          <w:p w14:paraId="2C45C154"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rPr>
              <w:t>NCT02975354</w:t>
            </w:r>
          </w:p>
        </w:tc>
        <w:tc>
          <w:tcPr>
            <w:tcW w:w="2054" w:type="dxa"/>
            <w:shd w:val="clear" w:color="auto" w:fill="auto"/>
            <w:noWrap/>
            <w:vAlign w:val="center"/>
            <w:hideMark/>
          </w:tcPr>
          <w:p w14:paraId="0B167A07"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TEMSO</w:t>
            </w:r>
          </w:p>
        </w:tc>
        <w:tc>
          <w:tcPr>
            <w:tcW w:w="1070" w:type="dxa"/>
            <w:shd w:val="clear" w:color="auto" w:fill="auto"/>
            <w:noWrap/>
            <w:vAlign w:val="center"/>
            <w:hideMark/>
          </w:tcPr>
          <w:p w14:paraId="78540F1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2011</w:t>
            </w:r>
          </w:p>
        </w:tc>
        <w:tc>
          <w:tcPr>
            <w:tcW w:w="981" w:type="dxa"/>
            <w:shd w:val="clear" w:color="000000" w:fill="E6F5DB"/>
            <w:noWrap/>
            <w:vAlign w:val="center"/>
            <w:hideMark/>
          </w:tcPr>
          <w:p w14:paraId="4BD4008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F25422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36725A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571CA247"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008A6E9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59C04BF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FFE5E5"/>
            <w:noWrap/>
            <w:vAlign w:val="center"/>
            <w:hideMark/>
          </w:tcPr>
          <w:p w14:paraId="412E879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HIGH</w:t>
            </w:r>
          </w:p>
        </w:tc>
      </w:tr>
      <w:tr w:rsidR="00367D58" w:rsidRPr="00A14942" w14:paraId="394B578F" w14:textId="77777777" w:rsidTr="00013343">
        <w:trPr>
          <w:trHeight w:val="216"/>
        </w:trPr>
        <w:tc>
          <w:tcPr>
            <w:tcW w:w="1541" w:type="dxa"/>
            <w:shd w:val="clear" w:color="auto" w:fill="auto"/>
            <w:noWrap/>
            <w:vAlign w:val="center"/>
            <w:hideMark/>
          </w:tcPr>
          <w:p w14:paraId="1DC14315"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rPr>
              <w:t>NCT02975358</w:t>
            </w:r>
          </w:p>
        </w:tc>
        <w:tc>
          <w:tcPr>
            <w:tcW w:w="2054" w:type="dxa"/>
            <w:shd w:val="clear" w:color="auto" w:fill="auto"/>
            <w:noWrap/>
            <w:vAlign w:val="center"/>
            <w:hideMark/>
          </w:tcPr>
          <w:p w14:paraId="1A3750A0" w14:textId="77777777" w:rsidR="00367D58" w:rsidRPr="00367D58" w:rsidRDefault="00367D58" w:rsidP="00013343">
            <w:pPr>
              <w:spacing w:after="0" w:line="240" w:lineRule="auto"/>
              <w:rPr>
                <w:rFonts w:ascii="Times New Roman" w:eastAsia="Times New Roman" w:hAnsi="Times New Roman" w:cs="Times New Roman"/>
                <w:color w:val="000000"/>
                <w:sz w:val="16"/>
                <w:szCs w:val="16"/>
              </w:rPr>
            </w:pPr>
            <w:r w:rsidRPr="00367D58">
              <w:rPr>
                <w:rFonts w:ascii="Times New Roman" w:eastAsia="Times New Roman" w:hAnsi="Times New Roman" w:cs="Times New Roman"/>
                <w:color w:val="000000"/>
                <w:sz w:val="16"/>
                <w:szCs w:val="16"/>
                <w:lang w:val="en-GB"/>
              </w:rPr>
              <w:t>TRANSFORMS</w:t>
            </w:r>
          </w:p>
        </w:tc>
        <w:tc>
          <w:tcPr>
            <w:tcW w:w="1070" w:type="dxa"/>
            <w:shd w:val="clear" w:color="auto" w:fill="auto"/>
            <w:noWrap/>
            <w:vAlign w:val="center"/>
            <w:hideMark/>
          </w:tcPr>
          <w:p w14:paraId="571CD55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2010</w:t>
            </w:r>
          </w:p>
        </w:tc>
        <w:tc>
          <w:tcPr>
            <w:tcW w:w="981" w:type="dxa"/>
            <w:shd w:val="clear" w:color="000000" w:fill="E6F5DB"/>
            <w:noWrap/>
            <w:vAlign w:val="center"/>
            <w:hideMark/>
          </w:tcPr>
          <w:p w14:paraId="0831C5A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78773C20"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95" w:type="dxa"/>
            <w:shd w:val="clear" w:color="000000" w:fill="E6F5DB"/>
            <w:noWrap/>
            <w:vAlign w:val="center"/>
            <w:hideMark/>
          </w:tcPr>
          <w:p w14:paraId="114A8FE3"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133" w:type="dxa"/>
            <w:shd w:val="clear" w:color="000000" w:fill="E6F5DB"/>
            <w:noWrap/>
            <w:vAlign w:val="center"/>
            <w:hideMark/>
          </w:tcPr>
          <w:p w14:paraId="747EBF78"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1061" w:type="dxa"/>
            <w:shd w:val="clear" w:color="000000" w:fill="E6F5DB"/>
            <w:noWrap/>
            <w:vAlign w:val="center"/>
            <w:hideMark/>
          </w:tcPr>
          <w:p w14:paraId="3D844DCA"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72" w:type="dxa"/>
            <w:shd w:val="clear" w:color="000000" w:fill="E6F5DB"/>
            <w:noWrap/>
            <w:vAlign w:val="center"/>
            <w:hideMark/>
          </w:tcPr>
          <w:p w14:paraId="17A90724"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c>
          <w:tcPr>
            <w:tcW w:w="981" w:type="dxa"/>
            <w:shd w:val="clear" w:color="000000" w:fill="E6F5DB"/>
            <w:noWrap/>
            <w:vAlign w:val="center"/>
            <w:hideMark/>
          </w:tcPr>
          <w:p w14:paraId="4A83B1DD" w14:textId="77777777" w:rsidR="00367D58" w:rsidRPr="00367D58" w:rsidRDefault="00367D58" w:rsidP="00013343">
            <w:pPr>
              <w:spacing w:after="0" w:line="240" w:lineRule="auto"/>
              <w:rPr>
                <w:rFonts w:ascii="Times New Roman" w:eastAsia="Times New Roman" w:hAnsi="Times New Roman" w:cs="Times New Roman"/>
                <w:sz w:val="16"/>
                <w:szCs w:val="16"/>
              </w:rPr>
            </w:pPr>
            <w:r w:rsidRPr="00367D58">
              <w:rPr>
                <w:rFonts w:ascii="Times New Roman" w:eastAsia="Times New Roman" w:hAnsi="Times New Roman" w:cs="Times New Roman"/>
                <w:sz w:val="16"/>
                <w:szCs w:val="16"/>
              </w:rPr>
              <w:t>LOW</w:t>
            </w:r>
          </w:p>
        </w:tc>
      </w:tr>
    </w:tbl>
    <w:p w14:paraId="26161C80" w14:textId="77777777" w:rsidR="00367D58" w:rsidRPr="00A14942" w:rsidRDefault="00367D58" w:rsidP="00367D58">
      <w:pPr>
        <w:rPr>
          <w:rFonts w:ascii="Times New Roman" w:hAnsi="Times New Roman" w:cs="Times New Roman"/>
          <w:lang w:bidi="ar-SA"/>
        </w:rPr>
      </w:pPr>
    </w:p>
    <w:p w14:paraId="242514B8" w14:textId="77777777" w:rsidR="0087352C" w:rsidRDefault="0087352C" w:rsidP="00223A29">
      <w:pPr>
        <w:pStyle w:val="Heading1"/>
        <w:pageBreakBefore/>
        <w:ind w:left="965" w:hanging="965"/>
        <w:rPr>
          <w:rFonts w:ascii="Times New Roman" w:hAnsi="Times New Roman" w:cs="Times New Roman"/>
        </w:rPr>
        <w:sectPr w:rsidR="0087352C" w:rsidSect="0087352C">
          <w:pgSz w:w="15840" w:h="12240" w:orient="landscape"/>
          <w:pgMar w:top="1440" w:right="1440" w:bottom="1440" w:left="1440" w:header="720" w:footer="720" w:gutter="0"/>
          <w:cols w:space="720"/>
          <w:docGrid w:linePitch="360"/>
        </w:sectPr>
      </w:pPr>
    </w:p>
    <w:p w14:paraId="4D11B727" w14:textId="77777777" w:rsidR="0087352C" w:rsidRDefault="0087352C" w:rsidP="00223A29">
      <w:pPr>
        <w:pStyle w:val="Heading2"/>
        <w:rPr>
          <w:rFonts w:ascii="Times New Roman" w:hAnsi="Times New Roman" w:cs="Times New Roman"/>
        </w:rPr>
      </w:pPr>
      <w:bookmarkStart w:id="22" w:name="_Toc130240187"/>
      <w:r w:rsidRPr="0087352C">
        <w:rPr>
          <w:rFonts w:ascii="Times New Roman" w:hAnsi="Times New Roman" w:cs="Times New Roman"/>
        </w:rPr>
        <w:lastRenderedPageBreak/>
        <w:t>Ex</w:t>
      </w:r>
      <w:r>
        <w:rPr>
          <w:rFonts w:ascii="Times New Roman" w:hAnsi="Times New Roman" w:cs="Times New Roman"/>
        </w:rPr>
        <w:t>cluded studies list</w:t>
      </w:r>
      <w:bookmarkEnd w:id="22"/>
    </w:p>
    <w:tbl>
      <w:tblPr>
        <w:tblW w:w="9360" w:type="dxa"/>
        <w:tblInd w:w="108" w:type="dxa"/>
        <w:tblLook w:val="04A0" w:firstRow="1" w:lastRow="0" w:firstColumn="1" w:lastColumn="0" w:noHBand="0" w:noVBand="1"/>
      </w:tblPr>
      <w:tblGrid>
        <w:gridCol w:w="9360"/>
      </w:tblGrid>
      <w:tr w:rsidR="00406AEC" w:rsidRPr="00406AEC" w14:paraId="14FCCE11" w14:textId="77777777" w:rsidTr="00406AEC">
        <w:trPr>
          <w:trHeight w:val="300"/>
        </w:trPr>
        <w:tc>
          <w:tcPr>
            <w:tcW w:w="9360" w:type="dxa"/>
            <w:tcBorders>
              <w:top w:val="nil"/>
              <w:left w:val="nil"/>
              <w:bottom w:val="nil"/>
              <w:right w:val="nil"/>
            </w:tcBorders>
            <w:shd w:val="clear" w:color="auto" w:fill="auto"/>
            <w:noWrap/>
            <w:vAlign w:val="bottom"/>
            <w:hideMark/>
          </w:tcPr>
          <w:p w14:paraId="32F8FC88"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Population (n = 43)</w:t>
            </w:r>
          </w:p>
        </w:tc>
      </w:tr>
      <w:tr w:rsidR="00406AEC" w:rsidRPr="00406AEC" w14:paraId="056F2465" w14:textId="77777777" w:rsidTr="00406AEC">
        <w:trPr>
          <w:trHeight w:val="300"/>
        </w:trPr>
        <w:tc>
          <w:tcPr>
            <w:tcW w:w="9360" w:type="dxa"/>
            <w:tcBorders>
              <w:top w:val="nil"/>
              <w:left w:val="nil"/>
              <w:bottom w:val="nil"/>
              <w:right w:val="nil"/>
            </w:tcBorders>
            <w:shd w:val="clear" w:color="auto" w:fill="auto"/>
            <w:noWrap/>
            <w:vAlign w:val="bottom"/>
            <w:hideMark/>
          </w:tcPr>
          <w:p w14:paraId="417A21CA"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(2010) Early treatment of clinical multiple sclerosis with glatiramer delays onset. Australian Journal of Pharmacy 91 (1078): 77.</w:t>
            </w:r>
          </w:p>
        </w:tc>
      </w:tr>
      <w:tr w:rsidR="00406AEC" w:rsidRPr="00406AEC" w14:paraId="4169E0B6" w14:textId="77777777" w:rsidTr="00406AEC">
        <w:trPr>
          <w:trHeight w:val="300"/>
        </w:trPr>
        <w:tc>
          <w:tcPr>
            <w:tcW w:w="9360" w:type="dxa"/>
            <w:tcBorders>
              <w:top w:val="nil"/>
              <w:left w:val="nil"/>
              <w:bottom w:val="nil"/>
              <w:right w:val="nil"/>
            </w:tcBorders>
            <w:shd w:val="clear" w:color="auto" w:fill="auto"/>
            <w:noWrap/>
            <w:vAlign w:val="bottom"/>
            <w:hideMark/>
          </w:tcPr>
          <w:p w14:paraId="13D3DA49"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(2017) Slowing of cortical grey matter atrophy with teriflunomide is associated with delayed conversion to clinically definite MS. Multiple sclerosis journal Conference: 7th Joint ECTRIMS-ACTRIMS, MSPARIS2017. France. 23 (3 Supplement 1): 321-322.</w:t>
            </w:r>
          </w:p>
        </w:tc>
      </w:tr>
      <w:tr w:rsidR="00406AEC" w:rsidRPr="00406AEC" w14:paraId="1280FB75" w14:textId="77777777" w:rsidTr="00406AEC">
        <w:trPr>
          <w:trHeight w:val="300"/>
        </w:trPr>
        <w:tc>
          <w:tcPr>
            <w:tcW w:w="9360" w:type="dxa"/>
            <w:tcBorders>
              <w:top w:val="nil"/>
              <w:left w:val="nil"/>
              <w:bottom w:val="nil"/>
              <w:right w:val="nil"/>
            </w:tcBorders>
            <w:shd w:val="clear" w:color="auto" w:fill="auto"/>
            <w:noWrap/>
            <w:vAlign w:val="bottom"/>
            <w:hideMark/>
          </w:tcPr>
          <w:p w14:paraId="15DE76D1"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Investigating the effect of teriflunomide on diffuse cortical grey matter volume loss in the phase 3 TOPIC study. European journal of neurology 26 (864): </w:t>
            </w:r>
          </w:p>
        </w:tc>
      </w:tr>
      <w:tr w:rsidR="00406AEC" w:rsidRPr="00406AEC" w14:paraId="780DEAA5" w14:textId="77777777" w:rsidTr="00406AEC">
        <w:trPr>
          <w:trHeight w:val="300"/>
        </w:trPr>
        <w:tc>
          <w:tcPr>
            <w:tcW w:w="9360" w:type="dxa"/>
            <w:tcBorders>
              <w:top w:val="nil"/>
              <w:left w:val="nil"/>
              <w:bottom w:val="nil"/>
              <w:right w:val="nil"/>
            </w:tcBorders>
            <w:shd w:val="clear" w:color="auto" w:fill="auto"/>
            <w:noWrap/>
            <w:vAlign w:val="bottom"/>
            <w:hideMark/>
          </w:tcPr>
          <w:p w14:paraId="793B6E93"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Updated safety analysis of cladribine tablets in the treatment of patients with multiple sclerosis. Neurology 92 (15): </w:t>
            </w:r>
          </w:p>
        </w:tc>
      </w:tr>
      <w:tr w:rsidR="00406AEC" w:rsidRPr="00406AEC" w14:paraId="2F20340E" w14:textId="77777777" w:rsidTr="00406AEC">
        <w:trPr>
          <w:trHeight w:val="300"/>
        </w:trPr>
        <w:tc>
          <w:tcPr>
            <w:tcW w:w="9360" w:type="dxa"/>
            <w:tcBorders>
              <w:top w:val="nil"/>
              <w:left w:val="nil"/>
              <w:bottom w:val="nil"/>
              <w:right w:val="nil"/>
            </w:tcBorders>
            <w:shd w:val="clear" w:color="auto" w:fill="auto"/>
            <w:noWrap/>
            <w:vAlign w:val="bottom"/>
            <w:hideMark/>
          </w:tcPr>
          <w:p w14:paraId="48EFB5D9"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Albert C, Mikolajczak J, </w:t>
            </w:r>
            <w:proofErr w:type="spellStart"/>
            <w:r w:rsidRPr="00406AEC">
              <w:rPr>
                <w:rFonts w:ascii="Times New Roman" w:eastAsia="Times New Roman" w:hAnsi="Times New Roman" w:cs="Times New Roman"/>
                <w:color w:val="000000"/>
                <w:szCs w:val="22"/>
              </w:rPr>
              <w:t>Liekfeld</w:t>
            </w:r>
            <w:proofErr w:type="spellEnd"/>
            <w:r w:rsidRPr="00406AEC">
              <w:rPr>
                <w:rFonts w:ascii="Times New Roman" w:eastAsia="Times New Roman" w:hAnsi="Times New Roman" w:cs="Times New Roman"/>
                <w:color w:val="000000"/>
                <w:szCs w:val="22"/>
              </w:rPr>
              <w:t xml:space="preserve"> A, Piper SK, Scheel M et al. (2020) Fingolimod after a first unilateral episode of acute optic neuritis (MOVING) - Preliminary results from a randomized, rater-blind, active-controlled, phase 2 trial. BMC Neurology 20 (1): </w:t>
            </w:r>
          </w:p>
        </w:tc>
      </w:tr>
      <w:tr w:rsidR="00406AEC" w:rsidRPr="00406AEC" w14:paraId="3593E92F" w14:textId="77777777" w:rsidTr="00406AEC">
        <w:trPr>
          <w:trHeight w:val="300"/>
        </w:trPr>
        <w:tc>
          <w:tcPr>
            <w:tcW w:w="9360" w:type="dxa"/>
            <w:tcBorders>
              <w:top w:val="nil"/>
              <w:left w:val="nil"/>
              <w:bottom w:val="nil"/>
              <w:right w:val="nil"/>
            </w:tcBorders>
            <w:shd w:val="clear" w:color="auto" w:fill="auto"/>
            <w:noWrap/>
            <w:vAlign w:val="bottom"/>
            <w:hideMark/>
          </w:tcPr>
          <w:p w14:paraId="0179B7FC"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Nagtegaal</w:t>
            </w:r>
            <w:proofErr w:type="spellEnd"/>
            <w:r w:rsidRPr="00406AEC">
              <w:rPr>
                <w:rFonts w:ascii="Times New Roman" w:eastAsia="Times New Roman" w:hAnsi="Times New Roman" w:cs="Times New Roman"/>
                <w:color w:val="000000"/>
                <w:szCs w:val="22"/>
              </w:rPr>
              <w:t xml:space="preserve"> G, Polman C, Freedman M, Hartung HP et al. IFNB-1b therapy started at CIS reduces the evolution of persistent T1 </w:t>
            </w:r>
            <w:proofErr w:type="spellStart"/>
            <w:r w:rsidRPr="00406AEC">
              <w:rPr>
                <w:rFonts w:ascii="Times New Roman" w:eastAsia="Times New Roman" w:hAnsi="Times New Roman" w:cs="Times New Roman"/>
                <w:color w:val="000000"/>
                <w:szCs w:val="22"/>
              </w:rPr>
              <w:t>hypointensities</w:t>
            </w:r>
            <w:proofErr w:type="spellEnd"/>
            <w:r w:rsidRPr="00406AEC">
              <w:rPr>
                <w:rFonts w:ascii="Times New Roman" w:eastAsia="Times New Roman" w:hAnsi="Times New Roman" w:cs="Times New Roman"/>
                <w:color w:val="000000"/>
                <w:szCs w:val="22"/>
              </w:rPr>
              <w:t xml:space="preserve"> on brain MRI.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S433-S434.</w:t>
            </w:r>
          </w:p>
        </w:tc>
      </w:tr>
      <w:tr w:rsidR="00406AEC" w:rsidRPr="00406AEC" w14:paraId="7CB13DF2" w14:textId="77777777" w:rsidTr="00406AEC">
        <w:trPr>
          <w:trHeight w:val="300"/>
        </w:trPr>
        <w:tc>
          <w:tcPr>
            <w:tcW w:w="9360" w:type="dxa"/>
            <w:tcBorders>
              <w:top w:val="nil"/>
              <w:left w:val="nil"/>
              <w:bottom w:val="nil"/>
              <w:right w:val="nil"/>
            </w:tcBorders>
            <w:shd w:val="clear" w:color="auto" w:fill="auto"/>
            <w:noWrap/>
            <w:vAlign w:val="bottom"/>
            <w:hideMark/>
          </w:tcPr>
          <w:p w14:paraId="0665711E"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Bornstein MB, Miller A, Slagle S, Weitzman M, Drexler E et al. (1991) A placebo-controlled, double-blind, randomized, two-center, pilot trial of Cop 1 in chronic progressive multiple sclerosis. Neurology 41 (4): 533-539.</w:t>
            </w:r>
          </w:p>
        </w:tc>
      </w:tr>
      <w:tr w:rsidR="00406AEC" w:rsidRPr="00406AEC" w14:paraId="122F5367" w14:textId="77777777" w:rsidTr="00406AEC">
        <w:trPr>
          <w:trHeight w:val="300"/>
        </w:trPr>
        <w:tc>
          <w:tcPr>
            <w:tcW w:w="9360" w:type="dxa"/>
            <w:tcBorders>
              <w:top w:val="nil"/>
              <w:left w:val="nil"/>
              <w:bottom w:val="nil"/>
              <w:right w:val="nil"/>
            </w:tcBorders>
            <w:shd w:val="clear" w:color="auto" w:fill="auto"/>
            <w:noWrap/>
            <w:vAlign w:val="bottom"/>
            <w:hideMark/>
          </w:tcPr>
          <w:p w14:paraId="36A27A01"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Brown RA, Narayanan S, </w:t>
            </w:r>
            <w:proofErr w:type="spellStart"/>
            <w:r w:rsidRPr="00406AEC">
              <w:rPr>
                <w:rFonts w:ascii="Times New Roman" w:eastAsia="Times New Roman" w:hAnsi="Times New Roman" w:cs="Times New Roman"/>
                <w:color w:val="000000"/>
                <w:szCs w:val="22"/>
              </w:rPr>
              <w:t>Stikov</w:t>
            </w:r>
            <w:proofErr w:type="spellEnd"/>
            <w:r w:rsidRPr="00406AEC">
              <w:rPr>
                <w:rFonts w:ascii="Times New Roman" w:eastAsia="Times New Roman" w:hAnsi="Times New Roman" w:cs="Times New Roman"/>
                <w:color w:val="000000"/>
                <w:szCs w:val="22"/>
              </w:rPr>
              <w:t xml:space="preserve"> N, Cook S, Cadavid D et al. (2016) MTR recovery in brain lesions in the BECOME study of glatiramer acetate vs interferon beta-1b. Neurology 87 (9): 905-911.</w:t>
            </w:r>
          </w:p>
        </w:tc>
      </w:tr>
      <w:tr w:rsidR="00406AEC" w:rsidRPr="00406AEC" w14:paraId="49DF19F4" w14:textId="77777777" w:rsidTr="00406AEC">
        <w:trPr>
          <w:trHeight w:val="300"/>
        </w:trPr>
        <w:tc>
          <w:tcPr>
            <w:tcW w:w="9360" w:type="dxa"/>
            <w:tcBorders>
              <w:top w:val="nil"/>
              <w:left w:val="nil"/>
              <w:bottom w:val="nil"/>
              <w:right w:val="nil"/>
            </w:tcBorders>
            <w:shd w:val="clear" w:color="auto" w:fill="auto"/>
            <w:noWrap/>
            <w:vAlign w:val="bottom"/>
            <w:hideMark/>
          </w:tcPr>
          <w:p w14:paraId="3C9F647E"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Cadavid D, Kim S, Peng B, Skurnick J, Younes M et al. (2011) Clinical consequences of MRI activity in treated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(9): 1113-1121.</w:t>
            </w:r>
          </w:p>
        </w:tc>
      </w:tr>
      <w:tr w:rsidR="00406AEC" w:rsidRPr="00406AEC" w14:paraId="2D96CD0E" w14:textId="77777777" w:rsidTr="00406AEC">
        <w:trPr>
          <w:trHeight w:val="300"/>
        </w:trPr>
        <w:tc>
          <w:tcPr>
            <w:tcW w:w="9360" w:type="dxa"/>
            <w:tcBorders>
              <w:top w:val="nil"/>
              <w:left w:val="nil"/>
              <w:bottom w:val="nil"/>
              <w:right w:val="nil"/>
            </w:tcBorders>
            <w:shd w:val="clear" w:color="auto" w:fill="auto"/>
            <w:noWrap/>
            <w:vAlign w:val="bottom"/>
            <w:hideMark/>
          </w:tcPr>
          <w:p w14:paraId="0EF379D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Cadavid D, Wolansky LJ, Skurnick J, Lincoln J, Cheriyan J et al. (2009) Efficacy of treatment of MS with IFN{beta}-1b or glatiramer acetate by monthly brain MRI in the BECOME study. Neurology [</w:t>
            </w:r>
            <w:proofErr w:type="spellStart"/>
            <w:r w:rsidRPr="00406AEC">
              <w:rPr>
                <w:rFonts w:ascii="Times New Roman" w:eastAsia="Times New Roman" w:hAnsi="Times New Roman" w:cs="Times New Roman"/>
                <w:color w:val="000000"/>
                <w:szCs w:val="22"/>
              </w:rPr>
              <w:t>Epub</w:t>
            </w:r>
            <w:proofErr w:type="spellEnd"/>
            <w:r w:rsidRPr="00406AEC">
              <w:rPr>
                <w:rFonts w:ascii="Times New Roman" w:eastAsia="Times New Roman" w:hAnsi="Times New Roman" w:cs="Times New Roman"/>
                <w:color w:val="000000"/>
                <w:szCs w:val="22"/>
              </w:rPr>
              <w:t xml:space="preserve"> ahead of print]p </w:t>
            </w:r>
          </w:p>
        </w:tc>
      </w:tr>
      <w:tr w:rsidR="00406AEC" w:rsidRPr="00406AEC" w14:paraId="3B8C51CC" w14:textId="77777777" w:rsidTr="00406AEC">
        <w:trPr>
          <w:trHeight w:val="300"/>
        </w:trPr>
        <w:tc>
          <w:tcPr>
            <w:tcW w:w="9360" w:type="dxa"/>
            <w:tcBorders>
              <w:top w:val="nil"/>
              <w:left w:val="nil"/>
              <w:bottom w:val="nil"/>
              <w:right w:val="nil"/>
            </w:tcBorders>
            <w:shd w:val="clear" w:color="auto" w:fill="auto"/>
            <w:noWrap/>
            <w:vAlign w:val="bottom"/>
            <w:hideMark/>
          </w:tcPr>
          <w:p w14:paraId="0D456DA7"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Cheriyan J, Kim S, Wolansky LJ, Cook SD, Cadavid D (2012) Impact of inflammation on brain volume in multiple sclerosis. Archives of neurology 69 (1): 82-88.</w:t>
            </w:r>
          </w:p>
        </w:tc>
      </w:tr>
      <w:tr w:rsidR="00406AEC" w:rsidRPr="00406AEC" w14:paraId="310BB3E5" w14:textId="77777777" w:rsidTr="00406AEC">
        <w:trPr>
          <w:trHeight w:val="300"/>
        </w:trPr>
        <w:tc>
          <w:tcPr>
            <w:tcW w:w="9360" w:type="dxa"/>
            <w:tcBorders>
              <w:top w:val="nil"/>
              <w:left w:val="nil"/>
              <w:bottom w:val="nil"/>
              <w:right w:val="nil"/>
            </w:tcBorders>
            <w:shd w:val="clear" w:color="auto" w:fill="auto"/>
            <w:noWrap/>
            <w:vAlign w:val="bottom"/>
            <w:hideMark/>
          </w:tcPr>
          <w:p w14:paraId="112AC672"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Comabella M, Sastre-Garriga J, Pareto D, Borras E, Tintore M et al. </w:t>
            </w:r>
            <w:r w:rsidRPr="00406AEC">
              <w:rPr>
                <w:rFonts w:ascii="Times New Roman" w:eastAsia="Times New Roman" w:hAnsi="Times New Roman" w:cs="Times New Roman"/>
                <w:color w:val="000000"/>
                <w:szCs w:val="22"/>
              </w:rPr>
              <w:t xml:space="preserve">(2016) Search of biomarkers in patients with progressive multiple sclerosis.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22 588-589.</w:t>
            </w:r>
          </w:p>
        </w:tc>
      </w:tr>
      <w:tr w:rsidR="00406AEC" w:rsidRPr="00406AEC" w14:paraId="2B28EE44" w14:textId="77777777" w:rsidTr="00406AEC">
        <w:trPr>
          <w:trHeight w:val="300"/>
        </w:trPr>
        <w:tc>
          <w:tcPr>
            <w:tcW w:w="9360" w:type="dxa"/>
            <w:tcBorders>
              <w:top w:val="nil"/>
              <w:left w:val="nil"/>
              <w:bottom w:val="nil"/>
              <w:right w:val="nil"/>
            </w:tcBorders>
            <w:shd w:val="clear" w:color="auto" w:fill="auto"/>
            <w:noWrap/>
            <w:vAlign w:val="bottom"/>
            <w:hideMark/>
          </w:tcPr>
          <w:p w14:paraId="29011FA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Miller AE, Benamor M,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Poole EM et al. (2019) Characterizing lymphocyte counts and infection rates with long-term teriflunomide treatment: Pooled analysis of clinical trials. Multiple Sclerosis Journal </w:t>
            </w:r>
          </w:p>
        </w:tc>
      </w:tr>
      <w:tr w:rsidR="00406AEC" w:rsidRPr="00406AEC" w14:paraId="06D8B415" w14:textId="77777777" w:rsidTr="00406AEC">
        <w:trPr>
          <w:trHeight w:val="300"/>
        </w:trPr>
        <w:tc>
          <w:tcPr>
            <w:tcW w:w="9360" w:type="dxa"/>
            <w:tcBorders>
              <w:top w:val="nil"/>
              <w:left w:val="nil"/>
              <w:bottom w:val="nil"/>
              <w:right w:val="nil"/>
            </w:tcBorders>
            <w:shd w:val="clear" w:color="auto" w:fill="auto"/>
            <w:noWrap/>
            <w:vAlign w:val="bottom"/>
            <w:hideMark/>
          </w:tcPr>
          <w:p w14:paraId="5C4965F1"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Cook S, Leist T, Comi G, Montalban X, Giovannoni G et al. </w:t>
            </w:r>
            <w:r w:rsidRPr="00406AEC">
              <w:rPr>
                <w:rFonts w:ascii="Times New Roman" w:eastAsia="Times New Roman" w:hAnsi="Times New Roman" w:cs="Times New Roman"/>
                <w:color w:val="000000"/>
                <w:szCs w:val="22"/>
              </w:rPr>
              <w:t>(2019) Safety of cladribine tablets in the treatment of patients with multiple sclerosis: An integrated analysis. Multiple Sclerosis and Related Disorders 29 157-167.</w:t>
            </w:r>
          </w:p>
        </w:tc>
      </w:tr>
      <w:tr w:rsidR="00406AEC" w:rsidRPr="00406AEC" w14:paraId="73C71E54" w14:textId="77777777" w:rsidTr="00406AEC">
        <w:trPr>
          <w:trHeight w:val="300"/>
        </w:trPr>
        <w:tc>
          <w:tcPr>
            <w:tcW w:w="9360" w:type="dxa"/>
            <w:tcBorders>
              <w:top w:val="nil"/>
              <w:left w:val="nil"/>
              <w:bottom w:val="nil"/>
              <w:right w:val="nil"/>
            </w:tcBorders>
            <w:shd w:val="clear" w:color="auto" w:fill="auto"/>
            <w:noWrap/>
            <w:vAlign w:val="bottom"/>
            <w:hideMark/>
          </w:tcPr>
          <w:p w14:paraId="428141D3"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BAC, </w:t>
            </w:r>
            <w:proofErr w:type="spellStart"/>
            <w:r w:rsidRPr="00406AEC">
              <w:rPr>
                <w:rFonts w:ascii="Times New Roman" w:eastAsia="Times New Roman" w:hAnsi="Times New Roman" w:cs="Times New Roman"/>
                <w:color w:val="000000"/>
                <w:szCs w:val="22"/>
              </w:rPr>
              <w:t>Gourraud</w:t>
            </w:r>
            <w:proofErr w:type="spellEnd"/>
            <w:r w:rsidRPr="00406AEC">
              <w:rPr>
                <w:rFonts w:ascii="Times New Roman" w:eastAsia="Times New Roman" w:hAnsi="Times New Roman" w:cs="Times New Roman"/>
                <w:color w:val="000000"/>
                <w:szCs w:val="22"/>
              </w:rPr>
              <w:t xml:space="preserve"> PA, </w:t>
            </w:r>
            <w:proofErr w:type="spellStart"/>
            <w:r w:rsidRPr="00406AEC">
              <w:rPr>
                <w:rFonts w:ascii="Times New Roman" w:eastAsia="Times New Roman" w:hAnsi="Times New Roman" w:cs="Times New Roman"/>
                <w:color w:val="000000"/>
                <w:szCs w:val="22"/>
              </w:rPr>
              <w:t>Oksenberg</w:t>
            </w:r>
            <w:proofErr w:type="spellEnd"/>
            <w:r w:rsidRPr="00406AEC">
              <w:rPr>
                <w:rFonts w:ascii="Times New Roman" w:eastAsia="Times New Roman" w:hAnsi="Times New Roman" w:cs="Times New Roman"/>
                <w:color w:val="000000"/>
                <w:szCs w:val="22"/>
              </w:rPr>
              <w:t xml:space="preserve"> JR, Bevan C, Crabtree-Hartman E et al. (2016) Long-term evolution of multiple sclerosis disability in the treatment era. Annals of Neurology 80 (4): 499-510.</w:t>
            </w:r>
          </w:p>
        </w:tc>
      </w:tr>
      <w:tr w:rsidR="00406AEC" w:rsidRPr="00406AEC" w14:paraId="0B7941E8" w14:textId="77777777" w:rsidTr="00406AEC">
        <w:trPr>
          <w:trHeight w:val="300"/>
        </w:trPr>
        <w:tc>
          <w:tcPr>
            <w:tcW w:w="9360" w:type="dxa"/>
            <w:tcBorders>
              <w:top w:val="nil"/>
              <w:left w:val="nil"/>
              <w:bottom w:val="nil"/>
              <w:right w:val="nil"/>
            </w:tcBorders>
            <w:shd w:val="clear" w:color="auto" w:fill="auto"/>
            <w:noWrap/>
            <w:vAlign w:val="bottom"/>
            <w:hideMark/>
          </w:tcPr>
          <w:p w14:paraId="38E38530"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nl-NL"/>
              </w:rPr>
              <w:t xml:space="preserve">David OJ, Berwick A, Pezous N, Lang M, Tiel-Wilck K et al. </w:t>
            </w:r>
            <w:r w:rsidRPr="00406AEC">
              <w:rPr>
                <w:rFonts w:ascii="Times New Roman" w:eastAsia="Times New Roman" w:hAnsi="Times New Roman" w:cs="Times New Roman"/>
                <w:color w:val="000000"/>
                <w:szCs w:val="22"/>
              </w:rPr>
              <w:t>(2018) Determination of Seminal Concentration of Fingolimod and Fingolimod-Phosphate in Multiple Sclerosis Patients Receiving Chronic Treatment With Fingolimod. Clinical Pharmacology in Drug Development 7 (2): 217-221.</w:t>
            </w:r>
          </w:p>
        </w:tc>
      </w:tr>
      <w:tr w:rsidR="00406AEC" w:rsidRPr="00406AEC" w14:paraId="0C65D21C" w14:textId="77777777" w:rsidTr="00406AEC">
        <w:trPr>
          <w:trHeight w:val="300"/>
        </w:trPr>
        <w:tc>
          <w:tcPr>
            <w:tcW w:w="9360" w:type="dxa"/>
            <w:tcBorders>
              <w:top w:val="nil"/>
              <w:left w:val="nil"/>
              <w:bottom w:val="nil"/>
              <w:right w:val="nil"/>
            </w:tcBorders>
            <w:shd w:val="clear" w:color="auto" w:fill="auto"/>
            <w:noWrap/>
            <w:vAlign w:val="bottom"/>
            <w:hideMark/>
          </w:tcPr>
          <w:p w14:paraId="45E20EF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AT (2008) A Phase III, randomized, double-blind, placebo-controlled, multicenter clinical trial of oral cladribine in subjects with a first clinical event at high risk of converting to MS - </w:t>
            </w:r>
            <w:proofErr w:type="spellStart"/>
            <w:r w:rsidRPr="00406AEC">
              <w:rPr>
                <w:rFonts w:ascii="Times New Roman" w:eastAsia="Times New Roman" w:hAnsi="Times New Roman" w:cs="Times New Roman"/>
                <w:color w:val="000000"/>
                <w:szCs w:val="22"/>
              </w:rPr>
              <w:t>ORAl</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CLadribine</w:t>
            </w:r>
            <w:proofErr w:type="spellEnd"/>
            <w:r w:rsidRPr="00406AEC">
              <w:rPr>
                <w:rFonts w:ascii="Times New Roman" w:eastAsia="Times New Roman" w:hAnsi="Times New Roman" w:cs="Times New Roman"/>
                <w:color w:val="000000"/>
                <w:szCs w:val="22"/>
              </w:rPr>
              <w:t xml:space="preserve"> in Early MS (ORACLE MS) Trial. http://wwwwhoint/trialsearch/Trial2aspx?TrialID=EUCTR2008 </w:t>
            </w:r>
          </w:p>
        </w:tc>
      </w:tr>
      <w:tr w:rsidR="00406AEC" w:rsidRPr="00406AEC" w14:paraId="09C113C8" w14:textId="77777777" w:rsidTr="00406AEC">
        <w:trPr>
          <w:trHeight w:val="300"/>
        </w:trPr>
        <w:tc>
          <w:tcPr>
            <w:tcW w:w="9360" w:type="dxa"/>
            <w:tcBorders>
              <w:top w:val="nil"/>
              <w:left w:val="nil"/>
              <w:bottom w:val="nil"/>
              <w:right w:val="nil"/>
            </w:tcBorders>
            <w:shd w:val="clear" w:color="auto" w:fill="auto"/>
            <w:noWrap/>
            <w:vAlign w:val="bottom"/>
            <w:hideMark/>
          </w:tcPr>
          <w:p w14:paraId="393A399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(2014) Study to evaluate Whether 6-Week Up-Titration in Tecfidera(R) Dose is Effective in Reducing the Incidence of Gastrointestinal Adverse Events in Patients with Multiple Sclerosis. http://wwwwhoint/trialsearch/Trial2aspx?TrialID=EUCTR2014 </w:t>
            </w:r>
          </w:p>
        </w:tc>
      </w:tr>
      <w:tr w:rsidR="00406AEC" w:rsidRPr="00406AEC" w14:paraId="2E0184D0" w14:textId="77777777" w:rsidTr="00406AEC">
        <w:trPr>
          <w:trHeight w:val="300"/>
        </w:trPr>
        <w:tc>
          <w:tcPr>
            <w:tcW w:w="9360" w:type="dxa"/>
            <w:tcBorders>
              <w:top w:val="nil"/>
              <w:left w:val="nil"/>
              <w:bottom w:val="nil"/>
              <w:right w:val="nil"/>
            </w:tcBorders>
            <w:shd w:val="clear" w:color="auto" w:fill="auto"/>
            <w:noWrap/>
            <w:vAlign w:val="bottom"/>
            <w:hideMark/>
          </w:tcPr>
          <w:p w14:paraId="4F2087AB"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SK (2006) A phase III, randomized, double-blind, placebo-controlled, multicenter clinical trial of Rebif New Formulation (44 mcg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and 44 mcg ow) in subjects at high risk of converting to Multiple Sclerosis - Rebif </w:t>
            </w:r>
            <w:proofErr w:type="spellStart"/>
            <w:r w:rsidRPr="00406AEC">
              <w:rPr>
                <w:rFonts w:ascii="Times New Roman" w:eastAsia="Times New Roman" w:hAnsi="Times New Roman" w:cs="Times New Roman"/>
                <w:color w:val="000000"/>
                <w:szCs w:val="22"/>
              </w:rPr>
              <w:t>FLEXible</w:t>
            </w:r>
            <w:proofErr w:type="spellEnd"/>
            <w:r w:rsidRPr="00406AEC">
              <w:rPr>
                <w:rFonts w:ascii="Times New Roman" w:eastAsia="Times New Roman" w:hAnsi="Times New Roman" w:cs="Times New Roman"/>
                <w:color w:val="000000"/>
                <w:szCs w:val="22"/>
              </w:rPr>
              <w:t xml:space="preserve"> dosing in early Multiple Sclerosis (REFLEX). http://wwwwhoint/trialsearch/Trial2aspx?TrialID=EUCTR2006 </w:t>
            </w:r>
          </w:p>
        </w:tc>
      </w:tr>
      <w:tr w:rsidR="00406AEC" w:rsidRPr="00406AEC" w14:paraId="392CBC3E" w14:textId="77777777" w:rsidTr="00406AEC">
        <w:trPr>
          <w:trHeight w:val="300"/>
        </w:trPr>
        <w:tc>
          <w:tcPr>
            <w:tcW w:w="9360" w:type="dxa"/>
            <w:tcBorders>
              <w:top w:val="nil"/>
              <w:left w:val="nil"/>
              <w:bottom w:val="nil"/>
              <w:right w:val="nil"/>
            </w:tcBorders>
            <w:shd w:val="clear" w:color="auto" w:fill="auto"/>
            <w:noWrap/>
            <w:vAlign w:val="bottom"/>
            <w:hideMark/>
          </w:tcPr>
          <w:p w14:paraId="0B50E34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Feuillet L, Pelletier J, Suchet L, Rico A, Cherif AA et al. </w:t>
            </w:r>
            <w:r w:rsidRPr="00406AEC">
              <w:rPr>
                <w:rFonts w:ascii="Times New Roman" w:eastAsia="Times New Roman" w:hAnsi="Times New Roman" w:cs="Times New Roman"/>
                <w:color w:val="000000"/>
                <w:szCs w:val="22"/>
              </w:rPr>
              <w:t>(2007) Prospective clinical and electrophysiological follow-up on a multiple sclerosis population treated with interferon beta-1a: A pilot study. Multiple Sclerosis 13 (3): 348-356.</w:t>
            </w:r>
          </w:p>
        </w:tc>
      </w:tr>
      <w:tr w:rsidR="00406AEC" w:rsidRPr="00406AEC" w14:paraId="688F26CB" w14:textId="77777777" w:rsidTr="00406AEC">
        <w:trPr>
          <w:trHeight w:val="300"/>
        </w:trPr>
        <w:tc>
          <w:tcPr>
            <w:tcW w:w="9360" w:type="dxa"/>
            <w:tcBorders>
              <w:top w:val="nil"/>
              <w:left w:val="nil"/>
              <w:bottom w:val="nil"/>
              <w:right w:val="nil"/>
            </w:tcBorders>
            <w:shd w:val="clear" w:color="auto" w:fill="auto"/>
            <w:noWrap/>
            <w:vAlign w:val="bottom"/>
            <w:hideMark/>
          </w:tcPr>
          <w:p w14:paraId="043E6401"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Fieschi C, Pozzilli C, Bastianello S, Koudriavtseva T, Gasperini C et al. </w:t>
            </w:r>
            <w:r w:rsidRPr="00406AEC">
              <w:rPr>
                <w:rFonts w:ascii="Times New Roman" w:eastAsia="Times New Roman" w:hAnsi="Times New Roman" w:cs="Times New Roman"/>
                <w:color w:val="000000"/>
                <w:szCs w:val="22"/>
              </w:rPr>
              <w:t>(1995) Human recombinant interferon beta in the treatment of relapsing-remitting multiple sclerosis: preliminary observations.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 Suppl 1 S28-31.</w:t>
            </w:r>
          </w:p>
        </w:tc>
      </w:tr>
      <w:tr w:rsidR="00406AEC" w:rsidRPr="00406AEC" w14:paraId="0BA563F7" w14:textId="77777777" w:rsidTr="00406AEC">
        <w:trPr>
          <w:trHeight w:val="300"/>
        </w:trPr>
        <w:tc>
          <w:tcPr>
            <w:tcW w:w="9360" w:type="dxa"/>
            <w:tcBorders>
              <w:top w:val="nil"/>
              <w:left w:val="nil"/>
              <w:bottom w:val="nil"/>
              <w:right w:val="nil"/>
            </w:tcBorders>
            <w:shd w:val="clear" w:color="auto" w:fill="auto"/>
            <w:noWrap/>
            <w:vAlign w:val="bottom"/>
            <w:hideMark/>
          </w:tcPr>
          <w:p w14:paraId="56D02EEF"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 Leist T, Comi G, Cree BAC, Coyle PK et al. (2016) A retrospective analysis of efficacy in McDonald 2010 multiple sclerosis (MS) patients in the ORACLE-MS study.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(667): </w:t>
            </w:r>
          </w:p>
        </w:tc>
      </w:tr>
      <w:tr w:rsidR="00406AEC" w:rsidRPr="00406AEC" w14:paraId="77FB2789" w14:textId="77777777" w:rsidTr="00406AEC">
        <w:trPr>
          <w:trHeight w:val="300"/>
        </w:trPr>
        <w:tc>
          <w:tcPr>
            <w:tcW w:w="9360" w:type="dxa"/>
            <w:tcBorders>
              <w:top w:val="nil"/>
              <w:left w:val="nil"/>
              <w:bottom w:val="nil"/>
              <w:right w:val="nil"/>
            </w:tcBorders>
            <w:shd w:val="clear" w:color="auto" w:fill="auto"/>
            <w:noWrap/>
            <w:vAlign w:val="bottom"/>
            <w:hideMark/>
          </w:tcPr>
          <w:p w14:paraId="62F8A5BD"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Gibbs E, Karim ME, Oger J, Edan G, Freedman MS et al. </w:t>
            </w:r>
            <w:r w:rsidRPr="00406AEC">
              <w:rPr>
                <w:rFonts w:ascii="Times New Roman" w:eastAsia="Times New Roman" w:hAnsi="Times New Roman" w:cs="Times New Roman"/>
                <w:color w:val="000000"/>
                <w:szCs w:val="22"/>
              </w:rPr>
              <w:t>(2015) Antibody dissociation rates are predictive of neutralizing antibody (</w:t>
            </w:r>
            <w:proofErr w:type="spellStart"/>
            <w:r w:rsidRPr="00406AEC">
              <w:rPr>
                <w:rFonts w:ascii="Times New Roman" w:eastAsia="Times New Roman" w:hAnsi="Times New Roman" w:cs="Times New Roman"/>
                <w:color w:val="000000"/>
                <w:szCs w:val="22"/>
              </w:rPr>
              <w:t>NAb</w:t>
            </w:r>
            <w:proofErr w:type="spellEnd"/>
            <w:r w:rsidRPr="00406AEC">
              <w:rPr>
                <w:rFonts w:ascii="Times New Roman" w:eastAsia="Times New Roman" w:hAnsi="Times New Roman" w:cs="Times New Roman"/>
                <w:color w:val="000000"/>
                <w:szCs w:val="22"/>
              </w:rPr>
              <w:t xml:space="preserve">) course: A comparison of interferon beta-1b-treated Multiple Sclerosis (MS) patients with transient versus sustained </w:t>
            </w:r>
            <w:proofErr w:type="spellStart"/>
            <w:r w:rsidRPr="00406AEC">
              <w:rPr>
                <w:rFonts w:ascii="Times New Roman" w:eastAsia="Times New Roman" w:hAnsi="Times New Roman" w:cs="Times New Roman"/>
                <w:color w:val="000000"/>
                <w:szCs w:val="22"/>
              </w:rPr>
              <w:t>NAbs</w:t>
            </w:r>
            <w:proofErr w:type="spellEnd"/>
            <w:r w:rsidRPr="00406AEC">
              <w:rPr>
                <w:rFonts w:ascii="Times New Roman" w:eastAsia="Times New Roman" w:hAnsi="Times New Roman" w:cs="Times New Roman"/>
                <w:color w:val="000000"/>
                <w:szCs w:val="22"/>
              </w:rPr>
              <w:t>. Clinical Immunology 157 (1): 91-101.</w:t>
            </w:r>
          </w:p>
        </w:tc>
      </w:tr>
      <w:tr w:rsidR="00406AEC" w:rsidRPr="00406AEC" w14:paraId="2A21A3B9" w14:textId="77777777" w:rsidTr="00406AEC">
        <w:trPr>
          <w:trHeight w:val="300"/>
        </w:trPr>
        <w:tc>
          <w:tcPr>
            <w:tcW w:w="9360" w:type="dxa"/>
            <w:tcBorders>
              <w:top w:val="nil"/>
              <w:left w:val="nil"/>
              <w:bottom w:val="nil"/>
              <w:right w:val="nil"/>
            </w:tcBorders>
            <w:shd w:val="clear" w:color="auto" w:fill="auto"/>
            <w:noWrap/>
            <w:vAlign w:val="bottom"/>
            <w:hideMark/>
          </w:tcPr>
          <w:p w14:paraId="7928B7D7"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Group CS (2001) Interferon beta-1a for optic neuritis patients at high risk for multiple sclerosis. American journal of ophthalmology 132 (4): 463-471.</w:t>
            </w:r>
          </w:p>
        </w:tc>
      </w:tr>
      <w:tr w:rsidR="00406AEC" w:rsidRPr="00406AEC" w14:paraId="05697F85" w14:textId="77777777" w:rsidTr="00406AEC">
        <w:trPr>
          <w:trHeight w:val="300"/>
        </w:trPr>
        <w:tc>
          <w:tcPr>
            <w:tcW w:w="9360" w:type="dxa"/>
            <w:tcBorders>
              <w:top w:val="nil"/>
              <w:left w:val="nil"/>
              <w:bottom w:val="nil"/>
              <w:right w:val="nil"/>
            </w:tcBorders>
            <w:shd w:val="clear" w:color="auto" w:fill="auto"/>
            <w:noWrap/>
            <w:vAlign w:val="bottom"/>
            <w:hideMark/>
          </w:tcPr>
          <w:p w14:paraId="6792CA58"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Hanauer SB, Feagan B, Wolf DC, </w:t>
            </w:r>
            <w:proofErr w:type="spellStart"/>
            <w:r w:rsidRPr="00406AEC">
              <w:rPr>
                <w:rFonts w:ascii="Times New Roman" w:eastAsia="Times New Roman" w:hAnsi="Times New Roman" w:cs="Times New Roman"/>
                <w:color w:val="000000"/>
                <w:szCs w:val="22"/>
              </w:rPr>
              <w:t>D'Haens</w:t>
            </w:r>
            <w:proofErr w:type="spellEnd"/>
            <w:r w:rsidRPr="00406AEC">
              <w:rPr>
                <w:rFonts w:ascii="Times New Roman" w:eastAsia="Times New Roman" w:hAnsi="Times New Roman" w:cs="Times New Roman"/>
                <w:color w:val="000000"/>
                <w:szCs w:val="22"/>
              </w:rPr>
              <w:t xml:space="preserve"> G, Vermeire S et al. (2015) A randomized, double-blind, placebo-controlled trial of ozanimod, an oral S1P receptor modulator, in moderate to severe ulcerative colitis: Results of the maintenance period of the touchstone study. American journal of gastroenterology 110 (16): </w:t>
            </w:r>
          </w:p>
        </w:tc>
      </w:tr>
      <w:tr w:rsidR="00406AEC" w:rsidRPr="00406AEC" w14:paraId="2EF9CEA6" w14:textId="77777777" w:rsidTr="00406AEC">
        <w:trPr>
          <w:trHeight w:val="300"/>
        </w:trPr>
        <w:tc>
          <w:tcPr>
            <w:tcW w:w="9360" w:type="dxa"/>
            <w:tcBorders>
              <w:top w:val="nil"/>
              <w:left w:val="nil"/>
              <w:bottom w:val="nil"/>
              <w:right w:val="nil"/>
            </w:tcBorders>
            <w:shd w:val="clear" w:color="auto" w:fill="auto"/>
            <w:noWrap/>
            <w:vAlign w:val="bottom"/>
            <w:hideMark/>
          </w:tcPr>
          <w:p w14:paraId="3B4DB3DC"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Hauser SL, Kappos L, Montalban X, </w:t>
            </w:r>
            <w:proofErr w:type="spellStart"/>
            <w:r w:rsidRPr="00406AEC">
              <w:rPr>
                <w:rFonts w:ascii="Times New Roman" w:eastAsia="Times New Roman" w:hAnsi="Times New Roman" w:cs="Times New Roman"/>
                <w:color w:val="000000"/>
                <w:szCs w:val="22"/>
              </w:rPr>
              <w:t>Guittari</w:t>
            </w:r>
            <w:proofErr w:type="spellEnd"/>
            <w:r w:rsidRPr="00406AEC">
              <w:rPr>
                <w:rFonts w:ascii="Times New Roman" w:eastAsia="Times New Roman" w:hAnsi="Times New Roman" w:cs="Times New Roman"/>
                <w:color w:val="000000"/>
                <w:szCs w:val="22"/>
              </w:rPr>
              <w:t xml:space="preserve"> CJ, </w:t>
            </w:r>
            <w:proofErr w:type="spellStart"/>
            <w:r w:rsidRPr="00406AEC">
              <w:rPr>
                <w:rFonts w:ascii="Times New Roman" w:eastAsia="Times New Roman" w:hAnsi="Times New Roman" w:cs="Times New Roman"/>
                <w:color w:val="000000"/>
                <w:szCs w:val="22"/>
              </w:rPr>
              <w:t>Koendgen</w:t>
            </w:r>
            <w:proofErr w:type="spellEnd"/>
            <w:r w:rsidRPr="00406AEC">
              <w:rPr>
                <w:rFonts w:ascii="Times New Roman" w:eastAsia="Times New Roman" w:hAnsi="Times New Roman" w:cs="Times New Roman"/>
                <w:color w:val="000000"/>
                <w:szCs w:val="22"/>
              </w:rPr>
              <w:t xml:space="preserve"> H et al. (2018) Safety of ocrelizumab in multiple sclerosis: updated analysis in patients with relapsing and primary progressive multiple sclerosis. Multiple sclerosis journal 24 (2): NP13-.</w:t>
            </w:r>
          </w:p>
        </w:tc>
      </w:tr>
      <w:tr w:rsidR="00406AEC" w:rsidRPr="00406AEC" w14:paraId="0E62DDBE" w14:textId="77777777" w:rsidTr="00406AEC">
        <w:trPr>
          <w:trHeight w:val="300"/>
        </w:trPr>
        <w:tc>
          <w:tcPr>
            <w:tcW w:w="9360" w:type="dxa"/>
            <w:tcBorders>
              <w:top w:val="nil"/>
              <w:left w:val="nil"/>
              <w:bottom w:val="nil"/>
              <w:right w:val="nil"/>
            </w:tcBorders>
            <w:shd w:val="clear" w:color="auto" w:fill="auto"/>
            <w:noWrap/>
            <w:vAlign w:val="bottom"/>
            <w:hideMark/>
          </w:tcPr>
          <w:p w14:paraId="407973F9"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Kantor AB, Deng J, Waubant E, Lin H, Becker CH et al. </w:t>
            </w:r>
            <w:r w:rsidRPr="00406AEC">
              <w:rPr>
                <w:rFonts w:ascii="Times New Roman" w:eastAsia="Times New Roman" w:hAnsi="Times New Roman" w:cs="Times New Roman"/>
                <w:color w:val="000000"/>
                <w:szCs w:val="22"/>
              </w:rPr>
              <w:t>(2007) Identification of short-term pharmacodynamic effects of interferon-beta-1a in multiple sclerosis subjects with broad- based phenotypic profiling. Journal of Neuroimmunology 188 (1-2): 103-116.</w:t>
            </w:r>
          </w:p>
        </w:tc>
      </w:tr>
      <w:tr w:rsidR="00406AEC" w:rsidRPr="00406AEC" w14:paraId="43932815" w14:textId="77777777" w:rsidTr="00406AEC">
        <w:trPr>
          <w:trHeight w:val="300"/>
        </w:trPr>
        <w:tc>
          <w:tcPr>
            <w:tcW w:w="9360" w:type="dxa"/>
            <w:tcBorders>
              <w:top w:val="nil"/>
              <w:left w:val="nil"/>
              <w:bottom w:val="nil"/>
              <w:right w:val="nil"/>
            </w:tcBorders>
            <w:shd w:val="clear" w:color="auto" w:fill="auto"/>
            <w:noWrap/>
            <w:vAlign w:val="bottom"/>
            <w:hideMark/>
          </w:tcPr>
          <w:p w14:paraId="01E1840A"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Hauser S, Montalban X, </w:t>
            </w:r>
            <w:proofErr w:type="spellStart"/>
            <w:r w:rsidRPr="00406AEC">
              <w:rPr>
                <w:rFonts w:ascii="Times New Roman" w:eastAsia="Times New Roman" w:hAnsi="Times New Roman" w:cs="Times New Roman"/>
                <w:color w:val="000000"/>
                <w:szCs w:val="22"/>
              </w:rPr>
              <w:t>Buffels</w:t>
            </w:r>
            <w:proofErr w:type="spellEnd"/>
            <w:r w:rsidRPr="00406AEC">
              <w:rPr>
                <w:rFonts w:ascii="Times New Roman" w:eastAsia="Times New Roman" w:hAnsi="Times New Roman" w:cs="Times New Roman"/>
                <w:color w:val="000000"/>
                <w:szCs w:val="22"/>
              </w:rPr>
              <w:t xml:space="preserve"> R, Chin P et al. (2017) Safety of ocrelizumab in multiple sclerosis: updated analysis in patients with relapsing and primary progressive multiple sclerosis. Neurology 88 (16): </w:t>
            </w:r>
          </w:p>
        </w:tc>
      </w:tr>
      <w:tr w:rsidR="00406AEC" w:rsidRPr="00406AEC" w14:paraId="5BB56570" w14:textId="77777777" w:rsidTr="00406AEC">
        <w:trPr>
          <w:trHeight w:val="300"/>
        </w:trPr>
        <w:tc>
          <w:tcPr>
            <w:tcW w:w="9360" w:type="dxa"/>
            <w:tcBorders>
              <w:top w:val="nil"/>
              <w:left w:val="nil"/>
              <w:bottom w:val="nil"/>
              <w:right w:val="nil"/>
            </w:tcBorders>
            <w:shd w:val="clear" w:color="auto" w:fill="auto"/>
            <w:noWrap/>
            <w:vAlign w:val="bottom"/>
            <w:hideMark/>
          </w:tcPr>
          <w:p w14:paraId="7F758D29"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Bauer D, Wolinsky J (2015) Positive MRI outcomes in patients with early multiple sclerosis treated with teriflunomide: Subgroup analyses from the TOPIC phase 3 study. Neurology 84 (18): </w:t>
            </w:r>
          </w:p>
        </w:tc>
      </w:tr>
      <w:tr w:rsidR="00406AEC" w:rsidRPr="00406AEC" w14:paraId="26524CA9" w14:textId="77777777" w:rsidTr="00406AEC">
        <w:trPr>
          <w:trHeight w:val="300"/>
        </w:trPr>
        <w:tc>
          <w:tcPr>
            <w:tcW w:w="9360" w:type="dxa"/>
            <w:tcBorders>
              <w:top w:val="nil"/>
              <w:left w:val="nil"/>
              <w:bottom w:val="nil"/>
              <w:right w:val="nil"/>
            </w:tcBorders>
            <w:shd w:val="clear" w:color="auto" w:fill="auto"/>
            <w:noWrap/>
            <w:vAlign w:val="bottom"/>
            <w:hideMark/>
          </w:tcPr>
          <w:p w14:paraId="59016A27"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Miller A, Wolinsky J, Kappos L, Comi G, Freedman M et al. Topic: Efficacy and safety of once-daily oral teriflunomide in patients with first clinical episode consistent with multiple sclerosis. Neurology 82 (10 SUPPL. 1): CONFERENCE START: 2014 Apr 2026 CONFERENCE END: 2014 May 2013.</w:t>
            </w:r>
          </w:p>
        </w:tc>
      </w:tr>
      <w:tr w:rsidR="00406AEC" w:rsidRPr="00406AEC" w14:paraId="2CC0F279" w14:textId="77777777" w:rsidTr="00406AEC">
        <w:trPr>
          <w:trHeight w:val="300"/>
        </w:trPr>
        <w:tc>
          <w:tcPr>
            <w:tcW w:w="9360" w:type="dxa"/>
            <w:tcBorders>
              <w:top w:val="nil"/>
              <w:left w:val="nil"/>
              <w:bottom w:val="nil"/>
              <w:right w:val="nil"/>
            </w:tcBorders>
            <w:shd w:val="clear" w:color="auto" w:fill="auto"/>
            <w:noWrap/>
            <w:vAlign w:val="bottom"/>
            <w:hideMark/>
          </w:tcPr>
          <w:p w14:paraId="3E53B7DA"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AE, Freedman MS, Oh J,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(2017) Long-term outcomes in patients with early multiple sclerosis treated with teriflunomide: TOPIC extension study. European journal of neurology 24 (576): </w:t>
            </w:r>
          </w:p>
        </w:tc>
      </w:tr>
      <w:tr w:rsidR="00406AEC" w:rsidRPr="00406AEC" w14:paraId="32525ABB" w14:textId="77777777" w:rsidTr="00406AEC">
        <w:trPr>
          <w:trHeight w:val="300"/>
        </w:trPr>
        <w:tc>
          <w:tcPr>
            <w:tcW w:w="9360" w:type="dxa"/>
            <w:tcBorders>
              <w:top w:val="nil"/>
              <w:left w:val="nil"/>
              <w:bottom w:val="nil"/>
              <w:right w:val="nil"/>
            </w:tcBorders>
            <w:shd w:val="clear" w:color="auto" w:fill="auto"/>
            <w:noWrap/>
            <w:vAlign w:val="bottom"/>
            <w:hideMark/>
          </w:tcPr>
          <w:p w14:paraId="0122E25A"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AE, Rovira A, Lebrun-Frenay C,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Lim YM et al. (2018) Assessing the effect of teriflunomide on unique active lesions in patients with relapsing remitting multiple sclerosis. Multiple sclerosis journal 24 (2): 515-516.</w:t>
            </w:r>
          </w:p>
        </w:tc>
      </w:tr>
      <w:tr w:rsidR="00406AEC" w:rsidRPr="00406AEC" w14:paraId="7ED0BAC1" w14:textId="77777777" w:rsidTr="00406AEC">
        <w:trPr>
          <w:trHeight w:val="300"/>
        </w:trPr>
        <w:tc>
          <w:tcPr>
            <w:tcW w:w="9360" w:type="dxa"/>
            <w:tcBorders>
              <w:top w:val="nil"/>
              <w:left w:val="nil"/>
              <w:bottom w:val="nil"/>
              <w:right w:val="nil"/>
            </w:tcBorders>
            <w:shd w:val="clear" w:color="auto" w:fill="auto"/>
            <w:noWrap/>
            <w:vAlign w:val="bottom"/>
            <w:hideMark/>
          </w:tcPr>
          <w:p w14:paraId="1C6F8F14"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T, </w:t>
            </w:r>
            <w:proofErr w:type="spellStart"/>
            <w:r w:rsidRPr="00406AEC">
              <w:rPr>
                <w:rFonts w:ascii="Times New Roman" w:eastAsia="Times New Roman" w:hAnsi="Times New Roman" w:cs="Times New Roman"/>
                <w:color w:val="000000"/>
                <w:szCs w:val="22"/>
              </w:rPr>
              <w:t>Habek</w:t>
            </w:r>
            <w:proofErr w:type="spellEnd"/>
            <w:r w:rsidRPr="00406AEC">
              <w:rPr>
                <w:rFonts w:ascii="Times New Roman" w:eastAsia="Times New Roman" w:hAnsi="Times New Roman" w:cs="Times New Roman"/>
                <w:color w:val="000000"/>
                <w:szCs w:val="22"/>
              </w:rPr>
              <w:t xml:space="preserve"> M, Margolin DH, Palmer J, Oyuela P Analysis of data from RRMS alemtuzumab-treated patients in the clinical program to evaluate incidence rates of malignancy.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447-448.</w:t>
            </w:r>
          </w:p>
        </w:tc>
      </w:tr>
      <w:tr w:rsidR="00406AEC" w:rsidRPr="00406AEC" w14:paraId="24ECFB80" w14:textId="77777777" w:rsidTr="00406AEC">
        <w:trPr>
          <w:trHeight w:val="300"/>
        </w:trPr>
        <w:tc>
          <w:tcPr>
            <w:tcW w:w="9360" w:type="dxa"/>
            <w:tcBorders>
              <w:top w:val="nil"/>
              <w:left w:val="nil"/>
              <w:bottom w:val="nil"/>
              <w:right w:val="nil"/>
            </w:tcBorders>
            <w:shd w:val="clear" w:color="auto" w:fill="auto"/>
            <w:noWrap/>
            <w:vAlign w:val="bottom"/>
            <w:hideMark/>
          </w:tcPr>
          <w:p w14:paraId="2899876C"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Neilley</w:t>
            </w:r>
            <w:proofErr w:type="spellEnd"/>
            <w:r w:rsidRPr="00406AEC">
              <w:rPr>
                <w:rFonts w:ascii="Times New Roman" w:eastAsia="Times New Roman" w:hAnsi="Times New Roman" w:cs="Times New Roman"/>
                <w:color w:val="000000"/>
                <w:szCs w:val="22"/>
              </w:rPr>
              <w:t xml:space="preserve"> LK, Goodin DS, Goodkin DE, Hauser SL (1996) Side effect profile of interferon beta-1b in MS: Results of an open label trial. Neurology 46 (2): 552-554.</w:t>
            </w:r>
          </w:p>
        </w:tc>
      </w:tr>
      <w:tr w:rsidR="00406AEC" w:rsidRPr="00406AEC" w14:paraId="6AC0AAA7" w14:textId="77777777" w:rsidTr="00406AEC">
        <w:trPr>
          <w:trHeight w:val="300"/>
        </w:trPr>
        <w:tc>
          <w:tcPr>
            <w:tcW w:w="9360" w:type="dxa"/>
            <w:tcBorders>
              <w:top w:val="nil"/>
              <w:left w:val="nil"/>
              <w:bottom w:val="nil"/>
              <w:right w:val="nil"/>
            </w:tcBorders>
            <w:shd w:val="clear" w:color="auto" w:fill="auto"/>
            <w:noWrap/>
            <w:vAlign w:val="bottom"/>
            <w:hideMark/>
          </w:tcPr>
          <w:p w14:paraId="327918FF"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Ocias</w:t>
            </w:r>
            <w:proofErr w:type="spellEnd"/>
            <w:r w:rsidRPr="00406AEC">
              <w:rPr>
                <w:rFonts w:ascii="Times New Roman" w:eastAsia="Times New Roman" w:hAnsi="Times New Roman" w:cs="Times New Roman"/>
                <w:color w:val="000000"/>
                <w:szCs w:val="22"/>
              </w:rPr>
              <w:t xml:space="preserve"> LF, Hansen DL, Kristensen TK, De Stricker K, El Fassi D et al. No development of neutralizing antibodies against recombinant interferon-alpha in Ph-negative myeloproliferative neoplasms-a prospective study. Blood 126 (23): 5177.</w:t>
            </w:r>
          </w:p>
        </w:tc>
      </w:tr>
      <w:tr w:rsidR="00406AEC" w:rsidRPr="00406AEC" w14:paraId="7EC1662D" w14:textId="77777777" w:rsidTr="00406AEC">
        <w:trPr>
          <w:trHeight w:val="300"/>
        </w:trPr>
        <w:tc>
          <w:tcPr>
            <w:tcW w:w="9360" w:type="dxa"/>
            <w:tcBorders>
              <w:top w:val="nil"/>
              <w:left w:val="nil"/>
              <w:bottom w:val="nil"/>
              <w:right w:val="nil"/>
            </w:tcBorders>
            <w:shd w:val="clear" w:color="auto" w:fill="auto"/>
            <w:noWrap/>
            <w:vAlign w:val="bottom"/>
            <w:hideMark/>
          </w:tcPr>
          <w:p w14:paraId="7C5FB576"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it-IT"/>
              </w:rPr>
              <w:t xml:space="preserve">Pozzilli C, Bastianello S, Koudriavtseva T, Gasperini C, Bozzao A et al. </w:t>
            </w:r>
            <w:r w:rsidRPr="00406AEC">
              <w:rPr>
                <w:rFonts w:ascii="Times New Roman" w:eastAsia="Times New Roman" w:hAnsi="Times New Roman" w:cs="Times New Roman"/>
                <w:color w:val="000000"/>
                <w:szCs w:val="22"/>
              </w:rPr>
              <w:t>(1996) Magnetic resonance imaging changes with recombinant human interferon-beta-1a: a short term study in relapsing-remitting multiple sclerosis. Journal of neurology, neurosurgery, and psychiatry 61 (3): 251-258.</w:t>
            </w:r>
          </w:p>
        </w:tc>
      </w:tr>
      <w:tr w:rsidR="00406AEC" w:rsidRPr="00406AEC" w14:paraId="46951B62" w14:textId="77777777" w:rsidTr="00406AEC">
        <w:trPr>
          <w:trHeight w:val="300"/>
        </w:trPr>
        <w:tc>
          <w:tcPr>
            <w:tcW w:w="9360" w:type="dxa"/>
            <w:tcBorders>
              <w:top w:val="nil"/>
              <w:left w:val="nil"/>
              <w:bottom w:val="nil"/>
              <w:right w:val="nil"/>
            </w:tcBorders>
            <w:shd w:val="clear" w:color="auto" w:fill="auto"/>
            <w:noWrap/>
            <w:vAlign w:val="bottom"/>
            <w:hideMark/>
          </w:tcPr>
          <w:p w14:paraId="5C79C55B"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Reder A, Cohen J, </w:t>
            </w:r>
            <w:proofErr w:type="spellStart"/>
            <w:r w:rsidRPr="00406AEC">
              <w:rPr>
                <w:rFonts w:ascii="Times New Roman" w:eastAsia="Times New Roman" w:hAnsi="Times New Roman" w:cs="Times New Roman"/>
                <w:color w:val="000000"/>
                <w:szCs w:val="22"/>
              </w:rPr>
              <w:t>Piani</w:t>
            </w:r>
            <w:proofErr w:type="spellEnd"/>
            <w:r w:rsidRPr="00406AEC">
              <w:rPr>
                <w:rFonts w:ascii="Times New Roman" w:eastAsia="Times New Roman" w:hAnsi="Times New Roman" w:cs="Times New Roman"/>
                <w:color w:val="000000"/>
                <w:szCs w:val="22"/>
              </w:rPr>
              <w:t xml:space="preserve">-Meier D, Tomic D, Ritter S et al. (2016) Long-term effect of fingolimod on disability: a categorical trend analysis over 8 years.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69-70.</w:t>
            </w:r>
          </w:p>
        </w:tc>
      </w:tr>
      <w:tr w:rsidR="00406AEC" w:rsidRPr="00406AEC" w14:paraId="323BB8C8" w14:textId="77777777" w:rsidTr="00406AEC">
        <w:trPr>
          <w:trHeight w:val="300"/>
        </w:trPr>
        <w:tc>
          <w:tcPr>
            <w:tcW w:w="9360" w:type="dxa"/>
            <w:tcBorders>
              <w:top w:val="nil"/>
              <w:left w:val="nil"/>
              <w:bottom w:val="nil"/>
              <w:right w:val="nil"/>
            </w:tcBorders>
            <w:shd w:val="clear" w:color="auto" w:fill="auto"/>
            <w:noWrap/>
            <w:vAlign w:val="bottom"/>
            <w:hideMark/>
          </w:tcPr>
          <w:p w14:paraId="61486AF2"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Rice G (1998) Effect of cladribine on magnetic resonance imaging findings in progressive multiple sclerosis: final results of a placebo-controlled trial. Annals of Neurology 44 (3): 504.</w:t>
            </w:r>
          </w:p>
        </w:tc>
      </w:tr>
      <w:tr w:rsidR="00406AEC" w:rsidRPr="00406AEC" w14:paraId="21739FE5" w14:textId="77777777" w:rsidTr="00406AEC">
        <w:trPr>
          <w:trHeight w:val="300"/>
        </w:trPr>
        <w:tc>
          <w:tcPr>
            <w:tcW w:w="9360" w:type="dxa"/>
            <w:tcBorders>
              <w:top w:val="nil"/>
              <w:left w:val="nil"/>
              <w:bottom w:val="nil"/>
              <w:right w:val="nil"/>
            </w:tcBorders>
            <w:shd w:val="clear" w:color="auto" w:fill="auto"/>
            <w:noWrap/>
            <w:vAlign w:val="bottom"/>
            <w:hideMark/>
          </w:tcPr>
          <w:p w14:paraId="382C9597"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Sprenger T, Lebrun-Frenay C,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Park MS, Chinchilla D et al. (2019) Investigating the effect of teriflunomide on brain volume loss in the phase 3 topic study. Neurology 92 (15): </w:t>
            </w:r>
          </w:p>
        </w:tc>
      </w:tr>
      <w:tr w:rsidR="00406AEC" w:rsidRPr="00406AEC" w14:paraId="36C15F82" w14:textId="77777777" w:rsidTr="00406AEC">
        <w:trPr>
          <w:trHeight w:val="300"/>
        </w:trPr>
        <w:tc>
          <w:tcPr>
            <w:tcW w:w="9360" w:type="dxa"/>
            <w:tcBorders>
              <w:top w:val="nil"/>
              <w:left w:val="nil"/>
              <w:bottom w:val="nil"/>
              <w:right w:val="nil"/>
            </w:tcBorders>
            <w:shd w:val="clear" w:color="auto" w:fill="auto"/>
            <w:noWrap/>
            <w:vAlign w:val="bottom"/>
            <w:hideMark/>
          </w:tcPr>
          <w:p w14:paraId="6BC9C617"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lastRenderedPageBreak/>
              <w:t xml:space="preserve">Springer C, Mackensen F, Wiehler U, Weimer P, Becker MD et al. </w:t>
            </w:r>
            <w:r w:rsidRPr="00406AEC">
              <w:rPr>
                <w:rFonts w:ascii="Times New Roman" w:eastAsia="Times New Roman" w:hAnsi="Times New Roman" w:cs="Times New Roman"/>
                <w:color w:val="000000"/>
                <w:szCs w:val="22"/>
              </w:rPr>
              <w:t xml:space="preserve">(3900) Microperimetry and Retinal Thickness in Chronic </w:t>
            </w:r>
            <w:proofErr w:type="spellStart"/>
            <w:r w:rsidRPr="00406AEC">
              <w:rPr>
                <w:rFonts w:ascii="Times New Roman" w:eastAsia="Times New Roman" w:hAnsi="Times New Roman" w:cs="Times New Roman"/>
                <w:color w:val="000000"/>
                <w:szCs w:val="22"/>
              </w:rPr>
              <w:t>Uveitic</w:t>
            </w:r>
            <w:proofErr w:type="spellEnd"/>
            <w:r w:rsidRPr="00406AEC">
              <w:rPr>
                <w:rFonts w:ascii="Times New Roman" w:eastAsia="Times New Roman" w:hAnsi="Times New Roman" w:cs="Times New Roman"/>
                <w:color w:val="000000"/>
                <w:szCs w:val="22"/>
              </w:rPr>
              <w:t xml:space="preserve"> Macular Edema. IOVS ARVO E abstract 3900p </w:t>
            </w:r>
          </w:p>
        </w:tc>
      </w:tr>
      <w:tr w:rsidR="00406AEC" w:rsidRPr="00406AEC" w14:paraId="65CD058D" w14:textId="77777777" w:rsidTr="00406AEC">
        <w:trPr>
          <w:trHeight w:val="300"/>
        </w:trPr>
        <w:tc>
          <w:tcPr>
            <w:tcW w:w="9360" w:type="dxa"/>
            <w:tcBorders>
              <w:top w:val="nil"/>
              <w:left w:val="nil"/>
              <w:bottom w:val="nil"/>
              <w:right w:val="nil"/>
            </w:tcBorders>
            <w:shd w:val="clear" w:color="auto" w:fill="auto"/>
            <w:noWrap/>
            <w:vAlign w:val="bottom"/>
            <w:hideMark/>
          </w:tcPr>
          <w:p w14:paraId="3379E182"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Bauer D, Miller AE Efficacy of teriflunomide in patients with early stage MS: Analysis of the TOPIC study using 2010 McDonald diagnostic criteria.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109-110.</w:t>
            </w:r>
          </w:p>
        </w:tc>
      </w:tr>
      <w:tr w:rsidR="00406AEC" w:rsidRPr="00406AEC" w14:paraId="09EE357C" w14:textId="77777777" w:rsidTr="00406AEC">
        <w:trPr>
          <w:trHeight w:val="300"/>
        </w:trPr>
        <w:tc>
          <w:tcPr>
            <w:tcW w:w="9360" w:type="dxa"/>
            <w:tcBorders>
              <w:top w:val="nil"/>
              <w:left w:val="nil"/>
              <w:bottom w:val="nil"/>
              <w:right w:val="nil"/>
            </w:tcBorders>
            <w:shd w:val="clear" w:color="auto" w:fill="auto"/>
            <w:noWrap/>
            <w:vAlign w:val="bottom"/>
            <w:hideMark/>
          </w:tcPr>
          <w:p w14:paraId="055ADD73"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Bauer D, Miller AE MRI outcomes in patients with early multiple sclerosis treated with teriflunomide: Subgroup analyses from the TOPIC phase 3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84.</w:t>
            </w:r>
          </w:p>
        </w:tc>
      </w:tr>
      <w:tr w:rsidR="00406AEC" w:rsidRPr="00406AEC" w14:paraId="4EB866F4" w14:textId="77777777" w:rsidTr="00406AEC">
        <w:trPr>
          <w:trHeight w:val="300"/>
        </w:trPr>
        <w:tc>
          <w:tcPr>
            <w:tcW w:w="9360" w:type="dxa"/>
            <w:tcBorders>
              <w:top w:val="nil"/>
              <w:left w:val="nil"/>
              <w:bottom w:val="nil"/>
              <w:right w:val="nil"/>
            </w:tcBorders>
            <w:shd w:val="clear" w:color="auto" w:fill="auto"/>
            <w:noWrap/>
            <w:vAlign w:val="bottom"/>
            <w:hideMark/>
          </w:tcPr>
          <w:p w14:paraId="12868C13" w14:textId="77777777" w:rsidR="00406AEC" w:rsidRPr="00406AEC" w:rsidRDefault="00406AEC" w:rsidP="00223A29">
            <w:pPr>
              <w:pStyle w:val="ListParagraph"/>
              <w:numPr>
                <w:ilvl w:val="0"/>
                <w:numId w:val="33"/>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Wynn D, </w:t>
            </w:r>
            <w:proofErr w:type="spellStart"/>
            <w:r w:rsidRPr="00406AEC">
              <w:rPr>
                <w:rFonts w:ascii="Times New Roman" w:eastAsia="Times New Roman" w:hAnsi="Times New Roman" w:cs="Times New Roman"/>
                <w:color w:val="000000"/>
                <w:szCs w:val="22"/>
              </w:rPr>
              <w:t>Lategan</w:t>
            </w:r>
            <w:proofErr w:type="spellEnd"/>
            <w:r w:rsidRPr="00406AEC">
              <w:rPr>
                <w:rFonts w:ascii="Times New Roman" w:eastAsia="Times New Roman" w:hAnsi="Times New Roman" w:cs="Times New Roman"/>
                <w:color w:val="000000"/>
                <w:szCs w:val="22"/>
              </w:rPr>
              <w:t xml:space="preserve"> TW, Sprague TN, Rousseau FS, Fox EJ (2020) Monomethyl fumarate has better gastrointestinal tolerability profile compared with dimethyl fumarate. Multiple Sclerosis and Related Disorders 45 102335.</w:t>
            </w:r>
          </w:p>
        </w:tc>
      </w:tr>
      <w:tr w:rsidR="00406AEC" w:rsidRPr="00406AEC" w14:paraId="5FD3421C" w14:textId="77777777" w:rsidTr="00406AEC">
        <w:trPr>
          <w:trHeight w:val="300"/>
        </w:trPr>
        <w:tc>
          <w:tcPr>
            <w:tcW w:w="9360" w:type="dxa"/>
            <w:tcBorders>
              <w:top w:val="nil"/>
              <w:left w:val="nil"/>
              <w:bottom w:val="nil"/>
              <w:right w:val="nil"/>
            </w:tcBorders>
            <w:shd w:val="clear" w:color="auto" w:fill="auto"/>
            <w:noWrap/>
            <w:vAlign w:val="bottom"/>
            <w:hideMark/>
          </w:tcPr>
          <w:p w14:paraId="1352855F"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6D9090E0" w14:textId="77777777" w:rsidTr="00406AEC">
        <w:trPr>
          <w:trHeight w:val="300"/>
        </w:trPr>
        <w:tc>
          <w:tcPr>
            <w:tcW w:w="9360" w:type="dxa"/>
            <w:tcBorders>
              <w:top w:val="nil"/>
              <w:left w:val="nil"/>
              <w:bottom w:val="nil"/>
              <w:right w:val="nil"/>
            </w:tcBorders>
            <w:shd w:val="clear" w:color="auto" w:fill="auto"/>
            <w:noWrap/>
            <w:vAlign w:val="bottom"/>
            <w:hideMark/>
          </w:tcPr>
          <w:p w14:paraId="469C19A4"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Intervention/comparator (n = 352)</w:t>
            </w:r>
          </w:p>
        </w:tc>
      </w:tr>
      <w:tr w:rsidR="00406AEC" w:rsidRPr="00406AEC" w14:paraId="147EC6DD" w14:textId="77777777" w:rsidTr="00406AEC">
        <w:trPr>
          <w:trHeight w:val="300"/>
        </w:trPr>
        <w:tc>
          <w:tcPr>
            <w:tcW w:w="9360" w:type="dxa"/>
            <w:tcBorders>
              <w:top w:val="nil"/>
              <w:left w:val="nil"/>
              <w:bottom w:val="nil"/>
              <w:right w:val="nil"/>
            </w:tcBorders>
            <w:shd w:val="clear" w:color="auto" w:fill="auto"/>
            <w:noWrap/>
            <w:vAlign w:val="bottom"/>
            <w:hideMark/>
          </w:tcPr>
          <w:p w14:paraId="5E12DB9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(2002) Treatment of Multiple Sclerosis With Copaxone and Albuterol. https://clinicaltrialsgov/show/NCT00039988 </w:t>
            </w:r>
          </w:p>
        </w:tc>
      </w:tr>
      <w:tr w:rsidR="00406AEC" w:rsidRPr="00406AEC" w14:paraId="30309D29" w14:textId="77777777" w:rsidTr="00406AEC">
        <w:trPr>
          <w:trHeight w:val="300"/>
        </w:trPr>
        <w:tc>
          <w:tcPr>
            <w:tcW w:w="9360" w:type="dxa"/>
            <w:tcBorders>
              <w:top w:val="nil"/>
              <w:left w:val="nil"/>
              <w:bottom w:val="nil"/>
              <w:right w:val="nil"/>
            </w:tcBorders>
            <w:shd w:val="clear" w:color="auto" w:fill="auto"/>
            <w:noWrap/>
            <w:vAlign w:val="bottom"/>
            <w:hideMark/>
          </w:tcPr>
          <w:p w14:paraId="5E9FB6B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(2005) Avonex (Interferon-beta-1a) and Avonex Plus Methylprednisolone for the Treatment of Relapsing-remitting MS. https://clinicaltrialsgov/show/NCT00168766 </w:t>
            </w:r>
          </w:p>
        </w:tc>
      </w:tr>
      <w:tr w:rsidR="00406AEC" w:rsidRPr="00406AEC" w14:paraId="1FC369E0" w14:textId="77777777" w:rsidTr="00406AEC">
        <w:trPr>
          <w:trHeight w:val="300"/>
        </w:trPr>
        <w:tc>
          <w:tcPr>
            <w:tcW w:w="9360" w:type="dxa"/>
            <w:tcBorders>
              <w:top w:val="nil"/>
              <w:left w:val="nil"/>
              <w:bottom w:val="nil"/>
              <w:right w:val="nil"/>
            </w:tcBorders>
            <w:shd w:val="clear" w:color="auto" w:fill="auto"/>
            <w:noWrap/>
            <w:vAlign w:val="bottom"/>
            <w:hideMark/>
          </w:tcPr>
          <w:p w14:paraId="540A073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(2005) Efficacy and Safety of BG00012 in MS. https://clinicaltrialsgov/show/NCT00168701 </w:t>
            </w:r>
          </w:p>
        </w:tc>
      </w:tr>
      <w:tr w:rsidR="00406AEC" w:rsidRPr="00406AEC" w14:paraId="694810DA" w14:textId="77777777" w:rsidTr="00406AEC">
        <w:trPr>
          <w:trHeight w:val="300"/>
        </w:trPr>
        <w:tc>
          <w:tcPr>
            <w:tcW w:w="9360" w:type="dxa"/>
            <w:tcBorders>
              <w:top w:val="nil"/>
              <w:left w:val="nil"/>
              <w:bottom w:val="nil"/>
              <w:right w:val="nil"/>
            </w:tcBorders>
            <w:shd w:val="clear" w:color="auto" w:fill="auto"/>
            <w:noWrap/>
            <w:vAlign w:val="bottom"/>
            <w:hideMark/>
          </w:tcPr>
          <w:p w14:paraId="26C1864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(2005) Long Term Safety and Efficacy of Teriflunomide (HMR1726) in Multiple Sclerosis With Relapses. https://clinicaltrialsgov/show/NCT00228163 </w:t>
            </w:r>
          </w:p>
        </w:tc>
      </w:tr>
      <w:tr w:rsidR="00406AEC" w:rsidRPr="00406AEC" w14:paraId="0B4F59B6" w14:textId="77777777" w:rsidTr="00406AEC">
        <w:trPr>
          <w:trHeight w:val="300"/>
        </w:trPr>
        <w:tc>
          <w:tcPr>
            <w:tcW w:w="9360" w:type="dxa"/>
            <w:tcBorders>
              <w:top w:val="nil"/>
              <w:left w:val="nil"/>
              <w:bottom w:val="nil"/>
              <w:right w:val="nil"/>
            </w:tcBorders>
            <w:shd w:val="clear" w:color="auto" w:fill="auto"/>
            <w:noWrap/>
            <w:vAlign w:val="bottom"/>
            <w:hideMark/>
          </w:tcPr>
          <w:p w14:paraId="0CBB5F9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(2005) Randomized Study Designed to Look at Disease Progression Using 2 Currently FDA Approved Drugs for the Treatment of RRMS. https://clinicaltrialsgov/show/NCT00202995 </w:t>
            </w:r>
          </w:p>
        </w:tc>
      </w:tr>
      <w:tr w:rsidR="00406AEC" w:rsidRPr="00406AEC" w14:paraId="43B8195E" w14:textId="77777777" w:rsidTr="00406AEC">
        <w:trPr>
          <w:trHeight w:val="300"/>
        </w:trPr>
        <w:tc>
          <w:tcPr>
            <w:tcW w:w="9360" w:type="dxa"/>
            <w:tcBorders>
              <w:top w:val="nil"/>
              <w:left w:val="nil"/>
              <w:bottom w:val="nil"/>
              <w:right w:val="nil"/>
            </w:tcBorders>
            <w:shd w:val="clear" w:color="auto" w:fill="auto"/>
            <w:noWrap/>
            <w:vAlign w:val="bottom"/>
            <w:hideMark/>
          </w:tcPr>
          <w:p w14:paraId="7E31488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(2005) A Safety Study of Combination Treatment With Avonex and Placebo-Controlled Dosing of Topamax in Relapsing-Remitting Multiple Sclerosis. https://clinicaltrialsgov/show/NCT00217295 </w:t>
            </w:r>
          </w:p>
        </w:tc>
      </w:tr>
      <w:tr w:rsidR="00406AEC" w:rsidRPr="00406AEC" w14:paraId="2EB00404" w14:textId="77777777" w:rsidTr="00406AEC">
        <w:trPr>
          <w:trHeight w:val="300"/>
        </w:trPr>
        <w:tc>
          <w:tcPr>
            <w:tcW w:w="9360" w:type="dxa"/>
            <w:tcBorders>
              <w:top w:val="nil"/>
              <w:left w:val="nil"/>
              <w:bottom w:val="nil"/>
              <w:right w:val="nil"/>
            </w:tcBorders>
            <w:shd w:val="clear" w:color="auto" w:fill="auto"/>
            <w:noWrap/>
            <w:vAlign w:val="bottom"/>
            <w:hideMark/>
          </w:tcPr>
          <w:p w14:paraId="08B1F92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(2006) Tolerability of Rebif(R) Injection With and Without the Use of </w:t>
            </w:r>
            <w:proofErr w:type="spellStart"/>
            <w:r w:rsidRPr="00406AEC">
              <w:rPr>
                <w:rFonts w:ascii="Times New Roman" w:eastAsia="Times New Roman" w:hAnsi="Times New Roman" w:cs="Times New Roman"/>
                <w:color w:val="000000"/>
                <w:szCs w:val="22"/>
              </w:rPr>
              <w:t>Rebiject</w:t>
            </w:r>
            <w:proofErr w:type="spellEnd"/>
            <w:r w:rsidRPr="00406AEC">
              <w:rPr>
                <w:rFonts w:ascii="Times New Roman" w:eastAsia="Times New Roman" w:hAnsi="Times New Roman" w:cs="Times New Roman"/>
                <w:color w:val="000000"/>
                <w:szCs w:val="22"/>
              </w:rPr>
              <w:t xml:space="preserve">[TM]Mini in Relapsing-Remitting Multiple Sclerosis Subjects. https://clinicaltrialsgov/show/NCT00292253 </w:t>
            </w:r>
          </w:p>
        </w:tc>
      </w:tr>
      <w:tr w:rsidR="00406AEC" w:rsidRPr="00144F5E" w14:paraId="04FA7C82" w14:textId="77777777" w:rsidTr="00406AEC">
        <w:trPr>
          <w:trHeight w:val="300"/>
        </w:trPr>
        <w:tc>
          <w:tcPr>
            <w:tcW w:w="9360" w:type="dxa"/>
            <w:tcBorders>
              <w:top w:val="nil"/>
              <w:left w:val="nil"/>
              <w:bottom w:val="nil"/>
              <w:right w:val="nil"/>
            </w:tcBorders>
            <w:shd w:val="clear" w:color="auto" w:fill="auto"/>
            <w:noWrap/>
            <w:vAlign w:val="bottom"/>
            <w:hideMark/>
          </w:tcPr>
          <w:p w14:paraId="3196E5CB" w14:textId="77777777" w:rsidR="00406AEC" w:rsidRPr="00713F1E" w:rsidRDefault="00406AEC" w:rsidP="00223A29">
            <w:pPr>
              <w:pStyle w:val="ListParagraph"/>
              <w:numPr>
                <w:ilvl w:val="0"/>
                <w:numId w:val="32"/>
              </w:numPr>
              <w:spacing w:line="240" w:lineRule="auto"/>
              <w:rPr>
                <w:rFonts w:ascii="Times New Roman" w:eastAsia="Times New Roman" w:hAnsi="Times New Roman" w:cs="Times New Roman"/>
                <w:color w:val="000000"/>
                <w:szCs w:val="22"/>
                <w:lang w:val="nl-NL"/>
              </w:rPr>
            </w:pPr>
            <w:r w:rsidRPr="00713F1E">
              <w:rPr>
                <w:rFonts w:ascii="Times New Roman" w:eastAsia="Times New Roman" w:hAnsi="Times New Roman" w:cs="Times New Roman"/>
                <w:color w:val="000000"/>
                <w:szCs w:val="22"/>
                <w:lang w:val="nl-NL"/>
              </w:rPr>
              <w:t xml:space="preserve">(2007) Optimizing IFN Beta - 1B Dose. https://clinicaltrialsgov/show/NCT00473213 </w:t>
            </w:r>
          </w:p>
        </w:tc>
      </w:tr>
      <w:tr w:rsidR="00406AEC" w:rsidRPr="00406AEC" w14:paraId="17AD1403" w14:textId="77777777" w:rsidTr="00406AEC">
        <w:trPr>
          <w:trHeight w:val="300"/>
        </w:trPr>
        <w:tc>
          <w:tcPr>
            <w:tcW w:w="9360" w:type="dxa"/>
            <w:tcBorders>
              <w:top w:val="nil"/>
              <w:left w:val="nil"/>
              <w:bottom w:val="nil"/>
              <w:right w:val="nil"/>
            </w:tcBorders>
            <w:shd w:val="clear" w:color="auto" w:fill="auto"/>
            <w:noWrap/>
            <w:vAlign w:val="bottom"/>
            <w:hideMark/>
          </w:tcPr>
          <w:p w14:paraId="18873FF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A Phase 2 Study of Cladribine Add-on to Interferon-beta (IFN-beta) Therapy in Multiple Sclerosis (MS) Subjects With Active Disease (ONWARD). https://clinicaltrialsgov/show/NCT00436826 </w:t>
            </w:r>
          </w:p>
        </w:tc>
      </w:tr>
      <w:tr w:rsidR="00406AEC" w:rsidRPr="00406AEC" w14:paraId="2FE7EF50" w14:textId="77777777" w:rsidTr="00406AEC">
        <w:trPr>
          <w:trHeight w:val="300"/>
        </w:trPr>
        <w:tc>
          <w:tcPr>
            <w:tcW w:w="9360" w:type="dxa"/>
            <w:tcBorders>
              <w:top w:val="nil"/>
              <w:left w:val="nil"/>
              <w:bottom w:val="nil"/>
              <w:right w:val="nil"/>
            </w:tcBorders>
            <w:shd w:val="clear" w:color="auto" w:fill="auto"/>
            <w:noWrap/>
            <w:vAlign w:val="bottom"/>
            <w:hideMark/>
          </w:tcPr>
          <w:p w14:paraId="65E57C8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A Study to Evaluate Rebif(R) New Formulation (Interferon-beta-1a) in Relapsing Remitting Multiple Sclerosis. https://clinicaltrialsgov/show/NCT00441103 </w:t>
            </w:r>
          </w:p>
        </w:tc>
      </w:tr>
      <w:tr w:rsidR="00406AEC" w:rsidRPr="00144F5E" w14:paraId="47F7C919" w14:textId="77777777" w:rsidTr="00406AEC">
        <w:trPr>
          <w:trHeight w:val="300"/>
        </w:trPr>
        <w:tc>
          <w:tcPr>
            <w:tcW w:w="9360" w:type="dxa"/>
            <w:tcBorders>
              <w:top w:val="nil"/>
              <w:left w:val="nil"/>
              <w:bottom w:val="nil"/>
              <w:right w:val="nil"/>
            </w:tcBorders>
            <w:shd w:val="clear" w:color="auto" w:fill="auto"/>
            <w:noWrap/>
            <w:vAlign w:val="bottom"/>
            <w:hideMark/>
          </w:tcPr>
          <w:p w14:paraId="6FD48B7A" w14:textId="77777777" w:rsidR="00406AEC" w:rsidRPr="00713F1E" w:rsidRDefault="00406AEC" w:rsidP="00223A29">
            <w:pPr>
              <w:pStyle w:val="ListParagraph"/>
              <w:numPr>
                <w:ilvl w:val="0"/>
                <w:numId w:val="32"/>
              </w:numPr>
              <w:spacing w:line="240" w:lineRule="auto"/>
              <w:rPr>
                <w:rFonts w:ascii="Times New Roman" w:eastAsia="Times New Roman" w:hAnsi="Times New Roman" w:cs="Times New Roman"/>
                <w:color w:val="000000"/>
                <w:szCs w:val="22"/>
                <w:lang w:val="fr-FR"/>
              </w:rPr>
            </w:pPr>
            <w:r w:rsidRPr="00713F1E">
              <w:rPr>
                <w:rFonts w:ascii="Times New Roman" w:eastAsia="Times New Roman" w:hAnsi="Times New Roman" w:cs="Times New Roman"/>
                <w:color w:val="000000"/>
                <w:szCs w:val="22"/>
                <w:lang w:val="fr-FR"/>
              </w:rPr>
              <w:t xml:space="preserve">(2009) </w:t>
            </w:r>
            <w:proofErr w:type="spellStart"/>
            <w:r w:rsidRPr="00713F1E">
              <w:rPr>
                <w:rFonts w:ascii="Times New Roman" w:eastAsia="Times New Roman" w:hAnsi="Times New Roman" w:cs="Times New Roman"/>
                <w:color w:val="000000"/>
                <w:szCs w:val="22"/>
                <w:lang w:val="fr-FR"/>
              </w:rPr>
              <w:t>Cinnovex</w:t>
            </w:r>
            <w:proofErr w:type="spellEnd"/>
            <w:r w:rsidRPr="00713F1E">
              <w:rPr>
                <w:rFonts w:ascii="Times New Roman" w:eastAsia="Times New Roman" w:hAnsi="Times New Roman" w:cs="Times New Roman"/>
                <w:color w:val="000000"/>
                <w:szCs w:val="22"/>
                <w:lang w:val="fr-FR"/>
              </w:rPr>
              <w:t xml:space="preserve"> versus </w:t>
            </w:r>
            <w:proofErr w:type="spellStart"/>
            <w:r w:rsidRPr="00713F1E">
              <w:rPr>
                <w:rFonts w:ascii="Times New Roman" w:eastAsia="Times New Roman" w:hAnsi="Times New Roman" w:cs="Times New Roman"/>
                <w:color w:val="000000"/>
                <w:szCs w:val="22"/>
                <w:lang w:val="fr-FR"/>
              </w:rPr>
              <w:t>Avonex</w:t>
            </w:r>
            <w:proofErr w:type="spellEnd"/>
            <w:r w:rsidRPr="00713F1E">
              <w:rPr>
                <w:rFonts w:ascii="Times New Roman" w:eastAsia="Times New Roman" w:hAnsi="Times New Roman" w:cs="Times New Roman"/>
                <w:color w:val="000000"/>
                <w:szCs w:val="22"/>
                <w:lang w:val="fr-FR"/>
              </w:rPr>
              <w:t xml:space="preserve"> </w:t>
            </w:r>
            <w:proofErr w:type="spellStart"/>
            <w:r w:rsidRPr="00713F1E">
              <w:rPr>
                <w:rFonts w:ascii="Times New Roman" w:eastAsia="Times New Roman" w:hAnsi="Times New Roman" w:cs="Times New Roman"/>
                <w:color w:val="000000"/>
                <w:szCs w:val="22"/>
                <w:lang w:val="fr-FR"/>
              </w:rPr>
              <w:t>clinica</w:t>
            </w:r>
            <w:proofErr w:type="spellEnd"/>
            <w:r w:rsidRPr="00713F1E">
              <w:rPr>
                <w:rFonts w:ascii="Times New Roman" w:eastAsia="Times New Roman" w:hAnsi="Times New Roman" w:cs="Times New Roman"/>
                <w:color w:val="000000"/>
                <w:szCs w:val="22"/>
                <w:lang w:val="fr-FR"/>
              </w:rPr>
              <w:t xml:space="preserve"> Trial. http://wwwwhoint/trialsearch/Trial2aspx?TrialID=IRCT138711281696N1 </w:t>
            </w:r>
          </w:p>
        </w:tc>
      </w:tr>
      <w:tr w:rsidR="00406AEC" w:rsidRPr="00406AEC" w14:paraId="4C6ED2CA" w14:textId="77777777" w:rsidTr="00406AEC">
        <w:trPr>
          <w:trHeight w:val="300"/>
        </w:trPr>
        <w:tc>
          <w:tcPr>
            <w:tcW w:w="9360" w:type="dxa"/>
            <w:tcBorders>
              <w:top w:val="nil"/>
              <w:left w:val="nil"/>
              <w:bottom w:val="nil"/>
              <w:right w:val="nil"/>
            </w:tcBorders>
            <w:shd w:val="clear" w:color="auto" w:fill="auto"/>
            <w:noWrap/>
            <w:vAlign w:val="bottom"/>
            <w:hideMark/>
          </w:tcPr>
          <w:p w14:paraId="07EA8EA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(2010) Erratum to Daclizumab in active relapsing multiple sclerosis (CHOICE study): A phase 2,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add-on trial with interferon beta [Lancet Neurol, (2010), 9, 381-90]. The Lancet Neurology 9 (8): 759.</w:t>
            </w:r>
          </w:p>
        </w:tc>
      </w:tr>
      <w:tr w:rsidR="00406AEC" w:rsidRPr="00406AEC" w14:paraId="61D6C7D8" w14:textId="77777777" w:rsidTr="00406AEC">
        <w:trPr>
          <w:trHeight w:val="300"/>
        </w:trPr>
        <w:tc>
          <w:tcPr>
            <w:tcW w:w="9360" w:type="dxa"/>
            <w:tcBorders>
              <w:top w:val="nil"/>
              <w:left w:val="nil"/>
              <w:bottom w:val="nil"/>
              <w:right w:val="nil"/>
            </w:tcBorders>
            <w:shd w:val="clear" w:color="auto" w:fill="auto"/>
            <w:noWrap/>
            <w:vAlign w:val="bottom"/>
            <w:hideMark/>
          </w:tcPr>
          <w:p w14:paraId="5299657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(2010) Erratum to Methylprednisolone in combination with interferon beta-1a for relapsing-remitting multiple sclerosis (MECOMBIN study):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double-blind,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lastRenderedPageBreak/>
              <w:t>placebocontrolled</w:t>
            </w:r>
            <w:proofErr w:type="spellEnd"/>
            <w:r w:rsidRPr="00406AEC">
              <w:rPr>
                <w:rFonts w:ascii="Times New Roman" w:eastAsia="Times New Roman" w:hAnsi="Times New Roman" w:cs="Times New Roman"/>
                <w:color w:val="000000"/>
                <w:szCs w:val="22"/>
              </w:rPr>
              <w:t>, parallel-group trial [Lancet Neurol, (2010), 9, 672-80]. The Lancet Neurology 9 (8): 759.</w:t>
            </w:r>
          </w:p>
        </w:tc>
      </w:tr>
      <w:tr w:rsidR="00406AEC" w:rsidRPr="00406AEC" w14:paraId="0E742794" w14:textId="77777777" w:rsidTr="00406AEC">
        <w:trPr>
          <w:trHeight w:val="300"/>
        </w:trPr>
        <w:tc>
          <w:tcPr>
            <w:tcW w:w="9360" w:type="dxa"/>
            <w:tcBorders>
              <w:top w:val="nil"/>
              <w:left w:val="nil"/>
              <w:bottom w:val="nil"/>
              <w:right w:val="nil"/>
            </w:tcBorders>
            <w:shd w:val="clear" w:color="auto" w:fill="auto"/>
            <w:noWrap/>
            <w:vAlign w:val="bottom"/>
            <w:hideMark/>
          </w:tcPr>
          <w:p w14:paraId="07BD911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(2010) A 6-month, Randomized, Open-label, Patient </w:t>
            </w:r>
            <w:proofErr w:type="spellStart"/>
            <w:r w:rsidRPr="00406AEC">
              <w:rPr>
                <w:rFonts w:ascii="Times New Roman" w:eastAsia="Times New Roman" w:hAnsi="Times New Roman" w:cs="Times New Roman"/>
                <w:color w:val="000000"/>
                <w:szCs w:val="22"/>
              </w:rPr>
              <w:t>OutComes</w:t>
            </w:r>
            <w:proofErr w:type="spellEnd"/>
            <w:r w:rsidRPr="00406AEC">
              <w:rPr>
                <w:rFonts w:ascii="Times New Roman" w:eastAsia="Times New Roman" w:hAnsi="Times New Roman" w:cs="Times New Roman"/>
                <w:color w:val="000000"/>
                <w:szCs w:val="22"/>
              </w:rPr>
              <w:t xml:space="preserve">, Safety and Tolerability Study of Fingolimod (FTY720) 0.5 mg/Day vs. Comparator in Patients With Relapsing Forms of Multiple Sclerosis. https://clinicaltrialsgov/show/NCT01216072 </w:t>
            </w:r>
          </w:p>
        </w:tc>
      </w:tr>
      <w:tr w:rsidR="00406AEC" w:rsidRPr="00406AEC" w14:paraId="586D2973" w14:textId="77777777" w:rsidTr="00406AEC">
        <w:trPr>
          <w:trHeight w:val="300"/>
        </w:trPr>
        <w:tc>
          <w:tcPr>
            <w:tcW w:w="9360" w:type="dxa"/>
            <w:tcBorders>
              <w:top w:val="nil"/>
              <w:left w:val="nil"/>
              <w:bottom w:val="nil"/>
              <w:right w:val="nil"/>
            </w:tcBorders>
            <w:shd w:val="clear" w:color="auto" w:fill="auto"/>
            <w:noWrap/>
            <w:vAlign w:val="bottom"/>
            <w:hideMark/>
          </w:tcPr>
          <w:p w14:paraId="191F14C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(2010) Clinical Trial Comparing Treatment of Relapsing-Remitting Multiple Sclerosis (RR-MS) With Two Doses of Glatiramer Acetate (GA). </w:t>
            </w:r>
            <w:proofErr w:type="spellStart"/>
            <w:r w:rsidRPr="00406AEC">
              <w:rPr>
                <w:rFonts w:ascii="Times New Roman" w:eastAsia="Times New Roman" w:hAnsi="Times New Roman" w:cs="Times New Roman"/>
                <w:color w:val="000000"/>
                <w:szCs w:val="22"/>
              </w:rPr>
              <w:t>Clinicaltrials</w:t>
            </w:r>
            <w:proofErr w:type="spellEnd"/>
            <w:r w:rsidRPr="00406AEC">
              <w:rPr>
                <w:rFonts w:ascii="Times New Roman" w:eastAsia="Times New Roman" w:hAnsi="Times New Roman" w:cs="Times New Roman"/>
                <w:color w:val="000000"/>
                <w:szCs w:val="22"/>
              </w:rPr>
              <w:t xml:space="preserve"> gov, national institutes of health [http://www </w:t>
            </w:r>
            <w:proofErr w:type="spellStart"/>
            <w:r w:rsidRPr="00406AEC">
              <w:rPr>
                <w:rFonts w:ascii="Times New Roman" w:eastAsia="Times New Roman" w:hAnsi="Times New Roman" w:cs="Times New Roman"/>
                <w:color w:val="000000"/>
                <w:szCs w:val="22"/>
              </w:rPr>
              <w:t>clinicaltrials</w:t>
            </w:r>
            <w:proofErr w:type="spellEnd"/>
            <w:r w:rsidRPr="00406AEC">
              <w:rPr>
                <w:rFonts w:ascii="Times New Roman" w:eastAsia="Times New Roman" w:hAnsi="Times New Roman" w:cs="Times New Roman"/>
                <w:color w:val="000000"/>
                <w:szCs w:val="22"/>
              </w:rPr>
              <w:t xml:space="preserve"> gov] </w:t>
            </w:r>
          </w:p>
        </w:tc>
      </w:tr>
      <w:tr w:rsidR="00406AEC" w:rsidRPr="00406AEC" w14:paraId="0C6E9FEE" w14:textId="77777777" w:rsidTr="00406AEC">
        <w:trPr>
          <w:trHeight w:val="300"/>
        </w:trPr>
        <w:tc>
          <w:tcPr>
            <w:tcW w:w="9360" w:type="dxa"/>
            <w:tcBorders>
              <w:top w:val="nil"/>
              <w:left w:val="nil"/>
              <w:bottom w:val="nil"/>
              <w:right w:val="nil"/>
            </w:tcBorders>
            <w:shd w:val="clear" w:color="auto" w:fill="auto"/>
            <w:noWrap/>
            <w:vAlign w:val="bottom"/>
            <w:hideMark/>
          </w:tcPr>
          <w:p w14:paraId="6EDC171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(2010) Treatment Interruption of Natalizumab. https://clinicaltrialsgov/show/NCT01071083 </w:t>
            </w:r>
          </w:p>
        </w:tc>
      </w:tr>
      <w:tr w:rsidR="00406AEC" w:rsidRPr="00406AEC" w14:paraId="39CB5D7B" w14:textId="77777777" w:rsidTr="00406AEC">
        <w:trPr>
          <w:trHeight w:val="300"/>
        </w:trPr>
        <w:tc>
          <w:tcPr>
            <w:tcW w:w="9360" w:type="dxa"/>
            <w:tcBorders>
              <w:top w:val="nil"/>
              <w:left w:val="nil"/>
              <w:bottom w:val="nil"/>
              <w:right w:val="nil"/>
            </w:tcBorders>
            <w:shd w:val="clear" w:color="auto" w:fill="auto"/>
            <w:noWrap/>
            <w:vAlign w:val="bottom"/>
            <w:hideMark/>
          </w:tcPr>
          <w:p w14:paraId="0AFA278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(2011) Disease Control and Safety in Patients With Relapsing Remitting Multiple Sclerosis (RRMS) Switching From Natalizumab to Fingolimod. https://clinicaltrialsgov/show/NCT01499667 </w:t>
            </w:r>
          </w:p>
        </w:tc>
      </w:tr>
      <w:tr w:rsidR="00406AEC" w:rsidRPr="00406AEC" w14:paraId="7ED6F221" w14:textId="77777777" w:rsidTr="00406AEC">
        <w:trPr>
          <w:trHeight w:val="300"/>
        </w:trPr>
        <w:tc>
          <w:tcPr>
            <w:tcW w:w="9360" w:type="dxa"/>
            <w:tcBorders>
              <w:top w:val="nil"/>
              <w:left w:val="nil"/>
              <w:bottom w:val="nil"/>
              <w:right w:val="nil"/>
            </w:tcBorders>
            <w:shd w:val="clear" w:color="auto" w:fill="auto"/>
            <w:noWrap/>
            <w:vAlign w:val="bottom"/>
            <w:hideMark/>
          </w:tcPr>
          <w:p w14:paraId="49CDFFB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(2011) Phase 3 Study to Evaluate Efficacy and Safety of NU100 in Patients With Relapsing Remitting Multiple Sclerosis (RRMS). https://clinicaltrialsgov/show/NCT01464905 </w:t>
            </w:r>
          </w:p>
        </w:tc>
      </w:tr>
      <w:tr w:rsidR="00406AEC" w:rsidRPr="00406AEC" w14:paraId="6D63B308" w14:textId="77777777" w:rsidTr="00406AEC">
        <w:trPr>
          <w:trHeight w:val="300"/>
        </w:trPr>
        <w:tc>
          <w:tcPr>
            <w:tcW w:w="9360" w:type="dxa"/>
            <w:tcBorders>
              <w:top w:val="nil"/>
              <w:left w:val="nil"/>
              <w:bottom w:val="nil"/>
              <w:right w:val="nil"/>
            </w:tcBorders>
            <w:shd w:val="clear" w:color="auto" w:fill="auto"/>
            <w:noWrap/>
            <w:vAlign w:val="bottom"/>
            <w:hideMark/>
          </w:tcPr>
          <w:p w14:paraId="1713CB1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(2012) Alternative Treatment Paradigm for Natalizumab Trial. https://clinicaltrialsgov/show/NCT01710228 </w:t>
            </w:r>
          </w:p>
        </w:tc>
      </w:tr>
      <w:tr w:rsidR="00406AEC" w:rsidRPr="00406AEC" w14:paraId="1448CC5F" w14:textId="77777777" w:rsidTr="00406AEC">
        <w:trPr>
          <w:trHeight w:val="300"/>
        </w:trPr>
        <w:tc>
          <w:tcPr>
            <w:tcW w:w="9360" w:type="dxa"/>
            <w:tcBorders>
              <w:top w:val="nil"/>
              <w:left w:val="nil"/>
              <w:bottom w:val="nil"/>
              <w:right w:val="nil"/>
            </w:tcBorders>
            <w:shd w:val="clear" w:color="auto" w:fill="auto"/>
            <w:noWrap/>
            <w:vAlign w:val="bottom"/>
            <w:hideMark/>
          </w:tcPr>
          <w:p w14:paraId="24D82D2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(2012) Effect of an Individualized Patient Support Program on Treatment Satisfaction in Fingolimod-treated Patients With RRMS. https://clinicaltrialsgov/show/NCT01709812 </w:t>
            </w:r>
          </w:p>
        </w:tc>
      </w:tr>
      <w:tr w:rsidR="00406AEC" w:rsidRPr="00406AEC" w14:paraId="52DADED9" w14:textId="77777777" w:rsidTr="00406AEC">
        <w:trPr>
          <w:trHeight w:val="300"/>
        </w:trPr>
        <w:tc>
          <w:tcPr>
            <w:tcW w:w="9360" w:type="dxa"/>
            <w:tcBorders>
              <w:top w:val="nil"/>
              <w:left w:val="nil"/>
              <w:bottom w:val="nil"/>
              <w:right w:val="nil"/>
            </w:tcBorders>
            <w:shd w:val="clear" w:color="auto" w:fill="auto"/>
            <w:noWrap/>
            <w:vAlign w:val="bottom"/>
            <w:hideMark/>
          </w:tcPr>
          <w:p w14:paraId="47D5098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(2012) Evaluation of Patient Reported Outcomes in RRMS Patients Candidates for MS Therapy Change and Transitioned to Fingolimod 0.5 mg (EPOC). https://clinicaltrialsgov/show/NCT01534182 </w:t>
            </w:r>
          </w:p>
        </w:tc>
      </w:tr>
      <w:tr w:rsidR="00406AEC" w:rsidRPr="00406AEC" w14:paraId="7F64C8D9" w14:textId="77777777" w:rsidTr="00406AEC">
        <w:trPr>
          <w:trHeight w:val="300"/>
        </w:trPr>
        <w:tc>
          <w:tcPr>
            <w:tcW w:w="9360" w:type="dxa"/>
            <w:tcBorders>
              <w:top w:val="nil"/>
              <w:left w:val="nil"/>
              <w:bottom w:val="nil"/>
              <w:right w:val="nil"/>
            </w:tcBorders>
            <w:shd w:val="clear" w:color="auto" w:fill="auto"/>
            <w:noWrap/>
            <w:vAlign w:val="bottom"/>
            <w:hideMark/>
          </w:tcPr>
          <w:p w14:paraId="31A4192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(2014) Long-term Follow-up of Fingolimod Phase II Study Patients. https://clinicaltrialsgov/show/NCT02307838 </w:t>
            </w:r>
          </w:p>
        </w:tc>
      </w:tr>
      <w:tr w:rsidR="00406AEC" w:rsidRPr="00406AEC" w14:paraId="602D3A77" w14:textId="77777777" w:rsidTr="00406AEC">
        <w:trPr>
          <w:trHeight w:val="300"/>
        </w:trPr>
        <w:tc>
          <w:tcPr>
            <w:tcW w:w="9360" w:type="dxa"/>
            <w:tcBorders>
              <w:top w:val="nil"/>
              <w:left w:val="nil"/>
              <w:bottom w:val="nil"/>
              <w:right w:val="nil"/>
            </w:tcBorders>
            <w:shd w:val="clear" w:color="auto" w:fill="auto"/>
            <w:noWrap/>
            <w:vAlign w:val="bottom"/>
            <w:hideMark/>
          </w:tcPr>
          <w:p w14:paraId="587A201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A Study to Evaluate the Effects of Ocrelizumab on Immune Responses In Participants With Relapsing Forms of Multiple Sclerosis. https://clinicaltrialsgov/show/NCT02545868 </w:t>
            </w:r>
          </w:p>
        </w:tc>
      </w:tr>
      <w:tr w:rsidR="00406AEC" w:rsidRPr="00406AEC" w14:paraId="3024C57B" w14:textId="77777777" w:rsidTr="00406AEC">
        <w:trPr>
          <w:trHeight w:val="300"/>
        </w:trPr>
        <w:tc>
          <w:tcPr>
            <w:tcW w:w="9360" w:type="dxa"/>
            <w:tcBorders>
              <w:top w:val="nil"/>
              <w:left w:val="nil"/>
              <w:bottom w:val="nil"/>
              <w:right w:val="nil"/>
            </w:tcBorders>
            <w:shd w:val="clear" w:color="auto" w:fill="auto"/>
            <w:noWrap/>
            <w:vAlign w:val="bottom"/>
            <w:hideMark/>
          </w:tcPr>
          <w:p w14:paraId="4228BE9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A Multi-Site, Open-Label Extension Trial of Oral RPC1063 in Relapsing Multiple Sclerosis. https://clinicaltrialsgov/show/NCT02576717 </w:t>
            </w:r>
          </w:p>
        </w:tc>
      </w:tr>
      <w:tr w:rsidR="00406AEC" w:rsidRPr="00406AEC" w14:paraId="04CEBA44" w14:textId="77777777" w:rsidTr="00406AEC">
        <w:trPr>
          <w:trHeight w:val="300"/>
        </w:trPr>
        <w:tc>
          <w:tcPr>
            <w:tcW w:w="9360" w:type="dxa"/>
            <w:tcBorders>
              <w:top w:val="nil"/>
              <w:left w:val="nil"/>
              <w:bottom w:val="nil"/>
              <w:right w:val="nil"/>
            </w:tcBorders>
            <w:shd w:val="clear" w:color="auto" w:fill="auto"/>
            <w:noWrap/>
            <w:vAlign w:val="bottom"/>
            <w:hideMark/>
          </w:tcPr>
          <w:p w14:paraId="0DB8C79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(2016) Clinical Study to Compare the Efficacy and Safety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to Placebo in Subjects With Active Relapsing Multiple Sclerosis Who Are Treated With Dimethyl Fumarate (Tecfidera(R)). https://clinicaltrialsgov/show/NCT02907177 </w:t>
            </w:r>
          </w:p>
        </w:tc>
      </w:tr>
      <w:tr w:rsidR="00406AEC" w:rsidRPr="00406AEC" w14:paraId="01ED4AC3" w14:textId="77777777" w:rsidTr="00406AEC">
        <w:trPr>
          <w:trHeight w:val="300"/>
        </w:trPr>
        <w:tc>
          <w:tcPr>
            <w:tcW w:w="9360" w:type="dxa"/>
            <w:tcBorders>
              <w:top w:val="nil"/>
              <w:left w:val="nil"/>
              <w:bottom w:val="nil"/>
              <w:right w:val="nil"/>
            </w:tcBorders>
            <w:shd w:val="clear" w:color="auto" w:fill="auto"/>
            <w:noWrap/>
            <w:vAlign w:val="bottom"/>
            <w:hideMark/>
          </w:tcPr>
          <w:p w14:paraId="09CC693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Efficacy and safety of 2 doses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(10 and 20 mg o.d.): interim analysis of a phase II extension trial in relapsing-remitting multiple sclerosis. Multiple sclerosis journal Conference: 7th Joint ECTRIMS-ACTRIMS, MSPARIS2017. France. 23 (3 Supplement 1): 606-607.</w:t>
            </w:r>
          </w:p>
        </w:tc>
      </w:tr>
      <w:tr w:rsidR="00406AEC" w:rsidRPr="00406AEC" w14:paraId="18D7476D" w14:textId="77777777" w:rsidTr="00406AEC">
        <w:trPr>
          <w:trHeight w:val="300"/>
        </w:trPr>
        <w:tc>
          <w:tcPr>
            <w:tcW w:w="9360" w:type="dxa"/>
            <w:tcBorders>
              <w:top w:val="nil"/>
              <w:left w:val="nil"/>
              <w:bottom w:val="nil"/>
              <w:right w:val="nil"/>
            </w:tcBorders>
            <w:shd w:val="clear" w:color="auto" w:fill="auto"/>
            <w:noWrap/>
            <w:vAlign w:val="bottom"/>
            <w:hideMark/>
          </w:tcPr>
          <w:p w14:paraId="0759BDE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(2017) Long-term disability outcomes in teriflunomide-treated patients in TEMSO and TOWER: an EDSS and FSS categorical analysis. Multiple sclerosis journal Conference: 7th Joint ECTRIMS-ACTRIMS, MSPARIS2017. France. 23 (3 Supplement 1): 903.</w:t>
            </w:r>
          </w:p>
        </w:tc>
      </w:tr>
      <w:tr w:rsidR="00406AEC" w:rsidRPr="00406AEC" w14:paraId="2E0A0B1A" w14:textId="77777777" w:rsidTr="00406AEC">
        <w:trPr>
          <w:trHeight w:val="300"/>
        </w:trPr>
        <w:tc>
          <w:tcPr>
            <w:tcW w:w="9360" w:type="dxa"/>
            <w:tcBorders>
              <w:top w:val="nil"/>
              <w:left w:val="nil"/>
              <w:bottom w:val="nil"/>
              <w:right w:val="nil"/>
            </w:tcBorders>
            <w:shd w:val="clear" w:color="auto" w:fill="auto"/>
            <w:noWrap/>
            <w:vAlign w:val="bottom"/>
            <w:hideMark/>
          </w:tcPr>
          <w:p w14:paraId="15DBD86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Clinical Efficacy Is Sustained in Relapsing Remitting Multiple Sclerosis Following Treatment Switch to Placebo from Cladribine Tablets in Patients with High Disease Activity at Baseline. Multiple sclerosis and related disorders 26 (260): </w:t>
            </w:r>
          </w:p>
        </w:tc>
      </w:tr>
      <w:tr w:rsidR="00406AEC" w:rsidRPr="00406AEC" w14:paraId="2D79A6F2" w14:textId="77777777" w:rsidTr="00406AEC">
        <w:trPr>
          <w:trHeight w:val="300"/>
        </w:trPr>
        <w:tc>
          <w:tcPr>
            <w:tcW w:w="9360" w:type="dxa"/>
            <w:tcBorders>
              <w:top w:val="nil"/>
              <w:left w:val="nil"/>
              <w:bottom w:val="nil"/>
              <w:right w:val="nil"/>
            </w:tcBorders>
            <w:shd w:val="clear" w:color="auto" w:fill="auto"/>
            <w:noWrap/>
            <w:vAlign w:val="bottom"/>
            <w:hideMark/>
          </w:tcPr>
          <w:p w14:paraId="5258A33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(2018) Early fingolimod treatment improves disease outcomes at 2 and 4 years in patients with relapsing-remitting multiple sclerosis. Multiple sclerosis journal Conference: 10th Pan-Asian Committee for Treatment and Research in Multiple Sclerosis Congress, PACTRIMS 2017. Vietnam. 24 (3): 394.</w:t>
            </w:r>
          </w:p>
        </w:tc>
      </w:tr>
      <w:tr w:rsidR="00406AEC" w:rsidRPr="00406AEC" w14:paraId="207B29AA" w14:textId="77777777" w:rsidTr="00406AEC">
        <w:trPr>
          <w:trHeight w:val="300"/>
        </w:trPr>
        <w:tc>
          <w:tcPr>
            <w:tcW w:w="9360" w:type="dxa"/>
            <w:tcBorders>
              <w:top w:val="nil"/>
              <w:left w:val="nil"/>
              <w:bottom w:val="nil"/>
              <w:right w:val="nil"/>
            </w:tcBorders>
            <w:shd w:val="clear" w:color="auto" w:fill="auto"/>
            <w:noWrap/>
            <w:vAlign w:val="bottom"/>
            <w:hideMark/>
          </w:tcPr>
          <w:p w14:paraId="2F0651C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Efficacy and Safety of 2 Doses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(10 and 20 mg o.d.): interim Analysis of a Phase II Extension Trial in Relapsing-remitting Multiple Sclerosis. Neurology Conference: 70th Annual Meeting of the American Academy of Neurology, AAN 90 (15 Supplement 1): </w:t>
            </w:r>
          </w:p>
        </w:tc>
      </w:tr>
      <w:tr w:rsidR="00406AEC" w:rsidRPr="00406AEC" w14:paraId="291E6803" w14:textId="77777777" w:rsidTr="00406AEC">
        <w:trPr>
          <w:trHeight w:val="300"/>
        </w:trPr>
        <w:tc>
          <w:tcPr>
            <w:tcW w:w="9360" w:type="dxa"/>
            <w:tcBorders>
              <w:top w:val="nil"/>
              <w:left w:val="nil"/>
              <w:bottom w:val="nil"/>
              <w:right w:val="nil"/>
            </w:tcBorders>
            <w:shd w:val="clear" w:color="auto" w:fill="auto"/>
            <w:noWrap/>
            <w:vAlign w:val="bottom"/>
            <w:hideMark/>
          </w:tcPr>
          <w:p w14:paraId="2FFA1C5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Efficacy of cladribine tablets in patients with highly active relapsing-remitting multiple sclerosis: analysis of pooled double-blind data from the clarity and onward studies. Journal of Neurology, Neurosurgery and Psychiatry Conference: Annual Scientific Meeting of the Australian and New Zealand Association of Neurologists, ANZAN 2018. Australia. 89 (6): e27-e28.</w:t>
            </w:r>
          </w:p>
        </w:tc>
      </w:tr>
      <w:tr w:rsidR="00406AEC" w:rsidRPr="00406AEC" w14:paraId="3900C225" w14:textId="77777777" w:rsidTr="00406AEC">
        <w:trPr>
          <w:trHeight w:val="300"/>
        </w:trPr>
        <w:tc>
          <w:tcPr>
            <w:tcW w:w="9360" w:type="dxa"/>
            <w:tcBorders>
              <w:top w:val="nil"/>
              <w:left w:val="nil"/>
              <w:bottom w:val="nil"/>
              <w:right w:val="nil"/>
            </w:tcBorders>
            <w:shd w:val="clear" w:color="auto" w:fill="auto"/>
            <w:noWrap/>
            <w:vAlign w:val="bottom"/>
            <w:hideMark/>
          </w:tcPr>
          <w:p w14:paraId="0E89013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Long-term efficacy and safety of teriflunomide: an analysis of pooled clinical trials. Multiple sclerosis journal 24 (2): 700-701.</w:t>
            </w:r>
          </w:p>
        </w:tc>
      </w:tr>
      <w:tr w:rsidR="00406AEC" w:rsidRPr="00406AEC" w14:paraId="3BF82EEC" w14:textId="77777777" w:rsidTr="00406AEC">
        <w:trPr>
          <w:trHeight w:val="300"/>
        </w:trPr>
        <w:tc>
          <w:tcPr>
            <w:tcW w:w="9360" w:type="dxa"/>
            <w:tcBorders>
              <w:top w:val="nil"/>
              <w:left w:val="nil"/>
              <w:bottom w:val="nil"/>
              <w:right w:val="nil"/>
            </w:tcBorders>
            <w:shd w:val="clear" w:color="auto" w:fill="auto"/>
            <w:noWrap/>
            <w:vAlign w:val="bottom"/>
            <w:hideMark/>
          </w:tcPr>
          <w:p w14:paraId="6D24E87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Pooled analysis of the efficacy of cladribine tablets 3.5 mg/kg in patients with EDSS &gt;=3.5 or. European journal of neurology Conference: 4th Congress of the European Academy of Neurology, EAN 2018. Portugal. 25 (Supplement 2): 329.</w:t>
            </w:r>
          </w:p>
        </w:tc>
      </w:tr>
      <w:tr w:rsidR="00406AEC" w:rsidRPr="00406AEC" w14:paraId="445B40D1" w14:textId="77777777" w:rsidTr="00406AEC">
        <w:trPr>
          <w:trHeight w:val="300"/>
        </w:trPr>
        <w:tc>
          <w:tcPr>
            <w:tcW w:w="9360" w:type="dxa"/>
            <w:tcBorders>
              <w:top w:val="nil"/>
              <w:left w:val="nil"/>
              <w:bottom w:val="nil"/>
              <w:right w:val="nil"/>
            </w:tcBorders>
            <w:shd w:val="clear" w:color="auto" w:fill="auto"/>
            <w:noWrap/>
            <w:vAlign w:val="bottom"/>
            <w:hideMark/>
          </w:tcPr>
          <w:p w14:paraId="3B2CE50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Efficacy and safety of dimethyl fumarate in Japanese MS patients who had the history of treatment with fingolimod: apex part 1+2 interim analysis. Multiple sclerosis journal 25 (3): 457-458.</w:t>
            </w:r>
          </w:p>
        </w:tc>
      </w:tr>
      <w:tr w:rsidR="00406AEC" w:rsidRPr="00406AEC" w14:paraId="53D6005B" w14:textId="77777777" w:rsidTr="00406AEC">
        <w:trPr>
          <w:trHeight w:val="300"/>
        </w:trPr>
        <w:tc>
          <w:tcPr>
            <w:tcW w:w="9360" w:type="dxa"/>
            <w:tcBorders>
              <w:top w:val="nil"/>
              <w:left w:val="nil"/>
              <w:bottom w:val="nil"/>
              <w:right w:val="nil"/>
            </w:tcBorders>
            <w:shd w:val="clear" w:color="auto" w:fill="auto"/>
            <w:noWrap/>
            <w:vAlign w:val="bottom"/>
            <w:hideMark/>
          </w:tcPr>
          <w:p w14:paraId="7BD274C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Long-term effect of teriflunomide in subgroups defined by prior treatment: pooled analysis of the phase 2 study and phase 3 TEMSO, TOWER, and </w:t>
            </w:r>
            <w:proofErr w:type="spellStart"/>
            <w:r w:rsidRPr="00406AEC">
              <w:rPr>
                <w:rFonts w:ascii="Times New Roman" w:eastAsia="Times New Roman" w:hAnsi="Times New Roman" w:cs="Times New Roman"/>
                <w:color w:val="000000"/>
                <w:szCs w:val="22"/>
              </w:rPr>
              <w:t>tenere</w:t>
            </w:r>
            <w:proofErr w:type="spellEnd"/>
            <w:r w:rsidRPr="00406AEC">
              <w:rPr>
                <w:rFonts w:ascii="Times New Roman" w:eastAsia="Times New Roman" w:hAnsi="Times New Roman" w:cs="Times New Roman"/>
                <w:color w:val="000000"/>
                <w:szCs w:val="22"/>
              </w:rPr>
              <w:t xml:space="preserve"> core and extension studies. Neurology 92 (15): </w:t>
            </w:r>
          </w:p>
        </w:tc>
      </w:tr>
      <w:tr w:rsidR="00406AEC" w:rsidRPr="00406AEC" w14:paraId="33D1CE81" w14:textId="77777777" w:rsidTr="00406AEC">
        <w:trPr>
          <w:trHeight w:val="300"/>
        </w:trPr>
        <w:tc>
          <w:tcPr>
            <w:tcW w:w="9360" w:type="dxa"/>
            <w:tcBorders>
              <w:top w:val="nil"/>
              <w:left w:val="nil"/>
              <w:bottom w:val="nil"/>
              <w:right w:val="nil"/>
            </w:tcBorders>
            <w:shd w:val="clear" w:color="auto" w:fill="auto"/>
            <w:noWrap/>
            <w:vAlign w:val="bottom"/>
            <w:hideMark/>
          </w:tcPr>
          <w:p w14:paraId="53D880C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Longer-term safety with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treatment in multiple sclerosis: pooled analysis from the bold and expand trial and their extensions. Multiple sclerosis journal 25 (3): 460-.</w:t>
            </w:r>
          </w:p>
        </w:tc>
      </w:tr>
      <w:tr w:rsidR="00406AEC" w:rsidRPr="00406AEC" w14:paraId="000DA6A4" w14:textId="77777777" w:rsidTr="00406AEC">
        <w:trPr>
          <w:trHeight w:val="300"/>
        </w:trPr>
        <w:tc>
          <w:tcPr>
            <w:tcW w:w="9360" w:type="dxa"/>
            <w:tcBorders>
              <w:top w:val="nil"/>
              <w:left w:val="nil"/>
              <w:bottom w:val="nil"/>
              <w:right w:val="nil"/>
            </w:tcBorders>
            <w:shd w:val="clear" w:color="auto" w:fill="auto"/>
            <w:noWrap/>
            <w:vAlign w:val="bottom"/>
            <w:hideMark/>
          </w:tcPr>
          <w:p w14:paraId="12EBEDC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Magnetic resonance imaging measures as prognostic parameters for physical and cognitive outcomes up to 8 years in patients with relapsing forms of multiple sclerosis. Neurology 92 (15): </w:t>
            </w:r>
          </w:p>
        </w:tc>
      </w:tr>
      <w:tr w:rsidR="00406AEC" w:rsidRPr="00406AEC" w14:paraId="779A1511" w14:textId="77777777" w:rsidTr="00406AEC">
        <w:trPr>
          <w:trHeight w:val="300"/>
        </w:trPr>
        <w:tc>
          <w:tcPr>
            <w:tcW w:w="9360" w:type="dxa"/>
            <w:tcBorders>
              <w:top w:val="nil"/>
              <w:left w:val="nil"/>
              <w:bottom w:val="nil"/>
              <w:right w:val="nil"/>
            </w:tcBorders>
            <w:shd w:val="clear" w:color="auto" w:fill="auto"/>
            <w:noWrap/>
            <w:vAlign w:val="bottom"/>
            <w:hideMark/>
          </w:tcPr>
          <w:p w14:paraId="26BE8FA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Safety of dimethyl fumarate in Japanese patients with relapse-remitting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for 72 weeks in the apex part 1 and part 2 studies. Multiple sclerosis journal 25 (3): 456-.</w:t>
            </w:r>
          </w:p>
        </w:tc>
      </w:tr>
      <w:tr w:rsidR="00406AEC" w:rsidRPr="00406AEC" w14:paraId="1377AED1" w14:textId="77777777" w:rsidTr="00406AEC">
        <w:trPr>
          <w:trHeight w:val="300"/>
        </w:trPr>
        <w:tc>
          <w:tcPr>
            <w:tcW w:w="9360" w:type="dxa"/>
            <w:tcBorders>
              <w:top w:val="nil"/>
              <w:left w:val="nil"/>
              <w:bottom w:val="nil"/>
              <w:right w:val="nil"/>
            </w:tcBorders>
            <w:shd w:val="clear" w:color="auto" w:fill="auto"/>
            <w:noWrap/>
            <w:vAlign w:val="bottom"/>
            <w:hideMark/>
          </w:tcPr>
          <w:p w14:paraId="6D27305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Efficacy and Safety of the Biosimilar Natalizumab PB006 in Comparison to Tysabri(R). https://clinicaltrialsgov/show/NCT04115488 </w:t>
            </w:r>
          </w:p>
        </w:tc>
      </w:tr>
      <w:tr w:rsidR="00406AEC" w:rsidRPr="00406AEC" w14:paraId="788DB85D" w14:textId="77777777" w:rsidTr="00406AEC">
        <w:trPr>
          <w:trHeight w:val="300"/>
        </w:trPr>
        <w:tc>
          <w:tcPr>
            <w:tcW w:w="9360" w:type="dxa"/>
            <w:tcBorders>
              <w:top w:val="nil"/>
              <w:left w:val="nil"/>
              <w:bottom w:val="nil"/>
              <w:right w:val="nil"/>
            </w:tcBorders>
            <w:shd w:val="clear" w:color="auto" w:fill="auto"/>
            <w:noWrap/>
            <w:vAlign w:val="bottom"/>
            <w:hideMark/>
          </w:tcPr>
          <w:p w14:paraId="717A369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Adams HP, Wagner S, Sobel DF, Slivka LS, Sipe JC et al. (1999) Hypointense and hyperintense lesions on magnetic resonance imaging in secondary-progressive MS patients. European Neurology 42 (1): 52-63.</w:t>
            </w:r>
          </w:p>
        </w:tc>
      </w:tr>
      <w:tr w:rsidR="00406AEC" w:rsidRPr="00406AEC" w14:paraId="02CF8F75" w14:textId="77777777" w:rsidTr="00406AEC">
        <w:trPr>
          <w:trHeight w:val="300"/>
        </w:trPr>
        <w:tc>
          <w:tcPr>
            <w:tcW w:w="9360" w:type="dxa"/>
            <w:tcBorders>
              <w:top w:val="nil"/>
              <w:left w:val="nil"/>
              <w:bottom w:val="nil"/>
              <w:right w:val="nil"/>
            </w:tcBorders>
            <w:shd w:val="clear" w:color="auto" w:fill="auto"/>
            <w:noWrap/>
            <w:vAlign w:val="bottom"/>
            <w:hideMark/>
          </w:tcPr>
          <w:p w14:paraId="6FE6C2E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Alexander J, Daudt DR, Davis MD,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Kolodny S (2017) Predictors of disability in relapsing-remitting multiple sclerosis (RRMS) During the glatiramer acetate </w:t>
            </w:r>
            <w:proofErr w:type="spellStart"/>
            <w:r w:rsidRPr="00406AEC">
              <w:rPr>
                <w:rFonts w:ascii="Times New Roman" w:eastAsia="Times New Roman" w:hAnsi="Times New Roman" w:cs="Times New Roman"/>
                <w:color w:val="000000"/>
                <w:szCs w:val="22"/>
              </w:rPr>
              <w:t>lowfrequency</w:t>
            </w:r>
            <w:proofErr w:type="spellEnd"/>
            <w:r w:rsidRPr="00406AEC">
              <w:rPr>
                <w:rFonts w:ascii="Times New Roman" w:eastAsia="Times New Roman" w:hAnsi="Times New Roman" w:cs="Times New Roman"/>
                <w:color w:val="000000"/>
                <w:szCs w:val="22"/>
              </w:rPr>
              <w:t xml:space="preserve"> administration (GALA) study. Neurology 88 (16): </w:t>
            </w:r>
          </w:p>
        </w:tc>
      </w:tr>
      <w:tr w:rsidR="00406AEC" w:rsidRPr="00406AEC" w14:paraId="1177C785" w14:textId="77777777" w:rsidTr="00406AEC">
        <w:trPr>
          <w:trHeight w:val="300"/>
        </w:trPr>
        <w:tc>
          <w:tcPr>
            <w:tcW w:w="9360" w:type="dxa"/>
            <w:tcBorders>
              <w:top w:val="nil"/>
              <w:left w:val="nil"/>
              <w:bottom w:val="nil"/>
              <w:right w:val="nil"/>
            </w:tcBorders>
            <w:shd w:val="clear" w:color="auto" w:fill="auto"/>
            <w:noWrap/>
            <w:vAlign w:val="bottom"/>
            <w:hideMark/>
          </w:tcPr>
          <w:p w14:paraId="6FBF1AE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Andersen O, Elovaara I, Farkkila M, Hansen HJ, Mellgren SI et al. </w:t>
            </w:r>
            <w:r w:rsidRPr="00406AEC">
              <w:rPr>
                <w:rFonts w:ascii="Times New Roman" w:eastAsia="Times New Roman" w:hAnsi="Times New Roman" w:cs="Times New Roman"/>
                <w:color w:val="000000"/>
                <w:szCs w:val="22"/>
              </w:rPr>
              <w:t xml:space="preserve">(2004)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 blind, placebo controlled, phase III study of weekly, low dose, subcutaneous interferon beta-1a in secondary progressive multiple sclerosis. Journal of Neurology, Neurosurgery and Psychiatry 75 (5): 706-710.</w:t>
            </w:r>
          </w:p>
        </w:tc>
      </w:tr>
      <w:tr w:rsidR="00406AEC" w:rsidRPr="00406AEC" w14:paraId="6E0FA054" w14:textId="77777777" w:rsidTr="00406AEC">
        <w:trPr>
          <w:trHeight w:val="300"/>
        </w:trPr>
        <w:tc>
          <w:tcPr>
            <w:tcW w:w="9360" w:type="dxa"/>
            <w:tcBorders>
              <w:top w:val="nil"/>
              <w:left w:val="nil"/>
              <w:bottom w:val="nil"/>
              <w:right w:val="nil"/>
            </w:tcBorders>
            <w:shd w:val="clear" w:color="auto" w:fill="auto"/>
            <w:noWrap/>
            <w:vAlign w:val="bottom"/>
            <w:hideMark/>
          </w:tcPr>
          <w:p w14:paraId="3B2DFB5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Anderson G, Meyer D, Herrman CE, Sheppard C, Murray R et al. (2010) Tolerability and safety of novel half milliliter formulation of glatiramer acetate for subcutaneous injection: An open-label, multicenter, randomized comparative study. Journal of Neurology 257 (11): 1917-1923.</w:t>
            </w:r>
          </w:p>
        </w:tc>
      </w:tr>
      <w:tr w:rsidR="00406AEC" w:rsidRPr="00406AEC" w14:paraId="0E373AFB" w14:textId="77777777" w:rsidTr="00406AEC">
        <w:trPr>
          <w:trHeight w:val="300"/>
        </w:trPr>
        <w:tc>
          <w:tcPr>
            <w:tcW w:w="9360" w:type="dxa"/>
            <w:tcBorders>
              <w:top w:val="nil"/>
              <w:left w:val="nil"/>
              <w:bottom w:val="nil"/>
              <w:right w:val="nil"/>
            </w:tcBorders>
            <w:shd w:val="clear" w:color="auto" w:fill="auto"/>
            <w:noWrap/>
            <w:vAlign w:val="bottom"/>
            <w:hideMark/>
          </w:tcPr>
          <w:p w14:paraId="6886960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Antel J, Montalban X, O'Connor P, De Vera A, Cremer M et al. Long-term (7-year) data from a phase 2 extension study of fingolimod in relapsing multiple sclerosis. Neurology 78 (1 Meeting Abstract): CONFERENCE START: 2012 Apr 2021 CONFERENCE END: 2012 Apr 2028.</w:t>
            </w:r>
          </w:p>
        </w:tc>
      </w:tr>
      <w:tr w:rsidR="00406AEC" w:rsidRPr="00406AEC" w14:paraId="29845EAE" w14:textId="77777777" w:rsidTr="00406AEC">
        <w:trPr>
          <w:trHeight w:val="300"/>
        </w:trPr>
        <w:tc>
          <w:tcPr>
            <w:tcW w:w="9360" w:type="dxa"/>
            <w:tcBorders>
              <w:top w:val="nil"/>
              <w:left w:val="nil"/>
              <w:bottom w:val="nil"/>
              <w:right w:val="nil"/>
            </w:tcBorders>
            <w:shd w:val="clear" w:color="auto" w:fill="auto"/>
            <w:noWrap/>
            <w:vAlign w:val="bottom"/>
            <w:hideMark/>
          </w:tcPr>
          <w:p w14:paraId="77DE62E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 Kappos L, Hauser S, Montalban X,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 et al. (2018) Brain MRI activity and atrophy measures in patients receiving continuous ocrelizumab or switching from interferon beta-1a to ocrelizumab therapy in the open-label extension period of the phase III trials of ocrelizumab in patients with relapsing multiple sclerosis. Neurology 90 (15): </w:t>
            </w:r>
          </w:p>
        </w:tc>
      </w:tr>
      <w:tr w:rsidR="00406AEC" w:rsidRPr="00406AEC" w14:paraId="31CC0162" w14:textId="77777777" w:rsidTr="00406AEC">
        <w:trPr>
          <w:trHeight w:val="300"/>
        </w:trPr>
        <w:tc>
          <w:tcPr>
            <w:tcW w:w="9360" w:type="dxa"/>
            <w:tcBorders>
              <w:top w:val="nil"/>
              <w:left w:val="nil"/>
              <w:bottom w:val="nil"/>
              <w:right w:val="nil"/>
            </w:tcBorders>
            <w:shd w:val="clear" w:color="auto" w:fill="auto"/>
            <w:noWrap/>
            <w:vAlign w:val="bottom"/>
            <w:hideMark/>
          </w:tcPr>
          <w:p w14:paraId="5631065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Arnold D, Shang S,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Fiore D (2016) Peginterferon beta-1a every 2 weeks increased achievement of NEDA over 4 years in the ADVANCE and ATTAIN studies in patients with RRMS.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22 610-611.</w:t>
            </w:r>
          </w:p>
        </w:tc>
      </w:tr>
      <w:tr w:rsidR="00406AEC" w:rsidRPr="00406AEC" w14:paraId="7B0E8061" w14:textId="77777777" w:rsidTr="00406AEC">
        <w:trPr>
          <w:trHeight w:val="300"/>
        </w:trPr>
        <w:tc>
          <w:tcPr>
            <w:tcW w:w="9360" w:type="dxa"/>
            <w:tcBorders>
              <w:top w:val="nil"/>
              <w:left w:val="nil"/>
              <w:bottom w:val="nil"/>
              <w:right w:val="nil"/>
            </w:tcBorders>
            <w:shd w:val="clear" w:color="auto" w:fill="auto"/>
            <w:noWrap/>
            <w:vAlign w:val="bottom"/>
            <w:hideMark/>
          </w:tcPr>
          <w:p w14:paraId="7A5DC9A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Arnold D, You X, Gasparotto D, Castrillo-Viguera C, Werneburg B et al. </w:t>
            </w:r>
            <w:r w:rsidRPr="00406AEC">
              <w:rPr>
                <w:rFonts w:ascii="Times New Roman" w:eastAsia="Times New Roman" w:hAnsi="Times New Roman" w:cs="Times New Roman"/>
                <w:color w:val="000000"/>
                <w:szCs w:val="22"/>
              </w:rPr>
              <w:t xml:space="preserve">(2016) T2 and Gd+ lesion conversion to chronic T1 black holes is correlated with worse outcomes in patients with RRMS in the ADVANCE study.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(194): </w:t>
            </w:r>
          </w:p>
        </w:tc>
      </w:tr>
      <w:tr w:rsidR="00406AEC" w:rsidRPr="00406AEC" w14:paraId="5EBB75C2" w14:textId="77777777" w:rsidTr="00406AEC">
        <w:trPr>
          <w:trHeight w:val="300"/>
        </w:trPr>
        <w:tc>
          <w:tcPr>
            <w:tcW w:w="9360" w:type="dxa"/>
            <w:tcBorders>
              <w:top w:val="nil"/>
              <w:left w:val="nil"/>
              <w:bottom w:val="nil"/>
              <w:right w:val="nil"/>
            </w:tcBorders>
            <w:shd w:val="clear" w:color="auto" w:fill="auto"/>
            <w:noWrap/>
            <w:vAlign w:val="bottom"/>
            <w:hideMark/>
          </w:tcPr>
          <w:p w14:paraId="766012B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Calabresi PA,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Liu S, You X et al. (2017) Peginterferon beta-1a improves MRI measures and increases the proportion of patients with no evidence of disease activity in relapsing-remitting multiple sclerosis: 2-year results from the ADVANCE randomized controlled trial. BMC Neurology 17 (1): </w:t>
            </w:r>
          </w:p>
        </w:tc>
      </w:tr>
      <w:tr w:rsidR="00406AEC" w:rsidRPr="00406AEC" w14:paraId="48D0D5B6" w14:textId="77777777" w:rsidTr="00406AEC">
        <w:trPr>
          <w:trHeight w:val="300"/>
        </w:trPr>
        <w:tc>
          <w:tcPr>
            <w:tcW w:w="9360" w:type="dxa"/>
            <w:tcBorders>
              <w:top w:val="nil"/>
              <w:left w:val="nil"/>
              <w:bottom w:val="nil"/>
              <w:right w:val="nil"/>
            </w:tcBorders>
            <w:shd w:val="clear" w:color="auto" w:fill="auto"/>
            <w:noWrap/>
            <w:vAlign w:val="bottom"/>
            <w:hideMark/>
          </w:tcPr>
          <w:p w14:paraId="58A18DF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Calabresi PA,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Sheikh SI,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et al. Effect of peginterferon beta-1a on MRI measures and freedom from measured disease activity: 2-year results from the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97.</w:t>
            </w:r>
          </w:p>
        </w:tc>
      </w:tr>
      <w:tr w:rsidR="00406AEC" w:rsidRPr="00406AEC" w14:paraId="32773E97" w14:textId="77777777" w:rsidTr="00406AEC">
        <w:trPr>
          <w:trHeight w:val="300"/>
        </w:trPr>
        <w:tc>
          <w:tcPr>
            <w:tcW w:w="9360" w:type="dxa"/>
            <w:tcBorders>
              <w:top w:val="nil"/>
              <w:left w:val="nil"/>
              <w:bottom w:val="nil"/>
              <w:right w:val="nil"/>
            </w:tcBorders>
            <w:shd w:val="clear" w:color="auto" w:fill="auto"/>
            <w:noWrap/>
            <w:vAlign w:val="bottom"/>
            <w:hideMark/>
          </w:tcPr>
          <w:p w14:paraId="0EA386C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Arnold DL, Campagnolo D, Panitch H, Bar-Or A, Dunn J et al. (2008) Glatiramer acetate after mitoxantrone induction improves MRI markers of lesion volume and permanent tissue injury in MS. Journal of Neurology 255 (10): 1473-1478.</w:t>
            </w:r>
          </w:p>
        </w:tc>
      </w:tr>
      <w:tr w:rsidR="00406AEC" w:rsidRPr="00406AEC" w14:paraId="234D9834" w14:textId="77777777" w:rsidTr="00406AEC">
        <w:trPr>
          <w:trHeight w:val="300"/>
        </w:trPr>
        <w:tc>
          <w:tcPr>
            <w:tcW w:w="9360" w:type="dxa"/>
            <w:tcBorders>
              <w:top w:val="nil"/>
              <w:left w:val="nil"/>
              <w:bottom w:val="nil"/>
              <w:right w:val="nil"/>
            </w:tcBorders>
            <w:shd w:val="clear" w:color="auto" w:fill="auto"/>
            <w:noWrap/>
            <w:vAlign w:val="bottom"/>
            <w:hideMark/>
          </w:tcPr>
          <w:p w14:paraId="23A8F1B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(2017) MRI outcomes at seven years in relapsing-remitting multiple sclerosis patients treated with delayed-release dimethyl fumarate in DEFINE, CONFIRM, and ENDORSE. Neurology 88 (16): </w:t>
            </w:r>
          </w:p>
        </w:tc>
      </w:tr>
      <w:tr w:rsidR="00406AEC" w:rsidRPr="00406AEC" w14:paraId="681CA685" w14:textId="77777777" w:rsidTr="00406AEC">
        <w:trPr>
          <w:trHeight w:val="300"/>
        </w:trPr>
        <w:tc>
          <w:tcPr>
            <w:tcW w:w="9360" w:type="dxa"/>
            <w:tcBorders>
              <w:top w:val="nil"/>
              <w:left w:val="nil"/>
              <w:bottom w:val="nil"/>
              <w:right w:val="nil"/>
            </w:tcBorders>
            <w:shd w:val="clear" w:color="auto" w:fill="auto"/>
            <w:noWrap/>
            <w:vAlign w:val="bottom"/>
            <w:hideMark/>
          </w:tcPr>
          <w:p w14:paraId="72D4C87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Six-year follow-up of delayed-release dimethyl fumarate in patients with relapsing-remitting multiple sclerosis: MRI outcomes from DEFINE, CONFIRM and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264-265.</w:t>
            </w:r>
          </w:p>
        </w:tc>
      </w:tr>
      <w:tr w:rsidR="00406AEC" w:rsidRPr="00406AEC" w14:paraId="186C0C82" w14:textId="77777777" w:rsidTr="00406AEC">
        <w:trPr>
          <w:trHeight w:val="300"/>
        </w:trPr>
        <w:tc>
          <w:tcPr>
            <w:tcW w:w="9360" w:type="dxa"/>
            <w:tcBorders>
              <w:top w:val="nil"/>
              <w:left w:val="nil"/>
              <w:bottom w:val="nil"/>
              <w:right w:val="nil"/>
            </w:tcBorders>
            <w:shd w:val="clear" w:color="auto" w:fill="auto"/>
            <w:noWrap/>
            <w:vAlign w:val="bottom"/>
            <w:hideMark/>
          </w:tcPr>
          <w:p w14:paraId="2E2D3C3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Shang S, Dong Q, </w:t>
            </w:r>
            <w:proofErr w:type="spellStart"/>
            <w:r w:rsidRPr="00406AEC">
              <w:rPr>
                <w:rFonts w:ascii="Times New Roman" w:eastAsia="Times New Roman" w:hAnsi="Times New Roman" w:cs="Times New Roman"/>
                <w:color w:val="000000"/>
                <w:szCs w:val="22"/>
              </w:rPr>
              <w:t>Meergans</w:t>
            </w:r>
            <w:proofErr w:type="spellEnd"/>
            <w:r w:rsidRPr="00406AEC">
              <w:rPr>
                <w:rFonts w:ascii="Times New Roman" w:eastAsia="Times New Roman" w:hAnsi="Times New Roman" w:cs="Times New Roman"/>
                <w:color w:val="000000"/>
                <w:szCs w:val="22"/>
              </w:rPr>
              <w:t xml:space="preserve"> M, Naylor ML (2018) Peginterferon beta-1a every 2 weeks increased achievement of no evidence of disease activity over 4 years in the ADVANCE and ATTAIN studies in patients with relapsing-remitting multiple sclerosis. Therapeutic Advances in Neurological Disorders 11 (no pagination): </w:t>
            </w:r>
          </w:p>
        </w:tc>
      </w:tr>
      <w:tr w:rsidR="00406AEC" w:rsidRPr="00406AEC" w14:paraId="24C51164" w14:textId="77777777" w:rsidTr="00406AEC">
        <w:trPr>
          <w:trHeight w:val="300"/>
        </w:trPr>
        <w:tc>
          <w:tcPr>
            <w:tcW w:w="9360" w:type="dxa"/>
            <w:tcBorders>
              <w:top w:val="nil"/>
              <w:left w:val="nil"/>
              <w:bottom w:val="nil"/>
              <w:right w:val="nil"/>
            </w:tcBorders>
            <w:shd w:val="clear" w:color="auto" w:fill="auto"/>
            <w:noWrap/>
            <w:vAlign w:val="bottom"/>
            <w:hideMark/>
          </w:tcPr>
          <w:p w14:paraId="04289AB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Ashtari</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Savoj</w:t>
            </w:r>
            <w:proofErr w:type="spellEnd"/>
            <w:r w:rsidRPr="00406AEC">
              <w:rPr>
                <w:rFonts w:ascii="Times New Roman" w:eastAsia="Times New Roman" w:hAnsi="Times New Roman" w:cs="Times New Roman"/>
                <w:color w:val="000000"/>
                <w:szCs w:val="22"/>
              </w:rPr>
              <w:t xml:space="preserve"> MR (2011) Effects of low dose Methotrexate on relapsing-remitting multiple sclerosis in comparison to Interferon beta-1alpha: A randomized controlled trial. Journal of Research in Medical Sciences 16 (4): 457-462.</w:t>
            </w:r>
          </w:p>
        </w:tc>
      </w:tr>
      <w:tr w:rsidR="00406AEC" w:rsidRPr="00406AEC" w14:paraId="1B7B9C83" w14:textId="77777777" w:rsidTr="00406AEC">
        <w:trPr>
          <w:trHeight w:val="300"/>
        </w:trPr>
        <w:tc>
          <w:tcPr>
            <w:tcW w:w="9360" w:type="dxa"/>
            <w:tcBorders>
              <w:top w:val="nil"/>
              <w:left w:val="nil"/>
              <w:bottom w:val="nil"/>
              <w:right w:val="nil"/>
            </w:tcBorders>
            <w:shd w:val="clear" w:color="auto" w:fill="auto"/>
            <w:noWrap/>
            <w:vAlign w:val="bottom"/>
            <w:hideMark/>
          </w:tcPr>
          <w:p w14:paraId="3738DCC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Baier ML, Cutter GR, Rudick RA, Miller D, Cohen JA et al. (2005) Low-contrast letter acuity testing captures visual dysfunction in patients with multiple sclerosis. Neurology 64 (6): 992-995.</w:t>
            </w:r>
          </w:p>
        </w:tc>
      </w:tr>
      <w:tr w:rsidR="00406AEC" w:rsidRPr="00406AEC" w14:paraId="7C947B9F" w14:textId="77777777" w:rsidTr="00406AEC">
        <w:trPr>
          <w:trHeight w:val="300"/>
        </w:trPr>
        <w:tc>
          <w:tcPr>
            <w:tcW w:w="9360" w:type="dxa"/>
            <w:tcBorders>
              <w:top w:val="nil"/>
              <w:left w:val="nil"/>
              <w:bottom w:val="nil"/>
              <w:right w:val="nil"/>
            </w:tcBorders>
            <w:shd w:val="clear" w:color="auto" w:fill="auto"/>
            <w:noWrap/>
            <w:vAlign w:val="bottom"/>
            <w:hideMark/>
          </w:tcPr>
          <w:p w14:paraId="7030009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Bandari D, Wynn D, Miller T, Singer B, Wray S et al. (2013) Rebif(R) Quality of Life (</w:t>
            </w:r>
            <w:proofErr w:type="spellStart"/>
            <w:r w:rsidRPr="00406AEC">
              <w:rPr>
                <w:rFonts w:ascii="Times New Roman" w:eastAsia="Times New Roman" w:hAnsi="Times New Roman" w:cs="Times New Roman"/>
                <w:color w:val="000000"/>
                <w:szCs w:val="22"/>
              </w:rPr>
              <w:t>RebiQoL</w:t>
            </w:r>
            <w:proofErr w:type="spellEnd"/>
            <w:r w:rsidRPr="00406AEC">
              <w:rPr>
                <w:rFonts w:ascii="Times New Roman" w:eastAsia="Times New Roman" w:hAnsi="Times New Roman" w:cs="Times New Roman"/>
                <w:color w:val="000000"/>
                <w:szCs w:val="22"/>
              </w:rPr>
              <w:t xml:space="preserve">): a randomized, multicenter,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study evaluating quality-of-life measures in patients receiving the serum-free formulation of subcutaneous interferon beta-1a for the treatment of relapsing forms of multiple sclerosis. Multiple sclerosis and related disorders 2 (1): 45-56.</w:t>
            </w:r>
          </w:p>
        </w:tc>
      </w:tr>
      <w:tr w:rsidR="00406AEC" w:rsidRPr="00406AEC" w14:paraId="212BA7CB" w14:textId="77777777" w:rsidTr="00406AEC">
        <w:trPr>
          <w:trHeight w:val="300"/>
        </w:trPr>
        <w:tc>
          <w:tcPr>
            <w:tcW w:w="9360" w:type="dxa"/>
            <w:tcBorders>
              <w:top w:val="nil"/>
              <w:left w:val="nil"/>
              <w:bottom w:val="nil"/>
              <w:right w:val="nil"/>
            </w:tcBorders>
            <w:shd w:val="clear" w:color="auto" w:fill="auto"/>
            <w:noWrap/>
            <w:vAlign w:val="bottom"/>
            <w:hideMark/>
          </w:tcPr>
          <w:p w14:paraId="675774E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Bandari D, Wynn D, Miller T, Singer B, Wray S et al. (2013) Rebif&lt;sup&gt;&lt;/sup&gt; Quality of Life (</w:t>
            </w:r>
            <w:proofErr w:type="spellStart"/>
            <w:r w:rsidRPr="00406AEC">
              <w:rPr>
                <w:rFonts w:ascii="Times New Roman" w:eastAsia="Times New Roman" w:hAnsi="Times New Roman" w:cs="Times New Roman"/>
                <w:color w:val="000000"/>
                <w:szCs w:val="22"/>
              </w:rPr>
              <w:t>RebiQoL</w:t>
            </w:r>
            <w:proofErr w:type="spellEnd"/>
            <w:r w:rsidRPr="00406AEC">
              <w:rPr>
                <w:rFonts w:ascii="Times New Roman" w:eastAsia="Times New Roman" w:hAnsi="Times New Roman" w:cs="Times New Roman"/>
                <w:color w:val="000000"/>
                <w:szCs w:val="22"/>
              </w:rPr>
              <w:t xml:space="preserve">): A randomized, multicenter,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study evaluating quality-of-life measures in patients receiving the serum-free formulation of subcutaneous interferon beta-1a for the treatment of relapsing forms of multiple sclerosis. Multiple Sclerosis and Related Disorders 2 (1): 45-56.</w:t>
            </w:r>
          </w:p>
        </w:tc>
      </w:tr>
      <w:tr w:rsidR="00406AEC" w:rsidRPr="00406AEC" w14:paraId="41044632" w14:textId="77777777" w:rsidTr="00406AEC">
        <w:trPr>
          <w:trHeight w:val="300"/>
        </w:trPr>
        <w:tc>
          <w:tcPr>
            <w:tcW w:w="9360" w:type="dxa"/>
            <w:tcBorders>
              <w:top w:val="nil"/>
              <w:left w:val="nil"/>
              <w:bottom w:val="nil"/>
              <w:right w:val="nil"/>
            </w:tcBorders>
            <w:shd w:val="clear" w:color="auto" w:fill="auto"/>
            <w:noWrap/>
            <w:vAlign w:val="bottom"/>
            <w:hideMark/>
          </w:tcPr>
          <w:p w14:paraId="22D0D83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Bar-Or A, Hutchinson M, Gold R, Fox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(2015) Long-term efficacy of delayed-release dimethyl fumarate for relapsing-remitting multiple sclerosis according to prior therapy: Integrated analysis of the define, confirm, and endorse studies. Neurology 84 (18): </w:t>
            </w:r>
          </w:p>
        </w:tc>
      </w:tr>
      <w:tr w:rsidR="00406AEC" w:rsidRPr="00406AEC" w14:paraId="63F74CA1" w14:textId="77777777" w:rsidTr="00406AEC">
        <w:trPr>
          <w:trHeight w:val="300"/>
        </w:trPr>
        <w:tc>
          <w:tcPr>
            <w:tcW w:w="9360" w:type="dxa"/>
            <w:tcBorders>
              <w:top w:val="nil"/>
              <w:left w:val="nil"/>
              <w:bottom w:val="nil"/>
              <w:right w:val="nil"/>
            </w:tcBorders>
            <w:shd w:val="clear" w:color="auto" w:fill="auto"/>
            <w:noWrap/>
            <w:vAlign w:val="bottom"/>
            <w:hideMark/>
          </w:tcPr>
          <w:p w14:paraId="5C05C22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Barbero P, Verdun E, Bergui M, Pipieri A, Clerico M et al. </w:t>
            </w:r>
            <w:r w:rsidRPr="00406AEC">
              <w:rPr>
                <w:rFonts w:ascii="Times New Roman" w:eastAsia="Times New Roman" w:hAnsi="Times New Roman" w:cs="Times New Roman"/>
                <w:color w:val="000000"/>
                <w:szCs w:val="22"/>
              </w:rPr>
              <w:t>(2004) High-dose, frequently administered interferon beta therapy for relapsing-remitting multiple sclerosis must be maintained over the long term: the interferon beta dose-reduction study. Journal of the Neurological Sciences 222 (1-2): 13-19.</w:t>
            </w:r>
          </w:p>
        </w:tc>
      </w:tr>
      <w:tr w:rsidR="00406AEC" w:rsidRPr="00406AEC" w14:paraId="3B99E747" w14:textId="77777777" w:rsidTr="00406AEC">
        <w:trPr>
          <w:trHeight w:val="300"/>
        </w:trPr>
        <w:tc>
          <w:tcPr>
            <w:tcW w:w="9360" w:type="dxa"/>
            <w:tcBorders>
              <w:top w:val="nil"/>
              <w:left w:val="nil"/>
              <w:bottom w:val="nil"/>
              <w:right w:val="nil"/>
            </w:tcBorders>
            <w:shd w:val="clear" w:color="auto" w:fill="auto"/>
            <w:noWrap/>
            <w:vAlign w:val="bottom"/>
            <w:hideMark/>
          </w:tcPr>
          <w:p w14:paraId="2143A83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Barkhof F, Belova A, Selmaj K, Wolf C, Van Den Tweel ERW et al. </w:t>
            </w:r>
            <w:r w:rsidRPr="00406AEC">
              <w:rPr>
                <w:rFonts w:ascii="Times New Roman" w:eastAsia="Times New Roman" w:hAnsi="Times New Roman" w:cs="Times New Roman"/>
                <w:color w:val="000000"/>
                <w:szCs w:val="22"/>
              </w:rPr>
              <w:t>(2015) Switching from branded to generic glatiramer acetate: two-year MRI data from the GATE trial demonstrates continuous efficacy.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231-232.</w:t>
            </w:r>
          </w:p>
        </w:tc>
      </w:tr>
      <w:tr w:rsidR="00406AEC" w:rsidRPr="00406AEC" w14:paraId="356BABB4" w14:textId="77777777" w:rsidTr="00406AEC">
        <w:trPr>
          <w:trHeight w:val="300"/>
        </w:trPr>
        <w:tc>
          <w:tcPr>
            <w:tcW w:w="9360" w:type="dxa"/>
            <w:tcBorders>
              <w:top w:val="nil"/>
              <w:left w:val="nil"/>
              <w:bottom w:val="nil"/>
              <w:right w:val="nil"/>
            </w:tcBorders>
            <w:shd w:val="clear" w:color="auto" w:fill="auto"/>
            <w:noWrap/>
            <w:vAlign w:val="bottom"/>
            <w:hideMark/>
          </w:tcPr>
          <w:p w14:paraId="1A4A74B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Bayas A, Schuh K, Baier M, </w:t>
            </w:r>
            <w:proofErr w:type="spellStart"/>
            <w:r w:rsidRPr="00406AEC">
              <w:rPr>
                <w:rFonts w:ascii="Times New Roman" w:eastAsia="Times New Roman" w:hAnsi="Times New Roman" w:cs="Times New Roman"/>
                <w:color w:val="000000"/>
                <w:szCs w:val="22"/>
              </w:rPr>
              <w:t>Vormfelde</w:t>
            </w:r>
            <w:proofErr w:type="spellEnd"/>
            <w:r w:rsidRPr="00406AEC">
              <w:rPr>
                <w:rFonts w:ascii="Times New Roman" w:eastAsia="Times New Roman" w:hAnsi="Times New Roman" w:cs="Times New Roman"/>
                <w:color w:val="000000"/>
                <w:szCs w:val="22"/>
              </w:rPr>
              <w:t xml:space="preserve"> SV, </w:t>
            </w:r>
            <w:proofErr w:type="spellStart"/>
            <w:r w:rsidRPr="00406AEC">
              <w:rPr>
                <w:rFonts w:ascii="Times New Roman" w:eastAsia="Times New Roman" w:hAnsi="Times New Roman" w:cs="Times New Roman"/>
                <w:color w:val="000000"/>
                <w:szCs w:val="22"/>
              </w:rPr>
              <w:t>Koppai</w:t>
            </w:r>
            <w:proofErr w:type="spellEnd"/>
            <w:r w:rsidRPr="00406AEC">
              <w:rPr>
                <w:rFonts w:ascii="Times New Roman" w:eastAsia="Times New Roman" w:hAnsi="Times New Roman" w:cs="Times New Roman"/>
                <w:color w:val="000000"/>
                <w:szCs w:val="22"/>
              </w:rPr>
              <w:t xml:space="preserve">-Reiner J et al. (2016) Combination treatment of fingolimod with antidepressants in relapsing-remitting multiple sclerosis patients with depression: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open-label study - REGAIN. Therapeutic Advances in Neurological Disorders 9 (5): 378-388.</w:t>
            </w:r>
          </w:p>
        </w:tc>
      </w:tr>
      <w:tr w:rsidR="00406AEC" w:rsidRPr="00406AEC" w14:paraId="63E44768" w14:textId="77777777" w:rsidTr="00406AEC">
        <w:trPr>
          <w:trHeight w:val="300"/>
        </w:trPr>
        <w:tc>
          <w:tcPr>
            <w:tcW w:w="9360" w:type="dxa"/>
            <w:tcBorders>
              <w:top w:val="nil"/>
              <w:left w:val="nil"/>
              <w:bottom w:val="nil"/>
              <w:right w:val="nil"/>
            </w:tcBorders>
            <w:shd w:val="clear" w:color="auto" w:fill="auto"/>
            <w:noWrap/>
            <w:vAlign w:val="bottom"/>
            <w:hideMark/>
          </w:tcPr>
          <w:p w14:paraId="7EA6E67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Benedict RHB, Arnold DL, Cree BAC, Meng X, Schofield L et al. (2017) Improved processing speed in multiple sclerosis during fingolimod therapy: oral Symbol Digit Modalities Test response in PREFERMS. Neurology 88 (16): </w:t>
            </w:r>
          </w:p>
        </w:tc>
      </w:tr>
      <w:tr w:rsidR="00406AEC" w:rsidRPr="00406AEC" w14:paraId="2184BECA" w14:textId="77777777" w:rsidTr="00406AEC">
        <w:trPr>
          <w:trHeight w:val="300"/>
        </w:trPr>
        <w:tc>
          <w:tcPr>
            <w:tcW w:w="9360" w:type="dxa"/>
            <w:tcBorders>
              <w:top w:val="nil"/>
              <w:left w:val="nil"/>
              <w:bottom w:val="nil"/>
              <w:right w:val="nil"/>
            </w:tcBorders>
            <w:shd w:val="clear" w:color="auto" w:fill="auto"/>
            <w:noWrap/>
            <w:vAlign w:val="bottom"/>
            <w:hideMark/>
          </w:tcPr>
          <w:p w14:paraId="47945B7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Bermel RA, </w:t>
            </w:r>
            <w:proofErr w:type="spellStart"/>
            <w:r w:rsidRPr="00406AEC">
              <w:rPr>
                <w:rFonts w:ascii="Times New Roman" w:eastAsia="Times New Roman" w:hAnsi="Times New Roman" w:cs="Times New Roman"/>
                <w:color w:val="000000"/>
                <w:szCs w:val="22"/>
              </w:rPr>
              <w:t>Hashmonay</w:t>
            </w:r>
            <w:proofErr w:type="spellEnd"/>
            <w:r w:rsidRPr="00406AEC">
              <w:rPr>
                <w:rFonts w:ascii="Times New Roman" w:eastAsia="Times New Roman" w:hAnsi="Times New Roman" w:cs="Times New Roman"/>
                <w:color w:val="000000"/>
                <w:szCs w:val="22"/>
              </w:rPr>
              <w:t xml:space="preserve"> R, Meng X, Randhawa S, Von Rosenstiel P et al. (2015) Fingolimod first-dose effects in patients with relapsing multiple sclerosis concomitantly receiving selective serotonin-reuptake inhibitors. Multiple Sclerosis and Related Disorders 4 (3): 273-280.</w:t>
            </w:r>
          </w:p>
        </w:tc>
      </w:tr>
      <w:tr w:rsidR="00406AEC" w:rsidRPr="00406AEC" w14:paraId="737CD184" w14:textId="77777777" w:rsidTr="00406AEC">
        <w:trPr>
          <w:trHeight w:val="300"/>
        </w:trPr>
        <w:tc>
          <w:tcPr>
            <w:tcW w:w="9360" w:type="dxa"/>
            <w:tcBorders>
              <w:top w:val="nil"/>
              <w:left w:val="nil"/>
              <w:bottom w:val="nil"/>
              <w:right w:val="nil"/>
            </w:tcBorders>
            <w:shd w:val="clear" w:color="auto" w:fill="auto"/>
            <w:noWrap/>
            <w:vAlign w:val="bottom"/>
            <w:hideMark/>
          </w:tcPr>
          <w:p w14:paraId="7C9822D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Boiko AN, </w:t>
            </w:r>
            <w:proofErr w:type="spellStart"/>
            <w:r w:rsidRPr="00406AEC">
              <w:rPr>
                <w:rFonts w:ascii="Times New Roman" w:eastAsia="Times New Roman" w:hAnsi="Times New Roman" w:cs="Times New Roman"/>
                <w:color w:val="000000"/>
                <w:szCs w:val="22"/>
              </w:rPr>
              <w:t>Bosenko</w:t>
            </w:r>
            <w:proofErr w:type="spellEnd"/>
            <w:r w:rsidRPr="00406AEC">
              <w:rPr>
                <w:rFonts w:ascii="Times New Roman" w:eastAsia="Times New Roman" w:hAnsi="Times New Roman" w:cs="Times New Roman"/>
                <w:color w:val="000000"/>
                <w:szCs w:val="22"/>
              </w:rPr>
              <w:t xml:space="preserve"> LP, </w:t>
            </w:r>
            <w:proofErr w:type="spellStart"/>
            <w:r w:rsidRPr="00406AEC">
              <w:rPr>
                <w:rFonts w:ascii="Times New Roman" w:eastAsia="Times New Roman" w:hAnsi="Times New Roman" w:cs="Times New Roman"/>
                <w:color w:val="000000"/>
                <w:szCs w:val="22"/>
              </w:rPr>
              <w:t>Vasilovskii</w:t>
            </w:r>
            <w:proofErr w:type="spellEnd"/>
            <w:r w:rsidRPr="00406AEC">
              <w:rPr>
                <w:rFonts w:ascii="Times New Roman" w:eastAsia="Times New Roman" w:hAnsi="Times New Roman" w:cs="Times New Roman"/>
                <w:color w:val="000000"/>
                <w:szCs w:val="22"/>
              </w:rPr>
              <w:t xml:space="preserve"> VV, Volkova LI, Zakharova MN et al. (2018) A Comparative Placebo-Controlled Clinical Trial of the Efficacy and Safety of Interferon beta-1a Formulations for S.C. Administration in Patients with Remitting Multiple Sclerosis: First-Year Results. Neuroscience and Behavioral Physiology 48 (7): 883-889.</w:t>
            </w:r>
          </w:p>
        </w:tc>
      </w:tr>
      <w:tr w:rsidR="00406AEC" w:rsidRPr="00406AEC" w14:paraId="12B1370B" w14:textId="77777777" w:rsidTr="00406AEC">
        <w:trPr>
          <w:trHeight w:val="300"/>
        </w:trPr>
        <w:tc>
          <w:tcPr>
            <w:tcW w:w="9360" w:type="dxa"/>
            <w:tcBorders>
              <w:top w:val="nil"/>
              <w:left w:val="nil"/>
              <w:bottom w:val="nil"/>
              <w:right w:val="nil"/>
            </w:tcBorders>
            <w:shd w:val="clear" w:color="auto" w:fill="auto"/>
            <w:noWrap/>
            <w:vAlign w:val="bottom"/>
            <w:hideMark/>
          </w:tcPr>
          <w:p w14:paraId="167E9F4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Boyko A, Kappos L, Rose 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Arnold DL et al. (2015) Daclizumab HYP reduces total disability burden of patients with multiple sclerosis: Results from an exploratory area under the curve analysis. Journal of the Neurological Sciences 357 (31): </w:t>
            </w:r>
          </w:p>
        </w:tc>
      </w:tr>
      <w:tr w:rsidR="00406AEC" w:rsidRPr="00406AEC" w14:paraId="1F60F411" w14:textId="77777777" w:rsidTr="00406AEC">
        <w:trPr>
          <w:trHeight w:val="300"/>
        </w:trPr>
        <w:tc>
          <w:tcPr>
            <w:tcW w:w="9360" w:type="dxa"/>
            <w:tcBorders>
              <w:top w:val="nil"/>
              <w:left w:val="nil"/>
              <w:bottom w:val="nil"/>
              <w:right w:val="nil"/>
            </w:tcBorders>
            <w:shd w:val="clear" w:color="auto" w:fill="auto"/>
            <w:noWrap/>
            <w:vAlign w:val="bottom"/>
            <w:hideMark/>
          </w:tcPr>
          <w:p w14:paraId="3399691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Boyko A, Volkova L, Zakharova M, </w:t>
            </w:r>
            <w:proofErr w:type="spellStart"/>
            <w:r w:rsidRPr="00406AEC">
              <w:rPr>
                <w:rFonts w:ascii="Times New Roman" w:eastAsia="Times New Roman" w:hAnsi="Times New Roman" w:cs="Times New Roman"/>
                <w:color w:val="000000"/>
                <w:szCs w:val="22"/>
              </w:rPr>
              <w:t>Khabirov</w:t>
            </w:r>
            <w:proofErr w:type="spellEnd"/>
            <w:r w:rsidRPr="00406AEC">
              <w:rPr>
                <w:rFonts w:ascii="Times New Roman" w:eastAsia="Times New Roman" w:hAnsi="Times New Roman" w:cs="Times New Roman"/>
                <w:color w:val="000000"/>
                <w:szCs w:val="22"/>
              </w:rPr>
              <w:t xml:space="preserve"> F, Kotov S et al. (2017) The efficacy and safety of the biosimilar interferon beta-1a </w:t>
            </w:r>
            <w:proofErr w:type="spellStart"/>
            <w:r w:rsidRPr="00406AEC">
              <w:rPr>
                <w:rFonts w:ascii="Times New Roman" w:eastAsia="Times New Roman" w:hAnsi="Times New Roman" w:cs="Times New Roman"/>
                <w:color w:val="000000"/>
                <w:szCs w:val="22"/>
              </w:rPr>
              <w:t>Teberif</w:t>
            </w:r>
            <w:proofErr w:type="spellEnd"/>
            <w:r w:rsidRPr="00406AEC">
              <w:rPr>
                <w:rFonts w:ascii="Times New Roman" w:eastAsia="Times New Roman" w:hAnsi="Times New Roman" w:cs="Times New Roman"/>
                <w:color w:val="000000"/>
                <w:szCs w:val="22"/>
              </w:rPr>
              <w:t>(R) in patients with relapsing-remitting multiple sclerosis: data from a comparative international multicenter double-blind placebo-controlled randomized phase III study. Multiple sclerosis journal 23 (3): 863-864.</w:t>
            </w:r>
          </w:p>
        </w:tc>
      </w:tr>
      <w:tr w:rsidR="00406AEC" w:rsidRPr="00406AEC" w14:paraId="78DF91B9" w14:textId="77777777" w:rsidTr="00406AEC">
        <w:trPr>
          <w:trHeight w:val="300"/>
        </w:trPr>
        <w:tc>
          <w:tcPr>
            <w:tcW w:w="9360" w:type="dxa"/>
            <w:tcBorders>
              <w:top w:val="nil"/>
              <w:left w:val="nil"/>
              <w:bottom w:val="nil"/>
              <w:right w:val="nil"/>
            </w:tcBorders>
            <w:shd w:val="clear" w:color="auto" w:fill="auto"/>
            <w:noWrap/>
            <w:vAlign w:val="bottom"/>
            <w:hideMark/>
          </w:tcPr>
          <w:p w14:paraId="657FF4C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it-IT"/>
              </w:rPr>
              <w:t xml:space="preserve">Brescia Morra V, Alfano B, Lanzillo R, Quarantelli M, Comerci M et al. </w:t>
            </w:r>
            <w:r w:rsidRPr="00406AEC">
              <w:rPr>
                <w:rFonts w:ascii="Times New Roman" w:eastAsia="Times New Roman" w:hAnsi="Times New Roman" w:cs="Times New Roman"/>
                <w:color w:val="000000"/>
                <w:szCs w:val="22"/>
              </w:rPr>
              <w:t xml:space="preserve">Efficacy, </w:t>
            </w:r>
            <w:proofErr w:type="gramStart"/>
            <w:r w:rsidRPr="00406AEC">
              <w:rPr>
                <w:rFonts w:ascii="Times New Roman" w:eastAsia="Times New Roman" w:hAnsi="Times New Roman" w:cs="Times New Roman"/>
                <w:color w:val="000000"/>
                <w:szCs w:val="22"/>
              </w:rPr>
              <w:t>safety</w:t>
            </w:r>
            <w:proofErr w:type="gramEnd"/>
            <w:r w:rsidRPr="00406AEC">
              <w:rPr>
                <w:rFonts w:ascii="Times New Roman" w:eastAsia="Times New Roman" w:hAnsi="Times New Roman" w:cs="Times New Roman"/>
                <w:color w:val="000000"/>
                <w:szCs w:val="22"/>
              </w:rPr>
              <w:t xml:space="preserve"> and tolerability of Atorvastatin in patients with Relapsing-remitting multiple sclerosis in </w:t>
            </w:r>
            <w:proofErr w:type="spellStart"/>
            <w:r w:rsidRPr="00406AEC">
              <w:rPr>
                <w:rFonts w:ascii="Times New Roman" w:eastAsia="Times New Roman" w:hAnsi="Times New Roman" w:cs="Times New Roman"/>
                <w:color w:val="000000"/>
                <w:szCs w:val="22"/>
              </w:rPr>
              <w:t>treAtment</w:t>
            </w:r>
            <w:proofErr w:type="spellEnd"/>
            <w:r w:rsidRPr="00406AEC">
              <w:rPr>
                <w:rFonts w:ascii="Times New Roman" w:eastAsia="Times New Roman" w:hAnsi="Times New Roman" w:cs="Times New Roman"/>
                <w:color w:val="000000"/>
                <w:szCs w:val="22"/>
              </w:rPr>
              <w:t xml:space="preserve"> with </w:t>
            </w:r>
            <w:proofErr w:type="spellStart"/>
            <w:r w:rsidRPr="00406AEC">
              <w:rPr>
                <w:rFonts w:ascii="Times New Roman" w:eastAsia="Times New Roman" w:hAnsi="Times New Roman" w:cs="Times New Roman"/>
                <w:color w:val="000000"/>
                <w:szCs w:val="22"/>
              </w:rPr>
              <w:t>INterferoN</w:t>
            </w:r>
            <w:proofErr w:type="spellEnd"/>
            <w:r w:rsidRPr="00406AEC">
              <w:rPr>
                <w:rFonts w:ascii="Times New Roman" w:eastAsia="Times New Roman" w:hAnsi="Times New Roman" w:cs="Times New Roman"/>
                <w:color w:val="000000"/>
                <w:szCs w:val="22"/>
              </w:rPr>
              <w:t xml:space="preserve">-beta (ARIANNA):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parallel-group-study.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197.</w:t>
            </w:r>
          </w:p>
        </w:tc>
      </w:tr>
      <w:tr w:rsidR="00406AEC" w:rsidRPr="00406AEC" w14:paraId="256FE472" w14:textId="77777777" w:rsidTr="00406AEC">
        <w:trPr>
          <w:trHeight w:val="300"/>
        </w:trPr>
        <w:tc>
          <w:tcPr>
            <w:tcW w:w="9360" w:type="dxa"/>
            <w:tcBorders>
              <w:top w:val="nil"/>
              <w:left w:val="nil"/>
              <w:bottom w:val="nil"/>
              <w:right w:val="nil"/>
            </w:tcBorders>
            <w:shd w:val="clear" w:color="auto" w:fill="auto"/>
            <w:noWrap/>
            <w:vAlign w:val="bottom"/>
            <w:hideMark/>
          </w:tcPr>
          <w:p w14:paraId="33E64EF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Calabresi P, Liu S, </w:t>
            </w:r>
            <w:proofErr w:type="spellStart"/>
            <w:r w:rsidRPr="00406AEC">
              <w:rPr>
                <w:rFonts w:ascii="Times New Roman" w:eastAsia="Times New Roman" w:hAnsi="Times New Roman" w:cs="Times New Roman"/>
                <w:color w:val="000000"/>
                <w:szCs w:val="22"/>
              </w:rPr>
              <w:t>Seddighzadeh</w:t>
            </w:r>
            <w:proofErr w:type="spellEnd"/>
            <w:r w:rsidRPr="00406AEC">
              <w:rPr>
                <w:rFonts w:ascii="Times New Roman" w:eastAsia="Times New Roman" w:hAnsi="Times New Roman" w:cs="Times New Roman"/>
                <w:color w:val="000000"/>
                <w:szCs w:val="22"/>
              </w:rPr>
              <w:t xml:space="preserve"> A, Sperling B, Hung S et al. Safety, </w:t>
            </w:r>
            <w:proofErr w:type="gramStart"/>
            <w:r w:rsidRPr="00406AEC">
              <w:rPr>
                <w:rFonts w:ascii="Times New Roman" w:eastAsia="Times New Roman" w:hAnsi="Times New Roman" w:cs="Times New Roman"/>
                <w:color w:val="000000"/>
                <w:szCs w:val="22"/>
              </w:rPr>
              <w:t>tolerability</w:t>
            </w:r>
            <w:proofErr w:type="gramEnd"/>
            <w:r w:rsidRPr="00406AEC">
              <w:rPr>
                <w:rFonts w:ascii="Times New Roman" w:eastAsia="Times New Roman" w:hAnsi="Times New Roman" w:cs="Times New Roman"/>
                <w:color w:val="000000"/>
                <w:szCs w:val="22"/>
              </w:rPr>
              <w:t xml:space="preserve"> and patient evaluation of peginterferon beta-1a administered via a single-use autoinjector in relapsing multiple sclerosis: Data from the phase 3 attain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027907F8" w14:textId="77777777" w:rsidTr="00406AEC">
        <w:trPr>
          <w:trHeight w:val="300"/>
        </w:trPr>
        <w:tc>
          <w:tcPr>
            <w:tcW w:w="9360" w:type="dxa"/>
            <w:tcBorders>
              <w:top w:val="nil"/>
              <w:left w:val="nil"/>
              <w:bottom w:val="nil"/>
              <w:right w:val="nil"/>
            </w:tcBorders>
            <w:shd w:val="clear" w:color="auto" w:fill="auto"/>
            <w:noWrap/>
            <w:vAlign w:val="bottom"/>
            <w:hideMark/>
          </w:tcPr>
          <w:p w14:paraId="509BC24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Calabresi PA,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Arnold DL, Balcer L, Boyko A et al. Clinical efficacy of peginterferon beta-1a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2-year data from the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42-43.</w:t>
            </w:r>
          </w:p>
        </w:tc>
      </w:tr>
      <w:tr w:rsidR="00406AEC" w:rsidRPr="00406AEC" w14:paraId="6975C13C" w14:textId="77777777" w:rsidTr="00406AEC">
        <w:trPr>
          <w:trHeight w:val="300"/>
        </w:trPr>
        <w:tc>
          <w:tcPr>
            <w:tcW w:w="9360" w:type="dxa"/>
            <w:tcBorders>
              <w:top w:val="nil"/>
              <w:left w:val="nil"/>
              <w:bottom w:val="nil"/>
              <w:right w:val="nil"/>
            </w:tcBorders>
            <w:shd w:val="clear" w:color="auto" w:fill="auto"/>
            <w:noWrap/>
            <w:vAlign w:val="bottom"/>
            <w:hideMark/>
          </w:tcPr>
          <w:p w14:paraId="7833775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Calkwood</w:t>
            </w:r>
            <w:proofErr w:type="spellEnd"/>
            <w:r w:rsidRPr="00406AEC">
              <w:rPr>
                <w:rFonts w:ascii="Times New Roman" w:eastAsia="Times New Roman" w:hAnsi="Times New Roman" w:cs="Times New Roman"/>
                <w:color w:val="000000"/>
                <w:szCs w:val="22"/>
              </w:rPr>
              <w:t xml:space="preserve"> J, Cree B, Crayton H, Kantor D, </w:t>
            </w:r>
            <w:proofErr w:type="spellStart"/>
            <w:r w:rsidRPr="00406AEC">
              <w:rPr>
                <w:rFonts w:ascii="Times New Roman" w:eastAsia="Times New Roman" w:hAnsi="Times New Roman" w:cs="Times New Roman"/>
                <w:color w:val="000000"/>
                <w:szCs w:val="22"/>
              </w:rPr>
              <w:t>Steingo</w:t>
            </w:r>
            <w:proofErr w:type="spellEnd"/>
            <w:r w:rsidRPr="00406AEC">
              <w:rPr>
                <w:rFonts w:ascii="Times New Roman" w:eastAsia="Times New Roman" w:hAnsi="Times New Roman" w:cs="Times New Roman"/>
                <w:color w:val="000000"/>
                <w:szCs w:val="22"/>
              </w:rPr>
              <w:t xml:space="preserve"> B et al. (2014) Impact of a switch to fingolimod versus staying on glatiramer acetate or beta interferons on patient- and physician-reported outcomes in relapsing multiple sclerosis: analyses of the EPOC trial. BMC Neurology 14 (1): </w:t>
            </w:r>
          </w:p>
        </w:tc>
      </w:tr>
      <w:tr w:rsidR="00406AEC" w:rsidRPr="00406AEC" w14:paraId="6E6286B1" w14:textId="77777777" w:rsidTr="00406AEC">
        <w:trPr>
          <w:trHeight w:val="300"/>
        </w:trPr>
        <w:tc>
          <w:tcPr>
            <w:tcW w:w="9360" w:type="dxa"/>
            <w:tcBorders>
              <w:top w:val="nil"/>
              <w:left w:val="nil"/>
              <w:bottom w:val="nil"/>
              <w:right w:val="nil"/>
            </w:tcBorders>
            <w:shd w:val="clear" w:color="auto" w:fill="auto"/>
            <w:noWrap/>
            <w:vAlign w:val="bottom"/>
            <w:hideMark/>
          </w:tcPr>
          <w:p w14:paraId="658304F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Camu W, </w:t>
            </w:r>
            <w:proofErr w:type="spellStart"/>
            <w:r w:rsidRPr="00406AEC">
              <w:rPr>
                <w:rFonts w:ascii="Times New Roman" w:eastAsia="Times New Roman" w:hAnsi="Times New Roman" w:cs="Times New Roman"/>
                <w:color w:val="000000"/>
                <w:szCs w:val="22"/>
              </w:rPr>
              <w:t>Hadjout</w:t>
            </w:r>
            <w:proofErr w:type="spellEnd"/>
            <w:r w:rsidRPr="00406AEC">
              <w:rPr>
                <w:rFonts w:ascii="Times New Roman" w:eastAsia="Times New Roman" w:hAnsi="Times New Roman" w:cs="Times New Roman"/>
                <w:color w:val="000000"/>
                <w:szCs w:val="22"/>
              </w:rPr>
              <w:t xml:space="preserve"> K, Latour S, </w:t>
            </w:r>
            <w:proofErr w:type="spellStart"/>
            <w:r w:rsidRPr="00406AEC">
              <w:rPr>
                <w:rFonts w:ascii="Times New Roman" w:eastAsia="Times New Roman" w:hAnsi="Times New Roman" w:cs="Times New Roman"/>
                <w:color w:val="000000"/>
                <w:szCs w:val="22"/>
              </w:rPr>
              <w:t>Pohlau</w:t>
            </w:r>
            <w:proofErr w:type="spellEnd"/>
            <w:r w:rsidRPr="00406AEC">
              <w:rPr>
                <w:rFonts w:ascii="Times New Roman" w:eastAsia="Times New Roman" w:hAnsi="Times New Roman" w:cs="Times New Roman"/>
                <w:color w:val="000000"/>
                <w:szCs w:val="22"/>
              </w:rPr>
              <w:t xml:space="preserve"> D, Masri S (2010) Patient satisfaction following transition from the original to the new formulation of subcutaneous interferon beta-1a in relapsing multiple sclerosis: a randomized, two-arm, open-label,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study. Patient preference and adherence 4 127-133.</w:t>
            </w:r>
          </w:p>
        </w:tc>
      </w:tr>
      <w:tr w:rsidR="00406AEC" w:rsidRPr="00406AEC" w14:paraId="3630A710" w14:textId="77777777" w:rsidTr="00406AEC">
        <w:trPr>
          <w:trHeight w:val="300"/>
        </w:trPr>
        <w:tc>
          <w:tcPr>
            <w:tcW w:w="9360" w:type="dxa"/>
            <w:tcBorders>
              <w:top w:val="nil"/>
              <w:left w:val="nil"/>
              <w:bottom w:val="nil"/>
              <w:right w:val="nil"/>
            </w:tcBorders>
            <w:shd w:val="clear" w:color="auto" w:fill="auto"/>
            <w:noWrap/>
            <w:vAlign w:val="bottom"/>
            <w:hideMark/>
          </w:tcPr>
          <w:p w14:paraId="54D6240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nl-NL"/>
              </w:rPr>
              <w:t xml:space="preserve">Cascione M, Wendt J, Cree B, Meng X, Schofield L et al. </w:t>
            </w:r>
            <w:r w:rsidRPr="00406AEC">
              <w:rPr>
                <w:rFonts w:ascii="Times New Roman" w:eastAsia="Times New Roman" w:hAnsi="Times New Roman" w:cs="Times New Roman"/>
                <w:color w:val="000000"/>
                <w:szCs w:val="22"/>
              </w:rPr>
              <w:t xml:space="preserve">(2017) PREFERMS study: post HOC analyses of patient retention, key clinical </w:t>
            </w:r>
            <w:proofErr w:type="gramStart"/>
            <w:r w:rsidRPr="00406AEC">
              <w:rPr>
                <w:rFonts w:ascii="Times New Roman" w:eastAsia="Times New Roman" w:hAnsi="Times New Roman" w:cs="Times New Roman"/>
                <w:color w:val="000000"/>
                <w:szCs w:val="22"/>
              </w:rPr>
              <w:t>outcomes</w:t>
            </w:r>
            <w:proofErr w:type="gramEnd"/>
            <w:r w:rsidRPr="00406AEC">
              <w:rPr>
                <w:rFonts w:ascii="Times New Roman" w:eastAsia="Times New Roman" w:hAnsi="Times New Roman" w:cs="Times New Roman"/>
                <w:color w:val="000000"/>
                <w:szCs w:val="22"/>
              </w:rPr>
              <w:t xml:space="preserve"> and patient satisfaction in an African- American patient subgroup. Neurology 88 (16): </w:t>
            </w:r>
          </w:p>
        </w:tc>
      </w:tr>
      <w:tr w:rsidR="00406AEC" w:rsidRPr="00406AEC" w14:paraId="42658767" w14:textId="77777777" w:rsidTr="00406AEC">
        <w:trPr>
          <w:trHeight w:val="300"/>
        </w:trPr>
        <w:tc>
          <w:tcPr>
            <w:tcW w:w="9360" w:type="dxa"/>
            <w:tcBorders>
              <w:top w:val="nil"/>
              <w:left w:val="nil"/>
              <w:bottom w:val="nil"/>
              <w:right w:val="nil"/>
            </w:tcBorders>
            <w:shd w:val="clear" w:color="auto" w:fill="auto"/>
            <w:noWrap/>
            <w:vAlign w:val="bottom"/>
            <w:hideMark/>
          </w:tcPr>
          <w:p w14:paraId="0385E31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Clanet</w:t>
            </w:r>
            <w:proofErr w:type="spellEnd"/>
            <w:r w:rsidRPr="00406AEC">
              <w:rPr>
                <w:rFonts w:ascii="Times New Roman" w:eastAsia="Times New Roman" w:hAnsi="Times New Roman" w:cs="Times New Roman"/>
                <w:color w:val="000000"/>
                <w:szCs w:val="22"/>
              </w:rPr>
              <w:t xml:space="preserve"> M, Kappos L, Hartung HP, Hohlfeld R, </w:t>
            </w:r>
            <w:proofErr w:type="spellStart"/>
            <w:r w:rsidRPr="00406AEC">
              <w:rPr>
                <w:rFonts w:ascii="Times New Roman" w:eastAsia="Times New Roman" w:hAnsi="Times New Roman" w:cs="Times New Roman"/>
                <w:color w:val="000000"/>
                <w:szCs w:val="22"/>
              </w:rPr>
              <w:t>Kristoferitsch</w:t>
            </w:r>
            <w:proofErr w:type="spellEnd"/>
            <w:r w:rsidRPr="00406AEC">
              <w:rPr>
                <w:rFonts w:ascii="Times New Roman" w:eastAsia="Times New Roman" w:hAnsi="Times New Roman" w:cs="Times New Roman"/>
                <w:color w:val="000000"/>
                <w:szCs w:val="22"/>
              </w:rPr>
              <w:t xml:space="preserve"> W et al. (2004) Interferon beta-1a in relapsing multiple sclerosis: Four-year extension of the European IFNbeta-1a Dose-Comparison Study. Multiple Sclerosis 10 (2): 139-144.</w:t>
            </w:r>
          </w:p>
        </w:tc>
      </w:tr>
      <w:tr w:rsidR="00406AEC" w:rsidRPr="00406AEC" w14:paraId="75A6A461" w14:textId="77777777" w:rsidTr="00406AEC">
        <w:trPr>
          <w:trHeight w:val="300"/>
        </w:trPr>
        <w:tc>
          <w:tcPr>
            <w:tcW w:w="9360" w:type="dxa"/>
            <w:tcBorders>
              <w:top w:val="nil"/>
              <w:left w:val="nil"/>
              <w:bottom w:val="nil"/>
              <w:right w:val="nil"/>
            </w:tcBorders>
            <w:shd w:val="clear" w:color="auto" w:fill="auto"/>
            <w:noWrap/>
            <w:vAlign w:val="bottom"/>
            <w:hideMark/>
          </w:tcPr>
          <w:p w14:paraId="4C084E0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Clanet</w:t>
            </w:r>
            <w:proofErr w:type="spellEnd"/>
            <w:r w:rsidRPr="00406AEC">
              <w:rPr>
                <w:rFonts w:ascii="Times New Roman" w:eastAsia="Times New Roman" w:hAnsi="Times New Roman" w:cs="Times New Roman"/>
                <w:color w:val="000000"/>
                <w:szCs w:val="22"/>
              </w:rPr>
              <w:t xml:space="preserve"> M, Radue EW, Kappos L, Hartung HP, Hohlfeld R et al. (2002) A randomized, double-blind, dose-comparison study of weekly interferon beta-1a in relapsing MS. Neurology 59 (10): 1507-1517.</w:t>
            </w:r>
          </w:p>
        </w:tc>
      </w:tr>
      <w:tr w:rsidR="00406AEC" w:rsidRPr="00406AEC" w14:paraId="4CD27036" w14:textId="77777777" w:rsidTr="00406AEC">
        <w:trPr>
          <w:trHeight w:val="300"/>
        </w:trPr>
        <w:tc>
          <w:tcPr>
            <w:tcW w:w="9360" w:type="dxa"/>
            <w:tcBorders>
              <w:top w:val="nil"/>
              <w:left w:val="nil"/>
              <w:bottom w:val="nil"/>
              <w:right w:val="nil"/>
            </w:tcBorders>
            <w:shd w:val="clear" w:color="auto" w:fill="auto"/>
            <w:noWrap/>
            <w:vAlign w:val="bottom"/>
            <w:hideMark/>
          </w:tcPr>
          <w:p w14:paraId="14FD19C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Cohan S, Kappos L, Giovannoni G, Wiendl H, Selmaj K et al. </w:t>
            </w:r>
            <w:r w:rsidRPr="00406AEC">
              <w:rPr>
                <w:rFonts w:ascii="Times New Roman" w:eastAsia="Times New Roman" w:hAnsi="Times New Roman" w:cs="Times New Roman"/>
                <w:color w:val="000000"/>
                <w:szCs w:val="22"/>
              </w:rPr>
              <w:t>(2018) Efficacy of daclizumab beta versus intramuscular interferon beta-1a on disability progression across patient demographic and disease activity subgroups in DECIDE. Multiple sclerosis journal 24 (14): 1883-1891.</w:t>
            </w:r>
          </w:p>
        </w:tc>
      </w:tr>
      <w:tr w:rsidR="00406AEC" w:rsidRPr="00406AEC" w14:paraId="493390A7" w14:textId="77777777" w:rsidTr="00406AEC">
        <w:trPr>
          <w:trHeight w:val="300"/>
        </w:trPr>
        <w:tc>
          <w:tcPr>
            <w:tcW w:w="9360" w:type="dxa"/>
            <w:tcBorders>
              <w:top w:val="nil"/>
              <w:left w:val="nil"/>
              <w:bottom w:val="nil"/>
              <w:right w:val="nil"/>
            </w:tcBorders>
            <w:shd w:val="clear" w:color="auto" w:fill="auto"/>
            <w:noWrap/>
            <w:vAlign w:val="bottom"/>
            <w:hideMark/>
          </w:tcPr>
          <w:p w14:paraId="402792B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BA, Perrin Ross A, Hayward B, Hassan A,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A prospective study comparing the impact of three levels of support services on interferon beta adherence in patients with </w:t>
            </w:r>
            <w:r w:rsidRPr="00406AEC">
              <w:rPr>
                <w:rFonts w:ascii="Times New Roman" w:eastAsia="Times New Roman" w:hAnsi="Times New Roman" w:cs="Times New Roman"/>
                <w:color w:val="000000"/>
                <w:szCs w:val="22"/>
              </w:rPr>
              <w:lastRenderedPageBreak/>
              <w:t>relapsing MS: Interim results.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430.</w:t>
            </w:r>
          </w:p>
        </w:tc>
      </w:tr>
      <w:tr w:rsidR="00406AEC" w:rsidRPr="00406AEC" w14:paraId="12CC12F2" w14:textId="77777777" w:rsidTr="00406AEC">
        <w:trPr>
          <w:trHeight w:val="300"/>
        </w:trPr>
        <w:tc>
          <w:tcPr>
            <w:tcW w:w="9360" w:type="dxa"/>
            <w:tcBorders>
              <w:top w:val="nil"/>
              <w:left w:val="nil"/>
              <w:bottom w:val="nil"/>
              <w:right w:val="nil"/>
            </w:tcBorders>
            <w:shd w:val="clear" w:color="auto" w:fill="auto"/>
            <w:noWrap/>
            <w:vAlign w:val="bottom"/>
            <w:hideMark/>
          </w:tcPr>
          <w:p w14:paraId="5A41364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Cohen JA, Campbell N, </w:t>
            </w:r>
            <w:proofErr w:type="spellStart"/>
            <w:r w:rsidRPr="00406AEC">
              <w:rPr>
                <w:rFonts w:ascii="Times New Roman" w:eastAsia="Times New Roman" w:hAnsi="Times New Roman" w:cs="Times New Roman"/>
                <w:color w:val="000000"/>
                <w:szCs w:val="22"/>
              </w:rPr>
              <w:t>Wiendl</w:t>
            </w:r>
            <w:proofErr w:type="spellEnd"/>
            <w:r w:rsidRPr="00406AEC">
              <w:rPr>
                <w:rFonts w:ascii="Times New Roman" w:eastAsia="Times New Roman" w:hAnsi="Times New Roman" w:cs="Times New Roman"/>
                <w:color w:val="000000"/>
                <w:szCs w:val="22"/>
              </w:rPr>
              <w:t xml:space="preserve"> H, Foley J,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et al. (2019) Evaluating the efficacy and safety of 6-week extended interval dosing of natalizumab via a prospective, controlled, randomized phase 3B study. Multiple sclerosis journal 25 48-49.</w:t>
            </w:r>
          </w:p>
        </w:tc>
      </w:tr>
      <w:tr w:rsidR="00406AEC" w:rsidRPr="00406AEC" w14:paraId="1872DDC1" w14:textId="77777777" w:rsidTr="00406AEC">
        <w:trPr>
          <w:trHeight w:val="300"/>
        </w:trPr>
        <w:tc>
          <w:tcPr>
            <w:tcW w:w="9360" w:type="dxa"/>
            <w:tcBorders>
              <w:top w:val="nil"/>
              <w:left w:val="nil"/>
              <w:bottom w:val="nil"/>
              <w:right w:val="nil"/>
            </w:tcBorders>
            <w:shd w:val="clear" w:color="auto" w:fill="auto"/>
            <w:noWrap/>
            <w:vAlign w:val="bottom"/>
            <w:hideMark/>
          </w:tcPr>
          <w:p w14:paraId="39FF768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Comi G, Arnold DL, Bar-Or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et al. (2018) Efficacy and safety of ozanimod in multiple sclerosis: dose-blinded extension of a randomized phase II study. Multiple sclerosis journal </w:t>
            </w:r>
          </w:p>
        </w:tc>
      </w:tr>
      <w:tr w:rsidR="00406AEC" w:rsidRPr="00406AEC" w14:paraId="0C737528" w14:textId="77777777" w:rsidTr="00406AEC">
        <w:trPr>
          <w:trHeight w:val="300"/>
        </w:trPr>
        <w:tc>
          <w:tcPr>
            <w:tcW w:w="9360" w:type="dxa"/>
            <w:tcBorders>
              <w:top w:val="nil"/>
              <w:left w:val="nil"/>
              <w:bottom w:val="nil"/>
              <w:right w:val="nil"/>
            </w:tcBorders>
            <w:shd w:val="clear" w:color="auto" w:fill="auto"/>
            <w:noWrap/>
            <w:vAlign w:val="bottom"/>
            <w:hideMark/>
          </w:tcPr>
          <w:p w14:paraId="09B1FE3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Cohen JA, Cutter GR, Fischer JS, Goodman AD, Heidenreich FR et al. </w:t>
            </w:r>
            <w:r w:rsidRPr="00406AEC">
              <w:rPr>
                <w:rFonts w:ascii="Times New Roman" w:eastAsia="Times New Roman" w:hAnsi="Times New Roman" w:cs="Times New Roman"/>
                <w:color w:val="000000"/>
                <w:szCs w:val="22"/>
              </w:rPr>
              <w:t>(2002) Benefit of interferon beta-1a on MSFC progression in secondary progressive MS. Neurology 59 (5): 679-687.</w:t>
            </w:r>
          </w:p>
        </w:tc>
      </w:tr>
      <w:tr w:rsidR="00406AEC" w:rsidRPr="00406AEC" w14:paraId="05F84927" w14:textId="77777777" w:rsidTr="00406AEC">
        <w:trPr>
          <w:trHeight w:val="300"/>
        </w:trPr>
        <w:tc>
          <w:tcPr>
            <w:tcW w:w="9360" w:type="dxa"/>
            <w:tcBorders>
              <w:top w:val="nil"/>
              <w:left w:val="nil"/>
              <w:bottom w:val="nil"/>
              <w:right w:val="nil"/>
            </w:tcBorders>
            <w:shd w:val="clear" w:color="auto" w:fill="auto"/>
            <w:noWrap/>
            <w:vAlign w:val="bottom"/>
            <w:hideMark/>
          </w:tcPr>
          <w:p w14:paraId="446230D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Cohen JA, Imrey PB, Calabresi PA, Edwards KR, Eickenhorst T et al. (2009) Results of the Avonex Combination Trial (ACT) in relapsing-remitting MS. Neurology 72 (6): 535-541.</w:t>
            </w:r>
          </w:p>
        </w:tc>
      </w:tr>
      <w:tr w:rsidR="00406AEC" w:rsidRPr="00406AEC" w14:paraId="26F2B4C3" w14:textId="77777777" w:rsidTr="00406AEC">
        <w:trPr>
          <w:trHeight w:val="300"/>
        </w:trPr>
        <w:tc>
          <w:tcPr>
            <w:tcW w:w="9360" w:type="dxa"/>
            <w:tcBorders>
              <w:top w:val="nil"/>
              <w:left w:val="nil"/>
              <w:bottom w:val="nil"/>
              <w:right w:val="nil"/>
            </w:tcBorders>
            <w:shd w:val="clear" w:color="auto" w:fill="auto"/>
            <w:noWrap/>
            <w:vAlign w:val="bottom"/>
            <w:hideMark/>
          </w:tcPr>
          <w:p w14:paraId="211B149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Khatri B,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Comi G, Hartung HP et al. (2016) Long-term (up to 4.5 years) treatment with fingolimod in multiple sclerosis: results from the extension of the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TRANSFORMS study. Journal of neurology, neurosurgery, and psychiatry 87 (5): 468-475.</w:t>
            </w:r>
          </w:p>
        </w:tc>
      </w:tr>
      <w:tr w:rsidR="00406AEC" w:rsidRPr="00406AEC" w14:paraId="43811192" w14:textId="77777777" w:rsidTr="00406AEC">
        <w:trPr>
          <w:trHeight w:val="300"/>
        </w:trPr>
        <w:tc>
          <w:tcPr>
            <w:tcW w:w="9360" w:type="dxa"/>
            <w:tcBorders>
              <w:top w:val="nil"/>
              <w:left w:val="nil"/>
              <w:bottom w:val="nil"/>
              <w:right w:val="nil"/>
            </w:tcBorders>
            <w:shd w:val="clear" w:color="auto" w:fill="auto"/>
            <w:noWrap/>
            <w:vAlign w:val="bottom"/>
            <w:hideMark/>
          </w:tcPr>
          <w:p w14:paraId="480D5BA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w:t>
            </w:r>
            <w:proofErr w:type="spellStart"/>
            <w:r w:rsidRPr="00406AEC">
              <w:rPr>
                <w:rFonts w:ascii="Times New Roman" w:eastAsia="Times New Roman" w:hAnsi="Times New Roman" w:cs="Times New Roman"/>
                <w:color w:val="000000"/>
                <w:szCs w:val="22"/>
              </w:rPr>
              <w:t>Rovaris</w:t>
            </w:r>
            <w:proofErr w:type="spellEnd"/>
            <w:r w:rsidRPr="00406AEC">
              <w:rPr>
                <w:rFonts w:ascii="Times New Roman" w:eastAsia="Times New Roman" w:hAnsi="Times New Roman" w:cs="Times New Roman"/>
                <w:color w:val="000000"/>
                <w:szCs w:val="22"/>
              </w:rPr>
              <w:t xml:space="preserve"> M, Goodman AD, </w:t>
            </w:r>
            <w:proofErr w:type="spellStart"/>
            <w:r w:rsidRPr="00406AEC">
              <w:rPr>
                <w:rFonts w:ascii="Times New Roman" w:eastAsia="Times New Roman" w:hAnsi="Times New Roman" w:cs="Times New Roman"/>
                <w:color w:val="000000"/>
                <w:szCs w:val="22"/>
              </w:rPr>
              <w:t>Ladkani</w:t>
            </w:r>
            <w:proofErr w:type="spellEnd"/>
            <w:r w:rsidRPr="00406AEC">
              <w:rPr>
                <w:rFonts w:ascii="Times New Roman" w:eastAsia="Times New Roman" w:hAnsi="Times New Roman" w:cs="Times New Roman"/>
                <w:color w:val="000000"/>
                <w:szCs w:val="22"/>
              </w:rPr>
              <w:t xml:space="preserve"> D, Wynn D et al. (2007) Randomized, double-blind, dose-comparison study of glatiramer acetate in relapsing-remitting MS. Neurology 68 (12): 939-944.</w:t>
            </w:r>
          </w:p>
        </w:tc>
      </w:tr>
      <w:tr w:rsidR="00406AEC" w:rsidRPr="00406AEC" w14:paraId="15F563CE" w14:textId="77777777" w:rsidTr="00406AEC">
        <w:trPr>
          <w:trHeight w:val="300"/>
        </w:trPr>
        <w:tc>
          <w:tcPr>
            <w:tcW w:w="9360" w:type="dxa"/>
            <w:tcBorders>
              <w:top w:val="nil"/>
              <w:left w:val="nil"/>
              <w:bottom w:val="nil"/>
              <w:right w:val="nil"/>
            </w:tcBorders>
            <w:shd w:val="clear" w:color="auto" w:fill="auto"/>
            <w:noWrap/>
            <w:vAlign w:val="bottom"/>
            <w:hideMark/>
          </w:tcPr>
          <w:p w14:paraId="498BDEF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Arnold DL, Comi G, Bar-Or A et al. (2016) Efficacy and safety of ozanimod from the 2-year blinded extension of RADIANCE: a randomized, double-blind, placebo-controlled Phase 2 trial in relapsing multiple sclerosis. Multiple Sclerosis 22 595-596.</w:t>
            </w:r>
          </w:p>
        </w:tc>
      </w:tr>
      <w:tr w:rsidR="00406AEC" w:rsidRPr="00406AEC" w14:paraId="350A42DE" w14:textId="77777777" w:rsidTr="00406AEC">
        <w:trPr>
          <w:trHeight w:val="300"/>
        </w:trPr>
        <w:tc>
          <w:tcPr>
            <w:tcW w:w="9360" w:type="dxa"/>
            <w:tcBorders>
              <w:top w:val="nil"/>
              <w:left w:val="nil"/>
              <w:bottom w:val="nil"/>
              <w:right w:val="nil"/>
            </w:tcBorders>
            <w:shd w:val="clear" w:color="auto" w:fill="auto"/>
            <w:noWrap/>
            <w:vAlign w:val="bottom"/>
            <w:hideMark/>
          </w:tcPr>
          <w:p w14:paraId="0202808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Coles A, Arnold D, Cohen J, Fox E, Hartung HP et al. (2015) Alemtuzumab slows brain volume loss over 4 years despite most relapsing-remitting multiple sclerosis patients not receiving treatment for 3 years. Neurology 84 (18): </w:t>
            </w:r>
          </w:p>
        </w:tc>
      </w:tr>
      <w:tr w:rsidR="00406AEC" w:rsidRPr="00406AEC" w14:paraId="468FD971" w14:textId="77777777" w:rsidTr="00406AEC">
        <w:trPr>
          <w:trHeight w:val="300"/>
        </w:trPr>
        <w:tc>
          <w:tcPr>
            <w:tcW w:w="9360" w:type="dxa"/>
            <w:tcBorders>
              <w:top w:val="nil"/>
              <w:left w:val="nil"/>
              <w:bottom w:val="nil"/>
              <w:right w:val="nil"/>
            </w:tcBorders>
            <w:shd w:val="clear" w:color="auto" w:fill="auto"/>
            <w:noWrap/>
            <w:vAlign w:val="bottom"/>
            <w:hideMark/>
          </w:tcPr>
          <w:p w14:paraId="65B4077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Coles AJ, Azzopardi L, Kousin-</w:t>
            </w:r>
            <w:proofErr w:type="spellStart"/>
            <w:r w:rsidRPr="00406AEC">
              <w:rPr>
                <w:rFonts w:ascii="Times New Roman" w:eastAsia="Times New Roman" w:hAnsi="Times New Roman" w:cs="Times New Roman"/>
                <w:color w:val="000000"/>
                <w:szCs w:val="22"/>
              </w:rPr>
              <w:t>Ezewu</w:t>
            </w:r>
            <w:proofErr w:type="spellEnd"/>
            <w:r w:rsidRPr="00406AEC">
              <w:rPr>
                <w:rFonts w:ascii="Times New Roman" w:eastAsia="Times New Roman" w:hAnsi="Times New Roman" w:cs="Times New Roman"/>
                <w:color w:val="000000"/>
                <w:szCs w:val="22"/>
              </w:rPr>
              <w:t xml:space="preserve"> O, Mullay HK, Thompson SAJ et al. (2019) Keratinocyte growth factor impairs human thymic recovery from lymphopenia. JCI insight 4 (12): </w:t>
            </w:r>
          </w:p>
        </w:tc>
      </w:tr>
      <w:tr w:rsidR="00406AEC" w:rsidRPr="00406AEC" w14:paraId="62A03C72" w14:textId="77777777" w:rsidTr="00406AEC">
        <w:trPr>
          <w:trHeight w:val="300"/>
        </w:trPr>
        <w:tc>
          <w:tcPr>
            <w:tcW w:w="9360" w:type="dxa"/>
            <w:tcBorders>
              <w:top w:val="nil"/>
              <w:left w:val="nil"/>
              <w:bottom w:val="nil"/>
              <w:right w:val="nil"/>
            </w:tcBorders>
            <w:shd w:val="clear" w:color="auto" w:fill="auto"/>
            <w:noWrap/>
            <w:vAlign w:val="bottom"/>
            <w:hideMark/>
          </w:tcPr>
          <w:p w14:paraId="1795A32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Coles AJ, Cohen JA, Fox EJ, Giovannoni G, Hartung HP et al. (2017) Alemtuzumab CARE-MS II 5-year follow-up: Efficacy and safety findings. Neurology 89 (11): 1117-1126.</w:t>
            </w:r>
          </w:p>
        </w:tc>
      </w:tr>
      <w:tr w:rsidR="00406AEC" w:rsidRPr="00406AEC" w14:paraId="693D5F3F" w14:textId="77777777" w:rsidTr="00406AEC">
        <w:trPr>
          <w:trHeight w:val="300"/>
        </w:trPr>
        <w:tc>
          <w:tcPr>
            <w:tcW w:w="9360" w:type="dxa"/>
            <w:tcBorders>
              <w:top w:val="nil"/>
              <w:left w:val="nil"/>
              <w:bottom w:val="nil"/>
              <w:right w:val="nil"/>
            </w:tcBorders>
            <w:shd w:val="clear" w:color="auto" w:fill="auto"/>
            <w:noWrap/>
            <w:vAlign w:val="bottom"/>
            <w:hideMark/>
          </w:tcPr>
          <w:p w14:paraId="383BCD3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Coles AJ, Fox E, Vladic A, Gazda SK, Brinar V et al. (2012) Alemtuzumab more effective than interferon beta-1a at 5-year follow-up of CAMMS223 Clinical Trial. Neurology 78 (14): 1069-1078.</w:t>
            </w:r>
          </w:p>
        </w:tc>
      </w:tr>
      <w:tr w:rsidR="00406AEC" w:rsidRPr="00406AEC" w14:paraId="13C0DC89" w14:textId="77777777" w:rsidTr="00406AEC">
        <w:trPr>
          <w:trHeight w:val="300"/>
        </w:trPr>
        <w:tc>
          <w:tcPr>
            <w:tcW w:w="9360" w:type="dxa"/>
            <w:tcBorders>
              <w:top w:val="nil"/>
              <w:left w:val="nil"/>
              <w:bottom w:val="nil"/>
              <w:right w:val="nil"/>
            </w:tcBorders>
            <w:shd w:val="clear" w:color="auto" w:fill="auto"/>
            <w:noWrap/>
            <w:vAlign w:val="bottom"/>
            <w:hideMark/>
          </w:tcPr>
          <w:p w14:paraId="727BD5A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Comi G, Cohen JA, Arnold DL, Wynn D, Filippi M (2011) Phase III dose-comparison study of glatiramer acetate for multiple sclerosis. Annals of Neurology 69 (1): 75-82.</w:t>
            </w:r>
          </w:p>
        </w:tc>
      </w:tr>
      <w:tr w:rsidR="00406AEC" w:rsidRPr="00406AEC" w14:paraId="7138C5B9" w14:textId="77777777" w:rsidTr="00406AEC">
        <w:trPr>
          <w:trHeight w:val="300"/>
        </w:trPr>
        <w:tc>
          <w:tcPr>
            <w:tcW w:w="9360" w:type="dxa"/>
            <w:tcBorders>
              <w:top w:val="nil"/>
              <w:left w:val="nil"/>
              <w:bottom w:val="nil"/>
              <w:right w:val="nil"/>
            </w:tcBorders>
            <w:shd w:val="clear" w:color="auto" w:fill="auto"/>
            <w:noWrap/>
            <w:vAlign w:val="bottom"/>
            <w:hideMark/>
          </w:tcPr>
          <w:p w14:paraId="68D93E5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Comi G, Cook S, Rammohan K, Sorensen PS, Vermersch P et al. </w:t>
            </w:r>
            <w:r w:rsidRPr="00406AEC">
              <w:rPr>
                <w:rFonts w:ascii="Times New Roman" w:eastAsia="Times New Roman" w:hAnsi="Times New Roman" w:cs="Times New Roman"/>
                <w:color w:val="000000"/>
                <w:szCs w:val="22"/>
              </w:rPr>
              <w:t xml:space="preserve">(2018) Long-term effects of cladribine tablets on </w:t>
            </w:r>
            <w:proofErr w:type="spellStart"/>
            <w:r w:rsidRPr="00406AEC">
              <w:rPr>
                <w:rFonts w:ascii="Times New Roman" w:eastAsia="Times New Roman" w:hAnsi="Times New Roman" w:cs="Times New Roman"/>
                <w:color w:val="000000"/>
                <w:szCs w:val="22"/>
              </w:rPr>
              <w:t>mri</w:t>
            </w:r>
            <w:proofErr w:type="spellEnd"/>
            <w:r w:rsidRPr="00406AEC">
              <w:rPr>
                <w:rFonts w:ascii="Times New Roman" w:eastAsia="Times New Roman" w:hAnsi="Times New Roman" w:cs="Times New Roman"/>
                <w:color w:val="000000"/>
                <w:szCs w:val="22"/>
              </w:rPr>
              <w:t xml:space="preserve"> activity outcomes in patients with relapsing-remitting multiple sclerosis: The clarity extension study. Therapeutic Advances in Neurological Disorders 11 (no pagination): </w:t>
            </w:r>
          </w:p>
        </w:tc>
      </w:tr>
      <w:tr w:rsidR="00406AEC" w:rsidRPr="00406AEC" w14:paraId="4DD1B65B" w14:textId="77777777" w:rsidTr="00406AEC">
        <w:trPr>
          <w:trHeight w:val="300"/>
        </w:trPr>
        <w:tc>
          <w:tcPr>
            <w:tcW w:w="9360" w:type="dxa"/>
            <w:tcBorders>
              <w:top w:val="nil"/>
              <w:left w:val="nil"/>
              <w:bottom w:val="nil"/>
              <w:right w:val="nil"/>
            </w:tcBorders>
            <w:shd w:val="clear" w:color="auto" w:fill="auto"/>
            <w:noWrap/>
            <w:vAlign w:val="bottom"/>
            <w:hideMark/>
          </w:tcPr>
          <w:p w14:paraId="2A0646A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Giovannoni G, Cook S, Rieckmann P, Rammohan K et al. (2016) Magnetic resonance imaging (MRI) outcomes in patients with relapsing-remitting multiple sclerosis (RRMS) </w:t>
            </w:r>
            <w:r w:rsidRPr="00406AEC">
              <w:rPr>
                <w:rFonts w:ascii="Times New Roman" w:eastAsia="Times New Roman" w:hAnsi="Times New Roman" w:cs="Times New Roman"/>
                <w:color w:val="000000"/>
                <w:szCs w:val="22"/>
              </w:rPr>
              <w:lastRenderedPageBreak/>
              <w:t xml:space="preserve">treated with cladribine tablets: results from the 120-week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extension of the CLARITY study. Swiss medical weekly 146 </w:t>
            </w:r>
          </w:p>
        </w:tc>
      </w:tr>
      <w:tr w:rsidR="00406AEC" w:rsidRPr="00406AEC" w14:paraId="1C587768" w14:textId="77777777" w:rsidTr="00406AEC">
        <w:trPr>
          <w:trHeight w:val="300"/>
        </w:trPr>
        <w:tc>
          <w:tcPr>
            <w:tcW w:w="9360" w:type="dxa"/>
            <w:tcBorders>
              <w:top w:val="nil"/>
              <w:left w:val="nil"/>
              <w:bottom w:val="nil"/>
              <w:right w:val="nil"/>
            </w:tcBorders>
            <w:shd w:val="clear" w:color="auto" w:fill="auto"/>
            <w:noWrap/>
            <w:vAlign w:val="bottom"/>
            <w:hideMark/>
          </w:tcPr>
          <w:p w14:paraId="014DAFA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Comi G, Gold R, Dahlke F, Sinha A, Von Rosenstiel P et al. (2015) Relapses in patients treated with fingolimod after previous exposure to natalizumab. Multiple Sclerosis 21 (6): 786-790.</w:t>
            </w:r>
          </w:p>
        </w:tc>
      </w:tr>
      <w:tr w:rsidR="00406AEC" w:rsidRPr="00406AEC" w14:paraId="02D9C5C4" w14:textId="77777777" w:rsidTr="00406AEC">
        <w:trPr>
          <w:trHeight w:val="300"/>
        </w:trPr>
        <w:tc>
          <w:tcPr>
            <w:tcW w:w="9360" w:type="dxa"/>
            <w:tcBorders>
              <w:top w:val="nil"/>
              <w:left w:val="nil"/>
              <w:bottom w:val="nil"/>
              <w:right w:val="nil"/>
            </w:tcBorders>
            <w:shd w:val="clear" w:color="auto" w:fill="auto"/>
            <w:noWrap/>
            <w:vAlign w:val="bottom"/>
            <w:hideMark/>
          </w:tcPr>
          <w:p w14:paraId="08E98D2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Comi G, O'Connor P, Montalban X, Antel J, Radue EW et al. (2010) Phase II study of oral fingolimod (FTY720) in multiple sclerosis: 3-year results. Multiple Sclerosis 16 (2): 197-207.</w:t>
            </w:r>
          </w:p>
        </w:tc>
      </w:tr>
      <w:tr w:rsidR="00406AEC" w:rsidRPr="00406AEC" w14:paraId="3428273D" w14:textId="77777777" w:rsidTr="00406AEC">
        <w:trPr>
          <w:trHeight w:val="300"/>
        </w:trPr>
        <w:tc>
          <w:tcPr>
            <w:tcW w:w="9360" w:type="dxa"/>
            <w:tcBorders>
              <w:top w:val="nil"/>
              <w:left w:val="nil"/>
              <w:bottom w:val="nil"/>
              <w:right w:val="nil"/>
            </w:tcBorders>
            <w:shd w:val="clear" w:color="auto" w:fill="auto"/>
            <w:noWrap/>
            <w:vAlign w:val="bottom"/>
            <w:hideMark/>
          </w:tcPr>
          <w:p w14:paraId="778493D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O'Connor P, Freedman MS, </w:t>
            </w:r>
            <w:proofErr w:type="spellStart"/>
            <w:r w:rsidRPr="00406AEC">
              <w:rPr>
                <w:rFonts w:ascii="Times New Roman" w:eastAsia="Times New Roman" w:hAnsi="Times New Roman" w:cs="Times New Roman"/>
                <w:color w:val="000000"/>
                <w:szCs w:val="22"/>
              </w:rPr>
              <w:t>Benzerdjeb</w:t>
            </w:r>
            <w:proofErr w:type="spellEnd"/>
            <w:r w:rsidRPr="00406AEC">
              <w:rPr>
                <w:rFonts w:ascii="Times New Roman" w:eastAsia="Times New Roman" w:hAnsi="Times New Roman" w:cs="Times New Roman"/>
                <w:color w:val="000000"/>
                <w:szCs w:val="22"/>
              </w:rPr>
              <w:t xml:space="preserve"> H, Wang D et al. Long-term safety and tolerability of teriflunomide in multiple sclerosis: 9-year follow-up of a phase II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S409-S410.</w:t>
            </w:r>
          </w:p>
        </w:tc>
      </w:tr>
      <w:tr w:rsidR="00406AEC" w:rsidRPr="00406AEC" w14:paraId="65F60358" w14:textId="77777777" w:rsidTr="00406AEC">
        <w:trPr>
          <w:trHeight w:val="300"/>
        </w:trPr>
        <w:tc>
          <w:tcPr>
            <w:tcW w:w="9360" w:type="dxa"/>
            <w:tcBorders>
              <w:top w:val="nil"/>
              <w:left w:val="nil"/>
              <w:bottom w:val="nil"/>
              <w:right w:val="nil"/>
            </w:tcBorders>
            <w:shd w:val="clear" w:color="auto" w:fill="auto"/>
            <w:noWrap/>
            <w:vAlign w:val="bottom"/>
            <w:hideMark/>
          </w:tcPr>
          <w:p w14:paraId="037621A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Cook S, Comi G, Rieckmann P, Rammohan K, Soelberg-Sorensen P et al. (2016) Safety and tolerability of cladribine tablets in patients with relapsing-remitting multiple sclerosis (RRMS): final results from the 120-week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extension trial to the CLARITY study. Swiss medical weekly 146 </w:t>
            </w:r>
          </w:p>
        </w:tc>
      </w:tr>
      <w:tr w:rsidR="00406AEC" w:rsidRPr="00406AEC" w14:paraId="3F4D54BB" w14:textId="77777777" w:rsidTr="00406AEC">
        <w:trPr>
          <w:trHeight w:val="300"/>
        </w:trPr>
        <w:tc>
          <w:tcPr>
            <w:tcW w:w="9360" w:type="dxa"/>
            <w:tcBorders>
              <w:top w:val="nil"/>
              <w:left w:val="nil"/>
              <w:bottom w:val="nil"/>
              <w:right w:val="nil"/>
            </w:tcBorders>
            <w:shd w:val="clear" w:color="auto" w:fill="auto"/>
            <w:noWrap/>
            <w:vAlign w:val="bottom"/>
            <w:hideMark/>
          </w:tcPr>
          <w:p w14:paraId="29EB349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Cookfair</w:t>
            </w:r>
            <w:proofErr w:type="spellEnd"/>
            <w:r w:rsidRPr="00713F1E">
              <w:rPr>
                <w:rFonts w:ascii="Times New Roman" w:eastAsia="Times New Roman" w:hAnsi="Times New Roman" w:cs="Times New Roman"/>
                <w:color w:val="000000"/>
                <w:szCs w:val="22"/>
                <w:lang w:val="fr-FR"/>
              </w:rPr>
              <w:t xml:space="preserve"> DL, Fischer J, </w:t>
            </w:r>
            <w:proofErr w:type="spellStart"/>
            <w:r w:rsidRPr="00713F1E">
              <w:rPr>
                <w:rFonts w:ascii="Times New Roman" w:eastAsia="Times New Roman" w:hAnsi="Times New Roman" w:cs="Times New Roman"/>
                <w:color w:val="000000"/>
                <w:szCs w:val="22"/>
                <w:lang w:val="fr-FR"/>
              </w:rPr>
              <w:t>Rudick</w:t>
            </w:r>
            <w:proofErr w:type="spellEnd"/>
            <w:r w:rsidRPr="00713F1E">
              <w:rPr>
                <w:rFonts w:ascii="Times New Roman" w:eastAsia="Times New Roman" w:hAnsi="Times New Roman" w:cs="Times New Roman"/>
                <w:color w:val="000000"/>
                <w:szCs w:val="22"/>
                <w:lang w:val="fr-FR"/>
              </w:rPr>
              <w:t xml:space="preserve"> R, </w:t>
            </w:r>
            <w:proofErr w:type="spellStart"/>
            <w:r w:rsidRPr="00713F1E">
              <w:rPr>
                <w:rFonts w:ascii="Times New Roman" w:eastAsia="Times New Roman" w:hAnsi="Times New Roman" w:cs="Times New Roman"/>
                <w:color w:val="000000"/>
                <w:szCs w:val="22"/>
                <w:lang w:val="fr-FR"/>
              </w:rPr>
              <w:t>Bourdette</w:t>
            </w:r>
            <w:proofErr w:type="spellEnd"/>
            <w:r w:rsidRPr="00713F1E">
              <w:rPr>
                <w:rFonts w:ascii="Times New Roman" w:eastAsia="Times New Roman" w:hAnsi="Times New Roman" w:cs="Times New Roman"/>
                <w:color w:val="000000"/>
                <w:szCs w:val="22"/>
                <w:lang w:val="fr-FR"/>
              </w:rPr>
              <w:t xml:space="preserve"> D, </w:t>
            </w:r>
            <w:proofErr w:type="spellStart"/>
            <w:r w:rsidRPr="00713F1E">
              <w:rPr>
                <w:rFonts w:ascii="Times New Roman" w:eastAsia="Times New Roman" w:hAnsi="Times New Roman" w:cs="Times New Roman"/>
                <w:color w:val="000000"/>
                <w:szCs w:val="22"/>
                <w:lang w:val="fr-FR"/>
              </w:rPr>
              <w:t>O'Reilly</w:t>
            </w:r>
            <w:proofErr w:type="spellEnd"/>
            <w:r w:rsidRPr="00713F1E">
              <w:rPr>
                <w:rFonts w:ascii="Times New Roman" w:eastAsia="Times New Roman" w:hAnsi="Times New Roman" w:cs="Times New Roman"/>
                <w:color w:val="000000"/>
                <w:szCs w:val="22"/>
                <w:lang w:val="fr-FR"/>
              </w:rPr>
              <w:t xml:space="preserve"> K et al. </w:t>
            </w:r>
            <w:r w:rsidRPr="00406AEC">
              <w:rPr>
                <w:rFonts w:ascii="Times New Roman" w:eastAsia="Times New Roman" w:hAnsi="Times New Roman" w:cs="Times New Roman"/>
                <w:color w:val="000000"/>
                <w:szCs w:val="22"/>
              </w:rPr>
              <w:t>(1996) Quality of life in low-disability multiple sclerosis patients participating in a phase III trial of interferon beta-1a for relapsing multiple sclerosis. Annals of Neurology 40 (3): 550.</w:t>
            </w:r>
          </w:p>
        </w:tc>
      </w:tr>
      <w:tr w:rsidR="00406AEC" w:rsidRPr="00406AEC" w14:paraId="7EB64D2C" w14:textId="77777777" w:rsidTr="00406AEC">
        <w:trPr>
          <w:trHeight w:val="300"/>
        </w:trPr>
        <w:tc>
          <w:tcPr>
            <w:tcW w:w="9360" w:type="dxa"/>
            <w:tcBorders>
              <w:top w:val="nil"/>
              <w:left w:val="nil"/>
              <w:bottom w:val="nil"/>
              <w:right w:val="nil"/>
            </w:tcBorders>
            <w:shd w:val="clear" w:color="auto" w:fill="auto"/>
            <w:noWrap/>
            <w:vAlign w:val="bottom"/>
            <w:hideMark/>
          </w:tcPr>
          <w:p w14:paraId="14B8558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 Gold R, Hartung H et al. Restore study: Effects of a 24-week natalizumab treatment interruption on immune parameters and multiple sclerosis magnetic resonance imaging disease activity. Neurology 78 (1 Meeting Abstract): CONFERENCE START: 2012 Apr 2021 CONFERENCE END: 2012 Apr 2028.</w:t>
            </w:r>
          </w:p>
        </w:tc>
      </w:tr>
      <w:tr w:rsidR="00406AEC" w:rsidRPr="00406AEC" w14:paraId="5D485804" w14:textId="77777777" w:rsidTr="00406AEC">
        <w:trPr>
          <w:trHeight w:val="300"/>
        </w:trPr>
        <w:tc>
          <w:tcPr>
            <w:tcW w:w="9360" w:type="dxa"/>
            <w:tcBorders>
              <w:top w:val="nil"/>
              <w:left w:val="nil"/>
              <w:bottom w:val="nil"/>
              <w:right w:val="nil"/>
            </w:tcBorders>
            <w:shd w:val="clear" w:color="auto" w:fill="auto"/>
            <w:noWrap/>
            <w:vAlign w:val="bottom"/>
            <w:hideMark/>
          </w:tcPr>
          <w:p w14:paraId="32BB7A1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 Gold R, Hartung H et al. Natalizumab effects during a 6-month dose interruption: Relationship of pharmacokinetic (PK), pharmacodynamic (PD), and MRI measurements.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3E4A7CFA" w14:textId="77777777" w:rsidTr="00406AEC">
        <w:trPr>
          <w:trHeight w:val="300"/>
        </w:trPr>
        <w:tc>
          <w:tcPr>
            <w:tcW w:w="9360" w:type="dxa"/>
            <w:tcBorders>
              <w:top w:val="nil"/>
              <w:left w:val="nil"/>
              <w:bottom w:val="nil"/>
              <w:right w:val="nil"/>
            </w:tcBorders>
            <w:shd w:val="clear" w:color="auto" w:fill="auto"/>
            <w:noWrap/>
            <w:vAlign w:val="bottom"/>
            <w:hideMark/>
          </w:tcPr>
          <w:p w14:paraId="3B65751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Cree BAC, Kappos L, Freedman MS, Cohen JA, Sprenger T et al. (2015) Long-term effects of fingolimod on NEDA by year of treatment.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302-303.</w:t>
            </w:r>
          </w:p>
        </w:tc>
      </w:tr>
      <w:tr w:rsidR="00406AEC" w:rsidRPr="00406AEC" w14:paraId="5DD8F6A0" w14:textId="77777777" w:rsidTr="00406AEC">
        <w:trPr>
          <w:trHeight w:val="300"/>
        </w:trPr>
        <w:tc>
          <w:tcPr>
            <w:tcW w:w="9360" w:type="dxa"/>
            <w:tcBorders>
              <w:top w:val="nil"/>
              <w:left w:val="nil"/>
              <w:bottom w:val="nil"/>
              <w:right w:val="nil"/>
            </w:tcBorders>
            <w:shd w:val="clear" w:color="auto" w:fill="auto"/>
            <w:noWrap/>
            <w:vAlign w:val="bottom"/>
            <w:hideMark/>
          </w:tcPr>
          <w:p w14:paraId="4AA9597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De Stefano N, Filippi M, Hawkins C (2008) Short-term combination of glatiramer acetate with IV steroid treatment preceding treatment with GA alone assessed by MRI-disease activity in patients with relapsing-remitting multiple sclerosis. Journal of the Neurological Sciences 266 (1-2): 44-50.</w:t>
            </w:r>
          </w:p>
        </w:tc>
      </w:tr>
      <w:tr w:rsidR="00406AEC" w:rsidRPr="00406AEC" w14:paraId="59599A2E" w14:textId="77777777" w:rsidTr="00406AEC">
        <w:trPr>
          <w:trHeight w:val="300"/>
        </w:trPr>
        <w:tc>
          <w:tcPr>
            <w:tcW w:w="9360" w:type="dxa"/>
            <w:tcBorders>
              <w:top w:val="nil"/>
              <w:left w:val="nil"/>
              <w:bottom w:val="nil"/>
              <w:right w:val="nil"/>
            </w:tcBorders>
            <w:shd w:val="clear" w:color="auto" w:fill="auto"/>
            <w:noWrap/>
            <w:vAlign w:val="bottom"/>
            <w:hideMark/>
          </w:tcPr>
          <w:p w14:paraId="677A494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De Stefano N, Sprenger T, Pia Sormani M, Havrdova E, Radue EW et al. </w:t>
            </w:r>
            <w:r w:rsidRPr="00406AEC">
              <w:rPr>
                <w:rFonts w:ascii="Times New Roman" w:eastAsia="Times New Roman" w:hAnsi="Times New Roman" w:cs="Times New Roman"/>
                <w:color w:val="000000"/>
                <w:szCs w:val="22"/>
              </w:rPr>
              <w:t xml:space="preserve">(2015) Impact of fingolimod on achieving no evidence of disease activity and worsening (NEDA)-4 in previously treated patients with high disease activity. Neurology 84 (18): </w:t>
            </w:r>
          </w:p>
        </w:tc>
      </w:tr>
      <w:tr w:rsidR="00406AEC" w:rsidRPr="00406AEC" w14:paraId="16E39C7D" w14:textId="77777777" w:rsidTr="00406AEC">
        <w:trPr>
          <w:trHeight w:val="300"/>
        </w:trPr>
        <w:tc>
          <w:tcPr>
            <w:tcW w:w="9360" w:type="dxa"/>
            <w:tcBorders>
              <w:top w:val="nil"/>
              <w:left w:val="nil"/>
              <w:bottom w:val="nil"/>
              <w:right w:val="nil"/>
            </w:tcBorders>
            <w:shd w:val="clear" w:color="auto" w:fill="auto"/>
            <w:noWrap/>
            <w:vAlign w:val="bottom"/>
            <w:hideMark/>
          </w:tcPr>
          <w:p w14:paraId="5D7CC6C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Debelic</w:t>
            </w:r>
            <w:proofErr w:type="spellEnd"/>
            <w:r w:rsidRPr="00406AEC">
              <w:rPr>
                <w:rFonts w:ascii="Times New Roman" w:eastAsia="Times New Roman" w:hAnsi="Times New Roman" w:cs="Times New Roman"/>
                <w:color w:val="000000"/>
                <w:szCs w:val="22"/>
              </w:rPr>
              <w:t xml:space="preserve"> D, </w:t>
            </w:r>
            <w:proofErr w:type="spellStart"/>
            <w:r w:rsidRPr="00406AEC">
              <w:rPr>
                <w:rFonts w:ascii="Times New Roman" w:eastAsia="Times New Roman" w:hAnsi="Times New Roman" w:cs="Times New Roman"/>
                <w:color w:val="000000"/>
                <w:szCs w:val="22"/>
              </w:rPr>
              <w:t>Jurjevic</w:t>
            </w:r>
            <w:proofErr w:type="spellEnd"/>
            <w:r w:rsidRPr="00406AEC">
              <w:rPr>
                <w:rFonts w:ascii="Times New Roman" w:eastAsia="Times New Roman" w:hAnsi="Times New Roman" w:cs="Times New Roman"/>
                <w:color w:val="000000"/>
                <w:szCs w:val="22"/>
              </w:rPr>
              <w:t xml:space="preserve"> A, Willheim K, </w:t>
            </w:r>
            <w:proofErr w:type="spellStart"/>
            <w:r w:rsidRPr="00406AEC">
              <w:rPr>
                <w:rFonts w:ascii="Times New Roman" w:eastAsia="Times New Roman" w:hAnsi="Times New Roman" w:cs="Times New Roman"/>
                <w:color w:val="000000"/>
                <w:szCs w:val="22"/>
              </w:rPr>
              <w:t>Sepcic</w:t>
            </w:r>
            <w:proofErr w:type="spellEnd"/>
            <w:r w:rsidRPr="00406AEC">
              <w:rPr>
                <w:rFonts w:ascii="Times New Roman" w:eastAsia="Times New Roman" w:hAnsi="Times New Roman" w:cs="Times New Roman"/>
                <w:color w:val="000000"/>
                <w:szCs w:val="22"/>
              </w:rPr>
              <w:t xml:space="preserve"> J (2001) Twice weekly low dose interferon-beta-1a in relapsing-remitting multiple sclerosis. Acta </w:t>
            </w:r>
            <w:proofErr w:type="spellStart"/>
            <w:r w:rsidRPr="00406AEC">
              <w:rPr>
                <w:rFonts w:ascii="Times New Roman" w:eastAsia="Times New Roman" w:hAnsi="Times New Roman" w:cs="Times New Roman"/>
                <w:color w:val="000000"/>
                <w:szCs w:val="22"/>
              </w:rPr>
              <w:t>Facultatis</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Medicae</w:t>
            </w:r>
            <w:proofErr w:type="spellEnd"/>
            <w:r w:rsidRPr="00406AEC">
              <w:rPr>
                <w:rFonts w:ascii="Times New Roman" w:eastAsia="Times New Roman" w:hAnsi="Times New Roman" w:cs="Times New Roman"/>
                <w:color w:val="000000"/>
                <w:szCs w:val="22"/>
              </w:rPr>
              <w:t xml:space="preserve"> Fluminensis 26 (1-2): 13-17.</w:t>
            </w:r>
          </w:p>
        </w:tc>
      </w:tr>
      <w:tr w:rsidR="00406AEC" w:rsidRPr="00406AEC" w14:paraId="074AE294" w14:textId="77777777" w:rsidTr="00406AEC">
        <w:trPr>
          <w:trHeight w:val="300"/>
        </w:trPr>
        <w:tc>
          <w:tcPr>
            <w:tcW w:w="9360" w:type="dxa"/>
            <w:tcBorders>
              <w:top w:val="nil"/>
              <w:left w:val="nil"/>
              <w:bottom w:val="nil"/>
              <w:right w:val="nil"/>
            </w:tcBorders>
            <w:shd w:val="clear" w:color="auto" w:fill="auto"/>
            <w:noWrap/>
            <w:vAlign w:val="bottom"/>
            <w:hideMark/>
          </w:tcPr>
          <w:p w14:paraId="34F71E1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Di Rezze S, Gupta S, Durastanti V, Millefiorini E, Pozzilli C et al. </w:t>
            </w:r>
            <w:r w:rsidRPr="00406AEC">
              <w:rPr>
                <w:rFonts w:ascii="Times New Roman" w:eastAsia="Times New Roman" w:hAnsi="Times New Roman" w:cs="Times New Roman"/>
                <w:color w:val="000000"/>
                <w:szCs w:val="22"/>
              </w:rPr>
              <w:t>(2007) An exploratory study on interferon beta dose effect in reducing size of enhancing lesions in multiple sclerosis. Multiple Sclerosis 13 (3): 343-347.</w:t>
            </w:r>
          </w:p>
        </w:tc>
      </w:tr>
      <w:tr w:rsidR="00406AEC" w:rsidRPr="00406AEC" w14:paraId="46EC92C1" w14:textId="77777777" w:rsidTr="00406AEC">
        <w:trPr>
          <w:trHeight w:val="300"/>
        </w:trPr>
        <w:tc>
          <w:tcPr>
            <w:tcW w:w="9360" w:type="dxa"/>
            <w:tcBorders>
              <w:top w:val="nil"/>
              <w:left w:val="nil"/>
              <w:bottom w:val="nil"/>
              <w:right w:val="nil"/>
            </w:tcBorders>
            <w:shd w:val="clear" w:color="auto" w:fill="auto"/>
            <w:noWrap/>
            <w:vAlign w:val="bottom"/>
            <w:hideMark/>
          </w:tcPr>
          <w:p w14:paraId="5EE3096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Disanto G, Gugleta K, Ecsedi M, Lienert C, Amato M et al. </w:t>
            </w:r>
            <w:r w:rsidRPr="00406AEC">
              <w:rPr>
                <w:rFonts w:ascii="Times New Roman" w:eastAsia="Times New Roman" w:hAnsi="Times New Roman" w:cs="Times New Roman"/>
                <w:color w:val="000000"/>
                <w:szCs w:val="22"/>
              </w:rPr>
              <w:t>(2016) A 10-year follow-up of the European multicenter trial of interferon beta-1b in secondary-progressive multiple sclerosis. Multiple sclerosis journal 22 (4): 533-543.</w:t>
            </w:r>
          </w:p>
        </w:tc>
      </w:tr>
      <w:tr w:rsidR="00406AEC" w:rsidRPr="00406AEC" w14:paraId="7055CA22" w14:textId="77777777" w:rsidTr="00406AEC">
        <w:trPr>
          <w:trHeight w:val="300"/>
        </w:trPr>
        <w:tc>
          <w:tcPr>
            <w:tcW w:w="9360" w:type="dxa"/>
            <w:tcBorders>
              <w:top w:val="nil"/>
              <w:left w:val="nil"/>
              <w:bottom w:val="nil"/>
              <w:right w:val="nil"/>
            </w:tcBorders>
            <w:shd w:val="clear" w:color="auto" w:fill="auto"/>
            <w:noWrap/>
            <w:vAlign w:val="bottom"/>
            <w:hideMark/>
          </w:tcPr>
          <w:p w14:paraId="7CC6C3E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Durelli L, Barbero P, Bergui M, Versino E, Bassano MA et al. </w:t>
            </w:r>
            <w:r w:rsidRPr="00406AEC">
              <w:rPr>
                <w:rFonts w:ascii="Times New Roman" w:eastAsia="Times New Roman" w:hAnsi="Times New Roman" w:cs="Times New Roman"/>
                <w:color w:val="000000"/>
                <w:szCs w:val="22"/>
              </w:rPr>
              <w:t xml:space="preserve">(2008) The </w:t>
            </w:r>
            <w:proofErr w:type="spellStart"/>
            <w:r w:rsidRPr="00406AEC">
              <w:rPr>
                <w:rFonts w:ascii="Times New Roman" w:eastAsia="Times New Roman" w:hAnsi="Times New Roman" w:cs="Times New Roman"/>
                <w:color w:val="000000"/>
                <w:szCs w:val="22"/>
              </w:rPr>
              <w:t>OPTimization</w:t>
            </w:r>
            <w:proofErr w:type="spellEnd"/>
            <w:r w:rsidRPr="00406AEC">
              <w:rPr>
                <w:rFonts w:ascii="Times New Roman" w:eastAsia="Times New Roman" w:hAnsi="Times New Roman" w:cs="Times New Roman"/>
                <w:color w:val="000000"/>
                <w:szCs w:val="22"/>
              </w:rPr>
              <w:t xml:space="preserve"> of Interferon for MS study: 375 mug interferon beta-1b in suboptimal responders. Journal of Neurology 255 (9): 1315-1323.</w:t>
            </w:r>
          </w:p>
        </w:tc>
      </w:tr>
      <w:tr w:rsidR="00406AEC" w:rsidRPr="00406AEC" w14:paraId="5BA65AAA" w14:textId="77777777" w:rsidTr="00406AEC">
        <w:trPr>
          <w:trHeight w:val="300"/>
        </w:trPr>
        <w:tc>
          <w:tcPr>
            <w:tcW w:w="9360" w:type="dxa"/>
            <w:tcBorders>
              <w:top w:val="nil"/>
              <w:left w:val="nil"/>
              <w:bottom w:val="nil"/>
              <w:right w:val="nil"/>
            </w:tcBorders>
            <w:shd w:val="clear" w:color="auto" w:fill="auto"/>
            <w:noWrap/>
            <w:vAlign w:val="bottom"/>
            <w:hideMark/>
          </w:tcPr>
          <w:p w14:paraId="26385F2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Durelli L, Ferrero B, Oggero A, Verdun E, Bongioanni MR et al. </w:t>
            </w:r>
            <w:r w:rsidRPr="00406AEC">
              <w:rPr>
                <w:rFonts w:ascii="Times New Roman" w:eastAsia="Times New Roman" w:hAnsi="Times New Roman" w:cs="Times New Roman"/>
                <w:color w:val="000000"/>
                <w:szCs w:val="22"/>
              </w:rPr>
              <w:t>(1999) Autoimmune events during interferon beta-1b treatment for multiple sclerosis. Journal of the Neurological Sciences 162 (1): 74-83.</w:t>
            </w:r>
          </w:p>
        </w:tc>
      </w:tr>
      <w:tr w:rsidR="00406AEC" w:rsidRPr="00406AEC" w14:paraId="173C500E" w14:textId="77777777" w:rsidTr="00406AEC">
        <w:trPr>
          <w:trHeight w:val="300"/>
        </w:trPr>
        <w:tc>
          <w:tcPr>
            <w:tcW w:w="9360" w:type="dxa"/>
            <w:tcBorders>
              <w:top w:val="nil"/>
              <w:left w:val="nil"/>
              <w:bottom w:val="nil"/>
              <w:right w:val="nil"/>
            </w:tcBorders>
            <w:shd w:val="clear" w:color="auto" w:fill="auto"/>
            <w:noWrap/>
            <w:vAlign w:val="bottom"/>
            <w:hideMark/>
          </w:tcPr>
          <w:p w14:paraId="17F1184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Durelli L, Oggero A, Verdun E, Barbero P, Pipieri A et al. </w:t>
            </w:r>
            <w:r w:rsidRPr="00406AEC">
              <w:rPr>
                <w:rFonts w:ascii="Times New Roman" w:eastAsia="Times New Roman" w:hAnsi="Times New Roman" w:cs="Times New Roman"/>
                <w:color w:val="000000"/>
                <w:szCs w:val="22"/>
              </w:rPr>
              <w:t>(2001) Interferon-beta dose and efficacy: The OPTIMS study. Neurological Sciences 22 (2): 201-203.</w:t>
            </w:r>
          </w:p>
        </w:tc>
      </w:tr>
      <w:tr w:rsidR="00406AEC" w:rsidRPr="00406AEC" w14:paraId="1896E214" w14:textId="77777777" w:rsidTr="00406AEC">
        <w:trPr>
          <w:trHeight w:val="300"/>
        </w:trPr>
        <w:tc>
          <w:tcPr>
            <w:tcW w:w="9360" w:type="dxa"/>
            <w:tcBorders>
              <w:top w:val="nil"/>
              <w:left w:val="nil"/>
              <w:bottom w:val="nil"/>
              <w:right w:val="nil"/>
            </w:tcBorders>
            <w:shd w:val="clear" w:color="auto" w:fill="auto"/>
            <w:noWrap/>
            <w:vAlign w:val="bottom"/>
            <w:hideMark/>
          </w:tcPr>
          <w:p w14:paraId="7FD7E5C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Ebers GC,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 Li D, Langdon D, Reder AT et al. (2010) Analysis of clinical outcomes according to original treatment groups 16 years after the pivotal IFNB-1b trial. Journal of neurology, neurosurgery, and psychiatry 81 (8): 907-912.</w:t>
            </w:r>
          </w:p>
        </w:tc>
      </w:tr>
      <w:tr w:rsidR="00406AEC" w:rsidRPr="00406AEC" w14:paraId="1A12733A" w14:textId="77777777" w:rsidTr="00406AEC">
        <w:trPr>
          <w:trHeight w:val="300"/>
        </w:trPr>
        <w:tc>
          <w:tcPr>
            <w:tcW w:w="9360" w:type="dxa"/>
            <w:tcBorders>
              <w:top w:val="nil"/>
              <w:left w:val="nil"/>
              <w:bottom w:val="nil"/>
              <w:right w:val="nil"/>
            </w:tcBorders>
            <w:shd w:val="clear" w:color="auto" w:fill="auto"/>
            <w:noWrap/>
            <w:vAlign w:val="bottom"/>
            <w:hideMark/>
          </w:tcPr>
          <w:p w14:paraId="6F6BEA8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AT (2011) A study to evaluate disease control and safety in patients with RRMS switching from natalizumab to fingolimod. http://wwwwhoint/trialsearch/Trial2aspx?TrialID=EUCTR2011 </w:t>
            </w:r>
          </w:p>
        </w:tc>
      </w:tr>
      <w:tr w:rsidR="00406AEC" w:rsidRPr="00406AEC" w14:paraId="047B5C04" w14:textId="77777777" w:rsidTr="00406AEC">
        <w:trPr>
          <w:trHeight w:val="300"/>
        </w:trPr>
        <w:tc>
          <w:tcPr>
            <w:tcW w:w="9360" w:type="dxa"/>
            <w:tcBorders>
              <w:top w:val="nil"/>
              <w:left w:val="nil"/>
              <w:bottom w:val="nil"/>
              <w:right w:val="nil"/>
            </w:tcBorders>
            <w:shd w:val="clear" w:color="auto" w:fill="auto"/>
            <w:noWrap/>
            <w:vAlign w:val="bottom"/>
            <w:hideMark/>
          </w:tcPr>
          <w:p w14:paraId="50DB348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(2010) A 3-month blinded, randomized, multicenter, </w:t>
            </w:r>
            <w:proofErr w:type="spellStart"/>
            <w:r w:rsidRPr="00406AEC">
              <w:rPr>
                <w:rFonts w:ascii="Times New Roman" w:eastAsia="Times New Roman" w:hAnsi="Times New Roman" w:cs="Times New Roman"/>
                <w:color w:val="000000"/>
                <w:szCs w:val="22"/>
              </w:rPr>
              <w:t>placebocontrolled</w:t>
            </w:r>
            <w:proofErr w:type="spellEnd"/>
            <w:r w:rsidRPr="00406AEC">
              <w:rPr>
                <w:rFonts w:ascii="Times New Roman" w:eastAsia="Times New Roman" w:hAnsi="Times New Roman" w:cs="Times New Roman"/>
                <w:color w:val="000000"/>
                <w:szCs w:val="22"/>
              </w:rPr>
              <w:t xml:space="preserve"> study to evaluate the effect of treatment with fingolimod on the immune response following seasonal influenza vaccination and tetanus toxoid booster injection in patients with relapsing forms of multiple sclerosis. http://wwwwhoint/trialsearch/Trial2aspx?TrialID=EUCTR2010 </w:t>
            </w:r>
          </w:p>
        </w:tc>
      </w:tr>
      <w:tr w:rsidR="00406AEC" w:rsidRPr="00406AEC" w14:paraId="24A40DAB" w14:textId="77777777" w:rsidTr="00406AEC">
        <w:trPr>
          <w:trHeight w:val="300"/>
        </w:trPr>
        <w:tc>
          <w:tcPr>
            <w:tcW w:w="9360" w:type="dxa"/>
            <w:tcBorders>
              <w:top w:val="nil"/>
              <w:left w:val="nil"/>
              <w:bottom w:val="nil"/>
              <w:right w:val="nil"/>
            </w:tcBorders>
            <w:shd w:val="clear" w:color="auto" w:fill="auto"/>
            <w:noWrap/>
            <w:vAlign w:val="bottom"/>
            <w:hideMark/>
          </w:tcPr>
          <w:p w14:paraId="0B85BCA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(2010) A Study to Evaluate the Effect of Different Doses of TYSABRI on Safety and Efficacy in Relapsing Multiple Sclerosis. http://wwwwhoint/trialsearch/Trial2aspx?TrialID=EUCTR2010 </w:t>
            </w:r>
          </w:p>
        </w:tc>
      </w:tr>
      <w:tr w:rsidR="00406AEC" w:rsidRPr="00406AEC" w14:paraId="41557263" w14:textId="77777777" w:rsidTr="00406AEC">
        <w:trPr>
          <w:trHeight w:val="300"/>
        </w:trPr>
        <w:tc>
          <w:tcPr>
            <w:tcW w:w="9360" w:type="dxa"/>
            <w:tcBorders>
              <w:top w:val="nil"/>
              <w:left w:val="nil"/>
              <w:bottom w:val="nil"/>
              <w:right w:val="nil"/>
            </w:tcBorders>
            <w:shd w:val="clear" w:color="auto" w:fill="auto"/>
            <w:noWrap/>
            <w:vAlign w:val="bottom"/>
            <w:hideMark/>
          </w:tcPr>
          <w:p w14:paraId="44AD244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(2012) Clinical study to compare the efficacy and safety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to placebo in subjects with active relapsing multiple sclerosis who are treated with dimethyl fumarate (Tecfidera(R)). http://wwwwhoint/trialsearch/Trial2aspx?TrialID=EUCTR2012 </w:t>
            </w:r>
          </w:p>
        </w:tc>
      </w:tr>
      <w:tr w:rsidR="00406AEC" w:rsidRPr="00406AEC" w14:paraId="7FB402A9" w14:textId="77777777" w:rsidTr="00406AEC">
        <w:trPr>
          <w:trHeight w:val="300"/>
        </w:trPr>
        <w:tc>
          <w:tcPr>
            <w:tcW w:w="9360" w:type="dxa"/>
            <w:tcBorders>
              <w:top w:val="nil"/>
              <w:left w:val="nil"/>
              <w:bottom w:val="nil"/>
              <w:right w:val="nil"/>
            </w:tcBorders>
            <w:shd w:val="clear" w:color="auto" w:fill="auto"/>
            <w:noWrap/>
            <w:vAlign w:val="bottom"/>
            <w:hideMark/>
          </w:tcPr>
          <w:p w14:paraId="06121B7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CZ (2012) Clinical study to compare the efficacy and safety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to placebo in subjects with active relapsing multiple sclerosis who are treated with dimethyl fumarate (Tecfidera(R)). http://wwwwhoint/trialsearch/Trial2aspx?TrialID=EUCTR2012 </w:t>
            </w:r>
          </w:p>
        </w:tc>
      </w:tr>
      <w:tr w:rsidR="00406AEC" w:rsidRPr="00406AEC" w14:paraId="4E099129" w14:textId="77777777" w:rsidTr="00406AEC">
        <w:trPr>
          <w:trHeight w:val="300"/>
        </w:trPr>
        <w:tc>
          <w:tcPr>
            <w:tcW w:w="9360" w:type="dxa"/>
            <w:tcBorders>
              <w:top w:val="nil"/>
              <w:left w:val="nil"/>
              <w:bottom w:val="nil"/>
              <w:right w:val="nil"/>
            </w:tcBorders>
            <w:shd w:val="clear" w:color="auto" w:fill="auto"/>
            <w:noWrap/>
            <w:vAlign w:val="bottom"/>
            <w:hideMark/>
          </w:tcPr>
          <w:p w14:paraId="37D6FF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DE (2009) Randomized Treatment Interruption of Natalizumab - RESTORE. http://wwwwhoint/trialsearch/Trial2aspx?TrialID=EUCTR2009 </w:t>
            </w:r>
          </w:p>
        </w:tc>
      </w:tr>
      <w:tr w:rsidR="00406AEC" w:rsidRPr="00406AEC" w14:paraId="46254A8C" w14:textId="77777777" w:rsidTr="00406AEC">
        <w:trPr>
          <w:trHeight w:val="300"/>
        </w:trPr>
        <w:tc>
          <w:tcPr>
            <w:tcW w:w="9360" w:type="dxa"/>
            <w:tcBorders>
              <w:top w:val="nil"/>
              <w:left w:val="nil"/>
              <w:bottom w:val="nil"/>
              <w:right w:val="nil"/>
            </w:tcBorders>
            <w:shd w:val="clear" w:color="auto" w:fill="auto"/>
            <w:noWrap/>
            <w:vAlign w:val="bottom"/>
            <w:hideMark/>
          </w:tcPr>
          <w:p w14:paraId="6012A3D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DK (2006) A Double 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Placebo Controlled Study Investigating Simvastatin as an add-on Treatment to Copaxone for the Treatment of Relapsing Multiple Sclerosis in patients treated with Copaxone for at least 3 months Study Phase: III - Simvastatin/Copaxone. http://wwwwhoint/trialsearch/Trial2aspx?TrialID=EUCTR2006 </w:t>
            </w:r>
          </w:p>
        </w:tc>
      </w:tr>
      <w:tr w:rsidR="00406AEC" w:rsidRPr="00406AEC" w14:paraId="4E5C90FB" w14:textId="77777777" w:rsidTr="00406AEC">
        <w:trPr>
          <w:trHeight w:val="300"/>
        </w:trPr>
        <w:tc>
          <w:tcPr>
            <w:tcW w:w="9360" w:type="dxa"/>
            <w:tcBorders>
              <w:top w:val="nil"/>
              <w:left w:val="nil"/>
              <w:bottom w:val="nil"/>
              <w:right w:val="nil"/>
            </w:tcBorders>
            <w:shd w:val="clear" w:color="auto" w:fill="auto"/>
            <w:noWrap/>
            <w:vAlign w:val="bottom"/>
            <w:hideMark/>
          </w:tcPr>
          <w:p w14:paraId="1FA9C0F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DK (2007) A double-blind, randomized, placebo-controlled, multicenter, dose-finding trial of ofatumumab in RRMS patients - Ofatumumab dose-finding in RRMS patients. http://wwwwhoint/trialsearch/Trial2aspx?TrialID=EUCTR2007 </w:t>
            </w:r>
          </w:p>
        </w:tc>
      </w:tr>
      <w:tr w:rsidR="00406AEC" w:rsidRPr="00406AEC" w14:paraId="489990E0" w14:textId="77777777" w:rsidTr="00406AEC">
        <w:trPr>
          <w:trHeight w:val="300"/>
        </w:trPr>
        <w:tc>
          <w:tcPr>
            <w:tcW w:w="9360" w:type="dxa"/>
            <w:tcBorders>
              <w:top w:val="nil"/>
              <w:left w:val="nil"/>
              <w:bottom w:val="nil"/>
              <w:right w:val="nil"/>
            </w:tcBorders>
            <w:shd w:val="clear" w:color="auto" w:fill="auto"/>
            <w:noWrap/>
            <w:vAlign w:val="bottom"/>
            <w:hideMark/>
          </w:tcPr>
          <w:p w14:paraId="5032D17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DK (2017) Randomized study with stem cell transplantation versus standard treatment with alemtuzumab in patients with relapsing remitting multiple sclerosis. http://wwwwhoint/trialsearch/Trial2aspx?TrialID=EUCTR2017 </w:t>
            </w:r>
          </w:p>
        </w:tc>
      </w:tr>
      <w:tr w:rsidR="00406AEC" w:rsidRPr="00406AEC" w14:paraId="2F095AE7" w14:textId="77777777" w:rsidTr="00406AEC">
        <w:trPr>
          <w:trHeight w:val="300"/>
        </w:trPr>
        <w:tc>
          <w:tcPr>
            <w:tcW w:w="9360" w:type="dxa"/>
            <w:tcBorders>
              <w:top w:val="nil"/>
              <w:left w:val="nil"/>
              <w:bottom w:val="nil"/>
              <w:right w:val="nil"/>
            </w:tcBorders>
            <w:shd w:val="clear" w:color="auto" w:fill="auto"/>
            <w:noWrap/>
            <w:vAlign w:val="bottom"/>
            <w:hideMark/>
          </w:tcPr>
          <w:p w14:paraId="4657BD6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Euctr</w:t>
            </w:r>
            <w:proofErr w:type="spellEnd"/>
            <w:r w:rsidRPr="00406AEC">
              <w:rPr>
                <w:rFonts w:ascii="Times New Roman" w:eastAsia="Times New Roman" w:hAnsi="Times New Roman" w:cs="Times New Roman"/>
                <w:color w:val="000000"/>
                <w:szCs w:val="22"/>
              </w:rPr>
              <w:t xml:space="preserve"> FI (2005) A Multi-</w:t>
            </w:r>
            <w:proofErr w:type="spellStart"/>
            <w:r w:rsidRPr="00406AEC">
              <w:rPr>
                <w:rFonts w:ascii="Times New Roman" w:eastAsia="Times New Roman" w:hAnsi="Times New Roman" w:cs="Times New Roman"/>
                <w:color w:val="000000"/>
                <w:szCs w:val="22"/>
              </w:rPr>
              <w:t>centre</w:t>
            </w:r>
            <w:proofErr w:type="spellEnd"/>
            <w:r w:rsidRPr="00406AEC">
              <w:rPr>
                <w:rFonts w:ascii="Times New Roman" w:eastAsia="Times New Roman" w:hAnsi="Times New Roman" w:cs="Times New Roman"/>
                <w:color w:val="000000"/>
                <w:szCs w:val="22"/>
              </w:rPr>
              <w:t xml:space="preserve">, Double 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Placebo Controlled, Parallel Group Study Investigating Simvastatin as an Add-on Treatment to Interferon-beta-1a for the Treatment of Relapsing-Remitting Multiple Sclerosis - SIMCOMBIN. http://wwwwhoint/trialsearch/Trial2aspx?TrialID=EUCTR2005 </w:t>
            </w:r>
          </w:p>
        </w:tc>
      </w:tr>
      <w:tr w:rsidR="00406AEC" w:rsidRPr="00406AEC" w14:paraId="0220F18F" w14:textId="77777777" w:rsidTr="00406AEC">
        <w:trPr>
          <w:trHeight w:val="300"/>
        </w:trPr>
        <w:tc>
          <w:tcPr>
            <w:tcW w:w="9360" w:type="dxa"/>
            <w:tcBorders>
              <w:top w:val="nil"/>
              <w:left w:val="nil"/>
              <w:bottom w:val="nil"/>
              <w:right w:val="nil"/>
            </w:tcBorders>
            <w:shd w:val="clear" w:color="auto" w:fill="auto"/>
            <w:noWrap/>
            <w:vAlign w:val="bottom"/>
            <w:hideMark/>
          </w:tcPr>
          <w:p w14:paraId="14F124E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FR (2008) A Dose-Blind, Multicenter, Extension Study to Determine the Long-Term Safety and Efficacy of Two Doses of BG00012 Monotherapy in Subjects with Relapsing-Remitting Multiple Sclerosis - N/A. http://wwwwhoint/trialsearch/Trial2aspx?TrialID=EUCTR2008 </w:t>
            </w:r>
          </w:p>
        </w:tc>
      </w:tr>
      <w:tr w:rsidR="00406AEC" w:rsidRPr="00406AEC" w14:paraId="54083F36" w14:textId="77777777" w:rsidTr="00406AEC">
        <w:trPr>
          <w:trHeight w:val="300"/>
        </w:trPr>
        <w:tc>
          <w:tcPr>
            <w:tcW w:w="9360" w:type="dxa"/>
            <w:tcBorders>
              <w:top w:val="nil"/>
              <w:left w:val="nil"/>
              <w:bottom w:val="nil"/>
              <w:right w:val="nil"/>
            </w:tcBorders>
            <w:shd w:val="clear" w:color="auto" w:fill="auto"/>
            <w:noWrap/>
            <w:vAlign w:val="bottom"/>
            <w:hideMark/>
          </w:tcPr>
          <w:p w14:paraId="44DFAD4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FR (2009) The Effect of the Dose of PI-2301 on Efficacy, Safety, and Tolerability, in Subjects with the Relapsing Remitting Form of Multiple Sclerosis: a Phase 2 Randomized, double-blind, four-arm, parallel, placebo-</w:t>
            </w:r>
            <w:proofErr w:type="gramStart"/>
            <w:r w:rsidRPr="00406AEC">
              <w:rPr>
                <w:rFonts w:ascii="Times New Roman" w:eastAsia="Times New Roman" w:hAnsi="Times New Roman" w:cs="Times New Roman"/>
                <w:color w:val="000000"/>
                <w:szCs w:val="22"/>
              </w:rPr>
              <w:t>controlled</w:t>
            </w:r>
            <w:proofErr w:type="gramEnd"/>
            <w:r w:rsidRPr="00406AEC">
              <w:rPr>
                <w:rFonts w:ascii="Times New Roman" w:eastAsia="Times New Roman" w:hAnsi="Times New Roman" w:cs="Times New Roman"/>
                <w:color w:val="000000"/>
                <w:szCs w:val="22"/>
              </w:rPr>
              <w:t xml:space="preserve"> and active descriptive-comparator, 40 week trial. http://wwwwhoint/trialsearch/Trial2aspx?TrialID=EUCTR2009 </w:t>
            </w:r>
          </w:p>
        </w:tc>
      </w:tr>
      <w:tr w:rsidR="00406AEC" w:rsidRPr="00406AEC" w14:paraId="20A190FD" w14:textId="77777777" w:rsidTr="00406AEC">
        <w:trPr>
          <w:trHeight w:val="300"/>
        </w:trPr>
        <w:tc>
          <w:tcPr>
            <w:tcW w:w="9360" w:type="dxa"/>
            <w:tcBorders>
              <w:top w:val="nil"/>
              <w:left w:val="nil"/>
              <w:bottom w:val="nil"/>
              <w:right w:val="nil"/>
            </w:tcBorders>
            <w:shd w:val="clear" w:color="auto" w:fill="auto"/>
            <w:noWrap/>
            <w:vAlign w:val="bottom"/>
            <w:hideMark/>
          </w:tcPr>
          <w:p w14:paraId="5B6DDC1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GB (2007) Long-term extension of the multinational, double-blind, placebo controlled study PDY6045 and PDY6046 to document the safety of teriflunomide when added to treatment with interferon-beta or glatiramer acetate in patients with multiple sclerosis with relapses. http://wwwwhoint/trialsearch/Trial2aspx?TrialID=EUCTR2007 </w:t>
            </w:r>
          </w:p>
        </w:tc>
      </w:tr>
      <w:tr w:rsidR="00406AEC" w:rsidRPr="00406AEC" w14:paraId="5624BE91" w14:textId="77777777" w:rsidTr="00406AEC">
        <w:trPr>
          <w:trHeight w:val="300"/>
        </w:trPr>
        <w:tc>
          <w:tcPr>
            <w:tcW w:w="9360" w:type="dxa"/>
            <w:tcBorders>
              <w:top w:val="nil"/>
              <w:left w:val="nil"/>
              <w:bottom w:val="nil"/>
              <w:right w:val="nil"/>
            </w:tcBorders>
            <w:shd w:val="clear" w:color="auto" w:fill="auto"/>
            <w:noWrap/>
            <w:vAlign w:val="bottom"/>
            <w:hideMark/>
          </w:tcPr>
          <w:p w14:paraId="7143EE9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GB (2011) Preventing patients with multiple sclerosis from developing side effects following treatment with alemtuzumab (Campath-1H). http://wwwwhoint/trialsearch/Trial2aspx?TrialID=EUCTR2011 </w:t>
            </w:r>
          </w:p>
        </w:tc>
      </w:tr>
      <w:tr w:rsidR="00406AEC" w:rsidRPr="00406AEC" w14:paraId="1F59F986" w14:textId="77777777" w:rsidTr="00406AEC">
        <w:trPr>
          <w:trHeight w:val="300"/>
        </w:trPr>
        <w:tc>
          <w:tcPr>
            <w:tcW w:w="9360" w:type="dxa"/>
            <w:tcBorders>
              <w:top w:val="nil"/>
              <w:left w:val="nil"/>
              <w:bottom w:val="nil"/>
              <w:right w:val="nil"/>
            </w:tcBorders>
            <w:shd w:val="clear" w:color="auto" w:fill="auto"/>
            <w:noWrap/>
            <w:vAlign w:val="bottom"/>
            <w:hideMark/>
          </w:tcPr>
          <w:p w14:paraId="5AAFA50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IE (2013) A study to evaluate the effect of aspirin on flushing in patients with RRMS treated with Tecfidera. http://wwwwhoint/trialsearch/Trial2aspx?TrialID=EUCTR2013 </w:t>
            </w:r>
          </w:p>
        </w:tc>
      </w:tr>
      <w:tr w:rsidR="00406AEC" w:rsidRPr="00406AEC" w14:paraId="24DA3C91" w14:textId="77777777" w:rsidTr="00406AEC">
        <w:trPr>
          <w:trHeight w:val="300"/>
        </w:trPr>
        <w:tc>
          <w:tcPr>
            <w:tcW w:w="9360" w:type="dxa"/>
            <w:tcBorders>
              <w:top w:val="nil"/>
              <w:left w:val="nil"/>
              <w:bottom w:val="nil"/>
              <w:right w:val="nil"/>
            </w:tcBorders>
            <w:shd w:val="clear" w:color="auto" w:fill="auto"/>
            <w:noWrap/>
            <w:vAlign w:val="bottom"/>
            <w:hideMark/>
          </w:tcPr>
          <w:p w14:paraId="59C63B3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(2006) A phase II, multicenter, randomized, double-blind, placebo-controlled, safety, </w:t>
            </w:r>
            <w:proofErr w:type="gramStart"/>
            <w:r w:rsidRPr="00406AEC">
              <w:rPr>
                <w:rFonts w:ascii="Times New Roman" w:eastAsia="Times New Roman" w:hAnsi="Times New Roman" w:cs="Times New Roman"/>
                <w:color w:val="000000"/>
                <w:szCs w:val="22"/>
              </w:rPr>
              <w:t>tolerability</w:t>
            </w:r>
            <w:proofErr w:type="gramEnd"/>
            <w:r w:rsidRPr="00406AEC">
              <w:rPr>
                <w:rFonts w:ascii="Times New Roman" w:eastAsia="Times New Roman" w:hAnsi="Times New Roman" w:cs="Times New Roman"/>
                <w:color w:val="000000"/>
                <w:szCs w:val="22"/>
              </w:rPr>
              <w:t xml:space="preserve"> and efficacy study of add-on Cladribine tablet therapy with Rebif New Formulation in Multiple </w:t>
            </w:r>
            <w:proofErr w:type="spellStart"/>
            <w:r w:rsidRPr="00406AEC">
              <w:rPr>
                <w:rFonts w:ascii="Times New Roman" w:eastAsia="Times New Roman" w:hAnsi="Times New Roman" w:cs="Times New Roman"/>
                <w:color w:val="000000"/>
                <w:szCs w:val="22"/>
              </w:rPr>
              <w:t>Scleroris</w:t>
            </w:r>
            <w:proofErr w:type="spellEnd"/>
            <w:r w:rsidRPr="00406AEC">
              <w:rPr>
                <w:rFonts w:ascii="Times New Roman" w:eastAsia="Times New Roman" w:hAnsi="Times New Roman" w:cs="Times New Roman"/>
                <w:color w:val="000000"/>
                <w:szCs w:val="22"/>
              </w:rPr>
              <w:t xml:space="preserve"> Subjects with Active Disease - Phase II Cladribine add-on to Rebif New Formulation in MS subjects with active disease. http://wwwwhoint/trialsearch/Trial2aspx?TrialID=EUCTR2006 </w:t>
            </w:r>
          </w:p>
        </w:tc>
      </w:tr>
      <w:tr w:rsidR="00406AEC" w:rsidRPr="00406AEC" w14:paraId="690B881B" w14:textId="77777777" w:rsidTr="00406AEC">
        <w:trPr>
          <w:trHeight w:val="300"/>
        </w:trPr>
        <w:tc>
          <w:tcPr>
            <w:tcW w:w="9360" w:type="dxa"/>
            <w:tcBorders>
              <w:top w:val="nil"/>
              <w:left w:val="nil"/>
              <w:bottom w:val="nil"/>
              <w:right w:val="nil"/>
            </w:tcBorders>
            <w:shd w:val="clear" w:color="auto" w:fill="auto"/>
            <w:noWrap/>
            <w:vAlign w:val="bottom"/>
            <w:hideMark/>
          </w:tcPr>
          <w:p w14:paraId="6352581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(2006) A randomized, multinational, double-blind, placebo-controlled, parallel-group design pilot study to estimate the tolerability, safety, pharmacokinetics, and pharmacodynamic effects of teriflunomide for 24 weeks when added to treatment with glatiramer acetate in subjects with multiple sclerosis - ND. http://wwwwhoint/trialsearch/Trial2aspx?TrialID=EUCTR2006 </w:t>
            </w:r>
          </w:p>
        </w:tc>
      </w:tr>
      <w:tr w:rsidR="00406AEC" w:rsidRPr="00406AEC" w14:paraId="6D992777" w14:textId="77777777" w:rsidTr="00406AEC">
        <w:trPr>
          <w:trHeight w:val="300"/>
        </w:trPr>
        <w:tc>
          <w:tcPr>
            <w:tcW w:w="9360" w:type="dxa"/>
            <w:tcBorders>
              <w:top w:val="nil"/>
              <w:left w:val="nil"/>
              <w:bottom w:val="nil"/>
              <w:right w:val="nil"/>
            </w:tcBorders>
            <w:shd w:val="clear" w:color="auto" w:fill="auto"/>
            <w:noWrap/>
            <w:vAlign w:val="bottom"/>
            <w:hideMark/>
          </w:tcPr>
          <w:p w14:paraId="7A7174C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(2006) A randomized, multinational, double-blind, placebo-controlled, parallel-group design pilot study to estimate the tolerability, safety, pharmacokinetics, and pharmacodynamic effects of teriflunomide for 24 weeks when added to treatment with interferon-beta in subjects with multiple sclerosis - ND. http://wwwwhoint/trialsearch/Trial2aspx?TrialID=EUCTR2006 </w:t>
            </w:r>
          </w:p>
        </w:tc>
      </w:tr>
      <w:tr w:rsidR="00406AEC" w:rsidRPr="00406AEC" w14:paraId="407AF9C3" w14:textId="77777777" w:rsidTr="00406AEC">
        <w:trPr>
          <w:trHeight w:val="300"/>
        </w:trPr>
        <w:tc>
          <w:tcPr>
            <w:tcW w:w="9360" w:type="dxa"/>
            <w:tcBorders>
              <w:top w:val="nil"/>
              <w:left w:val="nil"/>
              <w:bottom w:val="nil"/>
              <w:right w:val="nil"/>
            </w:tcBorders>
            <w:shd w:val="clear" w:color="auto" w:fill="auto"/>
            <w:noWrap/>
            <w:vAlign w:val="bottom"/>
            <w:hideMark/>
          </w:tcPr>
          <w:p w14:paraId="278BFD2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(2011) A clinical trial to test if NU100 is safe and can treat patient with relapsing types of multiple sclerosis. http://wwwwhoint/trialsearch/Trial2aspx?TrialID=EUCTR2011 </w:t>
            </w:r>
          </w:p>
        </w:tc>
      </w:tr>
      <w:tr w:rsidR="00406AEC" w:rsidRPr="00406AEC" w14:paraId="68E596BC" w14:textId="77777777" w:rsidTr="00406AEC">
        <w:trPr>
          <w:trHeight w:val="300"/>
        </w:trPr>
        <w:tc>
          <w:tcPr>
            <w:tcW w:w="9360" w:type="dxa"/>
            <w:tcBorders>
              <w:top w:val="nil"/>
              <w:left w:val="nil"/>
              <w:bottom w:val="nil"/>
              <w:right w:val="nil"/>
            </w:tcBorders>
            <w:shd w:val="clear" w:color="auto" w:fill="auto"/>
            <w:noWrap/>
            <w:vAlign w:val="bottom"/>
            <w:hideMark/>
          </w:tcPr>
          <w:p w14:paraId="48CC83B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PT (2007) A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Double-Blind, Placebo-Controlled, Multicenter, Parallel Group, Extension Trial to Evaluate the Safety and Tolerability of Oral Cladribine in Subjects with Relapsing-Remitting Multiple Sclerosis Who Have Completed Trial 25643 (CLARITY). http://wwwwhoint/trialsearch/Trial2aspx?TrialID=EUCTR2007 </w:t>
            </w:r>
          </w:p>
        </w:tc>
      </w:tr>
      <w:tr w:rsidR="00406AEC" w:rsidRPr="00406AEC" w14:paraId="59C93740" w14:textId="77777777" w:rsidTr="00406AEC">
        <w:trPr>
          <w:trHeight w:val="300"/>
        </w:trPr>
        <w:tc>
          <w:tcPr>
            <w:tcW w:w="9360" w:type="dxa"/>
            <w:tcBorders>
              <w:top w:val="nil"/>
              <w:left w:val="nil"/>
              <w:bottom w:val="nil"/>
              <w:right w:val="nil"/>
            </w:tcBorders>
            <w:shd w:val="clear" w:color="auto" w:fill="auto"/>
            <w:noWrap/>
            <w:vAlign w:val="bottom"/>
            <w:hideMark/>
          </w:tcPr>
          <w:p w14:paraId="4AD49E4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Euctr</w:t>
            </w:r>
            <w:proofErr w:type="spellEnd"/>
            <w:r w:rsidRPr="00406AEC">
              <w:rPr>
                <w:rFonts w:ascii="Times New Roman" w:eastAsia="Times New Roman" w:hAnsi="Times New Roman" w:cs="Times New Roman"/>
                <w:color w:val="000000"/>
                <w:szCs w:val="22"/>
              </w:rPr>
              <w:t xml:space="preserve"> SE (2008) A multi-</w:t>
            </w:r>
            <w:proofErr w:type="spellStart"/>
            <w:r w:rsidRPr="00406AEC">
              <w:rPr>
                <w:rFonts w:ascii="Times New Roman" w:eastAsia="Times New Roman" w:hAnsi="Times New Roman" w:cs="Times New Roman"/>
                <w:color w:val="000000"/>
                <w:szCs w:val="22"/>
              </w:rPr>
              <w:t>centre</w:t>
            </w:r>
            <w:proofErr w:type="spellEnd"/>
            <w:r w:rsidRPr="00406AEC">
              <w:rPr>
                <w:rFonts w:ascii="Times New Roman" w:eastAsia="Times New Roman" w:hAnsi="Times New Roman" w:cs="Times New Roman"/>
                <w:color w:val="000000"/>
                <w:szCs w:val="22"/>
              </w:rPr>
              <w:t xml:space="preserve"> and prospective trial to evaluate the effects on </w:t>
            </w:r>
            <w:proofErr w:type="spellStart"/>
            <w:r w:rsidRPr="00406AEC">
              <w:rPr>
                <w:rFonts w:ascii="Times New Roman" w:eastAsia="Times New Roman" w:hAnsi="Times New Roman" w:cs="Times New Roman"/>
                <w:color w:val="000000"/>
                <w:szCs w:val="22"/>
              </w:rPr>
              <w:t>mul</w:t>
            </w:r>
            <w:proofErr w:type="spellEnd"/>
            <w:r w:rsidRPr="00406AEC">
              <w:rPr>
                <w:rFonts w:ascii="Times New Roman" w:eastAsia="Times New Roman" w:hAnsi="Times New Roman" w:cs="Times New Roman"/>
                <w:color w:val="000000"/>
                <w:szCs w:val="22"/>
              </w:rPr>
              <w:t xml:space="preserve">-tiple sclerosis related fatigue during treatment with Tysabri(R) in patients with relapsing remitting multiple sclerosis over the course of 12 months - TYNERGY. http://wwwwhoint/trialsearch/Trial2aspx?TrialID=EUCTR2008 </w:t>
            </w:r>
          </w:p>
        </w:tc>
      </w:tr>
      <w:tr w:rsidR="00406AEC" w:rsidRPr="00406AEC" w14:paraId="5F717F0C" w14:textId="77777777" w:rsidTr="00406AEC">
        <w:trPr>
          <w:trHeight w:val="300"/>
        </w:trPr>
        <w:tc>
          <w:tcPr>
            <w:tcW w:w="9360" w:type="dxa"/>
            <w:tcBorders>
              <w:top w:val="nil"/>
              <w:left w:val="nil"/>
              <w:bottom w:val="nil"/>
              <w:right w:val="nil"/>
            </w:tcBorders>
            <w:shd w:val="clear" w:color="auto" w:fill="auto"/>
            <w:noWrap/>
            <w:vAlign w:val="bottom"/>
            <w:hideMark/>
          </w:tcPr>
          <w:p w14:paraId="17597F3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Fernandez O, </w:t>
            </w:r>
            <w:proofErr w:type="spellStart"/>
            <w:r w:rsidRPr="00406AEC">
              <w:rPr>
                <w:rFonts w:ascii="Times New Roman" w:eastAsia="Times New Roman" w:hAnsi="Times New Roman" w:cs="Times New Roman"/>
                <w:color w:val="000000"/>
                <w:szCs w:val="22"/>
              </w:rPr>
              <w:t>Antiquedad</w:t>
            </w:r>
            <w:proofErr w:type="spellEnd"/>
            <w:r w:rsidRPr="00406AEC">
              <w:rPr>
                <w:rFonts w:ascii="Times New Roman" w:eastAsia="Times New Roman" w:hAnsi="Times New Roman" w:cs="Times New Roman"/>
                <w:color w:val="000000"/>
                <w:szCs w:val="22"/>
              </w:rPr>
              <w:t xml:space="preserve"> A, Arbizu T, Capdevila A, e Castro P et al. (1995) Treatment of relapsing-remitting multiple sclerosis with natural interferon beta: a multicenter, randomized clinical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 Suppl 1 S67-69.</w:t>
            </w:r>
          </w:p>
        </w:tc>
      </w:tr>
      <w:tr w:rsidR="00406AEC" w:rsidRPr="00406AEC" w14:paraId="1B5733C2" w14:textId="77777777" w:rsidTr="00406AEC">
        <w:trPr>
          <w:trHeight w:val="300"/>
        </w:trPr>
        <w:tc>
          <w:tcPr>
            <w:tcW w:w="9360" w:type="dxa"/>
            <w:tcBorders>
              <w:top w:val="nil"/>
              <w:left w:val="nil"/>
              <w:bottom w:val="nil"/>
              <w:right w:val="nil"/>
            </w:tcBorders>
            <w:shd w:val="clear" w:color="auto" w:fill="auto"/>
            <w:noWrap/>
            <w:vAlign w:val="bottom"/>
            <w:hideMark/>
          </w:tcPr>
          <w:p w14:paraId="2023E00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Filippi M, Wolinsky JS, Comi G (2006) Effects of oral glatiramer acetate on clinical and MRI-monitored disease activity in patients with relapsing multiple sclerosis: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double-blind,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placebo-controlled study. Lancet Neurology 5 (3): 213-220.</w:t>
            </w:r>
          </w:p>
        </w:tc>
      </w:tr>
      <w:tr w:rsidR="00406AEC" w:rsidRPr="00406AEC" w14:paraId="13048F71" w14:textId="77777777" w:rsidTr="00406AEC">
        <w:trPr>
          <w:trHeight w:val="300"/>
        </w:trPr>
        <w:tc>
          <w:tcPr>
            <w:tcW w:w="9360" w:type="dxa"/>
            <w:tcBorders>
              <w:top w:val="nil"/>
              <w:left w:val="nil"/>
              <w:bottom w:val="nil"/>
              <w:right w:val="nil"/>
            </w:tcBorders>
            <w:shd w:val="clear" w:color="auto" w:fill="auto"/>
            <w:noWrap/>
            <w:vAlign w:val="bottom"/>
            <w:hideMark/>
          </w:tcPr>
          <w:p w14:paraId="7B69559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Fisher E, Rudick RA, Cutter G, Baier M, Miller D et al. (2000) Relationship between brain atrophy and disability: An 8-year follow-up study of multiple sclerosis patients. Multiple Sclerosis 6 (6): 373-377.</w:t>
            </w:r>
          </w:p>
        </w:tc>
      </w:tr>
      <w:tr w:rsidR="00406AEC" w:rsidRPr="00406AEC" w14:paraId="5BC1438E" w14:textId="77777777" w:rsidTr="00406AEC">
        <w:trPr>
          <w:trHeight w:val="300"/>
        </w:trPr>
        <w:tc>
          <w:tcPr>
            <w:tcW w:w="9360" w:type="dxa"/>
            <w:tcBorders>
              <w:top w:val="nil"/>
              <w:left w:val="nil"/>
              <w:bottom w:val="nil"/>
              <w:right w:val="nil"/>
            </w:tcBorders>
            <w:shd w:val="clear" w:color="auto" w:fill="auto"/>
            <w:noWrap/>
            <w:vAlign w:val="bottom"/>
            <w:hideMark/>
          </w:tcPr>
          <w:p w14:paraId="30FFADF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Fisher E, Rudick RA, Simon JH, Cutter G, Baier M et al. (2002) Eight-year follow-up study of brain atrophy in patients with MS. Neurology 59 (9): 1412-1420.</w:t>
            </w:r>
          </w:p>
        </w:tc>
      </w:tr>
      <w:tr w:rsidR="00406AEC" w:rsidRPr="00406AEC" w14:paraId="3D6FC157" w14:textId="77777777" w:rsidTr="00406AEC">
        <w:trPr>
          <w:trHeight w:val="300"/>
        </w:trPr>
        <w:tc>
          <w:tcPr>
            <w:tcW w:w="9360" w:type="dxa"/>
            <w:tcBorders>
              <w:top w:val="nil"/>
              <w:left w:val="nil"/>
              <w:bottom w:val="nil"/>
              <w:right w:val="nil"/>
            </w:tcBorders>
            <w:shd w:val="clear" w:color="auto" w:fill="auto"/>
            <w:noWrap/>
            <w:vAlign w:val="bottom"/>
            <w:hideMark/>
          </w:tcPr>
          <w:p w14:paraId="2049773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Flechter</w:t>
            </w:r>
            <w:proofErr w:type="spellEnd"/>
            <w:r w:rsidRPr="00406AEC">
              <w:rPr>
                <w:rFonts w:ascii="Times New Roman" w:eastAsia="Times New Roman" w:hAnsi="Times New Roman" w:cs="Times New Roman"/>
                <w:color w:val="000000"/>
                <w:szCs w:val="22"/>
              </w:rPr>
              <w:t xml:space="preserve"> S, Kott E, Steiner-</w:t>
            </w:r>
            <w:proofErr w:type="spellStart"/>
            <w:r w:rsidRPr="00406AEC">
              <w:rPr>
                <w:rFonts w:ascii="Times New Roman" w:eastAsia="Times New Roman" w:hAnsi="Times New Roman" w:cs="Times New Roman"/>
                <w:color w:val="000000"/>
                <w:szCs w:val="22"/>
              </w:rPr>
              <w:t>Birmanns</w:t>
            </w:r>
            <w:proofErr w:type="spellEnd"/>
            <w:r w:rsidRPr="00406AEC">
              <w:rPr>
                <w:rFonts w:ascii="Times New Roman" w:eastAsia="Times New Roman" w:hAnsi="Times New Roman" w:cs="Times New Roman"/>
                <w:color w:val="000000"/>
                <w:szCs w:val="22"/>
              </w:rPr>
              <w:t xml:space="preserve"> B, </w:t>
            </w:r>
            <w:proofErr w:type="spellStart"/>
            <w:r w:rsidRPr="00406AEC">
              <w:rPr>
                <w:rFonts w:ascii="Times New Roman" w:eastAsia="Times New Roman" w:hAnsi="Times New Roman" w:cs="Times New Roman"/>
                <w:color w:val="000000"/>
                <w:szCs w:val="22"/>
              </w:rPr>
              <w:t>Nisipeanu</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Korczyn</w:t>
            </w:r>
            <w:proofErr w:type="spellEnd"/>
            <w:r w:rsidRPr="00406AEC">
              <w:rPr>
                <w:rFonts w:ascii="Times New Roman" w:eastAsia="Times New Roman" w:hAnsi="Times New Roman" w:cs="Times New Roman"/>
                <w:color w:val="000000"/>
                <w:szCs w:val="22"/>
              </w:rPr>
              <w:t xml:space="preserve"> AD (2002) Copolymer 1 (Glatiramer Acetate) in relapsing forms of multiple sclerosis: Open multicenter study of alternate-day administration. Clinical Neuropharmacology 25 (1): 11-15.</w:t>
            </w:r>
          </w:p>
        </w:tc>
      </w:tr>
      <w:tr w:rsidR="00406AEC" w:rsidRPr="00406AEC" w14:paraId="06C3BA7D" w14:textId="77777777" w:rsidTr="00406AEC">
        <w:trPr>
          <w:trHeight w:val="300"/>
        </w:trPr>
        <w:tc>
          <w:tcPr>
            <w:tcW w:w="9360" w:type="dxa"/>
            <w:tcBorders>
              <w:top w:val="nil"/>
              <w:left w:val="nil"/>
              <w:bottom w:val="nil"/>
              <w:right w:val="nil"/>
            </w:tcBorders>
            <w:shd w:val="clear" w:color="auto" w:fill="auto"/>
            <w:noWrap/>
            <w:vAlign w:val="bottom"/>
            <w:hideMark/>
          </w:tcPr>
          <w:p w14:paraId="0358F5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Ford C, Barnett-</w:t>
            </w:r>
            <w:proofErr w:type="spellStart"/>
            <w:r w:rsidRPr="00406AEC">
              <w:rPr>
                <w:rFonts w:ascii="Times New Roman" w:eastAsia="Times New Roman" w:hAnsi="Times New Roman" w:cs="Times New Roman"/>
                <w:color w:val="000000"/>
                <w:szCs w:val="22"/>
              </w:rPr>
              <w:t>Griness</w:t>
            </w:r>
            <w:proofErr w:type="spellEnd"/>
            <w:r w:rsidRPr="00406AEC">
              <w:rPr>
                <w:rFonts w:ascii="Times New Roman" w:eastAsia="Times New Roman" w:hAnsi="Times New Roman" w:cs="Times New Roman"/>
                <w:color w:val="000000"/>
                <w:szCs w:val="22"/>
              </w:rPr>
              <w:t xml:space="preserve"> O, Alexander J, </w:t>
            </w:r>
            <w:proofErr w:type="spellStart"/>
            <w:r w:rsidRPr="00406AEC">
              <w:rPr>
                <w:rFonts w:ascii="Times New Roman" w:eastAsia="Times New Roman" w:hAnsi="Times New Roman" w:cs="Times New Roman"/>
                <w:color w:val="000000"/>
                <w:szCs w:val="22"/>
              </w:rPr>
              <w:t>Rubinchick</w:t>
            </w:r>
            <w:proofErr w:type="spellEnd"/>
            <w:r w:rsidRPr="00406AEC">
              <w:rPr>
                <w:rFonts w:ascii="Times New Roman" w:eastAsia="Times New Roman" w:hAnsi="Times New Roman" w:cs="Times New Roman"/>
                <w:color w:val="000000"/>
                <w:szCs w:val="22"/>
              </w:rPr>
              <w:t xml:space="preserve"> S, Stark Y (2019) Twenty-five years of continuous treatment of multiple sclerosis with glatiramer acetate: long-term safety results of the us open-label extension study. Multiple sclerosis journal 25 (54): </w:t>
            </w:r>
          </w:p>
        </w:tc>
      </w:tr>
      <w:tr w:rsidR="00406AEC" w:rsidRPr="00406AEC" w14:paraId="36824F6A" w14:textId="77777777" w:rsidTr="00406AEC">
        <w:trPr>
          <w:trHeight w:val="300"/>
        </w:trPr>
        <w:tc>
          <w:tcPr>
            <w:tcW w:w="9360" w:type="dxa"/>
            <w:tcBorders>
              <w:top w:val="nil"/>
              <w:left w:val="nil"/>
              <w:bottom w:val="nil"/>
              <w:right w:val="nil"/>
            </w:tcBorders>
            <w:shd w:val="clear" w:color="auto" w:fill="auto"/>
            <w:noWrap/>
            <w:vAlign w:val="bottom"/>
            <w:hideMark/>
          </w:tcPr>
          <w:p w14:paraId="1DD604C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Ford C, Cohen J, Goodman A, Lindsey J, Lisak R et al. (2018) Twenty-five years of continuous treatment of multiple sclerosis with glatiramer acetate: long-term clinical results of the US open-label extension study. Multiple sclerosis journal 24 (2): 285-.</w:t>
            </w:r>
          </w:p>
        </w:tc>
      </w:tr>
      <w:tr w:rsidR="00406AEC" w:rsidRPr="00406AEC" w14:paraId="26A5E294" w14:textId="77777777" w:rsidTr="00406AEC">
        <w:trPr>
          <w:trHeight w:val="300"/>
        </w:trPr>
        <w:tc>
          <w:tcPr>
            <w:tcW w:w="9360" w:type="dxa"/>
            <w:tcBorders>
              <w:top w:val="nil"/>
              <w:left w:val="nil"/>
              <w:bottom w:val="nil"/>
              <w:right w:val="nil"/>
            </w:tcBorders>
            <w:shd w:val="clear" w:color="auto" w:fill="auto"/>
            <w:noWrap/>
            <w:vAlign w:val="bottom"/>
            <w:hideMark/>
          </w:tcPr>
          <w:p w14:paraId="402D586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E, Edwards K, Burch G, Wynn DR, </w:t>
            </w:r>
            <w:proofErr w:type="spellStart"/>
            <w:r w:rsidRPr="00406AEC">
              <w:rPr>
                <w:rFonts w:ascii="Times New Roman" w:eastAsia="Times New Roman" w:hAnsi="Times New Roman" w:cs="Times New Roman"/>
                <w:color w:val="000000"/>
                <w:szCs w:val="22"/>
              </w:rPr>
              <w:t>Laganke</w:t>
            </w:r>
            <w:proofErr w:type="spellEnd"/>
            <w:r w:rsidRPr="00406AEC">
              <w:rPr>
                <w:rFonts w:ascii="Times New Roman" w:eastAsia="Times New Roman" w:hAnsi="Times New Roman" w:cs="Times New Roman"/>
                <w:color w:val="000000"/>
                <w:szCs w:val="22"/>
              </w:rPr>
              <w:t xml:space="preserve"> C et al. (2014) Outcomes of switching directly to oral fingolimod from injectable therapies: Results of the randomized, open-label, multicenter, Evaluate Patient </w:t>
            </w:r>
            <w:proofErr w:type="spellStart"/>
            <w:r w:rsidRPr="00406AEC">
              <w:rPr>
                <w:rFonts w:ascii="Times New Roman" w:eastAsia="Times New Roman" w:hAnsi="Times New Roman" w:cs="Times New Roman"/>
                <w:color w:val="000000"/>
                <w:szCs w:val="22"/>
              </w:rPr>
              <w:t>OutComes</w:t>
            </w:r>
            <w:proofErr w:type="spellEnd"/>
            <w:r w:rsidRPr="00406AEC">
              <w:rPr>
                <w:rFonts w:ascii="Times New Roman" w:eastAsia="Times New Roman" w:hAnsi="Times New Roman" w:cs="Times New Roman"/>
                <w:color w:val="000000"/>
                <w:szCs w:val="22"/>
              </w:rPr>
              <w:t xml:space="preserve"> (EPOC) study in relapsing multiple sclerosis. Multiple Sclerosis and Related Disorders 3 (5): 607-619.</w:t>
            </w:r>
          </w:p>
        </w:tc>
      </w:tr>
      <w:tr w:rsidR="00406AEC" w:rsidRPr="00406AEC" w14:paraId="1731124B" w14:textId="77777777" w:rsidTr="00406AEC">
        <w:trPr>
          <w:trHeight w:val="300"/>
        </w:trPr>
        <w:tc>
          <w:tcPr>
            <w:tcW w:w="9360" w:type="dxa"/>
            <w:tcBorders>
              <w:top w:val="nil"/>
              <w:left w:val="nil"/>
              <w:bottom w:val="nil"/>
              <w:right w:val="nil"/>
            </w:tcBorders>
            <w:shd w:val="clear" w:color="auto" w:fill="auto"/>
            <w:noWrap/>
            <w:vAlign w:val="bottom"/>
            <w:hideMark/>
          </w:tcPr>
          <w:p w14:paraId="44F21C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Fox R, </w:t>
            </w: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Cree B, Kaufman M, </w:t>
            </w:r>
            <w:proofErr w:type="spellStart"/>
            <w:r w:rsidRPr="00713F1E">
              <w:rPr>
                <w:rFonts w:ascii="Times New Roman" w:eastAsia="Times New Roman" w:hAnsi="Times New Roman" w:cs="Times New Roman"/>
                <w:color w:val="000000"/>
                <w:szCs w:val="22"/>
                <w:lang w:val="fr-FR"/>
              </w:rPr>
              <w:t>Jeffery</w:t>
            </w:r>
            <w:proofErr w:type="spellEnd"/>
            <w:r w:rsidRPr="00713F1E">
              <w:rPr>
                <w:rFonts w:ascii="Times New Roman" w:eastAsia="Times New Roman" w:hAnsi="Times New Roman" w:cs="Times New Roman"/>
                <w:color w:val="000000"/>
                <w:szCs w:val="22"/>
                <w:lang w:val="fr-FR"/>
              </w:rPr>
              <w:t xml:space="preserve"> D et al. </w:t>
            </w:r>
            <w:r w:rsidRPr="00406AEC">
              <w:rPr>
                <w:rFonts w:ascii="Times New Roman" w:eastAsia="Times New Roman" w:hAnsi="Times New Roman" w:cs="Times New Roman"/>
                <w:color w:val="000000"/>
                <w:szCs w:val="22"/>
              </w:rPr>
              <w:t>Effects of a 24-week natalizumab treatment interruption on clinical and radiologic parameters of multiple sclerosis disease activity: The RESTORE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S509-S510.</w:t>
            </w:r>
          </w:p>
        </w:tc>
      </w:tr>
      <w:tr w:rsidR="00406AEC" w:rsidRPr="00406AEC" w14:paraId="62736D07" w14:textId="77777777" w:rsidTr="00406AEC">
        <w:trPr>
          <w:trHeight w:val="300"/>
        </w:trPr>
        <w:tc>
          <w:tcPr>
            <w:tcW w:w="9360" w:type="dxa"/>
            <w:tcBorders>
              <w:top w:val="nil"/>
              <w:left w:val="nil"/>
              <w:bottom w:val="nil"/>
              <w:right w:val="nil"/>
            </w:tcBorders>
            <w:shd w:val="clear" w:color="auto" w:fill="auto"/>
            <w:noWrap/>
            <w:vAlign w:val="bottom"/>
            <w:hideMark/>
          </w:tcPr>
          <w:p w14:paraId="5097967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Chan A, Gold R, Phillips JT,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(2016) Characterizing absolute lymphocyte count profiles in dimethyl </w:t>
            </w:r>
            <w:proofErr w:type="spellStart"/>
            <w:r w:rsidRPr="00406AEC">
              <w:rPr>
                <w:rFonts w:ascii="Times New Roman" w:eastAsia="Times New Roman" w:hAnsi="Times New Roman" w:cs="Times New Roman"/>
                <w:color w:val="000000"/>
                <w:szCs w:val="22"/>
              </w:rPr>
              <w:t>fumarate'treated</w:t>
            </w:r>
            <w:proofErr w:type="spellEnd"/>
            <w:r w:rsidRPr="00406AEC">
              <w:rPr>
                <w:rFonts w:ascii="Times New Roman" w:eastAsia="Times New Roman" w:hAnsi="Times New Roman" w:cs="Times New Roman"/>
                <w:color w:val="000000"/>
                <w:szCs w:val="22"/>
              </w:rPr>
              <w:t xml:space="preserve"> patients with MS Patient management considerations. Neurology: Clinical Practice 6 (3): 220-229.</w:t>
            </w:r>
          </w:p>
        </w:tc>
      </w:tr>
      <w:tr w:rsidR="00406AEC" w:rsidRPr="00406AEC" w14:paraId="57CA143C" w14:textId="77777777" w:rsidTr="00406AEC">
        <w:trPr>
          <w:trHeight w:val="300"/>
        </w:trPr>
        <w:tc>
          <w:tcPr>
            <w:tcW w:w="9360" w:type="dxa"/>
            <w:tcBorders>
              <w:top w:val="nil"/>
              <w:left w:val="nil"/>
              <w:bottom w:val="nil"/>
              <w:right w:val="nil"/>
            </w:tcBorders>
            <w:shd w:val="clear" w:color="auto" w:fill="auto"/>
            <w:noWrap/>
            <w:vAlign w:val="bottom"/>
            <w:hideMark/>
          </w:tcPr>
          <w:p w14:paraId="012A88A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Cree BAC,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Gold R, Hartung HP et al. (2014) MS disease activity in RESTORE: A randomized 24-week natalizumab treatment interruption study. Neurology 82 (17): 1491-1498.</w:t>
            </w:r>
          </w:p>
        </w:tc>
      </w:tr>
      <w:tr w:rsidR="00406AEC" w:rsidRPr="00406AEC" w14:paraId="3E432D1F" w14:textId="77777777" w:rsidTr="00406AEC">
        <w:trPr>
          <w:trHeight w:val="300"/>
        </w:trPr>
        <w:tc>
          <w:tcPr>
            <w:tcW w:w="9360" w:type="dxa"/>
            <w:tcBorders>
              <w:top w:val="nil"/>
              <w:left w:val="nil"/>
              <w:bottom w:val="nil"/>
              <w:right w:val="nil"/>
            </w:tcBorders>
            <w:shd w:val="clear" w:color="auto" w:fill="auto"/>
            <w:noWrap/>
            <w:vAlign w:val="bottom"/>
            <w:hideMark/>
          </w:tcPr>
          <w:p w14:paraId="7E77354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 Ben-Amor AF, </w:t>
            </w:r>
            <w:proofErr w:type="spellStart"/>
            <w:r w:rsidRPr="00406AEC">
              <w:rPr>
                <w:rFonts w:ascii="Times New Roman" w:eastAsia="Times New Roman" w:hAnsi="Times New Roman" w:cs="Times New Roman"/>
                <w:color w:val="000000"/>
                <w:szCs w:val="22"/>
              </w:rPr>
              <w:t>Aycardi</w:t>
            </w:r>
            <w:proofErr w:type="spellEnd"/>
            <w:r w:rsidRPr="00406AEC">
              <w:rPr>
                <w:rFonts w:ascii="Times New Roman" w:eastAsia="Times New Roman" w:hAnsi="Times New Roman" w:cs="Times New Roman"/>
                <w:color w:val="000000"/>
                <w:szCs w:val="22"/>
              </w:rPr>
              <w:t xml:space="preserve"> E, </w:t>
            </w:r>
            <w:proofErr w:type="spellStart"/>
            <w:r w:rsidRPr="00406AEC">
              <w:rPr>
                <w:rFonts w:ascii="Times New Roman" w:eastAsia="Times New Roman" w:hAnsi="Times New Roman" w:cs="Times New Roman"/>
                <w:color w:val="000000"/>
                <w:szCs w:val="22"/>
              </w:rPr>
              <w:t>Issard</w:t>
            </w:r>
            <w:proofErr w:type="spellEnd"/>
            <w:r w:rsidRPr="00406AEC">
              <w:rPr>
                <w:rFonts w:ascii="Times New Roman" w:eastAsia="Times New Roman" w:hAnsi="Times New Roman" w:cs="Times New Roman"/>
                <w:color w:val="000000"/>
                <w:szCs w:val="22"/>
              </w:rPr>
              <w:t xml:space="preserve"> D, Casset-</w:t>
            </w:r>
            <w:proofErr w:type="spellStart"/>
            <w:r w:rsidRPr="00406AEC">
              <w:rPr>
                <w:rFonts w:ascii="Times New Roman" w:eastAsia="Times New Roman" w:hAnsi="Times New Roman" w:cs="Times New Roman"/>
                <w:color w:val="000000"/>
                <w:szCs w:val="22"/>
              </w:rPr>
              <w:t>Semanaz</w:t>
            </w:r>
            <w:proofErr w:type="spellEnd"/>
            <w:r w:rsidRPr="00406AEC">
              <w:rPr>
                <w:rFonts w:ascii="Times New Roman" w:eastAsia="Times New Roman" w:hAnsi="Times New Roman" w:cs="Times New Roman"/>
                <w:color w:val="000000"/>
                <w:szCs w:val="22"/>
              </w:rPr>
              <w:t xml:space="preserve"> F et al. Assessing a predictive score for long-term disability progression in relapsing-remitting multiple sclerosis: 7/8-year follow-up in the PRISMS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402-403.</w:t>
            </w:r>
          </w:p>
        </w:tc>
      </w:tr>
      <w:tr w:rsidR="00406AEC" w:rsidRPr="00406AEC" w14:paraId="177C6C46" w14:textId="77777777" w:rsidTr="00406AEC">
        <w:trPr>
          <w:trHeight w:val="300"/>
        </w:trPr>
        <w:tc>
          <w:tcPr>
            <w:tcW w:w="9360" w:type="dxa"/>
            <w:tcBorders>
              <w:top w:val="nil"/>
              <w:left w:val="nil"/>
              <w:bottom w:val="nil"/>
              <w:right w:val="nil"/>
            </w:tcBorders>
            <w:shd w:val="clear" w:color="auto" w:fill="auto"/>
            <w:noWrap/>
            <w:vAlign w:val="bottom"/>
            <w:hideMark/>
          </w:tcPr>
          <w:p w14:paraId="3226D9C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Freedman M, Comi G, Miller A, Wolinsky J, Oh J et al. (2016) Long-term efficacy of teriflunomide in patients recently diagnosed with relapsing forms of MS.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(666): </w:t>
            </w:r>
          </w:p>
        </w:tc>
      </w:tr>
      <w:tr w:rsidR="00406AEC" w:rsidRPr="00406AEC" w14:paraId="47C0A892" w14:textId="77777777" w:rsidTr="00406AEC">
        <w:trPr>
          <w:trHeight w:val="300"/>
        </w:trPr>
        <w:tc>
          <w:tcPr>
            <w:tcW w:w="9360" w:type="dxa"/>
            <w:tcBorders>
              <w:top w:val="nil"/>
              <w:left w:val="nil"/>
              <w:bottom w:val="nil"/>
              <w:right w:val="nil"/>
            </w:tcBorders>
            <w:shd w:val="clear" w:color="auto" w:fill="auto"/>
            <w:noWrap/>
            <w:vAlign w:val="bottom"/>
            <w:hideMark/>
          </w:tcPr>
          <w:p w14:paraId="1B5284E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(1999) Evidence of interferon beta-1a dose response in relapsing-remitting MS: The OWIMS study. Neurology 53 (4): 679-686.</w:t>
            </w:r>
          </w:p>
        </w:tc>
      </w:tr>
      <w:tr w:rsidR="00406AEC" w:rsidRPr="00406AEC" w14:paraId="067ADD05" w14:textId="77777777" w:rsidTr="00406AEC">
        <w:trPr>
          <w:trHeight w:val="300"/>
        </w:trPr>
        <w:tc>
          <w:tcPr>
            <w:tcW w:w="9360" w:type="dxa"/>
            <w:tcBorders>
              <w:top w:val="nil"/>
              <w:left w:val="nil"/>
              <w:bottom w:val="nil"/>
              <w:right w:val="nil"/>
            </w:tcBorders>
            <w:shd w:val="clear" w:color="auto" w:fill="auto"/>
            <w:noWrap/>
            <w:vAlign w:val="bottom"/>
            <w:hideMark/>
          </w:tcPr>
          <w:p w14:paraId="450FB40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Bar-Or A, Benamor M,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Poole E et al. (2017) Long-term disability outcomes in patients treated with teriflunomide for up to 14 years: group-and patient-level data from the phase 2 extension study. Multiple sclerosis journal 23 (3): 637-638.</w:t>
            </w:r>
          </w:p>
        </w:tc>
      </w:tr>
      <w:tr w:rsidR="00406AEC" w:rsidRPr="00406AEC" w14:paraId="1E28C9D9" w14:textId="77777777" w:rsidTr="00406AEC">
        <w:trPr>
          <w:trHeight w:val="300"/>
        </w:trPr>
        <w:tc>
          <w:tcPr>
            <w:tcW w:w="9360" w:type="dxa"/>
            <w:tcBorders>
              <w:top w:val="nil"/>
              <w:left w:val="nil"/>
              <w:bottom w:val="nil"/>
              <w:right w:val="nil"/>
            </w:tcBorders>
            <w:shd w:val="clear" w:color="auto" w:fill="auto"/>
            <w:noWrap/>
            <w:vAlign w:val="bottom"/>
            <w:hideMark/>
          </w:tcPr>
          <w:p w14:paraId="327DC62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Cheng 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Wamil B,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w:t>
            </w:r>
            <w:proofErr w:type="spellStart"/>
            <w:r w:rsidRPr="00406AEC">
              <w:rPr>
                <w:rFonts w:ascii="Times New Roman" w:eastAsia="Times New Roman" w:hAnsi="Times New Roman" w:cs="Times New Roman"/>
                <w:color w:val="000000"/>
                <w:szCs w:val="22"/>
              </w:rPr>
              <w:t>Teracles</w:t>
            </w:r>
            <w:proofErr w:type="spellEnd"/>
            <w:r w:rsidRPr="00406AEC">
              <w:rPr>
                <w:rFonts w:ascii="Times New Roman" w:eastAsia="Times New Roman" w:hAnsi="Times New Roman" w:cs="Times New Roman"/>
                <w:color w:val="000000"/>
                <w:szCs w:val="22"/>
              </w:rPr>
              <w:t xml:space="preserve"> study design: Teriflunomide as adjunctive therapy with </w:t>
            </w:r>
            <w:proofErr w:type="spellStart"/>
            <w:r w:rsidRPr="00406AEC">
              <w:rPr>
                <w:rFonts w:ascii="Times New Roman" w:eastAsia="Times New Roman" w:hAnsi="Times New Roman" w:cs="Times New Roman"/>
                <w:color w:val="000000"/>
                <w:szCs w:val="22"/>
              </w:rPr>
              <w:t>interferonbeta</w:t>
            </w:r>
            <w:proofErr w:type="spellEnd"/>
            <w:r w:rsidRPr="00406AEC">
              <w:rPr>
                <w:rFonts w:ascii="Times New Roman" w:eastAsia="Times New Roman" w:hAnsi="Times New Roman" w:cs="Times New Roman"/>
                <w:color w:val="000000"/>
                <w:szCs w:val="22"/>
              </w:rPr>
              <w:t xml:space="preserve"> in patients with relapsing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(9): S13-S14.</w:t>
            </w:r>
          </w:p>
        </w:tc>
      </w:tr>
      <w:tr w:rsidR="00406AEC" w:rsidRPr="00406AEC" w14:paraId="76E6DBD4" w14:textId="77777777" w:rsidTr="00406AEC">
        <w:trPr>
          <w:trHeight w:val="300"/>
        </w:trPr>
        <w:tc>
          <w:tcPr>
            <w:tcW w:w="9360" w:type="dxa"/>
            <w:tcBorders>
              <w:top w:val="nil"/>
              <w:left w:val="nil"/>
              <w:bottom w:val="nil"/>
              <w:right w:val="nil"/>
            </w:tcBorders>
            <w:shd w:val="clear" w:color="auto" w:fill="auto"/>
            <w:noWrap/>
            <w:vAlign w:val="bottom"/>
            <w:hideMark/>
          </w:tcPr>
          <w:p w14:paraId="1DD45C5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Francis GS, Sanders EACM, Rice GPA, O'Connor P et al. (2005) Randomized study of once-weekly interferon beta-la therapy in relapsing multiple sclerosis: Three-year data from the OWIMS study. Multiple Sclerosis 11 (1): 41-45.</w:t>
            </w:r>
          </w:p>
        </w:tc>
      </w:tr>
      <w:tr w:rsidR="00406AEC" w:rsidRPr="00406AEC" w14:paraId="4CBEDA2A" w14:textId="77777777" w:rsidTr="00406AEC">
        <w:trPr>
          <w:trHeight w:val="300"/>
        </w:trPr>
        <w:tc>
          <w:tcPr>
            <w:tcW w:w="9360" w:type="dxa"/>
            <w:tcBorders>
              <w:top w:val="nil"/>
              <w:left w:val="nil"/>
              <w:bottom w:val="nil"/>
              <w:right w:val="nil"/>
            </w:tcBorders>
            <w:shd w:val="clear" w:color="auto" w:fill="auto"/>
            <w:noWrap/>
            <w:vAlign w:val="bottom"/>
            <w:hideMark/>
          </w:tcPr>
          <w:p w14:paraId="118C41A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Kappos L, Comi G, Miller AE, Wolinsky JS et al. Long-term safety of teriflunomide: 2.5-year follow-up in the TOWER extension study in patients with relapsing MS.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761-762.</w:t>
            </w:r>
          </w:p>
        </w:tc>
      </w:tr>
      <w:tr w:rsidR="00406AEC" w:rsidRPr="00406AEC" w14:paraId="1637584D" w14:textId="77777777" w:rsidTr="00406AEC">
        <w:trPr>
          <w:trHeight w:val="300"/>
        </w:trPr>
        <w:tc>
          <w:tcPr>
            <w:tcW w:w="9360" w:type="dxa"/>
            <w:tcBorders>
              <w:top w:val="nil"/>
              <w:left w:val="nil"/>
              <w:bottom w:val="nil"/>
              <w:right w:val="nil"/>
            </w:tcBorders>
            <w:shd w:val="clear" w:color="auto" w:fill="auto"/>
            <w:noWrap/>
            <w:vAlign w:val="bottom"/>
            <w:hideMark/>
          </w:tcPr>
          <w:p w14:paraId="50C44FD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Miller AE, Comi G, Kappos L, LeBrun-Frenay C et al. (2016) Outcomes of the TEMSO extension study of teriflunomide: 10.5 years of clinical results. Multiple Sclerosis 22 334-335.</w:t>
            </w:r>
          </w:p>
        </w:tc>
      </w:tr>
      <w:tr w:rsidR="00406AEC" w:rsidRPr="00406AEC" w14:paraId="03BF136D" w14:textId="77777777" w:rsidTr="00406AEC">
        <w:trPr>
          <w:trHeight w:val="300"/>
        </w:trPr>
        <w:tc>
          <w:tcPr>
            <w:tcW w:w="9360" w:type="dxa"/>
            <w:tcBorders>
              <w:top w:val="nil"/>
              <w:left w:val="nil"/>
              <w:bottom w:val="nil"/>
              <w:right w:val="nil"/>
            </w:tcBorders>
            <w:shd w:val="clear" w:color="auto" w:fill="auto"/>
            <w:noWrap/>
            <w:vAlign w:val="bottom"/>
            <w:hideMark/>
          </w:tcPr>
          <w:p w14:paraId="6443451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Freedman</w:t>
            </w:r>
            <w:proofErr w:type="spellEnd"/>
            <w:r w:rsidRPr="00713F1E">
              <w:rPr>
                <w:rFonts w:ascii="Times New Roman" w:eastAsia="Times New Roman" w:hAnsi="Times New Roman" w:cs="Times New Roman"/>
                <w:color w:val="000000"/>
                <w:szCs w:val="22"/>
                <w:lang w:val="fr-FR"/>
              </w:rPr>
              <w:t xml:space="preserve"> MS, </w:t>
            </w:r>
            <w:proofErr w:type="spellStart"/>
            <w:r w:rsidRPr="00713F1E">
              <w:rPr>
                <w:rFonts w:ascii="Times New Roman" w:eastAsia="Times New Roman" w:hAnsi="Times New Roman" w:cs="Times New Roman"/>
                <w:color w:val="000000"/>
                <w:szCs w:val="22"/>
                <w:lang w:val="fr-FR"/>
              </w:rPr>
              <w:t>Truffinet</w:t>
            </w:r>
            <w:proofErr w:type="spellEnd"/>
            <w:r w:rsidRPr="00713F1E">
              <w:rPr>
                <w:rFonts w:ascii="Times New Roman" w:eastAsia="Times New Roman" w:hAnsi="Times New Roman" w:cs="Times New Roman"/>
                <w:color w:val="000000"/>
                <w:szCs w:val="22"/>
                <w:lang w:val="fr-FR"/>
              </w:rPr>
              <w:t xml:space="preserve"> P, </w:t>
            </w:r>
            <w:proofErr w:type="spellStart"/>
            <w:r w:rsidRPr="00713F1E">
              <w:rPr>
                <w:rFonts w:ascii="Times New Roman" w:eastAsia="Times New Roman" w:hAnsi="Times New Roman" w:cs="Times New Roman"/>
                <w:color w:val="000000"/>
                <w:szCs w:val="22"/>
                <w:lang w:val="fr-FR"/>
              </w:rPr>
              <w:t>Comi</w:t>
            </w:r>
            <w:proofErr w:type="spellEnd"/>
            <w:r w:rsidRPr="00713F1E">
              <w:rPr>
                <w:rFonts w:ascii="Times New Roman" w:eastAsia="Times New Roman" w:hAnsi="Times New Roman" w:cs="Times New Roman"/>
                <w:color w:val="000000"/>
                <w:szCs w:val="22"/>
                <w:lang w:val="fr-FR"/>
              </w:rPr>
              <w:t xml:space="preserve"> G, </w:t>
            </w: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Miller AE et al. </w:t>
            </w:r>
            <w:r w:rsidRPr="00406AEC">
              <w:rPr>
                <w:rFonts w:ascii="Times New Roman" w:eastAsia="Times New Roman" w:hAnsi="Times New Roman" w:cs="Times New Roman"/>
                <w:color w:val="000000"/>
                <w:szCs w:val="22"/>
              </w:rPr>
              <w:t>(2015) A randomized trial of teriflunomide added to glatiramer acetate in relapsing multiple sclerosis. Multiple Sclerosis Journal - Experimental, Translational and Clinical 1 1-10.</w:t>
            </w:r>
          </w:p>
        </w:tc>
      </w:tr>
      <w:tr w:rsidR="00406AEC" w:rsidRPr="00406AEC" w14:paraId="70559939" w14:textId="77777777" w:rsidTr="00406AEC">
        <w:trPr>
          <w:trHeight w:val="300"/>
        </w:trPr>
        <w:tc>
          <w:tcPr>
            <w:tcW w:w="9360" w:type="dxa"/>
            <w:tcBorders>
              <w:top w:val="nil"/>
              <w:left w:val="nil"/>
              <w:bottom w:val="nil"/>
              <w:right w:val="nil"/>
            </w:tcBorders>
            <w:shd w:val="clear" w:color="auto" w:fill="auto"/>
            <w:noWrap/>
            <w:vAlign w:val="bottom"/>
            <w:hideMark/>
          </w:tcPr>
          <w:p w14:paraId="5458DE5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Wolinsky JS, Wamil B,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et al. (2012) Teriflunomide added to interferon-beta in relapsing multiple sclerosis: A randomized phase II trial. Neurology 78 (23): 1877-1885.</w:t>
            </w:r>
          </w:p>
        </w:tc>
      </w:tr>
      <w:tr w:rsidR="00406AEC" w:rsidRPr="00406AEC" w14:paraId="2D7B83EB" w14:textId="77777777" w:rsidTr="00406AEC">
        <w:trPr>
          <w:trHeight w:val="300"/>
        </w:trPr>
        <w:tc>
          <w:tcPr>
            <w:tcW w:w="9360" w:type="dxa"/>
            <w:tcBorders>
              <w:top w:val="nil"/>
              <w:left w:val="nil"/>
              <w:bottom w:val="nil"/>
              <w:right w:val="nil"/>
            </w:tcBorders>
            <w:shd w:val="clear" w:color="auto" w:fill="auto"/>
            <w:noWrap/>
            <w:vAlign w:val="bottom"/>
            <w:hideMark/>
          </w:tcPr>
          <w:p w14:paraId="1EE40AB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Gasperini C, Pozzilli C, Bastianello S, Giugni E, Horsfield MA et al. </w:t>
            </w:r>
            <w:r w:rsidRPr="00406AEC">
              <w:rPr>
                <w:rFonts w:ascii="Times New Roman" w:eastAsia="Times New Roman" w:hAnsi="Times New Roman" w:cs="Times New Roman"/>
                <w:color w:val="000000"/>
                <w:szCs w:val="22"/>
              </w:rPr>
              <w:t>(1999) Interferon-beta-1a in relapsing-remitting multiple sclerosis: Effect on hypointense lesion volume on T1 weighted images. Journal of Neurology Neurosurgery and Psychiatry 67 (5): 579-584.</w:t>
            </w:r>
          </w:p>
        </w:tc>
      </w:tr>
      <w:tr w:rsidR="00406AEC" w:rsidRPr="00406AEC" w14:paraId="3D3E39C5" w14:textId="77777777" w:rsidTr="00406AEC">
        <w:trPr>
          <w:trHeight w:val="300"/>
        </w:trPr>
        <w:tc>
          <w:tcPr>
            <w:tcW w:w="9360" w:type="dxa"/>
            <w:tcBorders>
              <w:top w:val="nil"/>
              <w:left w:val="nil"/>
              <w:bottom w:val="nil"/>
              <w:right w:val="nil"/>
            </w:tcBorders>
            <w:shd w:val="clear" w:color="auto" w:fill="auto"/>
            <w:noWrap/>
            <w:vAlign w:val="bottom"/>
            <w:hideMark/>
          </w:tcPr>
          <w:p w14:paraId="768090C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Giovannoni G, Barbarash O, Casset-Semanaz F, King J, Metz L et al. </w:t>
            </w:r>
            <w:r w:rsidRPr="00406AEC">
              <w:rPr>
                <w:rFonts w:ascii="Times New Roman" w:eastAsia="Times New Roman" w:hAnsi="Times New Roman" w:cs="Times New Roman"/>
                <w:color w:val="000000"/>
                <w:szCs w:val="22"/>
              </w:rPr>
              <w:t xml:space="preserve">(2009) Safety and immunogenicity of a new formulation of interferon beta-1a (Rebif New Formulation) in a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study in patients with relapsing multiple sclerosis: 96-week results. Multiple Sclerosis 15 (2): 219-228.</w:t>
            </w:r>
          </w:p>
        </w:tc>
      </w:tr>
      <w:tr w:rsidR="00406AEC" w:rsidRPr="00406AEC" w14:paraId="4E51850F" w14:textId="77777777" w:rsidTr="00406AEC">
        <w:trPr>
          <w:trHeight w:val="300"/>
        </w:trPr>
        <w:tc>
          <w:tcPr>
            <w:tcW w:w="9360" w:type="dxa"/>
            <w:tcBorders>
              <w:top w:val="nil"/>
              <w:left w:val="nil"/>
              <w:bottom w:val="nil"/>
              <w:right w:val="nil"/>
            </w:tcBorders>
            <w:shd w:val="clear" w:color="auto" w:fill="auto"/>
            <w:noWrap/>
            <w:vAlign w:val="bottom"/>
            <w:hideMark/>
          </w:tcPr>
          <w:p w14:paraId="173B059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Comi G, Cook S, Rammohan K, Rieckmann P et al. (2013) Safety and efficacy of oral cladribine in patients with relapsing-remitting multiple sclerosis: Results from the 96 week phase IIIB extension trial to the clarity study. </w:t>
            </w:r>
          </w:p>
        </w:tc>
      </w:tr>
      <w:tr w:rsidR="00406AEC" w:rsidRPr="00406AEC" w14:paraId="16F7D97D" w14:textId="77777777" w:rsidTr="00406AEC">
        <w:trPr>
          <w:trHeight w:val="300"/>
        </w:trPr>
        <w:tc>
          <w:tcPr>
            <w:tcW w:w="9360" w:type="dxa"/>
            <w:tcBorders>
              <w:top w:val="nil"/>
              <w:left w:val="nil"/>
              <w:bottom w:val="nil"/>
              <w:right w:val="nil"/>
            </w:tcBorders>
            <w:shd w:val="clear" w:color="auto" w:fill="auto"/>
            <w:noWrap/>
            <w:vAlign w:val="bottom"/>
            <w:hideMark/>
          </w:tcPr>
          <w:p w14:paraId="286A742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Comi G, Cook S, Rammohan K, Rieckmann P et al. (2018) Analysis of relapse rates and relapse-free patients in the CLARITY and CLARITY Extension studies. Multiple sclerosis journal 24 (2): NP4-NP5.</w:t>
            </w:r>
          </w:p>
        </w:tc>
      </w:tr>
      <w:tr w:rsidR="00406AEC" w:rsidRPr="00406AEC" w14:paraId="09A279D0" w14:textId="77777777" w:rsidTr="00406AEC">
        <w:trPr>
          <w:trHeight w:val="300"/>
        </w:trPr>
        <w:tc>
          <w:tcPr>
            <w:tcW w:w="9360" w:type="dxa"/>
            <w:tcBorders>
              <w:top w:val="nil"/>
              <w:left w:val="nil"/>
              <w:bottom w:val="nil"/>
              <w:right w:val="nil"/>
            </w:tcBorders>
            <w:shd w:val="clear" w:color="auto" w:fill="auto"/>
            <w:noWrap/>
            <w:vAlign w:val="bottom"/>
            <w:hideMark/>
          </w:tcPr>
          <w:p w14:paraId="3D5F3C8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Giovannoni G, Comi G, Cook S, Rammohan K, Rieckmann P et al. (2017) Durable efficacy of cladribine tablets in patients with multiple sclerosis: analysis of relapse rates and relapse-free patients in the clarity and clarity extension studies.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17 (1): 160-.</w:t>
            </w:r>
          </w:p>
        </w:tc>
      </w:tr>
      <w:tr w:rsidR="00406AEC" w:rsidRPr="00406AEC" w14:paraId="4AF5332A" w14:textId="77777777" w:rsidTr="00406AEC">
        <w:trPr>
          <w:trHeight w:val="300"/>
        </w:trPr>
        <w:tc>
          <w:tcPr>
            <w:tcW w:w="9360" w:type="dxa"/>
            <w:tcBorders>
              <w:top w:val="nil"/>
              <w:left w:val="nil"/>
              <w:bottom w:val="nil"/>
              <w:right w:val="nil"/>
            </w:tcBorders>
            <w:shd w:val="clear" w:color="auto" w:fill="auto"/>
            <w:noWrap/>
            <w:vAlign w:val="bottom"/>
            <w:hideMark/>
          </w:tcPr>
          <w:p w14:paraId="3927E7D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Comi G, Cook S, Rieckmann P, Rammohan K et al. (2018) Efficacy of cladribine tablets in patients with relapsing-remitting multiple sclerosis (RRMS) in the 120-week extension to the CLARITY study. Multiple sclerosis journal 24 (2): NP6-NP7.</w:t>
            </w:r>
          </w:p>
        </w:tc>
      </w:tr>
      <w:tr w:rsidR="00406AEC" w:rsidRPr="00406AEC" w14:paraId="348CE554" w14:textId="77777777" w:rsidTr="00406AEC">
        <w:trPr>
          <w:trHeight w:val="300"/>
        </w:trPr>
        <w:tc>
          <w:tcPr>
            <w:tcW w:w="9360" w:type="dxa"/>
            <w:tcBorders>
              <w:top w:val="nil"/>
              <w:left w:val="nil"/>
              <w:bottom w:val="nil"/>
              <w:right w:val="nil"/>
            </w:tcBorders>
            <w:shd w:val="clear" w:color="auto" w:fill="auto"/>
            <w:noWrap/>
            <w:vAlign w:val="bottom"/>
            <w:hideMark/>
          </w:tcPr>
          <w:p w14:paraId="3BB89DD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Comi G, Cook S, Rieckmann P, Rammohan K et al. (2016) Benefits of cladribine tablets on the proportion of patients with multiple sclerosis free from clinical and radiological indicators of disease activity in the CLARITY EXTENSION study. Multiple Sclerosis 22 300-301.</w:t>
            </w:r>
          </w:p>
        </w:tc>
      </w:tr>
      <w:tr w:rsidR="00406AEC" w:rsidRPr="00406AEC" w14:paraId="59339990" w14:textId="77777777" w:rsidTr="00406AEC">
        <w:trPr>
          <w:trHeight w:val="300"/>
        </w:trPr>
        <w:tc>
          <w:tcPr>
            <w:tcW w:w="9360" w:type="dxa"/>
            <w:tcBorders>
              <w:top w:val="nil"/>
              <w:left w:val="nil"/>
              <w:bottom w:val="nil"/>
              <w:right w:val="nil"/>
            </w:tcBorders>
            <w:shd w:val="clear" w:color="auto" w:fill="auto"/>
            <w:noWrap/>
            <w:vAlign w:val="bottom"/>
            <w:hideMark/>
          </w:tcPr>
          <w:p w14:paraId="1C468A4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Comi G, Montalban X,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(2016) Benefits of cladribine tablets on magnetic resonance imaging (MRI) outcomes in patients with multiple sclerosis: Analysis of pooled double-blind data from the CLARITY and ONWARD studies.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(304): </w:t>
            </w:r>
          </w:p>
        </w:tc>
      </w:tr>
      <w:tr w:rsidR="00406AEC" w:rsidRPr="00406AEC" w14:paraId="5BCDFBED" w14:textId="77777777" w:rsidTr="00406AEC">
        <w:trPr>
          <w:trHeight w:val="300"/>
        </w:trPr>
        <w:tc>
          <w:tcPr>
            <w:tcW w:w="9360" w:type="dxa"/>
            <w:tcBorders>
              <w:top w:val="nil"/>
              <w:left w:val="nil"/>
              <w:bottom w:val="nil"/>
              <w:right w:val="nil"/>
            </w:tcBorders>
            <w:shd w:val="clear" w:color="auto" w:fill="auto"/>
            <w:noWrap/>
            <w:vAlign w:val="bottom"/>
            <w:hideMark/>
          </w:tcPr>
          <w:p w14:paraId="2B97060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Comi G, Rammohan K, Rieckmann P,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et al. (2019) Long-term disease stability assessed by the expanded disability status scale in patients treated with cladribine tablets in the clarity and clarity extension studies. Journal of the Neurological Sciences 405 (43): </w:t>
            </w:r>
          </w:p>
        </w:tc>
      </w:tr>
      <w:tr w:rsidR="00406AEC" w:rsidRPr="00406AEC" w14:paraId="150FAB12" w14:textId="77777777" w:rsidTr="00406AEC">
        <w:trPr>
          <w:trHeight w:val="300"/>
        </w:trPr>
        <w:tc>
          <w:tcPr>
            <w:tcW w:w="9360" w:type="dxa"/>
            <w:tcBorders>
              <w:top w:val="nil"/>
              <w:left w:val="nil"/>
              <w:bottom w:val="nil"/>
              <w:right w:val="nil"/>
            </w:tcBorders>
            <w:shd w:val="clear" w:color="auto" w:fill="auto"/>
            <w:noWrap/>
            <w:vAlign w:val="bottom"/>
            <w:hideMark/>
          </w:tcPr>
          <w:p w14:paraId="0846895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De Stefano N, Migliaccio M Development of a new formulation of subcutaneous interferon beta-1a for relapsing-remitting multiple sclerosis: efficacy, </w:t>
            </w:r>
            <w:proofErr w:type="gramStart"/>
            <w:r w:rsidRPr="00406AEC">
              <w:rPr>
                <w:rFonts w:ascii="Times New Roman" w:eastAsia="Times New Roman" w:hAnsi="Times New Roman" w:cs="Times New Roman"/>
                <w:color w:val="000000"/>
                <w:szCs w:val="22"/>
              </w:rPr>
              <w:t>safety</w:t>
            </w:r>
            <w:proofErr w:type="gramEnd"/>
            <w:r w:rsidRPr="00406AEC">
              <w:rPr>
                <w:rFonts w:ascii="Times New Roman" w:eastAsia="Times New Roman" w:hAnsi="Times New Roman" w:cs="Times New Roman"/>
                <w:color w:val="000000"/>
                <w:szCs w:val="22"/>
              </w:rPr>
              <w:t xml:space="preserve"> and immunogenicity results from a comprehensive pre-clinical and clinical trial series. Journal of the Neurological Sciences 285 (Suppl 1): S204.</w:t>
            </w:r>
          </w:p>
        </w:tc>
      </w:tr>
      <w:tr w:rsidR="00406AEC" w:rsidRPr="00406AEC" w14:paraId="692A728D" w14:textId="77777777" w:rsidTr="00406AEC">
        <w:trPr>
          <w:trHeight w:val="300"/>
        </w:trPr>
        <w:tc>
          <w:tcPr>
            <w:tcW w:w="9360" w:type="dxa"/>
            <w:tcBorders>
              <w:top w:val="nil"/>
              <w:left w:val="nil"/>
              <w:bottom w:val="nil"/>
              <w:right w:val="nil"/>
            </w:tcBorders>
            <w:shd w:val="clear" w:color="auto" w:fill="auto"/>
            <w:noWrap/>
            <w:vAlign w:val="bottom"/>
            <w:hideMark/>
          </w:tcPr>
          <w:p w14:paraId="15228A9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Fox RJ, Kappos L, Phillips T et al. Long-term follow-up of the effect of delayed-release dimethyl fumarate on no evident disease activity in patients with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44-45.</w:t>
            </w:r>
          </w:p>
        </w:tc>
      </w:tr>
      <w:tr w:rsidR="00406AEC" w:rsidRPr="00406AEC" w14:paraId="7E2023AE" w14:textId="77777777" w:rsidTr="00406AEC">
        <w:trPr>
          <w:trHeight w:val="300"/>
        </w:trPr>
        <w:tc>
          <w:tcPr>
            <w:tcW w:w="9360" w:type="dxa"/>
            <w:tcBorders>
              <w:top w:val="nil"/>
              <w:left w:val="nil"/>
              <w:bottom w:val="nil"/>
              <w:right w:val="nil"/>
            </w:tcBorders>
            <w:shd w:val="clear" w:color="auto" w:fill="auto"/>
            <w:noWrap/>
            <w:vAlign w:val="bottom"/>
            <w:hideMark/>
          </w:tcPr>
          <w:p w14:paraId="1C798CE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Giovannoni G, Havrdova E, Gold R, Fox R, Kappos L et al. </w:t>
            </w:r>
            <w:r w:rsidRPr="00406AEC">
              <w:rPr>
                <w:rFonts w:ascii="Times New Roman" w:eastAsia="Times New Roman" w:hAnsi="Times New Roman" w:cs="Times New Roman"/>
                <w:color w:val="000000"/>
                <w:szCs w:val="22"/>
              </w:rPr>
              <w:t xml:space="preserve">(2015) Long-term follow-up of the effect of delayed-release dimethyl fumarate on no evidence of disease activity in patients with multiple sclerosis. Neurology 84 (18): </w:t>
            </w:r>
          </w:p>
        </w:tc>
      </w:tr>
      <w:tr w:rsidR="00406AEC" w:rsidRPr="00406AEC" w14:paraId="224760DD" w14:textId="77777777" w:rsidTr="00406AEC">
        <w:trPr>
          <w:trHeight w:val="300"/>
        </w:trPr>
        <w:tc>
          <w:tcPr>
            <w:tcW w:w="9360" w:type="dxa"/>
            <w:tcBorders>
              <w:top w:val="nil"/>
              <w:left w:val="nil"/>
              <w:bottom w:val="nil"/>
              <w:right w:val="nil"/>
            </w:tcBorders>
            <w:shd w:val="clear" w:color="auto" w:fill="auto"/>
            <w:noWrap/>
            <w:vAlign w:val="bottom"/>
            <w:hideMark/>
          </w:tcPr>
          <w:p w14:paraId="3205C44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Giovannoni G, Havrdova E, Gold R, Fox RJ, Kappos L et al. </w:t>
            </w:r>
            <w:r w:rsidRPr="00406AEC">
              <w:rPr>
                <w:rFonts w:ascii="Times New Roman" w:eastAsia="Times New Roman" w:hAnsi="Times New Roman" w:cs="Times New Roman"/>
                <w:color w:val="000000"/>
                <w:szCs w:val="22"/>
              </w:rPr>
              <w:t xml:space="preserve">(2015) Long-term follow-up of the effect of delayed-release dimethyl fumarate on No evidence of disease activity in patients with multiple sclerosis. European journal of neurology 22 (479): </w:t>
            </w:r>
          </w:p>
        </w:tc>
      </w:tr>
      <w:tr w:rsidR="00406AEC" w:rsidRPr="00406AEC" w14:paraId="039FB8F0" w14:textId="77777777" w:rsidTr="00406AEC">
        <w:trPr>
          <w:trHeight w:val="300"/>
        </w:trPr>
        <w:tc>
          <w:tcPr>
            <w:tcW w:w="9360" w:type="dxa"/>
            <w:tcBorders>
              <w:top w:val="nil"/>
              <w:left w:val="nil"/>
              <w:bottom w:val="nil"/>
              <w:right w:val="nil"/>
            </w:tcBorders>
            <w:shd w:val="clear" w:color="auto" w:fill="auto"/>
            <w:noWrap/>
            <w:vAlign w:val="bottom"/>
            <w:hideMark/>
          </w:tcPr>
          <w:p w14:paraId="275BB0F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Keller B, Jack D (2018) Durability of NEDA-3 status in patients with relapsing multiple sclerosis receiving cladribine tablets: CLARITY extension. Multiple sclerosis journal 24 (2): 479-480.</w:t>
            </w:r>
          </w:p>
        </w:tc>
      </w:tr>
      <w:tr w:rsidR="00406AEC" w:rsidRPr="00406AEC" w14:paraId="41499A2E" w14:textId="77777777" w:rsidTr="00406AEC">
        <w:trPr>
          <w:trHeight w:val="300"/>
        </w:trPr>
        <w:tc>
          <w:tcPr>
            <w:tcW w:w="9360" w:type="dxa"/>
            <w:tcBorders>
              <w:top w:val="nil"/>
              <w:left w:val="nil"/>
              <w:bottom w:val="nil"/>
              <w:right w:val="nil"/>
            </w:tcBorders>
            <w:shd w:val="clear" w:color="auto" w:fill="auto"/>
            <w:noWrap/>
            <w:vAlign w:val="bottom"/>
            <w:hideMark/>
          </w:tcPr>
          <w:p w14:paraId="2186892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Montalban X,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(2016) Benefits of cladribine tablets on relapse rates and disability progression in patients with multiple sclerosis: Analysis of pooled double-blind data from the CLARITY and ONWARD studies.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(305): </w:t>
            </w:r>
          </w:p>
        </w:tc>
      </w:tr>
      <w:tr w:rsidR="00406AEC" w:rsidRPr="00406AEC" w14:paraId="5CEFDA8F" w14:textId="77777777" w:rsidTr="00406AEC">
        <w:trPr>
          <w:trHeight w:val="300"/>
        </w:trPr>
        <w:tc>
          <w:tcPr>
            <w:tcW w:w="9360" w:type="dxa"/>
            <w:tcBorders>
              <w:top w:val="nil"/>
              <w:left w:val="nil"/>
              <w:bottom w:val="nil"/>
              <w:right w:val="nil"/>
            </w:tcBorders>
            <w:shd w:val="clear" w:color="auto" w:fill="auto"/>
            <w:noWrap/>
            <w:vAlign w:val="bottom"/>
            <w:hideMark/>
          </w:tcPr>
          <w:p w14:paraId="3FACA2D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Montalban X,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(2016) Benefits of cladribine tablets on the achievement of no evidence of disease activity (NEDA) status in patients with multiple sclerosis: Analysis of pooled double-blind data from the CLARITY and ONWARD </w:t>
            </w:r>
            <w:r w:rsidRPr="00406AEC">
              <w:rPr>
                <w:rFonts w:ascii="Times New Roman" w:eastAsia="Times New Roman" w:hAnsi="Times New Roman" w:cs="Times New Roman"/>
                <w:color w:val="000000"/>
                <w:szCs w:val="22"/>
              </w:rPr>
              <w:lastRenderedPageBreak/>
              <w:t xml:space="preserve">studies.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22 303-304.</w:t>
            </w:r>
          </w:p>
        </w:tc>
      </w:tr>
      <w:tr w:rsidR="00406AEC" w:rsidRPr="00406AEC" w14:paraId="4324813F" w14:textId="77777777" w:rsidTr="00406AEC">
        <w:trPr>
          <w:trHeight w:val="300"/>
        </w:trPr>
        <w:tc>
          <w:tcPr>
            <w:tcW w:w="9360" w:type="dxa"/>
            <w:tcBorders>
              <w:top w:val="nil"/>
              <w:left w:val="nil"/>
              <w:bottom w:val="nil"/>
              <w:right w:val="nil"/>
            </w:tcBorders>
            <w:shd w:val="clear" w:color="auto" w:fill="auto"/>
            <w:noWrap/>
            <w:vAlign w:val="bottom"/>
            <w:hideMark/>
          </w:tcPr>
          <w:p w14:paraId="78A0929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Giovannoni G, Soelberg Sorensen P, Cook S, Rammohan K, Rieckmann P et al. (2018) Safety and efficacy of cladribine tablets in patients with relapsing-remitting multiple sclerosis: Results from the randomized extension trial of the CLARITY study. Multiple sclerosis journal 24 (12): 1594-1604.</w:t>
            </w:r>
          </w:p>
        </w:tc>
      </w:tr>
      <w:tr w:rsidR="00406AEC" w:rsidRPr="00406AEC" w14:paraId="2DA1FF89" w14:textId="77777777" w:rsidTr="00406AEC">
        <w:trPr>
          <w:trHeight w:val="300"/>
        </w:trPr>
        <w:tc>
          <w:tcPr>
            <w:tcW w:w="9360" w:type="dxa"/>
            <w:tcBorders>
              <w:top w:val="nil"/>
              <w:left w:val="nil"/>
              <w:bottom w:val="nil"/>
              <w:right w:val="nil"/>
            </w:tcBorders>
            <w:shd w:val="clear" w:color="auto" w:fill="auto"/>
            <w:noWrap/>
            <w:vAlign w:val="bottom"/>
            <w:hideMark/>
          </w:tcPr>
          <w:p w14:paraId="6A7F385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Gobbi</w:t>
            </w:r>
            <w:proofErr w:type="spellEnd"/>
            <w:r w:rsidRPr="00713F1E">
              <w:rPr>
                <w:rFonts w:ascii="Times New Roman" w:eastAsia="Times New Roman" w:hAnsi="Times New Roman" w:cs="Times New Roman"/>
                <w:color w:val="000000"/>
                <w:szCs w:val="22"/>
                <w:lang w:val="fr-FR"/>
              </w:rPr>
              <w:t xml:space="preserve"> C, Meier DS, Cotton F, </w:t>
            </w:r>
            <w:proofErr w:type="spellStart"/>
            <w:r w:rsidRPr="00713F1E">
              <w:rPr>
                <w:rFonts w:ascii="Times New Roman" w:eastAsia="Times New Roman" w:hAnsi="Times New Roman" w:cs="Times New Roman"/>
                <w:color w:val="000000"/>
                <w:szCs w:val="22"/>
                <w:lang w:val="fr-FR"/>
              </w:rPr>
              <w:t>Sintzel</w:t>
            </w:r>
            <w:proofErr w:type="spellEnd"/>
            <w:r w:rsidRPr="00713F1E">
              <w:rPr>
                <w:rFonts w:ascii="Times New Roman" w:eastAsia="Times New Roman" w:hAnsi="Times New Roman" w:cs="Times New Roman"/>
                <w:color w:val="000000"/>
                <w:szCs w:val="22"/>
                <w:lang w:val="fr-FR"/>
              </w:rPr>
              <w:t xml:space="preserve"> M, </w:t>
            </w:r>
            <w:proofErr w:type="spellStart"/>
            <w:r w:rsidRPr="00713F1E">
              <w:rPr>
                <w:rFonts w:ascii="Times New Roman" w:eastAsia="Times New Roman" w:hAnsi="Times New Roman" w:cs="Times New Roman"/>
                <w:color w:val="000000"/>
                <w:szCs w:val="22"/>
                <w:lang w:val="fr-FR"/>
              </w:rPr>
              <w:t>Leppert</w:t>
            </w:r>
            <w:proofErr w:type="spellEnd"/>
            <w:r w:rsidRPr="00713F1E">
              <w:rPr>
                <w:rFonts w:ascii="Times New Roman" w:eastAsia="Times New Roman" w:hAnsi="Times New Roman" w:cs="Times New Roman"/>
                <w:color w:val="000000"/>
                <w:szCs w:val="22"/>
                <w:lang w:val="fr-FR"/>
              </w:rPr>
              <w:t xml:space="preserve"> D et al. </w:t>
            </w:r>
            <w:r w:rsidRPr="00406AEC">
              <w:rPr>
                <w:rFonts w:ascii="Times New Roman" w:eastAsia="Times New Roman" w:hAnsi="Times New Roman" w:cs="Times New Roman"/>
                <w:color w:val="000000"/>
                <w:szCs w:val="22"/>
              </w:rPr>
              <w:t xml:space="preserve">(2013) Interferon beta 1b following natalizumab discontinuation: One year, randomized, prospective, pilot trial. BMC Neurology 13 (no pagination) </w:t>
            </w:r>
          </w:p>
        </w:tc>
      </w:tr>
      <w:tr w:rsidR="00406AEC" w:rsidRPr="00406AEC" w14:paraId="142DDF40" w14:textId="77777777" w:rsidTr="00406AEC">
        <w:trPr>
          <w:trHeight w:val="300"/>
        </w:trPr>
        <w:tc>
          <w:tcPr>
            <w:tcW w:w="9360" w:type="dxa"/>
            <w:tcBorders>
              <w:top w:val="nil"/>
              <w:left w:val="nil"/>
              <w:bottom w:val="nil"/>
              <w:right w:val="nil"/>
            </w:tcBorders>
            <w:shd w:val="clear" w:color="auto" w:fill="auto"/>
            <w:noWrap/>
            <w:vAlign w:val="bottom"/>
            <w:hideMark/>
          </w:tcPr>
          <w:p w14:paraId="3AD4E3A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Arnold DL, Bar-Or A, Fox RJ, Kappos L et al. (2020) Safety and efficacy of delayed-release dimethyl fumarate in patients with relapsing-remitting multiple sclerosis: 9 years' follow-up of DEFINE, CONFIRM, and ENDORSE. Therapeutic Advances in Neurological Disorders 13 (no pagination): </w:t>
            </w:r>
          </w:p>
        </w:tc>
      </w:tr>
      <w:tr w:rsidR="00406AEC" w:rsidRPr="00406AEC" w14:paraId="595A596E" w14:textId="77777777" w:rsidTr="00406AEC">
        <w:trPr>
          <w:trHeight w:val="300"/>
        </w:trPr>
        <w:tc>
          <w:tcPr>
            <w:tcW w:w="9360" w:type="dxa"/>
            <w:tcBorders>
              <w:top w:val="nil"/>
              <w:left w:val="nil"/>
              <w:bottom w:val="nil"/>
              <w:right w:val="nil"/>
            </w:tcBorders>
            <w:shd w:val="clear" w:color="auto" w:fill="auto"/>
            <w:noWrap/>
            <w:vAlign w:val="bottom"/>
            <w:hideMark/>
          </w:tcPr>
          <w:p w14:paraId="3EDA577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Arnold DL, Bar-Or A, Hutchinson M, Kappos L et al. (2017) Long-term effects of delayed-release dimethyl fumarate in multiple sclerosis: Interim analysis of ENDORSE, a randomized extension study. Multiple Sclerosis 23 (2): 253-265.</w:t>
            </w:r>
          </w:p>
        </w:tc>
      </w:tr>
      <w:tr w:rsidR="00406AEC" w:rsidRPr="00406AEC" w14:paraId="1238CA99" w14:textId="77777777" w:rsidTr="00406AEC">
        <w:trPr>
          <w:trHeight w:val="300"/>
        </w:trPr>
        <w:tc>
          <w:tcPr>
            <w:tcW w:w="9360" w:type="dxa"/>
            <w:tcBorders>
              <w:top w:val="nil"/>
              <w:left w:val="nil"/>
              <w:bottom w:val="nil"/>
              <w:right w:val="nil"/>
            </w:tcBorders>
            <w:shd w:val="clear" w:color="auto" w:fill="auto"/>
            <w:noWrap/>
            <w:vAlign w:val="bottom"/>
            <w:hideMark/>
          </w:tcPr>
          <w:p w14:paraId="7A25ABB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Giovannoni G, Phillips JT, Fox R, Zhang A et al. (2015) Long-term efficacy of delayed-release dimethyl fumarate in newly diagnosed patients with RRMS: An integrated analysis of define, confirm, and endorse. Neurology 84 (18): </w:t>
            </w:r>
          </w:p>
        </w:tc>
      </w:tr>
      <w:tr w:rsidR="00406AEC" w:rsidRPr="00406AEC" w14:paraId="30EA3BC8" w14:textId="77777777" w:rsidTr="00406AEC">
        <w:trPr>
          <w:trHeight w:val="300"/>
        </w:trPr>
        <w:tc>
          <w:tcPr>
            <w:tcW w:w="9360" w:type="dxa"/>
            <w:tcBorders>
              <w:top w:val="nil"/>
              <w:left w:val="nil"/>
              <w:bottom w:val="nil"/>
              <w:right w:val="nil"/>
            </w:tcBorders>
            <w:shd w:val="clear" w:color="auto" w:fill="auto"/>
            <w:noWrap/>
            <w:vAlign w:val="bottom"/>
            <w:hideMark/>
          </w:tcPr>
          <w:p w14:paraId="27C0F7A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Giovannoni G, Phillips JT, Fox RJ, Xiao J et al. (2017) Efficacy of delayed-release dimethyl fumarate at seven-year follow-up in newly diagnosed patients with relapsing-remitting multiple sclerosis: integrated analysis of DEFINE, CONFIRM and ENDORSE. Neurology 88 (16): </w:t>
            </w:r>
          </w:p>
        </w:tc>
      </w:tr>
      <w:tr w:rsidR="00406AEC" w:rsidRPr="00406AEC" w14:paraId="2B636413" w14:textId="77777777" w:rsidTr="00406AEC">
        <w:trPr>
          <w:trHeight w:val="300"/>
        </w:trPr>
        <w:tc>
          <w:tcPr>
            <w:tcW w:w="9360" w:type="dxa"/>
            <w:tcBorders>
              <w:top w:val="nil"/>
              <w:left w:val="nil"/>
              <w:bottom w:val="nil"/>
              <w:right w:val="nil"/>
            </w:tcBorders>
            <w:shd w:val="clear" w:color="auto" w:fill="auto"/>
            <w:noWrap/>
            <w:vAlign w:val="bottom"/>
            <w:hideMark/>
          </w:tcPr>
          <w:p w14:paraId="2504274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Giovannoni G, Phillips JT, Fox RJ, Zhang A et al. Long-term efficacy of delayed-release dimethyl fumarate in newly diagnosed patients with RRMS: An integrated analysis of DEFINE, CONFIRM, and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95-96.</w:t>
            </w:r>
          </w:p>
        </w:tc>
      </w:tr>
      <w:tr w:rsidR="00406AEC" w:rsidRPr="00406AEC" w14:paraId="4FC5141D" w14:textId="77777777" w:rsidTr="00406AEC">
        <w:trPr>
          <w:trHeight w:val="300"/>
        </w:trPr>
        <w:tc>
          <w:tcPr>
            <w:tcW w:w="9360" w:type="dxa"/>
            <w:tcBorders>
              <w:top w:val="nil"/>
              <w:left w:val="nil"/>
              <w:bottom w:val="nil"/>
              <w:right w:val="nil"/>
            </w:tcBorders>
            <w:shd w:val="clear" w:color="auto" w:fill="auto"/>
            <w:noWrap/>
            <w:vAlign w:val="bottom"/>
            <w:hideMark/>
          </w:tcPr>
          <w:p w14:paraId="1F02F6D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Phillips JT, Bar-Or A, Hutchinson M, Kappos L et al. Three-year follow-up of oral BG-12 (dimethyl fumarate) treatment in relapsing remitting multiple sclerosis (RRMS): Integrated clinical efficacy data from the DEFINE, CONFIRM, and ENDORSE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222.</w:t>
            </w:r>
          </w:p>
        </w:tc>
      </w:tr>
      <w:tr w:rsidR="00406AEC" w:rsidRPr="00406AEC" w14:paraId="09E86254" w14:textId="77777777" w:rsidTr="00406AEC">
        <w:trPr>
          <w:trHeight w:val="300"/>
        </w:trPr>
        <w:tc>
          <w:tcPr>
            <w:tcW w:w="9360" w:type="dxa"/>
            <w:tcBorders>
              <w:top w:val="nil"/>
              <w:left w:val="nil"/>
              <w:bottom w:val="nil"/>
              <w:right w:val="nil"/>
            </w:tcBorders>
            <w:shd w:val="clear" w:color="auto" w:fill="auto"/>
            <w:noWrap/>
            <w:vAlign w:val="bottom"/>
            <w:hideMark/>
          </w:tcPr>
          <w:p w14:paraId="56A16D3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Phillips JT, Bar-Or A, Kappos L, Zhang R et al. (2014) 4-year follow-up of delayed-release dimethyl fumarate treatment in relapsing-remitting multiple sclerosis (RRMS): Integrated clinical efficacy data from DEFINE, CONFIRM, and the ENDORSE extension study. Journal of Neurology 261 (31): </w:t>
            </w:r>
          </w:p>
        </w:tc>
      </w:tr>
      <w:tr w:rsidR="00406AEC" w:rsidRPr="00406AEC" w14:paraId="2A9152BD" w14:textId="77777777" w:rsidTr="00406AEC">
        <w:trPr>
          <w:trHeight w:val="300"/>
        </w:trPr>
        <w:tc>
          <w:tcPr>
            <w:tcW w:w="9360" w:type="dxa"/>
            <w:tcBorders>
              <w:top w:val="nil"/>
              <w:left w:val="nil"/>
              <w:bottom w:val="nil"/>
              <w:right w:val="nil"/>
            </w:tcBorders>
            <w:shd w:val="clear" w:color="auto" w:fill="auto"/>
            <w:noWrap/>
            <w:vAlign w:val="bottom"/>
            <w:hideMark/>
          </w:tcPr>
          <w:p w14:paraId="3310E79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Goodin DS, Ebers G, Cutter G, Traboulsee A, Langdon D et al. (2009) Long-term follow-up 20 years after the pivotal interferon beta-1b multiple sclerosis trial. Journal of the Neurological Sciences 285 (Suppl 1): S118-S119.</w:t>
            </w:r>
          </w:p>
        </w:tc>
      </w:tr>
      <w:tr w:rsidR="00406AEC" w:rsidRPr="00406AEC" w14:paraId="7849294A" w14:textId="77777777" w:rsidTr="00406AEC">
        <w:trPr>
          <w:trHeight w:val="300"/>
        </w:trPr>
        <w:tc>
          <w:tcPr>
            <w:tcW w:w="9360" w:type="dxa"/>
            <w:tcBorders>
              <w:top w:val="nil"/>
              <w:left w:val="nil"/>
              <w:bottom w:val="nil"/>
              <w:right w:val="nil"/>
            </w:tcBorders>
            <w:shd w:val="clear" w:color="auto" w:fill="auto"/>
            <w:noWrap/>
            <w:vAlign w:val="bottom"/>
            <w:hideMark/>
          </w:tcPr>
          <w:p w14:paraId="241FF00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Ebers GC, Cutter G, Cook SD, O'Donnell T et al. (2012) Cause of death in MS: long-term follow-up of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cohort, 21 years after the start of the pivotal IFN[beta]-1b study. BMJ open 2 (6): </w:t>
            </w:r>
          </w:p>
        </w:tc>
      </w:tr>
      <w:tr w:rsidR="00406AEC" w:rsidRPr="00406AEC" w14:paraId="133E1ABD" w14:textId="77777777" w:rsidTr="00406AEC">
        <w:trPr>
          <w:trHeight w:val="300"/>
        </w:trPr>
        <w:tc>
          <w:tcPr>
            <w:tcW w:w="9360" w:type="dxa"/>
            <w:tcBorders>
              <w:top w:val="nil"/>
              <w:left w:val="nil"/>
              <w:bottom w:val="nil"/>
              <w:right w:val="nil"/>
            </w:tcBorders>
            <w:shd w:val="clear" w:color="auto" w:fill="auto"/>
            <w:noWrap/>
            <w:vAlign w:val="bottom"/>
            <w:hideMark/>
          </w:tcPr>
          <w:p w14:paraId="29C204C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Goodin DS, Reder AT, Ebers G,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Survival analysis 21 years after the initiation of the pivotal interferon beta-1beta trial in patients with </w:t>
            </w:r>
            <w:proofErr w:type="spellStart"/>
            <w:r w:rsidRPr="00406AEC">
              <w:rPr>
                <w:rFonts w:ascii="Times New Roman" w:eastAsia="Times New Roman" w:hAnsi="Times New Roman" w:cs="Times New Roman"/>
                <w:color w:val="000000"/>
                <w:szCs w:val="22"/>
              </w:rPr>
              <w:t>rrms</w:t>
            </w:r>
            <w:proofErr w:type="spellEnd"/>
            <w:r w:rsidRPr="00406AEC">
              <w:rPr>
                <w:rFonts w:ascii="Times New Roman" w:eastAsia="Times New Roman" w:hAnsi="Times New Roman" w:cs="Times New Roman"/>
                <w:color w:val="000000"/>
                <w:szCs w:val="22"/>
              </w:rPr>
              <w:t>.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536.</w:t>
            </w:r>
          </w:p>
        </w:tc>
      </w:tr>
      <w:tr w:rsidR="00406AEC" w:rsidRPr="00406AEC" w14:paraId="6EE51970" w14:textId="77777777" w:rsidTr="00406AEC">
        <w:trPr>
          <w:trHeight w:val="300"/>
        </w:trPr>
        <w:tc>
          <w:tcPr>
            <w:tcW w:w="9360" w:type="dxa"/>
            <w:tcBorders>
              <w:top w:val="nil"/>
              <w:left w:val="nil"/>
              <w:bottom w:val="nil"/>
              <w:right w:val="nil"/>
            </w:tcBorders>
            <w:shd w:val="clear" w:color="auto" w:fill="auto"/>
            <w:noWrap/>
            <w:vAlign w:val="bottom"/>
            <w:hideMark/>
          </w:tcPr>
          <w:p w14:paraId="5094935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Reder AT, Ebers G,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(2011) Mortality outcomes for interferon beta-1b versus placebo 21 years following randomization. Annals of Neurology 70 (25): </w:t>
            </w:r>
          </w:p>
        </w:tc>
      </w:tr>
      <w:tr w:rsidR="00406AEC" w:rsidRPr="00406AEC" w14:paraId="3CFDA5E3" w14:textId="77777777" w:rsidTr="00406AEC">
        <w:trPr>
          <w:trHeight w:val="300"/>
        </w:trPr>
        <w:tc>
          <w:tcPr>
            <w:tcW w:w="9360" w:type="dxa"/>
            <w:tcBorders>
              <w:top w:val="nil"/>
              <w:left w:val="nil"/>
              <w:bottom w:val="nil"/>
              <w:right w:val="nil"/>
            </w:tcBorders>
            <w:shd w:val="clear" w:color="auto" w:fill="auto"/>
            <w:noWrap/>
            <w:vAlign w:val="bottom"/>
            <w:hideMark/>
          </w:tcPr>
          <w:p w14:paraId="660DDDA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Reder AT, Ebers GC,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(2012) Survival in MS A randomized cohort study 21 years after the start of the pivotal IFNbeta-1b trial. Neurology 78 (17): 1315-1322.</w:t>
            </w:r>
          </w:p>
        </w:tc>
      </w:tr>
      <w:tr w:rsidR="00406AEC" w:rsidRPr="00406AEC" w14:paraId="32D3C072" w14:textId="77777777" w:rsidTr="00406AEC">
        <w:trPr>
          <w:trHeight w:val="300"/>
        </w:trPr>
        <w:tc>
          <w:tcPr>
            <w:tcW w:w="9360" w:type="dxa"/>
            <w:tcBorders>
              <w:top w:val="nil"/>
              <w:left w:val="nil"/>
              <w:bottom w:val="nil"/>
              <w:right w:val="nil"/>
            </w:tcBorders>
            <w:shd w:val="clear" w:color="auto" w:fill="auto"/>
            <w:noWrap/>
            <w:vAlign w:val="bottom"/>
            <w:hideMark/>
          </w:tcPr>
          <w:p w14:paraId="69D1DB3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V, Reder AT, Li D et al. (2012) Relationship between early clinical characteristics and long term disability outcomes: 16 year cohort study (follow-up) of the pivotal interferon [beta]-1b trial in multiple sclerosis. Journal of neurology, neurosurgery, and psychiatry 83 (3): 282-287.</w:t>
            </w:r>
          </w:p>
        </w:tc>
      </w:tr>
      <w:tr w:rsidR="00406AEC" w:rsidRPr="00406AEC" w14:paraId="62EB085D" w14:textId="77777777" w:rsidTr="00406AEC">
        <w:trPr>
          <w:trHeight w:val="300"/>
        </w:trPr>
        <w:tc>
          <w:tcPr>
            <w:tcW w:w="9360" w:type="dxa"/>
            <w:tcBorders>
              <w:top w:val="nil"/>
              <w:left w:val="nil"/>
              <w:bottom w:val="nil"/>
              <w:right w:val="nil"/>
            </w:tcBorders>
            <w:shd w:val="clear" w:color="auto" w:fill="auto"/>
            <w:noWrap/>
            <w:vAlign w:val="bottom"/>
            <w:hideMark/>
          </w:tcPr>
          <w:p w14:paraId="008AABB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Goodman AD, Rossman H, Bar-Or A, Miller A, Miller DH et al. (2009) Glance: Results of a phase 2, randomized, double-blind, placebo-controlled study. Neurology 72 (9): 806-812.</w:t>
            </w:r>
          </w:p>
        </w:tc>
      </w:tr>
      <w:tr w:rsidR="00406AEC" w:rsidRPr="00406AEC" w14:paraId="155DC1CE" w14:textId="77777777" w:rsidTr="00406AEC">
        <w:trPr>
          <w:trHeight w:val="300"/>
        </w:trPr>
        <w:tc>
          <w:tcPr>
            <w:tcW w:w="9360" w:type="dxa"/>
            <w:tcBorders>
              <w:top w:val="nil"/>
              <w:left w:val="nil"/>
              <w:bottom w:val="nil"/>
              <w:right w:val="nil"/>
            </w:tcBorders>
            <w:shd w:val="clear" w:color="auto" w:fill="auto"/>
            <w:noWrap/>
            <w:vAlign w:val="bottom"/>
            <w:hideMark/>
          </w:tcPr>
          <w:p w14:paraId="6DACB30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Gottesman MH, Friedman-</w:t>
            </w:r>
            <w:proofErr w:type="spellStart"/>
            <w:r w:rsidRPr="00406AEC">
              <w:rPr>
                <w:rFonts w:ascii="Times New Roman" w:eastAsia="Times New Roman" w:hAnsi="Times New Roman" w:cs="Times New Roman"/>
                <w:color w:val="000000"/>
                <w:szCs w:val="22"/>
              </w:rPr>
              <w:t>Urevich</w:t>
            </w:r>
            <w:proofErr w:type="spellEnd"/>
            <w:r w:rsidRPr="00406AEC">
              <w:rPr>
                <w:rFonts w:ascii="Times New Roman" w:eastAsia="Times New Roman" w:hAnsi="Times New Roman" w:cs="Times New Roman"/>
                <w:color w:val="000000"/>
                <w:szCs w:val="22"/>
              </w:rPr>
              <w:t xml:space="preserve"> S (2006) Interferon beta-1b (</w:t>
            </w:r>
            <w:proofErr w:type="spellStart"/>
            <w:r w:rsidRPr="00406AEC">
              <w:rPr>
                <w:rFonts w:ascii="Times New Roman" w:eastAsia="Times New Roman" w:hAnsi="Times New Roman" w:cs="Times New Roman"/>
                <w:color w:val="000000"/>
                <w:szCs w:val="22"/>
              </w:rPr>
              <w:t>Betaseron</w:t>
            </w:r>
            <w:proofErr w:type="spellEnd"/>
            <w:r w:rsidRPr="00406AEC">
              <w:rPr>
                <w:rFonts w:ascii="Times New Roman" w:eastAsia="Times New Roman" w:hAnsi="Times New Roman" w:cs="Times New Roman"/>
                <w:color w:val="000000"/>
                <w:szCs w:val="22"/>
              </w:rPr>
              <w:t>/</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 is well tolerated at a dose of 500 mug: Interferon dose escalation assessment of safety (IDEAS). Multiple Sclerosis 12 (3): 271-280.</w:t>
            </w:r>
          </w:p>
        </w:tc>
      </w:tr>
      <w:tr w:rsidR="00406AEC" w:rsidRPr="00406AEC" w14:paraId="72F6B096" w14:textId="77777777" w:rsidTr="00406AEC">
        <w:trPr>
          <w:trHeight w:val="300"/>
        </w:trPr>
        <w:tc>
          <w:tcPr>
            <w:tcW w:w="9360" w:type="dxa"/>
            <w:tcBorders>
              <w:top w:val="nil"/>
              <w:left w:val="nil"/>
              <w:bottom w:val="nil"/>
              <w:right w:val="nil"/>
            </w:tcBorders>
            <w:shd w:val="clear" w:color="auto" w:fill="auto"/>
            <w:noWrap/>
            <w:vAlign w:val="bottom"/>
            <w:hideMark/>
          </w:tcPr>
          <w:p w14:paraId="48E0CBC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Haas J, Vollmer T, Jeffery D, </w:t>
            </w:r>
            <w:proofErr w:type="spellStart"/>
            <w:r w:rsidRPr="00406AEC">
              <w:rPr>
                <w:rFonts w:ascii="Times New Roman" w:eastAsia="Times New Roman" w:hAnsi="Times New Roman" w:cs="Times New Roman"/>
                <w:color w:val="000000"/>
                <w:szCs w:val="22"/>
              </w:rPr>
              <w:t>Piani</w:t>
            </w:r>
            <w:proofErr w:type="spellEnd"/>
            <w:r w:rsidRPr="00406AEC">
              <w:rPr>
                <w:rFonts w:ascii="Times New Roman" w:eastAsia="Times New Roman" w:hAnsi="Times New Roman" w:cs="Times New Roman"/>
                <w:color w:val="000000"/>
                <w:szCs w:val="22"/>
              </w:rPr>
              <w:t xml:space="preserve"> Meier D, Stadler B et al. (2016) Impact of continuous fingolimod therapy and switching to fingolimod on relapse severity in patients with relapsing-remitting multiple sclerosis. Multiple Sclerosis 22 (636): </w:t>
            </w:r>
          </w:p>
        </w:tc>
      </w:tr>
      <w:tr w:rsidR="00406AEC" w:rsidRPr="00406AEC" w14:paraId="6FBE3549" w14:textId="77777777" w:rsidTr="00406AEC">
        <w:trPr>
          <w:trHeight w:val="300"/>
        </w:trPr>
        <w:tc>
          <w:tcPr>
            <w:tcW w:w="9360" w:type="dxa"/>
            <w:tcBorders>
              <w:top w:val="nil"/>
              <w:left w:val="nil"/>
              <w:bottom w:val="nil"/>
              <w:right w:val="nil"/>
            </w:tcBorders>
            <w:shd w:val="clear" w:color="auto" w:fill="auto"/>
            <w:noWrap/>
            <w:vAlign w:val="bottom"/>
            <w:hideMark/>
          </w:tcPr>
          <w:p w14:paraId="7CE1712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Hartung HP, Arnold D, Freedman M,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Jeffery D et al. (2017) ASCEND phase 3 trial open-label extension study results: natalizumab may delay disability progression in secondary progressive multiple sclerosis (SPMS). Neurology 88 (16): </w:t>
            </w:r>
          </w:p>
        </w:tc>
      </w:tr>
      <w:tr w:rsidR="00406AEC" w:rsidRPr="00406AEC" w14:paraId="34919C5A" w14:textId="77777777" w:rsidTr="00406AEC">
        <w:trPr>
          <w:trHeight w:val="300"/>
        </w:trPr>
        <w:tc>
          <w:tcPr>
            <w:tcW w:w="9360" w:type="dxa"/>
            <w:tcBorders>
              <w:top w:val="nil"/>
              <w:left w:val="nil"/>
              <w:bottom w:val="nil"/>
              <w:right w:val="nil"/>
            </w:tcBorders>
            <w:shd w:val="clear" w:color="auto" w:fill="auto"/>
            <w:noWrap/>
            <w:vAlign w:val="bottom"/>
            <w:hideMark/>
          </w:tcPr>
          <w:p w14:paraId="6F0F2F2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Hartung HP, Cree B,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 Gold R et al. (2011) Effects of a 24-week natalizumab treatment interruption on various immune parameters and multiple sclerosis (MS) disease activity: The restore study. European journal of neurology 18 (265): </w:t>
            </w:r>
          </w:p>
        </w:tc>
      </w:tr>
      <w:tr w:rsidR="00406AEC" w:rsidRPr="00406AEC" w14:paraId="05F35F16" w14:textId="77777777" w:rsidTr="00406AEC">
        <w:trPr>
          <w:trHeight w:val="300"/>
        </w:trPr>
        <w:tc>
          <w:tcPr>
            <w:tcW w:w="9360" w:type="dxa"/>
            <w:tcBorders>
              <w:top w:val="nil"/>
              <w:left w:val="nil"/>
              <w:bottom w:val="nil"/>
              <w:right w:val="nil"/>
            </w:tcBorders>
            <w:shd w:val="clear" w:color="auto" w:fill="auto"/>
            <w:noWrap/>
            <w:vAlign w:val="bottom"/>
            <w:hideMark/>
          </w:tcPr>
          <w:p w14:paraId="5127FBC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Hartung HP, Cree B,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 Gold R et al. Natalizumab treatment interruption in multiple sclerosis: Effects on immune parameters and MRI disease activity in the restore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(9): S8-S9.</w:t>
            </w:r>
          </w:p>
        </w:tc>
      </w:tr>
      <w:tr w:rsidR="00406AEC" w:rsidRPr="00406AEC" w14:paraId="08071E08" w14:textId="77777777" w:rsidTr="00406AEC">
        <w:trPr>
          <w:trHeight w:val="300"/>
        </w:trPr>
        <w:tc>
          <w:tcPr>
            <w:tcW w:w="9360" w:type="dxa"/>
            <w:tcBorders>
              <w:top w:val="nil"/>
              <w:left w:val="nil"/>
              <w:bottom w:val="nil"/>
              <w:right w:val="nil"/>
            </w:tcBorders>
            <w:shd w:val="clear" w:color="auto" w:fill="auto"/>
            <w:noWrap/>
            <w:vAlign w:val="bottom"/>
            <w:hideMark/>
          </w:tcPr>
          <w:p w14:paraId="6493754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Hauser S, Kappos L, Li D, Calabresi P, O'Connor P et al. </w:t>
            </w:r>
            <w:r w:rsidRPr="00406AEC">
              <w:rPr>
                <w:rFonts w:ascii="Times New Roman" w:eastAsia="Times New Roman" w:hAnsi="Times New Roman" w:cs="Times New Roman"/>
                <w:color w:val="000000"/>
                <w:szCs w:val="22"/>
              </w:rPr>
              <w:t>Long-term efficacy and safety of ocrelizumab in patients with relapsing-remitting multiple sclerosis (RRMS): Week 96 results of a phase II, randomized, multicenter trial. Neurology 78 (1 Meeting Abstract): CONFERENCE START: 2012 Apr 2021 CONFERENCE END: 2012 Apr 2028.</w:t>
            </w:r>
          </w:p>
        </w:tc>
      </w:tr>
      <w:tr w:rsidR="00406AEC" w:rsidRPr="00406AEC" w14:paraId="6F6D6441" w14:textId="77777777" w:rsidTr="00406AEC">
        <w:trPr>
          <w:trHeight w:val="300"/>
        </w:trPr>
        <w:tc>
          <w:tcPr>
            <w:tcW w:w="9360" w:type="dxa"/>
            <w:tcBorders>
              <w:top w:val="nil"/>
              <w:left w:val="nil"/>
              <w:bottom w:val="nil"/>
              <w:right w:val="nil"/>
            </w:tcBorders>
            <w:shd w:val="clear" w:color="auto" w:fill="auto"/>
            <w:noWrap/>
            <w:vAlign w:val="bottom"/>
            <w:hideMark/>
          </w:tcPr>
          <w:p w14:paraId="1417C85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Hauser S, Li D, Calabresi P, O'Connor P, Bar-Or A et al. (2013) Week 144 results of a phase II, randomized, multicenter trial assessing the safety and efficacy of ocrelizumab in patients with relapsing-remitting multiple sclerosis (RRMS). </w:t>
            </w:r>
          </w:p>
        </w:tc>
      </w:tr>
      <w:tr w:rsidR="00406AEC" w:rsidRPr="00406AEC" w14:paraId="2CFDDEA4" w14:textId="77777777" w:rsidTr="00406AEC">
        <w:trPr>
          <w:trHeight w:val="300"/>
        </w:trPr>
        <w:tc>
          <w:tcPr>
            <w:tcW w:w="9360" w:type="dxa"/>
            <w:tcBorders>
              <w:top w:val="nil"/>
              <w:left w:val="nil"/>
              <w:bottom w:val="nil"/>
              <w:right w:val="nil"/>
            </w:tcBorders>
            <w:shd w:val="clear" w:color="auto" w:fill="auto"/>
            <w:noWrap/>
            <w:vAlign w:val="bottom"/>
            <w:hideMark/>
          </w:tcPr>
          <w:p w14:paraId="52AC09B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Arnold DL, Cohen JA, Hartung HP, Fox EJ et al. (2017) Alemtuzumab CARE-MS I 5-year follow-up: durable efficacy in the absence of continuous MS therapy. Neurology 89 (11): 1107-1116.</w:t>
            </w:r>
          </w:p>
        </w:tc>
      </w:tr>
      <w:tr w:rsidR="00406AEC" w:rsidRPr="00406AEC" w14:paraId="66CC70AC" w14:textId="77777777" w:rsidTr="00406AEC">
        <w:trPr>
          <w:trHeight w:val="300"/>
        </w:trPr>
        <w:tc>
          <w:tcPr>
            <w:tcW w:w="9360" w:type="dxa"/>
            <w:tcBorders>
              <w:top w:val="nil"/>
              <w:left w:val="nil"/>
              <w:bottom w:val="nil"/>
              <w:right w:val="nil"/>
            </w:tcBorders>
            <w:shd w:val="clear" w:color="auto" w:fill="auto"/>
            <w:noWrap/>
            <w:vAlign w:val="bottom"/>
            <w:hideMark/>
          </w:tcPr>
          <w:p w14:paraId="22530AA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Havrdova E, Gold R, Fox RJ, Giovannoni G, Xiao J et al. </w:t>
            </w:r>
            <w:r w:rsidRPr="00406AEC">
              <w:rPr>
                <w:rFonts w:ascii="Times New Roman" w:eastAsia="Times New Roman" w:hAnsi="Times New Roman" w:cs="Times New Roman"/>
                <w:color w:val="000000"/>
                <w:szCs w:val="22"/>
              </w:rPr>
              <w:t xml:space="preserve">Association between no evidence of disease activity (NEDA) and long-term clinical efficacy of delayed-release </w:t>
            </w:r>
            <w:r w:rsidRPr="00406AEC">
              <w:rPr>
                <w:rFonts w:ascii="Times New Roman" w:eastAsia="Times New Roman" w:hAnsi="Times New Roman" w:cs="Times New Roman"/>
                <w:color w:val="000000"/>
                <w:szCs w:val="22"/>
              </w:rPr>
              <w:lastRenderedPageBreak/>
              <w:t>dimethyl fumarate (DMF) in patients with relapsing-remitting multiple sclerosis from the phase 3 study,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256-257.</w:t>
            </w:r>
          </w:p>
        </w:tc>
      </w:tr>
      <w:tr w:rsidR="00406AEC" w:rsidRPr="00406AEC" w14:paraId="6C488CF7" w14:textId="77777777" w:rsidTr="00406AEC">
        <w:trPr>
          <w:trHeight w:val="300"/>
        </w:trPr>
        <w:tc>
          <w:tcPr>
            <w:tcW w:w="9360" w:type="dxa"/>
            <w:tcBorders>
              <w:top w:val="nil"/>
              <w:left w:val="nil"/>
              <w:bottom w:val="nil"/>
              <w:right w:val="nil"/>
            </w:tcBorders>
            <w:shd w:val="clear" w:color="auto" w:fill="auto"/>
            <w:noWrap/>
            <w:vAlign w:val="bottom"/>
            <w:hideMark/>
          </w:tcPr>
          <w:p w14:paraId="4C0B65A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Hegen</w:t>
            </w:r>
            <w:proofErr w:type="spellEnd"/>
            <w:r w:rsidRPr="00406AEC">
              <w:rPr>
                <w:rFonts w:ascii="Times New Roman" w:eastAsia="Times New Roman" w:hAnsi="Times New Roman" w:cs="Times New Roman"/>
                <w:color w:val="000000"/>
                <w:szCs w:val="22"/>
              </w:rPr>
              <w:t xml:space="preserve"> H, Guger M, Harrer A, Hoelzl M, Kraus J et al. (2014) High-dose intravenous interferon-beta in multiple sclerosis patients with high-titer neutralizing antibodies (HINABS II) - A pilot study. Multiple Sclerosis and Related Disorders 3 (2): 220-226.</w:t>
            </w:r>
          </w:p>
        </w:tc>
      </w:tr>
      <w:tr w:rsidR="00406AEC" w:rsidRPr="00406AEC" w14:paraId="6D84EF28" w14:textId="77777777" w:rsidTr="00406AEC">
        <w:trPr>
          <w:trHeight w:val="300"/>
        </w:trPr>
        <w:tc>
          <w:tcPr>
            <w:tcW w:w="9360" w:type="dxa"/>
            <w:tcBorders>
              <w:top w:val="nil"/>
              <w:left w:val="nil"/>
              <w:bottom w:val="nil"/>
              <w:right w:val="nil"/>
            </w:tcBorders>
            <w:shd w:val="clear" w:color="auto" w:fill="auto"/>
            <w:noWrap/>
            <w:vAlign w:val="bottom"/>
            <w:hideMark/>
          </w:tcPr>
          <w:p w14:paraId="3654C7E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Hu</w:t>
            </w:r>
            <w:proofErr w:type="spellEnd"/>
            <w:r w:rsidRPr="00713F1E">
              <w:rPr>
                <w:rFonts w:ascii="Times New Roman" w:eastAsia="Times New Roman" w:hAnsi="Times New Roman" w:cs="Times New Roman"/>
                <w:color w:val="000000"/>
                <w:szCs w:val="22"/>
                <w:lang w:val="es-ES"/>
              </w:rPr>
              <w:t xml:space="preserve"> X, Cui Y, White J, Zhu Y, </w:t>
            </w:r>
            <w:proofErr w:type="spellStart"/>
            <w:r w:rsidRPr="00713F1E">
              <w:rPr>
                <w:rFonts w:ascii="Times New Roman" w:eastAsia="Times New Roman" w:hAnsi="Times New Roman" w:cs="Times New Roman"/>
                <w:color w:val="000000"/>
                <w:szCs w:val="22"/>
                <w:lang w:val="es-ES"/>
              </w:rPr>
              <w:t>Deykin</w:t>
            </w:r>
            <w:proofErr w:type="spellEnd"/>
            <w:r w:rsidRPr="00713F1E">
              <w:rPr>
                <w:rFonts w:ascii="Times New Roman" w:eastAsia="Times New Roman" w:hAnsi="Times New Roman" w:cs="Times New Roman"/>
                <w:color w:val="000000"/>
                <w:szCs w:val="22"/>
                <w:lang w:val="es-ES"/>
              </w:rPr>
              <w:t xml:space="preserve"> A et al. </w:t>
            </w:r>
            <w:r w:rsidRPr="00406AEC">
              <w:rPr>
                <w:rFonts w:ascii="Times New Roman" w:eastAsia="Times New Roman" w:hAnsi="Times New Roman" w:cs="Times New Roman"/>
                <w:color w:val="000000"/>
                <w:szCs w:val="22"/>
              </w:rPr>
              <w:t>(2015) Pharmacokinetics and pharmacodynamics of peginterferon beta-1a in patients with relapsing-remitting multiple sclerosis in the randomized ADVANCE study. British Journal of Clinical Pharmacology 79 (3): 514-522.</w:t>
            </w:r>
          </w:p>
        </w:tc>
      </w:tr>
      <w:tr w:rsidR="00406AEC" w:rsidRPr="00406AEC" w14:paraId="34A1961D" w14:textId="77777777" w:rsidTr="00406AEC">
        <w:trPr>
          <w:trHeight w:val="300"/>
        </w:trPr>
        <w:tc>
          <w:tcPr>
            <w:tcW w:w="9360" w:type="dxa"/>
            <w:tcBorders>
              <w:top w:val="nil"/>
              <w:left w:val="nil"/>
              <w:bottom w:val="nil"/>
              <w:right w:val="nil"/>
            </w:tcBorders>
            <w:shd w:val="clear" w:color="auto" w:fill="auto"/>
            <w:noWrap/>
            <w:vAlign w:val="bottom"/>
            <w:hideMark/>
          </w:tcPr>
          <w:p w14:paraId="1FD7CB5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Hunter SF, </w:t>
            </w:r>
            <w:proofErr w:type="spellStart"/>
            <w:r w:rsidRPr="00406AEC">
              <w:rPr>
                <w:rFonts w:ascii="Times New Roman" w:eastAsia="Times New Roman" w:hAnsi="Times New Roman" w:cs="Times New Roman"/>
                <w:color w:val="000000"/>
                <w:szCs w:val="22"/>
              </w:rPr>
              <w:t>Aburashed</w:t>
            </w:r>
            <w:proofErr w:type="spellEnd"/>
            <w:r w:rsidRPr="00406AEC">
              <w:rPr>
                <w:rFonts w:ascii="Times New Roman" w:eastAsia="Times New Roman" w:hAnsi="Times New Roman" w:cs="Times New Roman"/>
                <w:color w:val="000000"/>
                <w:szCs w:val="22"/>
              </w:rPr>
              <w:t xml:space="preserve"> RA, </w:t>
            </w:r>
            <w:proofErr w:type="spellStart"/>
            <w:r w:rsidRPr="00406AEC">
              <w:rPr>
                <w:rFonts w:ascii="Times New Roman" w:eastAsia="Times New Roman" w:hAnsi="Times New Roman" w:cs="Times New Roman"/>
                <w:color w:val="000000"/>
                <w:szCs w:val="22"/>
              </w:rPr>
              <w:t>Alroughani</w:t>
            </w:r>
            <w:proofErr w:type="spellEnd"/>
            <w:r w:rsidRPr="00406AEC">
              <w:rPr>
                <w:rFonts w:ascii="Times New Roman" w:eastAsia="Times New Roman" w:hAnsi="Times New Roman" w:cs="Times New Roman"/>
                <w:color w:val="000000"/>
                <w:szCs w:val="22"/>
              </w:rPr>
              <w:t xml:space="preserve"> R, Chan A, Dive D et al. (2021) Confirmed 6-Month Disability Improvement and Worsening Correlate with Long-term Disability Outcomes in Alemtuzumab-Treated Patients with Multiple Sclerosis: Post Hoc Analysis of the CARE-MS Studies. Neurology and Therapy </w:t>
            </w:r>
          </w:p>
        </w:tc>
      </w:tr>
      <w:tr w:rsidR="00406AEC" w:rsidRPr="00406AEC" w14:paraId="036966D2" w14:textId="77777777" w:rsidTr="00406AEC">
        <w:trPr>
          <w:trHeight w:val="300"/>
        </w:trPr>
        <w:tc>
          <w:tcPr>
            <w:tcW w:w="9360" w:type="dxa"/>
            <w:tcBorders>
              <w:top w:val="nil"/>
              <w:left w:val="nil"/>
              <w:bottom w:val="nil"/>
              <w:right w:val="nil"/>
            </w:tcBorders>
            <w:shd w:val="clear" w:color="auto" w:fill="auto"/>
            <w:noWrap/>
            <w:vAlign w:val="bottom"/>
            <w:hideMark/>
          </w:tcPr>
          <w:p w14:paraId="36089C8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Hunter SF, Agius M, Miller DM, Cutter G, Barbato L et al. </w:t>
            </w:r>
            <w:r w:rsidRPr="00406AEC">
              <w:rPr>
                <w:rFonts w:ascii="Times New Roman" w:eastAsia="Times New Roman" w:hAnsi="Times New Roman" w:cs="Times New Roman"/>
                <w:color w:val="000000"/>
                <w:szCs w:val="22"/>
              </w:rPr>
              <w:t xml:space="preserve">(2016) Impact of a switch to fingolimod on depressive symptoms in patients with relapsing multiple sclerosis: An analysis from the EPOC (Evaluate Patient </w:t>
            </w:r>
            <w:proofErr w:type="spellStart"/>
            <w:r w:rsidRPr="00406AEC">
              <w:rPr>
                <w:rFonts w:ascii="Times New Roman" w:eastAsia="Times New Roman" w:hAnsi="Times New Roman" w:cs="Times New Roman"/>
                <w:color w:val="000000"/>
                <w:szCs w:val="22"/>
              </w:rPr>
              <w:t>OutComes</w:t>
            </w:r>
            <w:proofErr w:type="spellEnd"/>
            <w:r w:rsidRPr="00406AEC">
              <w:rPr>
                <w:rFonts w:ascii="Times New Roman" w:eastAsia="Times New Roman" w:hAnsi="Times New Roman" w:cs="Times New Roman"/>
                <w:color w:val="000000"/>
                <w:szCs w:val="22"/>
              </w:rPr>
              <w:t>) trial. Journal of the Neurological Sciences 365 190-198.</w:t>
            </w:r>
          </w:p>
        </w:tc>
      </w:tr>
      <w:tr w:rsidR="00406AEC" w:rsidRPr="00406AEC" w14:paraId="2344A7BE" w14:textId="77777777" w:rsidTr="00406AEC">
        <w:trPr>
          <w:trHeight w:val="300"/>
        </w:trPr>
        <w:tc>
          <w:tcPr>
            <w:tcW w:w="9360" w:type="dxa"/>
            <w:tcBorders>
              <w:top w:val="nil"/>
              <w:left w:val="nil"/>
              <w:bottom w:val="nil"/>
              <w:right w:val="nil"/>
            </w:tcBorders>
            <w:shd w:val="clear" w:color="auto" w:fill="auto"/>
            <w:noWrap/>
            <w:vAlign w:val="bottom"/>
            <w:hideMark/>
          </w:tcPr>
          <w:p w14:paraId="7D9A4B3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Hunter SF, Cree BA, Meng X, Schofield L, Kolodny S et al. </w:t>
            </w:r>
            <w:r w:rsidRPr="00406AEC">
              <w:rPr>
                <w:rFonts w:ascii="Times New Roman" w:eastAsia="Times New Roman" w:hAnsi="Times New Roman" w:cs="Times New Roman"/>
                <w:color w:val="000000"/>
                <w:szCs w:val="22"/>
              </w:rPr>
              <w:t xml:space="preserve">(2018) Satisfaction and efficacy outcomes when switching from injectable disease-modifying therapies to fingolimod in </w:t>
            </w:r>
            <w:proofErr w:type="spellStart"/>
            <w:r w:rsidRPr="00406AEC">
              <w:rPr>
                <w:rFonts w:ascii="Times New Roman" w:eastAsia="Times New Roman" w:hAnsi="Times New Roman" w:cs="Times New Roman"/>
                <w:color w:val="000000"/>
                <w:szCs w:val="22"/>
              </w:rPr>
              <w:t>preferms</w:t>
            </w:r>
            <w:proofErr w:type="spellEnd"/>
            <w:r w:rsidRPr="00406AEC">
              <w:rPr>
                <w:rFonts w:ascii="Times New Roman" w:eastAsia="Times New Roman" w:hAnsi="Times New Roman" w:cs="Times New Roman"/>
                <w:color w:val="000000"/>
                <w:szCs w:val="22"/>
              </w:rPr>
              <w:t>: effect of previous treatment. Multiple sclerosis journal 24 (1): 19-.</w:t>
            </w:r>
          </w:p>
        </w:tc>
      </w:tr>
      <w:tr w:rsidR="00406AEC" w:rsidRPr="00406AEC" w14:paraId="14555B8C" w14:textId="77777777" w:rsidTr="00406AEC">
        <w:trPr>
          <w:trHeight w:val="300"/>
        </w:trPr>
        <w:tc>
          <w:tcPr>
            <w:tcW w:w="9360" w:type="dxa"/>
            <w:tcBorders>
              <w:top w:val="nil"/>
              <w:left w:val="nil"/>
              <w:bottom w:val="nil"/>
              <w:right w:val="nil"/>
            </w:tcBorders>
            <w:shd w:val="clear" w:color="auto" w:fill="auto"/>
            <w:noWrap/>
            <w:vAlign w:val="bottom"/>
            <w:hideMark/>
          </w:tcPr>
          <w:p w14:paraId="1BE3FC5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Hunter SF, Thomas FP, Meng X, Schofield L, Tenenbaum N et al. (2019) Effect of treatment naivete on MRI outcomes with fingolimod or injectable disease-modifying therapies in patients with multiple sclerosis: </w:t>
            </w:r>
            <w:proofErr w:type="spellStart"/>
            <w:r w:rsidRPr="00406AEC">
              <w:rPr>
                <w:rFonts w:ascii="Times New Roman" w:eastAsia="Times New Roman" w:hAnsi="Times New Roman" w:cs="Times New Roman"/>
                <w:color w:val="000000"/>
                <w:szCs w:val="22"/>
              </w:rPr>
              <w:t>preferms</w:t>
            </w:r>
            <w:proofErr w:type="spellEnd"/>
            <w:r w:rsidRPr="00406AEC">
              <w:rPr>
                <w:rFonts w:ascii="Times New Roman" w:eastAsia="Times New Roman" w:hAnsi="Times New Roman" w:cs="Times New Roman"/>
                <w:color w:val="000000"/>
                <w:szCs w:val="22"/>
              </w:rPr>
              <w:t>. Multiple sclerosis journal 25 35-36.</w:t>
            </w:r>
          </w:p>
        </w:tc>
      </w:tr>
      <w:tr w:rsidR="00406AEC" w:rsidRPr="00406AEC" w14:paraId="572694DC" w14:textId="77777777" w:rsidTr="00406AEC">
        <w:trPr>
          <w:trHeight w:val="300"/>
        </w:trPr>
        <w:tc>
          <w:tcPr>
            <w:tcW w:w="9360" w:type="dxa"/>
            <w:tcBorders>
              <w:top w:val="nil"/>
              <w:left w:val="nil"/>
              <w:bottom w:val="nil"/>
              <w:right w:val="nil"/>
            </w:tcBorders>
            <w:shd w:val="clear" w:color="auto" w:fill="auto"/>
            <w:noWrap/>
            <w:vAlign w:val="bottom"/>
            <w:hideMark/>
          </w:tcPr>
          <w:p w14:paraId="29A5C29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Hurwitz BJ, Jeffery D, Arnason B, Bigley K, Coyle P et al. (2008) Tolerability and safety profile of 12- to 28-week treatment with interferon beta-1b 250 and 500 mug QOD in patients with relapsing-remitting multiple sclerosis: A multicenter, randomized, double-blind, parallel-group pilot study. Clinical Therapeutics 30 (6): 1102-1112.</w:t>
            </w:r>
          </w:p>
        </w:tc>
      </w:tr>
      <w:tr w:rsidR="00406AEC" w:rsidRPr="00406AEC" w14:paraId="1F150C7A" w14:textId="77777777" w:rsidTr="00406AEC">
        <w:trPr>
          <w:trHeight w:val="300"/>
        </w:trPr>
        <w:tc>
          <w:tcPr>
            <w:tcW w:w="9360" w:type="dxa"/>
            <w:tcBorders>
              <w:top w:val="nil"/>
              <w:left w:val="nil"/>
              <w:bottom w:val="nil"/>
              <w:right w:val="nil"/>
            </w:tcBorders>
            <w:shd w:val="clear" w:color="auto" w:fill="auto"/>
            <w:noWrap/>
            <w:vAlign w:val="bottom"/>
            <w:hideMark/>
          </w:tcPr>
          <w:p w14:paraId="7E29A7B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Hutchinson M, Gold R, Fox RJ, Phillips JT, Bar-Or A et al. (2015) Six-year follow-up of delayed-release dimethyl fumarate in RRMS: integrated clinical efficacy data from the DEFINE, CONFIRM, and ENDORSE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246-247.</w:t>
            </w:r>
          </w:p>
        </w:tc>
      </w:tr>
      <w:tr w:rsidR="00406AEC" w:rsidRPr="00406AEC" w14:paraId="754770D0" w14:textId="77777777" w:rsidTr="00406AEC">
        <w:trPr>
          <w:trHeight w:val="300"/>
        </w:trPr>
        <w:tc>
          <w:tcPr>
            <w:tcW w:w="9360" w:type="dxa"/>
            <w:tcBorders>
              <w:top w:val="nil"/>
              <w:left w:val="nil"/>
              <w:bottom w:val="nil"/>
              <w:right w:val="nil"/>
            </w:tcBorders>
            <w:shd w:val="clear" w:color="auto" w:fill="auto"/>
            <w:noWrap/>
            <w:vAlign w:val="bottom"/>
            <w:hideMark/>
          </w:tcPr>
          <w:p w14:paraId="058C5FE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es-ES"/>
              </w:rPr>
              <w:t xml:space="preserve">Izquierdo G, O'Connor P, </w:t>
            </w:r>
            <w:proofErr w:type="spellStart"/>
            <w:r w:rsidRPr="00713F1E">
              <w:rPr>
                <w:rFonts w:ascii="Times New Roman" w:eastAsia="Times New Roman" w:hAnsi="Times New Roman" w:cs="Times New Roman"/>
                <w:color w:val="000000"/>
                <w:szCs w:val="22"/>
                <w:lang w:val="es-ES"/>
              </w:rPr>
              <w:t>Montalban</w:t>
            </w:r>
            <w:proofErr w:type="spellEnd"/>
            <w:r w:rsidRPr="00713F1E">
              <w:rPr>
                <w:rFonts w:ascii="Times New Roman" w:eastAsia="Times New Roman" w:hAnsi="Times New Roman" w:cs="Times New Roman"/>
                <w:color w:val="000000"/>
                <w:szCs w:val="22"/>
                <w:lang w:val="es-ES"/>
              </w:rPr>
              <w:t xml:space="preserve"> X, </w:t>
            </w:r>
            <w:proofErr w:type="spellStart"/>
            <w:r w:rsidRPr="00713F1E">
              <w:rPr>
                <w:rFonts w:ascii="Times New Roman" w:eastAsia="Times New Roman" w:hAnsi="Times New Roman" w:cs="Times New Roman"/>
                <w:color w:val="000000"/>
                <w:szCs w:val="22"/>
                <w:lang w:val="es-ES"/>
              </w:rPr>
              <w:t>Von</w:t>
            </w:r>
            <w:proofErr w:type="spellEnd"/>
            <w:r w:rsidRPr="00713F1E">
              <w:rPr>
                <w:rFonts w:ascii="Times New Roman" w:eastAsia="Times New Roman" w:hAnsi="Times New Roman" w:cs="Times New Roman"/>
                <w:color w:val="000000"/>
                <w:szCs w:val="22"/>
                <w:lang w:val="es-ES"/>
              </w:rPr>
              <w:t xml:space="preserve"> </w:t>
            </w:r>
            <w:proofErr w:type="spellStart"/>
            <w:r w:rsidRPr="00713F1E">
              <w:rPr>
                <w:rFonts w:ascii="Times New Roman" w:eastAsia="Times New Roman" w:hAnsi="Times New Roman" w:cs="Times New Roman"/>
                <w:color w:val="000000"/>
                <w:szCs w:val="22"/>
                <w:lang w:val="es-ES"/>
              </w:rPr>
              <w:t>Rosenstiel</w:t>
            </w:r>
            <w:proofErr w:type="spellEnd"/>
            <w:r w:rsidRPr="00713F1E">
              <w:rPr>
                <w:rFonts w:ascii="Times New Roman" w:eastAsia="Times New Roman" w:hAnsi="Times New Roman" w:cs="Times New Roman"/>
                <w:color w:val="000000"/>
                <w:szCs w:val="22"/>
                <w:lang w:val="es-ES"/>
              </w:rPr>
              <w:t xml:space="preserve"> P, </w:t>
            </w:r>
            <w:proofErr w:type="spellStart"/>
            <w:r w:rsidRPr="00713F1E">
              <w:rPr>
                <w:rFonts w:ascii="Times New Roman" w:eastAsia="Times New Roman" w:hAnsi="Times New Roman" w:cs="Times New Roman"/>
                <w:color w:val="000000"/>
                <w:szCs w:val="22"/>
                <w:lang w:val="es-ES"/>
              </w:rPr>
              <w:t>Cremer</w:t>
            </w:r>
            <w:proofErr w:type="spellEnd"/>
            <w:r w:rsidRPr="00713F1E">
              <w:rPr>
                <w:rFonts w:ascii="Times New Roman" w:eastAsia="Times New Roman" w:hAnsi="Times New Roman" w:cs="Times New Roman"/>
                <w:color w:val="000000"/>
                <w:szCs w:val="22"/>
                <w:lang w:val="es-ES"/>
              </w:rPr>
              <w:t xml:space="preserve"> M et al. </w:t>
            </w:r>
            <w:r w:rsidRPr="00406AEC">
              <w:rPr>
                <w:rFonts w:ascii="Times New Roman" w:eastAsia="Times New Roman" w:hAnsi="Times New Roman" w:cs="Times New Roman"/>
                <w:color w:val="000000"/>
                <w:szCs w:val="22"/>
              </w:rPr>
              <w:t>(2014) Five-year results from a phase 2 study of oral fingolimod in relapsing multiple sclerosis. Multiple Sclerosis 20 (7): 877-881.</w:t>
            </w:r>
          </w:p>
        </w:tc>
      </w:tr>
      <w:tr w:rsidR="00406AEC" w:rsidRPr="00406AEC" w14:paraId="67D8288E" w14:textId="77777777" w:rsidTr="00406AEC">
        <w:trPr>
          <w:trHeight w:val="300"/>
        </w:trPr>
        <w:tc>
          <w:tcPr>
            <w:tcW w:w="9360" w:type="dxa"/>
            <w:tcBorders>
              <w:top w:val="nil"/>
              <w:left w:val="nil"/>
              <w:bottom w:val="nil"/>
              <w:right w:val="nil"/>
            </w:tcBorders>
            <w:shd w:val="clear" w:color="auto" w:fill="auto"/>
            <w:noWrap/>
            <w:vAlign w:val="bottom"/>
            <w:hideMark/>
          </w:tcPr>
          <w:p w14:paraId="50BFC43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Jacobs L, Salazar AM, Herndon R (1987) Intrathecally administered natural human fibroblast interferon reduces exacerbations of multiple sclerosis: Results of a multicenter, double-blinded study. Archives of neurology 44 (6): 589-595.</w:t>
            </w:r>
          </w:p>
        </w:tc>
      </w:tr>
      <w:tr w:rsidR="00406AEC" w:rsidRPr="00406AEC" w14:paraId="02D5B0A8" w14:textId="77777777" w:rsidTr="00406AEC">
        <w:trPr>
          <w:trHeight w:val="300"/>
        </w:trPr>
        <w:tc>
          <w:tcPr>
            <w:tcW w:w="9360" w:type="dxa"/>
            <w:tcBorders>
              <w:top w:val="nil"/>
              <w:left w:val="nil"/>
              <w:bottom w:val="nil"/>
              <w:right w:val="nil"/>
            </w:tcBorders>
            <w:shd w:val="clear" w:color="auto" w:fill="auto"/>
            <w:noWrap/>
            <w:vAlign w:val="bottom"/>
            <w:hideMark/>
          </w:tcPr>
          <w:p w14:paraId="6A98CBF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Jeffery DR, Di Cantogno EV, Ritter S, Meier DP, Radue EW et al. </w:t>
            </w:r>
            <w:r w:rsidRPr="00406AEC">
              <w:rPr>
                <w:rFonts w:ascii="Times New Roman" w:eastAsia="Times New Roman" w:hAnsi="Times New Roman" w:cs="Times New Roman"/>
                <w:color w:val="000000"/>
                <w:szCs w:val="22"/>
              </w:rPr>
              <w:t>(2016) The relationship between the rate of brain volume loss during first 24 months and disability progression over 24 and 48 months in relapsing MS. Journal of Neurology 263 (2): 299-305.</w:t>
            </w:r>
          </w:p>
        </w:tc>
      </w:tr>
      <w:tr w:rsidR="00406AEC" w:rsidRPr="00406AEC" w14:paraId="60C92034" w14:textId="77777777" w:rsidTr="00406AEC">
        <w:trPr>
          <w:trHeight w:val="300"/>
        </w:trPr>
        <w:tc>
          <w:tcPr>
            <w:tcW w:w="9360" w:type="dxa"/>
            <w:tcBorders>
              <w:top w:val="nil"/>
              <w:left w:val="nil"/>
              <w:bottom w:val="nil"/>
              <w:right w:val="nil"/>
            </w:tcBorders>
            <w:shd w:val="clear" w:color="auto" w:fill="auto"/>
            <w:noWrap/>
            <w:vAlign w:val="bottom"/>
            <w:hideMark/>
          </w:tcPr>
          <w:p w14:paraId="5AE6BC0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Johnson KP, Brooks BR, Ford CC, Goodman A, Guarnaccia J et al. (2000) Sustained clinical benefits of glatiramer acetate in relapsing multiple sclerosis patients observed for 6 years. Multiple Sclerosis 6 (4): 255-266.</w:t>
            </w:r>
          </w:p>
        </w:tc>
      </w:tr>
      <w:tr w:rsidR="00406AEC" w:rsidRPr="00406AEC" w14:paraId="61CBCF14" w14:textId="77777777" w:rsidTr="00406AEC">
        <w:trPr>
          <w:trHeight w:val="300"/>
        </w:trPr>
        <w:tc>
          <w:tcPr>
            <w:tcW w:w="9360" w:type="dxa"/>
            <w:tcBorders>
              <w:top w:val="nil"/>
              <w:left w:val="nil"/>
              <w:bottom w:val="nil"/>
              <w:right w:val="nil"/>
            </w:tcBorders>
            <w:shd w:val="clear" w:color="auto" w:fill="auto"/>
            <w:noWrap/>
            <w:vAlign w:val="bottom"/>
            <w:hideMark/>
          </w:tcPr>
          <w:p w14:paraId="1EE567C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Brooks BR, Ford CC, Goodman AD, Lisak RP et al. (2003) Glatiramer acetate (Copaxone): Comparison of continuous versus delayed therapy in a six-year organized multiple sclerosis trial. Multiple Sclerosis 9 (6): 585-591.</w:t>
            </w:r>
          </w:p>
        </w:tc>
      </w:tr>
      <w:tr w:rsidR="00406AEC" w:rsidRPr="00406AEC" w14:paraId="7FFD4A25" w14:textId="77777777" w:rsidTr="00406AEC">
        <w:trPr>
          <w:trHeight w:val="300"/>
        </w:trPr>
        <w:tc>
          <w:tcPr>
            <w:tcW w:w="9360" w:type="dxa"/>
            <w:tcBorders>
              <w:top w:val="nil"/>
              <w:left w:val="nil"/>
              <w:bottom w:val="nil"/>
              <w:right w:val="nil"/>
            </w:tcBorders>
            <w:shd w:val="clear" w:color="auto" w:fill="auto"/>
            <w:noWrap/>
            <w:vAlign w:val="bottom"/>
            <w:hideMark/>
          </w:tcPr>
          <w:p w14:paraId="62D4278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Johnson KP, Ford CC, Lisak RP, Wolinsky JS (2005) Neurologic consequence of delaying glatiramer acetate therapy for multiple sclerosis: 8-Year data. Acta </w:t>
            </w:r>
            <w:proofErr w:type="spellStart"/>
            <w:r w:rsidRPr="00406AEC">
              <w:rPr>
                <w:rFonts w:ascii="Times New Roman" w:eastAsia="Times New Roman" w:hAnsi="Times New Roman" w:cs="Times New Roman"/>
                <w:color w:val="000000"/>
                <w:szCs w:val="22"/>
              </w:rPr>
              <w:t>Neurologica</w:t>
            </w:r>
            <w:proofErr w:type="spellEnd"/>
            <w:r w:rsidRPr="00406AEC">
              <w:rPr>
                <w:rFonts w:ascii="Times New Roman" w:eastAsia="Times New Roman" w:hAnsi="Times New Roman" w:cs="Times New Roman"/>
                <w:color w:val="000000"/>
                <w:szCs w:val="22"/>
              </w:rPr>
              <w:t xml:space="preserve"> Scandinavica 111 (1): 42-47.</w:t>
            </w:r>
          </w:p>
        </w:tc>
      </w:tr>
      <w:tr w:rsidR="00406AEC" w:rsidRPr="00406AEC" w14:paraId="63223A6A" w14:textId="77777777" w:rsidTr="00406AEC">
        <w:trPr>
          <w:trHeight w:val="300"/>
        </w:trPr>
        <w:tc>
          <w:tcPr>
            <w:tcW w:w="9360" w:type="dxa"/>
            <w:tcBorders>
              <w:top w:val="nil"/>
              <w:left w:val="nil"/>
              <w:bottom w:val="nil"/>
              <w:right w:val="nil"/>
            </w:tcBorders>
            <w:shd w:val="clear" w:color="auto" w:fill="auto"/>
            <w:noWrap/>
            <w:vAlign w:val="bottom"/>
            <w:hideMark/>
          </w:tcPr>
          <w:p w14:paraId="3312610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Jongen PJ, Sindic C, Carton H, Zwanikken C, Lemmens W et al. </w:t>
            </w:r>
            <w:r w:rsidRPr="00406AEC">
              <w:rPr>
                <w:rFonts w:ascii="Times New Roman" w:eastAsia="Times New Roman" w:hAnsi="Times New Roman" w:cs="Times New Roman"/>
                <w:color w:val="000000"/>
                <w:szCs w:val="22"/>
              </w:rPr>
              <w:t>(2010) Improvement of health-related quality of life in relapsing remitting multiple sclerosis patients after 2 years of treatment with intramuscular interferon-beta-1a. Journal of Neurology 257 (4): 584-589.</w:t>
            </w:r>
          </w:p>
        </w:tc>
      </w:tr>
      <w:tr w:rsidR="00406AEC" w:rsidRPr="00406AEC" w14:paraId="1A630FA7" w14:textId="77777777" w:rsidTr="00406AEC">
        <w:trPr>
          <w:trHeight w:val="300"/>
        </w:trPr>
        <w:tc>
          <w:tcPr>
            <w:tcW w:w="9360" w:type="dxa"/>
            <w:tcBorders>
              <w:top w:val="nil"/>
              <w:left w:val="nil"/>
              <w:bottom w:val="nil"/>
              <w:right w:val="nil"/>
            </w:tcBorders>
            <w:shd w:val="clear" w:color="auto" w:fill="auto"/>
            <w:noWrap/>
            <w:vAlign w:val="bottom"/>
            <w:hideMark/>
          </w:tcPr>
          <w:p w14:paraId="3327D6A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Antel J, Comi G, Montalban X, O'Connor P et al. (2006) Oral fingolimod (FTY720) for relapsing multiple sclerosis. New England Journal of Medicine 355 (11): 1124-1140.</w:t>
            </w:r>
          </w:p>
        </w:tc>
      </w:tr>
      <w:tr w:rsidR="00406AEC" w:rsidRPr="00406AEC" w14:paraId="1C9B91D9" w14:textId="77777777" w:rsidTr="00406AEC">
        <w:trPr>
          <w:trHeight w:val="300"/>
        </w:trPr>
        <w:tc>
          <w:tcPr>
            <w:tcW w:w="9360" w:type="dxa"/>
            <w:tcBorders>
              <w:top w:val="nil"/>
              <w:left w:val="nil"/>
              <w:bottom w:val="nil"/>
              <w:right w:val="nil"/>
            </w:tcBorders>
            <w:shd w:val="clear" w:color="auto" w:fill="auto"/>
            <w:noWrap/>
            <w:vAlign w:val="bottom"/>
            <w:hideMark/>
          </w:tcPr>
          <w:p w14:paraId="655C2F9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Cornelisse P, Lehr L, Kuhle J, </w:t>
            </w:r>
            <w:proofErr w:type="spellStart"/>
            <w:r w:rsidRPr="00406AEC">
              <w:rPr>
                <w:rFonts w:ascii="Times New Roman" w:eastAsia="Times New Roman" w:hAnsi="Times New Roman" w:cs="Times New Roman"/>
                <w:color w:val="000000"/>
                <w:szCs w:val="22"/>
              </w:rPr>
              <w:t>Uitdehaag</w:t>
            </w:r>
            <w:proofErr w:type="spellEnd"/>
            <w:r w:rsidRPr="00406AEC">
              <w:rPr>
                <w:rFonts w:ascii="Times New Roman" w:eastAsia="Times New Roman" w:hAnsi="Times New Roman" w:cs="Times New Roman"/>
                <w:color w:val="000000"/>
                <w:szCs w:val="22"/>
              </w:rPr>
              <w:t xml:space="preserve"> B Relation of long-term exposure to subcutaneous interferon-b- 1a with clinical outcomes in patients with relapsing-remitting multiple sclerosis: Exploratory analyses from the PRISMS-15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39.</w:t>
            </w:r>
          </w:p>
        </w:tc>
      </w:tr>
      <w:tr w:rsidR="00406AEC" w:rsidRPr="00406AEC" w14:paraId="32945C04" w14:textId="77777777" w:rsidTr="00406AEC">
        <w:trPr>
          <w:trHeight w:val="300"/>
        </w:trPr>
        <w:tc>
          <w:tcPr>
            <w:tcW w:w="9360" w:type="dxa"/>
            <w:tcBorders>
              <w:top w:val="nil"/>
              <w:left w:val="nil"/>
              <w:bottom w:val="nil"/>
              <w:right w:val="nil"/>
            </w:tcBorders>
            <w:shd w:val="clear" w:color="auto" w:fill="auto"/>
            <w:noWrap/>
            <w:vAlign w:val="bottom"/>
            <w:hideMark/>
          </w:tcPr>
          <w:p w14:paraId="1736F65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Fox R, Gold R, Arnold D, Potts J et al. (2015) Sustained Low rate of brain volume loss under long-term delayed-release dimethyl fumarate treatment in relapsing-remitting multiple sclerosis patients: Results from the ENDORSE study. Neurology 84 (18): </w:t>
            </w:r>
          </w:p>
        </w:tc>
      </w:tr>
      <w:tr w:rsidR="00406AEC" w:rsidRPr="00406AEC" w14:paraId="4E2D8C2C" w14:textId="77777777" w:rsidTr="00406AEC">
        <w:trPr>
          <w:trHeight w:val="300"/>
        </w:trPr>
        <w:tc>
          <w:tcPr>
            <w:tcW w:w="9360" w:type="dxa"/>
            <w:tcBorders>
              <w:top w:val="nil"/>
              <w:left w:val="nil"/>
              <w:bottom w:val="nil"/>
              <w:right w:val="nil"/>
            </w:tcBorders>
            <w:shd w:val="clear" w:color="auto" w:fill="auto"/>
            <w:noWrap/>
            <w:vAlign w:val="bottom"/>
            <w:hideMark/>
          </w:tcPr>
          <w:p w14:paraId="009AD01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Fox RJ, Gold R, Arnold DL, Potts J et al. (2015) Rate of brain volume loss under long-term delayed-release dimethyl fumarate treatment in relapsing-remitting multiple sclerosis patients: Results from the endorse study. European journal of neurology 22 (48): </w:t>
            </w:r>
          </w:p>
        </w:tc>
      </w:tr>
      <w:tr w:rsidR="00406AEC" w:rsidRPr="00406AEC" w14:paraId="48F3A25E" w14:textId="77777777" w:rsidTr="00406AEC">
        <w:trPr>
          <w:trHeight w:val="300"/>
        </w:trPr>
        <w:tc>
          <w:tcPr>
            <w:tcW w:w="9360" w:type="dxa"/>
            <w:tcBorders>
              <w:top w:val="nil"/>
              <w:left w:val="nil"/>
              <w:bottom w:val="nil"/>
              <w:right w:val="nil"/>
            </w:tcBorders>
            <w:shd w:val="clear" w:color="auto" w:fill="auto"/>
            <w:noWrap/>
            <w:vAlign w:val="bottom"/>
            <w:hideMark/>
          </w:tcPr>
          <w:p w14:paraId="446745F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Freedman MS, Comi G, Miller AE, Wolinsky JS et al. Teriflunomide efficacy on annualized relapse rate and expanded disability status scale scores: 2.5-year follow-up in the TOWER extension study in patients with relapsing MS.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567-568.</w:t>
            </w:r>
          </w:p>
        </w:tc>
      </w:tr>
      <w:tr w:rsidR="00406AEC" w:rsidRPr="00406AEC" w14:paraId="77AFFCB3" w14:textId="77777777" w:rsidTr="00406AEC">
        <w:trPr>
          <w:trHeight w:val="300"/>
        </w:trPr>
        <w:tc>
          <w:tcPr>
            <w:tcW w:w="9360" w:type="dxa"/>
            <w:tcBorders>
              <w:top w:val="nil"/>
              <w:left w:val="nil"/>
              <w:bottom w:val="nil"/>
              <w:right w:val="nil"/>
            </w:tcBorders>
            <w:shd w:val="clear" w:color="auto" w:fill="auto"/>
            <w:noWrap/>
            <w:vAlign w:val="bottom"/>
            <w:hideMark/>
          </w:tcPr>
          <w:p w14:paraId="45A8CC3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Gold R, Miller DH, MacManus DG,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(2008) Efficacy and safety of oral fumarate in patients with relapsing-remitting multiple sclerosis: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phase IIb study. The Lancet 372 (9648): 1463-1472.</w:t>
            </w:r>
          </w:p>
        </w:tc>
      </w:tr>
      <w:tr w:rsidR="00406AEC" w:rsidRPr="00406AEC" w14:paraId="4ABF3BB3" w14:textId="77777777" w:rsidTr="00406AEC">
        <w:trPr>
          <w:trHeight w:val="300"/>
        </w:trPr>
        <w:tc>
          <w:tcPr>
            <w:tcW w:w="9360" w:type="dxa"/>
            <w:tcBorders>
              <w:top w:val="nil"/>
              <w:left w:val="nil"/>
              <w:bottom w:val="nil"/>
              <w:right w:val="nil"/>
            </w:tcBorders>
            <w:shd w:val="clear" w:color="auto" w:fill="auto"/>
            <w:noWrap/>
            <w:vAlign w:val="bottom"/>
            <w:hideMark/>
          </w:tcPr>
          <w:p w14:paraId="357E563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Kuhle J, </w:t>
            </w:r>
            <w:proofErr w:type="spellStart"/>
            <w:r w:rsidRPr="00406AEC">
              <w:rPr>
                <w:rFonts w:ascii="Times New Roman" w:eastAsia="Times New Roman" w:hAnsi="Times New Roman" w:cs="Times New Roman"/>
                <w:color w:val="000000"/>
                <w:szCs w:val="22"/>
              </w:rPr>
              <w:t>Multanen</w:t>
            </w:r>
            <w:proofErr w:type="spellEnd"/>
            <w:r w:rsidRPr="00406AEC">
              <w:rPr>
                <w:rFonts w:ascii="Times New Roman" w:eastAsia="Times New Roman" w:hAnsi="Times New Roman" w:cs="Times New Roman"/>
                <w:color w:val="000000"/>
                <w:szCs w:val="22"/>
              </w:rPr>
              <w:t xml:space="preserve"> J,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Di </w:t>
            </w:r>
            <w:proofErr w:type="spellStart"/>
            <w:r w:rsidRPr="00406AEC">
              <w:rPr>
                <w:rFonts w:ascii="Times New Roman" w:eastAsia="Times New Roman" w:hAnsi="Times New Roman" w:cs="Times New Roman"/>
                <w:color w:val="000000"/>
                <w:szCs w:val="22"/>
              </w:rPr>
              <w:t>Cantogno</w:t>
            </w:r>
            <w:proofErr w:type="spellEnd"/>
            <w:r w:rsidRPr="00406AEC">
              <w:rPr>
                <w:rFonts w:ascii="Times New Roman" w:eastAsia="Times New Roman" w:hAnsi="Times New Roman" w:cs="Times New Roman"/>
                <w:color w:val="000000"/>
                <w:szCs w:val="22"/>
              </w:rPr>
              <w:t xml:space="preserve"> EV et al. (2015) Factors influencing long-term outcomes in relapsing-remitting multiple sclerosis: PRISMS-15. Journal of Neurology, Neurosurgery and Psychiatry 86 (11): 1202-1207.</w:t>
            </w:r>
          </w:p>
        </w:tc>
      </w:tr>
      <w:tr w:rsidR="00406AEC" w:rsidRPr="00406AEC" w14:paraId="402D0150" w14:textId="77777777" w:rsidTr="00406AEC">
        <w:trPr>
          <w:trHeight w:val="300"/>
        </w:trPr>
        <w:tc>
          <w:tcPr>
            <w:tcW w:w="9360" w:type="dxa"/>
            <w:tcBorders>
              <w:top w:val="nil"/>
              <w:left w:val="nil"/>
              <w:bottom w:val="nil"/>
              <w:right w:val="nil"/>
            </w:tcBorders>
            <w:shd w:val="clear" w:color="auto" w:fill="auto"/>
            <w:noWrap/>
            <w:vAlign w:val="bottom"/>
            <w:hideMark/>
          </w:tcPr>
          <w:p w14:paraId="25621E3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Li D, Calabresi P, O'Connor P, Bar-Or A et al. </w:t>
            </w:r>
            <w:r w:rsidRPr="00406AEC">
              <w:rPr>
                <w:rFonts w:ascii="Times New Roman" w:eastAsia="Times New Roman" w:hAnsi="Times New Roman" w:cs="Times New Roman"/>
                <w:color w:val="000000"/>
                <w:szCs w:val="22"/>
              </w:rPr>
              <w:t xml:space="preserve">Long-term safety results from a phase II,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trial with ocrelizumab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Journal of Neurology 259 (1 SUPPL. 1): S65.</w:t>
            </w:r>
          </w:p>
        </w:tc>
      </w:tr>
      <w:tr w:rsidR="00406AEC" w:rsidRPr="00406AEC" w14:paraId="7D14ED38" w14:textId="77777777" w:rsidTr="00406AEC">
        <w:trPr>
          <w:trHeight w:val="300"/>
        </w:trPr>
        <w:tc>
          <w:tcPr>
            <w:tcW w:w="9360" w:type="dxa"/>
            <w:tcBorders>
              <w:top w:val="nil"/>
              <w:left w:val="nil"/>
              <w:bottom w:val="nil"/>
              <w:right w:val="nil"/>
            </w:tcBorders>
            <w:shd w:val="clear" w:color="auto" w:fill="auto"/>
            <w:noWrap/>
            <w:vAlign w:val="bottom"/>
            <w:hideMark/>
          </w:tcPr>
          <w:p w14:paraId="199826C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Li D, Calabresi P, O'Connor P, Bar-Or A et al. </w:t>
            </w:r>
            <w:r w:rsidRPr="00406AEC">
              <w:rPr>
                <w:rFonts w:ascii="Times New Roman" w:eastAsia="Times New Roman" w:hAnsi="Times New Roman" w:cs="Times New Roman"/>
                <w:color w:val="000000"/>
                <w:szCs w:val="22"/>
              </w:rPr>
              <w:t xml:space="preserve">Long-term safety and efficacy of ocrelizumab in patients with relapsing-remitting multiple sclerosis: Week 144 results of a phase II,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140-141.</w:t>
            </w:r>
          </w:p>
        </w:tc>
      </w:tr>
      <w:tr w:rsidR="00406AEC" w:rsidRPr="00406AEC" w14:paraId="18ECE3C8" w14:textId="77777777" w:rsidTr="00406AEC">
        <w:trPr>
          <w:trHeight w:val="300"/>
        </w:trPr>
        <w:tc>
          <w:tcPr>
            <w:tcW w:w="9360" w:type="dxa"/>
            <w:tcBorders>
              <w:top w:val="nil"/>
              <w:left w:val="nil"/>
              <w:bottom w:val="nil"/>
              <w:right w:val="nil"/>
            </w:tcBorders>
            <w:shd w:val="clear" w:color="auto" w:fill="auto"/>
            <w:noWrap/>
            <w:vAlign w:val="bottom"/>
            <w:hideMark/>
          </w:tcPr>
          <w:p w14:paraId="26DD756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Kappos L, Li DK, Stuve O, Hartung HP, Freedman MS et al. (2016) Safety and Efficacy of Siponimod (BAF312) in Patients With Relapsing-Remitting Multiple Sclerosis: dose-Blinded, Randomized Extension of the Phase 2 BOLD Study. JAMA neurology 73 (9): 1089-1098.</w:t>
            </w:r>
          </w:p>
        </w:tc>
      </w:tr>
      <w:tr w:rsidR="00406AEC" w:rsidRPr="00406AEC" w14:paraId="2208BD04" w14:textId="77777777" w:rsidTr="00406AEC">
        <w:trPr>
          <w:trHeight w:val="300"/>
        </w:trPr>
        <w:tc>
          <w:tcPr>
            <w:tcW w:w="9360" w:type="dxa"/>
            <w:tcBorders>
              <w:top w:val="nil"/>
              <w:left w:val="nil"/>
              <w:bottom w:val="nil"/>
              <w:right w:val="nil"/>
            </w:tcBorders>
            <w:shd w:val="clear" w:color="auto" w:fill="auto"/>
            <w:noWrap/>
            <w:vAlign w:val="bottom"/>
            <w:hideMark/>
          </w:tcPr>
          <w:p w14:paraId="52EB257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O'Connor P, Radue EW, Polman C, Hohlfeld R et al. (2015) Long-term effects of fingolimod in multiple sclerosis: the randomized FREEDOMS extension trial. Neurology 84 (15): 1582-1591.</w:t>
            </w:r>
          </w:p>
        </w:tc>
      </w:tr>
      <w:tr w:rsidR="00406AEC" w:rsidRPr="00406AEC" w14:paraId="1B7B318D" w14:textId="77777777" w:rsidTr="00406AEC">
        <w:trPr>
          <w:trHeight w:val="300"/>
        </w:trPr>
        <w:tc>
          <w:tcPr>
            <w:tcW w:w="9360" w:type="dxa"/>
            <w:tcBorders>
              <w:top w:val="nil"/>
              <w:left w:val="nil"/>
              <w:bottom w:val="nil"/>
              <w:right w:val="nil"/>
            </w:tcBorders>
            <w:shd w:val="clear" w:color="auto" w:fill="auto"/>
            <w:noWrap/>
            <w:vAlign w:val="bottom"/>
            <w:hideMark/>
          </w:tcPr>
          <w:p w14:paraId="44480F2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Radue EW, Comi G, Montalban X,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et al. (2015) Switching from natalizumab to fingolimod : A randomized, placebo-controlled study in RRMS. Neurology 85 (1): 29-39.</w:t>
            </w:r>
          </w:p>
        </w:tc>
      </w:tr>
      <w:tr w:rsidR="00406AEC" w:rsidRPr="00406AEC" w14:paraId="16568D95" w14:textId="77777777" w:rsidTr="00406AEC">
        <w:trPr>
          <w:trHeight w:val="300"/>
        </w:trPr>
        <w:tc>
          <w:tcPr>
            <w:tcW w:w="9360" w:type="dxa"/>
            <w:tcBorders>
              <w:top w:val="nil"/>
              <w:left w:val="nil"/>
              <w:bottom w:val="nil"/>
              <w:right w:val="nil"/>
            </w:tcBorders>
            <w:shd w:val="clear" w:color="auto" w:fill="auto"/>
            <w:noWrap/>
            <w:vAlign w:val="bottom"/>
            <w:hideMark/>
          </w:tcPr>
          <w:p w14:paraId="6028BFE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Radue EW, Comi G, Montalban X,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et al. Disease control and safety in relapsing remitting multiple sclerosis (RRMS) patients switching from natalizumab to fingolimod: A 32-week, rater-and patient-blind, randomized, parallel-group study (TOFINGO).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50-51.</w:t>
            </w:r>
          </w:p>
        </w:tc>
      </w:tr>
      <w:tr w:rsidR="00406AEC" w:rsidRPr="00406AEC" w14:paraId="50F77DCF" w14:textId="77777777" w:rsidTr="00406AEC">
        <w:trPr>
          <w:trHeight w:val="300"/>
        </w:trPr>
        <w:tc>
          <w:tcPr>
            <w:tcW w:w="9360" w:type="dxa"/>
            <w:tcBorders>
              <w:top w:val="nil"/>
              <w:left w:val="nil"/>
              <w:bottom w:val="nil"/>
              <w:right w:val="nil"/>
            </w:tcBorders>
            <w:shd w:val="clear" w:color="auto" w:fill="auto"/>
            <w:noWrap/>
            <w:vAlign w:val="bottom"/>
            <w:hideMark/>
          </w:tcPr>
          <w:p w14:paraId="11825B5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Radue EW, O'Connor P, Polman C, Hohlfeld R et al. Long-term efficacy and safety of fingolimod (FTY720) in relapsing-remitting multiple sclerosis (RRMS): Results from the extension of the phase III FREEDOMS study. Neurology 78 (1 Meeting Abstract): CONFERENCE START: 2012 Apr 2021 CONFERENCE END: 2012 Apr 2028.</w:t>
            </w:r>
          </w:p>
        </w:tc>
      </w:tr>
      <w:tr w:rsidR="00406AEC" w:rsidRPr="00406AEC" w14:paraId="0D5E6F05" w14:textId="77777777" w:rsidTr="00406AEC">
        <w:trPr>
          <w:trHeight w:val="300"/>
        </w:trPr>
        <w:tc>
          <w:tcPr>
            <w:tcW w:w="9360" w:type="dxa"/>
            <w:tcBorders>
              <w:top w:val="nil"/>
              <w:left w:val="nil"/>
              <w:bottom w:val="nil"/>
              <w:right w:val="nil"/>
            </w:tcBorders>
            <w:shd w:val="clear" w:color="auto" w:fill="auto"/>
            <w:noWrap/>
            <w:vAlign w:val="bottom"/>
            <w:hideMark/>
          </w:tcPr>
          <w:p w14:paraId="41A2608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Sprenger T, Radue EW, Wuerfel J, Thangavelu K et al. (2016) Association of MS disease duration, disability worsening, and brain volume loss: SIENA analysis of TEMSO MRI data.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22 802-803.</w:t>
            </w:r>
          </w:p>
        </w:tc>
      </w:tr>
      <w:tr w:rsidR="00406AEC" w:rsidRPr="00406AEC" w14:paraId="7558E619" w14:textId="77777777" w:rsidTr="00406AEC">
        <w:trPr>
          <w:trHeight w:val="300"/>
        </w:trPr>
        <w:tc>
          <w:tcPr>
            <w:tcW w:w="9360" w:type="dxa"/>
            <w:tcBorders>
              <w:top w:val="nil"/>
              <w:left w:val="nil"/>
              <w:bottom w:val="nil"/>
              <w:right w:val="nil"/>
            </w:tcBorders>
            <w:shd w:val="clear" w:color="auto" w:fill="auto"/>
            <w:noWrap/>
            <w:vAlign w:val="bottom"/>
            <w:hideMark/>
          </w:tcPr>
          <w:p w14:paraId="7AD5C0F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 Constantinescu C, </w:t>
            </w:r>
            <w:proofErr w:type="spellStart"/>
            <w:r w:rsidRPr="00406AEC">
              <w:rPr>
                <w:rFonts w:ascii="Times New Roman" w:eastAsia="Times New Roman" w:hAnsi="Times New Roman" w:cs="Times New Roman"/>
                <w:color w:val="000000"/>
                <w:szCs w:val="22"/>
              </w:rPr>
              <w:t>Eralinna</w:t>
            </w:r>
            <w:proofErr w:type="spellEnd"/>
            <w:r w:rsidRPr="00406AEC">
              <w:rPr>
                <w:rFonts w:ascii="Times New Roman" w:eastAsia="Times New Roman" w:hAnsi="Times New Roman" w:cs="Times New Roman"/>
                <w:color w:val="000000"/>
                <w:szCs w:val="22"/>
              </w:rPr>
              <w:t xml:space="preserve"> JP, Forrestal F et al. (2006) Long-term subcutaneous interferon beta-1a therapy in patients with relapsing-remitting MS. Neurology 67 (6): 944-953.</w:t>
            </w:r>
          </w:p>
        </w:tc>
      </w:tr>
      <w:tr w:rsidR="00406AEC" w:rsidRPr="00406AEC" w14:paraId="48EE549D" w14:textId="77777777" w:rsidTr="00406AEC">
        <w:trPr>
          <w:trHeight w:val="300"/>
        </w:trPr>
        <w:tc>
          <w:tcPr>
            <w:tcW w:w="9360" w:type="dxa"/>
            <w:tcBorders>
              <w:top w:val="nil"/>
              <w:left w:val="nil"/>
              <w:bottom w:val="nil"/>
              <w:right w:val="nil"/>
            </w:tcBorders>
            <w:shd w:val="clear" w:color="auto" w:fill="auto"/>
            <w:noWrap/>
            <w:vAlign w:val="bottom"/>
            <w:hideMark/>
          </w:tcPr>
          <w:p w14:paraId="6E803E9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Kaufman M, Cree B,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 Gold R et al. Effects of a 24-week natalizumab treatment interruption on clinical and radiologic parameters of multiple sclerosis disease activity: The RESTORE study. Journal of Neurology 259 (1 SUPPL. 1): S38.</w:t>
            </w:r>
          </w:p>
        </w:tc>
      </w:tr>
      <w:tr w:rsidR="00406AEC" w:rsidRPr="00406AEC" w14:paraId="4216A80C" w14:textId="77777777" w:rsidTr="00406AEC">
        <w:trPr>
          <w:trHeight w:val="300"/>
        </w:trPr>
        <w:tc>
          <w:tcPr>
            <w:tcW w:w="9360" w:type="dxa"/>
            <w:tcBorders>
              <w:top w:val="nil"/>
              <w:left w:val="nil"/>
              <w:bottom w:val="nil"/>
              <w:right w:val="nil"/>
            </w:tcBorders>
            <w:shd w:val="clear" w:color="auto" w:fill="auto"/>
            <w:noWrap/>
            <w:vAlign w:val="bottom"/>
            <w:hideMark/>
          </w:tcPr>
          <w:p w14:paraId="7A30ED9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Kaufman M, Cree BAC,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Fox RJ, Gold R et al. (2014) Radiologic MS disease activity during natalizumab treatment interruption: findings from RESTORE. Journal of Neurology 262 (2): 326-336.</w:t>
            </w:r>
          </w:p>
        </w:tc>
      </w:tr>
      <w:tr w:rsidR="00406AEC" w:rsidRPr="00406AEC" w14:paraId="0F2ACB3E" w14:textId="77777777" w:rsidTr="00406AEC">
        <w:trPr>
          <w:trHeight w:val="300"/>
        </w:trPr>
        <w:tc>
          <w:tcPr>
            <w:tcW w:w="9360" w:type="dxa"/>
            <w:tcBorders>
              <w:top w:val="nil"/>
              <w:left w:val="nil"/>
              <w:bottom w:val="nil"/>
              <w:right w:val="nil"/>
            </w:tcBorders>
            <w:shd w:val="clear" w:color="auto" w:fill="auto"/>
            <w:noWrap/>
            <w:vAlign w:val="bottom"/>
            <w:hideMark/>
          </w:tcPr>
          <w:p w14:paraId="7A399C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Khan O, Bao F, Ramesh G, Thakore K, </w:t>
            </w:r>
            <w:proofErr w:type="spellStart"/>
            <w:r w:rsidRPr="00406AEC">
              <w:rPr>
                <w:rFonts w:ascii="Times New Roman" w:eastAsia="Times New Roman" w:hAnsi="Times New Roman" w:cs="Times New Roman"/>
                <w:color w:val="000000"/>
                <w:szCs w:val="22"/>
              </w:rPr>
              <w:t>Caon</w:t>
            </w:r>
            <w:proofErr w:type="spellEnd"/>
            <w:r w:rsidRPr="00406AEC">
              <w:rPr>
                <w:rFonts w:ascii="Times New Roman" w:eastAsia="Times New Roman" w:hAnsi="Times New Roman" w:cs="Times New Roman"/>
                <w:color w:val="000000"/>
                <w:szCs w:val="22"/>
              </w:rPr>
              <w:t xml:space="preserve"> C et al. MRI correlates of disability: Neuroimaging </w:t>
            </w:r>
            <w:proofErr w:type="spellStart"/>
            <w:r w:rsidRPr="00406AEC">
              <w:rPr>
                <w:rFonts w:ascii="Times New Roman" w:eastAsia="Times New Roman" w:hAnsi="Times New Roman" w:cs="Times New Roman"/>
                <w:color w:val="000000"/>
                <w:szCs w:val="22"/>
              </w:rPr>
              <w:t>substudy</w:t>
            </w:r>
            <w:proofErr w:type="spellEnd"/>
            <w:r w:rsidRPr="00406AEC">
              <w:rPr>
                <w:rFonts w:ascii="Times New Roman" w:eastAsia="Times New Roman" w:hAnsi="Times New Roman" w:cs="Times New Roman"/>
                <w:color w:val="000000"/>
                <w:szCs w:val="22"/>
              </w:rPr>
              <w:t xml:space="preserve"> at 20-years in the ongoing US glatiramer acetate open-label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278.</w:t>
            </w:r>
          </w:p>
        </w:tc>
      </w:tr>
      <w:tr w:rsidR="00406AEC" w:rsidRPr="00406AEC" w14:paraId="29E909AD" w14:textId="77777777" w:rsidTr="00406AEC">
        <w:trPr>
          <w:trHeight w:val="300"/>
        </w:trPr>
        <w:tc>
          <w:tcPr>
            <w:tcW w:w="9360" w:type="dxa"/>
            <w:tcBorders>
              <w:top w:val="nil"/>
              <w:left w:val="nil"/>
              <w:bottom w:val="nil"/>
              <w:right w:val="nil"/>
            </w:tcBorders>
            <w:shd w:val="clear" w:color="auto" w:fill="auto"/>
            <w:noWrap/>
            <w:vAlign w:val="bottom"/>
            <w:hideMark/>
          </w:tcPr>
          <w:p w14:paraId="77C3B44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Khan O, Rieckmann P, Boyko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et al. (2015) Efficacy and safety of a three-times weekly dosing regimen of glatiramer acetate in relapsing-remitting multiple sclerosis patients: 3-year results of the glatiramer acetate low-frequency administration (GALA) open-label extension study. Neurology 84 (18): </w:t>
            </w:r>
          </w:p>
        </w:tc>
      </w:tr>
      <w:tr w:rsidR="00406AEC" w:rsidRPr="00406AEC" w14:paraId="611954D2" w14:textId="77777777" w:rsidTr="00406AEC">
        <w:trPr>
          <w:trHeight w:val="300"/>
        </w:trPr>
        <w:tc>
          <w:tcPr>
            <w:tcW w:w="9360" w:type="dxa"/>
            <w:tcBorders>
              <w:top w:val="nil"/>
              <w:left w:val="nil"/>
              <w:bottom w:val="nil"/>
              <w:right w:val="nil"/>
            </w:tcBorders>
            <w:shd w:val="clear" w:color="auto" w:fill="auto"/>
            <w:noWrap/>
            <w:vAlign w:val="bottom"/>
            <w:hideMark/>
          </w:tcPr>
          <w:p w14:paraId="6C24F6B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Khan O, Rieckmann P, Boyko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et al. (2017) Efficacy and safety of a three-times-weekly dosing regimen of glatiramer acetate in relapsing-remitting multiple sclerosis patients: 3-year results of the Glatiramer Acetate Low-Frequency Administration open-label extension study. Multiple Sclerosis 23 (6): 818-829.</w:t>
            </w:r>
          </w:p>
        </w:tc>
      </w:tr>
      <w:tr w:rsidR="00406AEC" w:rsidRPr="00406AEC" w14:paraId="2AA5FD02" w14:textId="77777777" w:rsidTr="00406AEC">
        <w:trPr>
          <w:trHeight w:val="300"/>
        </w:trPr>
        <w:tc>
          <w:tcPr>
            <w:tcW w:w="9360" w:type="dxa"/>
            <w:tcBorders>
              <w:top w:val="nil"/>
              <w:left w:val="nil"/>
              <w:bottom w:val="nil"/>
              <w:right w:val="nil"/>
            </w:tcBorders>
            <w:shd w:val="clear" w:color="auto" w:fill="auto"/>
            <w:noWrap/>
            <w:vAlign w:val="bottom"/>
            <w:hideMark/>
          </w:tcPr>
          <w:p w14:paraId="23D7D8D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Khan O, Rieckmann P, Boyko AN,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et al. (2015) Efficacy and safety of a 3 times weekly dosing regimen of glatiramer acetate in relapsing-remitting multiple sclerosis patients: 3-year results of the Glatiramer Acetate Low-frequency Administration (GALA) open-label extension study. European journal of neurology 22 (710): </w:t>
            </w:r>
          </w:p>
        </w:tc>
      </w:tr>
      <w:tr w:rsidR="00406AEC" w:rsidRPr="00406AEC" w14:paraId="289C798C" w14:textId="77777777" w:rsidTr="00406AEC">
        <w:trPr>
          <w:trHeight w:val="300"/>
        </w:trPr>
        <w:tc>
          <w:tcPr>
            <w:tcW w:w="9360" w:type="dxa"/>
            <w:tcBorders>
              <w:top w:val="nil"/>
              <w:left w:val="nil"/>
              <w:bottom w:val="nil"/>
              <w:right w:val="nil"/>
            </w:tcBorders>
            <w:shd w:val="clear" w:color="auto" w:fill="auto"/>
            <w:noWrap/>
            <w:vAlign w:val="bottom"/>
            <w:hideMark/>
          </w:tcPr>
          <w:p w14:paraId="3CE7EDD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Khan O, Rieckmann P, Kolodny S, Davis MD,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et al. Efficacy and safety of a three-times weekly dosing regimen of glatiramer acetate in relapsing-remitting multiple sclerosis patients: 3-year results of the glatiramer acetate </w:t>
            </w:r>
            <w:proofErr w:type="spellStart"/>
            <w:r w:rsidRPr="00406AEC">
              <w:rPr>
                <w:rFonts w:ascii="Times New Roman" w:eastAsia="Times New Roman" w:hAnsi="Times New Roman" w:cs="Times New Roman"/>
                <w:color w:val="000000"/>
                <w:szCs w:val="22"/>
              </w:rPr>
              <w:t>lowfrequency</w:t>
            </w:r>
            <w:proofErr w:type="spellEnd"/>
            <w:r w:rsidRPr="00406AEC">
              <w:rPr>
                <w:rFonts w:ascii="Times New Roman" w:eastAsia="Times New Roman" w:hAnsi="Times New Roman" w:cs="Times New Roman"/>
                <w:color w:val="000000"/>
                <w:szCs w:val="22"/>
              </w:rPr>
              <w:t xml:space="preserve"> administration (GALA) open-label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119-120.</w:t>
            </w:r>
          </w:p>
        </w:tc>
      </w:tr>
      <w:tr w:rsidR="00406AEC" w:rsidRPr="00406AEC" w14:paraId="273CD630" w14:textId="77777777" w:rsidTr="00406AEC">
        <w:trPr>
          <w:trHeight w:val="300"/>
        </w:trPr>
        <w:tc>
          <w:tcPr>
            <w:tcW w:w="9360" w:type="dxa"/>
            <w:tcBorders>
              <w:top w:val="nil"/>
              <w:left w:val="nil"/>
              <w:bottom w:val="nil"/>
              <w:right w:val="nil"/>
            </w:tcBorders>
            <w:shd w:val="clear" w:color="auto" w:fill="auto"/>
            <w:noWrap/>
            <w:vAlign w:val="bottom"/>
            <w:hideMark/>
          </w:tcPr>
          <w:p w14:paraId="15EFAFE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Khan O, </w:t>
            </w:r>
            <w:proofErr w:type="spellStart"/>
            <w:r w:rsidRPr="00406AEC">
              <w:rPr>
                <w:rFonts w:ascii="Times New Roman" w:eastAsia="Times New Roman" w:hAnsi="Times New Roman" w:cs="Times New Roman"/>
                <w:color w:val="000000"/>
                <w:szCs w:val="22"/>
              </w:rPr>
              <w:t>Seraji-Bozorgzad</w:t>
            </w:r>
            <w:proofErr w:type="spellEnd"/>
            <w:r w:rsidRPr="00406AEC">
              <w:rPr>
                <w:rFonts w:ascii="Times New Roman" w:eastAsia="Times New Roman" w:hAnsi="Times New Roman" w:cs="Times New Roman"/>
                <w:color w:val="000000"/>
                <w:szCs w:val="22"/>
              </w:rPr>
              <w:t xml:space="preserve"> N, Bao F, </w:t>
            </w:r>
            <w:proofErr w:type="spellStart"/>
            <w:r w:rsidRPr="00406AEC">
              <w:rPr>
                <w:rFonts w:ascii="Times New Roman" w:eastAsia="Times New Roman" w:hAnsi="Times New Roman" w:cs="Times New Roman"/>
                <w:color w:val="000000"/>
                <w:szCs w:val="22"/>
              </w:rPr>
              <w:t>Razmjou</w:t>
            </w:r>
            <w:proofErr w:type="spellEnd"/>
            <w:r w:rsidRPr="00406AEC">
              <w:rPr>
                <w:rFonts w:ascii="Times New Roman" w:eastAsia="Times New Roman" w:hAnsi="Times New Roman" w:cs="Times New Roman"/>
                <w:color w:val="000000"/>
                <w:szCs w:val="22"/>
              </w:rPr>
              <w:t xml:space="preserve"> S, </w:t>
            </w:r>
            <w:proofErr w:type="spellStart"/>
            <w:r w:rsidRPr="00406AEC">
              <w:rPr>
                <w:rFonts w:ascii="Times New Roman" w:eastAsia="Times New Roman" w:hAnsi="Times New Roman" w:cs="Times New Roman"/>
                <w:color w:val="000000"/>
                <w:szCs w:val="22"/>
              </w:rPr>
              <w:t>Caon</w:t>
            </w:r>
            <w:proofErr w:type="spellEnd"/>
            <w:r w:rsidRPr="00406AEC">
              <w:rPr>
                <w:rFonts w:ascii="Times New Roman" w:eastAsia="Times New Roman" w:hAnsi="Times New Roman" w:cs="Times New Roman"/>
                <w:color w:val="000000"/>
                <w:szCs w:val="22"/>
              </w:rPr>
              <w:t xml:space="preserve"> C et al. (2017) The Relationship Between Brain MR Spectroscopy and Disability in Multiple Sclerosis: 20-Year Data from the U.S. Glatiramer Acetate Extension Study. Journal of Neuroimaging 27 (1): 97-106.</w:t>
            </w:r>
          </w:p>
        </w:tc>
      </w:tr>
      <w:tr w:rsidR="00406AEC" w:rsidRPr="00406AEC" w14:paraId="4D6D3E58" w14:textId="77777777" w:rsidTr="00406AEC">
        <w:trPr>
          <w:trHeight w:val="300"/>
        </w:trPr>
        <w:tc>
          <w:tcPr>
            <w:tcW w:w="9360" w:type="dxa"/>
            <w:tcBorders>
              <w:top w:val="nil"/>
              <w:left w:val="nil"/>
              <w:bottom w:val="nil"/>
              <w:right w:val="nil"/>
            </w:tcBorders>
            <w:shd w:val="clear" w:color="auto" w:fill="auto"/>
            <w:noWrap/>
            <w:vAlign w:val="bottom"/>
            <w:hideMark/>
          </w:tcPr>
          <w:p w14:paraId="63F1C70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Khatri B,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Comi G, Hartung HP, Kappos L et al. (2011) Comparison of fingolimod with interferon beta-1a in relapsing-remitting multiple sclerosis: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extension of the TRANSFORMS study. The Lancet Neurology 10 (6): 520-529.</w:t>
            </w:r>
          </w:p>
        </w:tc>
      </w:tr>
      <w:tr w:rsidR="00406AEC" w:rsidRPr="00406AEC" w14:paraId="05B93BE8" w14:textId="77777777" w:rsidTr="00406AEC">
        <w:trPr>
          <w:trHeight w:val="300"/>
        </w:trPr>
        <w:tc>
          <w:tcPr>
            <w:tcW w:w="9360" w:type="dxa"/>
            <w:tcBorders>
              <w:top w:val="nil"/>
              <w:left w:val="nil"/>
              <w:bottom w:val="nil"/>
              <w:right w:val="nil"/>
            </w:tcBorders>
            <w:shd w:val="clear" w:color="auto" w:fill="auto"/>
            <w:noWrap/>
            <w:vAlign w:val="bottom"/>
            <w:hideMark/>
          </w:tcPr>
          <w:p w14:paraId="72FD97E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Arnold DL, Balcer LJ, Boyko AA, Pelletier J et al. (2015) Peginterferon beta-1a in multiple sclerosis: 2-year results from ADVANCE. Multiple sclerosis journal 21 (8): 1025-1035.</w:t>
            </w:r>
          </w:p>
        </w:tc>
      </w:tr>
      <w:tr w:rsidR="00406AEC" w:rsidRPr="00406AEC" w14:paraId="4D4F5848" w14:textId="77777777" w:rsidTr="00406AEC">
        <w:trPr>
          <w:trHeight w:val="300"/>
        </w:trPr>
        <w:tc>
          <w:tcPr>
            <w:tcW w:w="9360" w:type="dxa"/>
            <w:tcBorders>
              <w:top w:val="nil"/>
              <w:left w:val="nil"/>
              <w:bottom w:val="nil"/>
              <w:right w:val="nil"/>
            </w:tcBorders>
            <w:shd w:val="clear" w:color="auto" w:fill="auto"/>
            <w:noWrap/>
            <w:vAlign w:val="bottom"/>
            <w:hideMark/>
          </w:tcPr>
          <w:p w14:paraId="2E3BF5B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Kieseier</w:t>
            </w:r>
            <w:proofErr w:type="spellEnd"/>
            <w:r w:rsidRPr="00713F1E">
              <w:rPr>
                <w:rFonts w:ascii="Times New Roman" w:eastAsia="Times New Roman" w:hAnsi="Times New Roman" w:cs="Times New Roman"/>
                <w:color w:val="000000"/>
                <w:szCs w:val="22"/>
                <w:lang w:val="es-ES"/>
              </w:rPr>
              <w:t xml:space="preserve"> BC, </w:t>
            </w:r>
            <w:proofErr w:type="spellStart"/>
            <w:r w:rsidRPr="00713F1E">
              <w:rPr>
                <w:rFonts w:ascii="Times New Roman" w:eastAsia="Times New Roman" w:hAnsi="Times New Roman" w:cs="Times New Roman"/>
                <w:color w:val="000000"/>
                <w:szCs w:val="22"/>
                <w:lang w:val="es-ES"/>
              </w:rPr>
              <w:t>Calabresi</w:t>
            </w:r>
            <w:proofErr w:type="spellEnd"/>
            <w:r w:rsidRPr="00713F1E">
              <w:rPr>
                <w:rFonts w:ascii="Times New Roman" w:eastAsia="Times New Roman" w:hAnsi="Times New Roman" w:cs="Times New Roman"/>
                <w:color w:val="000000"/>
                <w:szCs w:val="22"/>
                <w:lang w:val="es-ES"/>
              </w:rPr>
              <w:t xml:space="preserve"> PA, Cui Y, Zhu Y, </w:t>
            </w:r>
            <w:proofErr w:type="spellStart"/>
            <w:r w:rsidRPr="00713F1E">
              <w:rPr>
                <w:rFonts w:ascii="Times New Roman" w:eastAsia="Times New Roman" w:hAnsi="Times New Roman" w:cs="Times New Roman"/>
                <w:color w:val="000000"/>
                <w:szCs w:val="22"/>
                <w:lang w:val="es-ES"/>
              </w:rPr>
              <w:t>Hung</w:t>
            </w:r>
            <w:proofErr w:type="spellEnd"/>
            <w:r w:rsidRPr="00713F1E">
              <w:rPr>
                <w:rFonts w:ascii="Times New Roman" w:eastAsia="Times New Roman" w:hAnsi="Times New Roman" w:cs="Times New Roman"/>
                <w:color w:val="000000"/>
                <w:szCs w:val="22"/>
                <w:lang w:val="es-ES"/>
              </w:rPr>
              <w:t xml:space="preserve"> S et al. </w:t>
            </w:r>
            <w:r w:rsidRPr="00406AEC">
              <w:rPr>
                <w:rFonts w:ascii="Times New Roman" w:eastAsia="Times New Roman" w:hAnsi="Times New Roman" w:cs="Times New Roman"/>
                <w:color w:val="000000"/>
                <w:szCs w:val="22"/>
              </w:rPr>
              <w:t>Safety and tolerability of peginterferon beta-1a in patients with relapsing-remitting multiple sclerosis: 2-year data from the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105-106.</w:t>
            </w:r>
          </w:p>
        </w:tc>
      </w:tr>
      <w:tr w:rsidR="00406AEC" w:rsidRPr="00406AEC" w14:paraId="6724F5F1" w14:textId="77777777" w:rsidTr="00406AEC">
        <w:trPr>
          <w:trHeight w:val="300"/>
        </w:trPr>
        <w:tc>
          <w:tcPr>
            <w:tcW w:w="9360" w:type="dxa"/>
            <w:tcBorders>
              <w:top w:val="nil"/>
              <w:left w:val="nil"/>
              <w:bottom w:val="nil"/>
              <w:right w:val="nil"/>
            </w:tcBorders>
            <w:shd w:val="clear" w:color="auto" w:fill="auto"/>
            <w:noWrap/>
            <w:vAlign w:val="bottom"/>
            <w:hideMark/>
          </w:tcPr>
          <w:p w14:paraId="77FAAF5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Kita M, Fox R, Gold R, Giovannoni G, Phillips JT et al. Two-year interim analysis of quality of life in patients with relapsing-remitting multiple sclerosis (RRMS) treated with delayed-release dimethyl fumarate in the endorse study. Neurology 82 (10 SUPPL. 1): CONFERENCE START: 2014 Apr 2026 CONFERENCE END: 2014 May 2013.</w:t>
            </w:r>
          </w:p>
        </w:tc>
      </w:tr>
      <w:tr w:rsidR="00406AEC" w:rsidRPr="00406AEC" w14:paraId="520753E5" w14:textId="77777777" w:rsidTr="00406AEC">
        <w:trPr>
          <w:trHeight w:val="300"/>
        </w:trPr>
        <w:tc>
          <w:tcPr>
            <w:tcW w:w="9360" w:type="dxa"/>
            <w:tcBorders>
              <w:top w:val="nil"/>
              <w:left w:val="nil"/>
              <w:bottom w:val="nil"/>
              <w:right w:val="nil"/>
            </w:tcBorders>
            <w:shd w:val="clear" w:color="auto" w:fill="auto"/>
            <w:noWrap/>
            <w:vAlign w:val="bottom"/>
            <w:hideMark/>
          </w:tcPr>
          <w:p w14:paraId="0FFC02E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Kita M, Fox RJ, Gold R, Giovannoni G, Phillips JT et al. Interim analysis of quality of life in patients with relapsing remitting multiple sclerosis treated with BG-12 (dimethyl fumarate) in the ENDORSE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530.</w:t>
            </w:r>
          </w:p>
        </w:tc>
      </w:tr>
      <w:tr w:rsidR="00406AEC" w:rsidRPr="00406AEC" w14:paraId="384F11F1" w14:textId="77777777" w:rsidTr="00406AEC">
        <w:trPr>
          <w:trHeight w:val="300"/>
        </w:trPr>
        <w:tc>
          <w:tcPr>
            <w:tcW w:w="9360" w:type="dxa"/>
            <w:tcBorders>
              <w:top w:val="nil"/>
              <w:left w:val="nil"/>
              <w:bottom w:val="nil"/>
              <w:right w:val="nil"/>
            </w:tcBorders>
            <w:shd w:val="clear" w:color="auto" w:fill="auto"/>
            <w:noWrap/>
            <w:vAlign w:val="bottom"/>
            <w:hideMark/>
          </w:tcPr>
          <w:p w14:paraId="7E2A501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Kita M, Kappos L, Fox R, Gold R, Giovannoni G et al. </w:t>
            </w:r>
            <w:r w:rsidRPr="00406AEC">
              <w:rPr>
                <w:rFonts w:ascii="Times New Roman" w:eastAsia="Times New Roman" w:hAnsi="Times New Roman" w:cs="Times New Roman"/>
                <w:color w:val="000000"/>
                <w:szCs w:val="22"/>
              </w:rPr>
              <w:t xml:space="preserve">(2015) Quality of life in patients with relapsing-remitting multiple sclerosis treated with delayed-release dimethyl fumarate: A three-year interim analysis of endorse. Neurology 84 (18): </w:t>
            </w:r>
          </w:p>
        </w:tc>
      </w:tr>
      <w:tr w:rsidR="00406AEC" w:rsidRPr="00406AEC" w14:paraId="03EEF07D" w14:textId="77777777" w:rsidTr="00406AEC">
        <w:trPr>
          <w:trHeight w:val="300"/>
        </w:trPr>
        <w:tc>
          <w:tcPr>
            <w:tcW w:w="9360" w:type="dxa"/>
            <w:tcBorders>
              <w:top w:val="nil"/>
              <w:left w:val="nil"/>
              <w:bottom w:val="nil"/>
              <w:right w:val="nil"/>
            </w:tcBorders>
            <w:shd w:val="clear" w:color="auto" w:fill="auto"/>
            <w:noWrap/>
            <w:vAlign w:val="bottom"/>
            <w:hideMark/>
          </w:tcPr>
          <w:p w14:paraId="4C701BF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Kolodny S, Wynn D, Rubinchick S, Steinerman JR, Knappertz V et al. </w:t>
            </w:r>
            <w:r w:rsidRPr="00406AEC">
              <w:rPr>
                <w:rFonts w:ascii="Times New Roman" w:eastAsia="Times New Roman" w:hAnsi="Times New Roman" w:cs="Times New Roman"/>
                <w:color w:val="000000"/>
                <w:szCs w:val="22"/>
              </w:rPr>
              <w:t>(2016) Patient experience with glatiramer acetate 40 mg/ml three-times weekly treatment for relapsing-remitting multiple sclerosis: results from the glacier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22 (3): 417-418.</w:t>
            </w:r>
          </w:p>
        </w:tc>
      </w:tr>
      <w:tr w:rsidR="00406AEC" w:rsidRPr="00406AEC" w14:paraId="2DD4FAD8" w14:textId="77777777" w:rsidTr="00406AEC">
        <w:trPr>
          <w:trHeight w:val="300"/>
        </w:trPr>
        <w:tc>
          <w:tcPr>
            <w:tcW w:w="9360" w:type="dxa"/>
            <w:tcBorders>
              <w:top w:val="nil"/>
              <w:left w:val="nil"/>
              <w:bottom w:val="nil"/>
              <w:right w:val="nil"/>
            </w:tcBorders>
            <w:shd w:val="clear" w:color="auto" w:fill="auto"/>
            <w:noWrap/>
            <w:vAlign w:val="bottom"/>
            <w:hideMark/>
          </w:tcPr>
          <w:p w14:paraId="008C9FA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Koudriavtseva T, Pozzilli C, Fiorelli M, Gasperini C, Bagnato F et al. </w:t>
            </w:r>
            <w:r w:rsidRPr="00406AEC">
              <w:rPr>
                <w:rFonts w:ascii="Times New Roman" w:eastAsia="Times New Roman" w:hAnsi="Times New Roman" w:cs="Times New Roman"/>
                <w:color w:val="000000"/>
                <w:szCs w:val="22"/>
              </w:rPr>
              <w:t>(1998) Determinants of Gd-enhanced MRI response to IFN-beta-1a treatment in relapsing-remitting multiple sclerosis. Multiple Sclerosis 4 (5): 403-407.</w:t>
            </w:r>
          </w:p>
        </w:tc>
      </w:tr>
      <w:tr w:rsidR="00406AEC" w:rsidRPr="00406AEC" w14:paraId="6F21DB8F" w14:textId="77777777" w:rsidTr="00406AEC">
        <w:trPr>
          <w:trHeight w:val="300"/>
        </w:trPr>
        <w:tc>
          <w:tcPr>
            <w:tcW w:w="9360" w:type="dxa"/>
            <w:tcBorders>
              <w:top w:val="nil"/>
              <w:left w:val="nil"/>
              <w:bottom w:val="nil"/>
              <w:right w:val="nil"/>
            </w:tcBorders>
            <w:shd w:val="clear" w:color="auto" w:fill="auto"/>
            <w:noWrap/>
            <w:vAlign w:val="bottom"/>
            <w:hideMark/>
          </w:tcPr>
          <w:p w14:paraId="5EA80703"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Kremenchutzky</w:t>
            </w:r>
            <w:proofErr w:type="spellEnd"/>
            <w:r w:rsidRPr="00406AEC">
              <w:rPr>
                <w:rFonts w:ascii="Times New Roman" w:eastAsia="Times New Roman" w:hAnsi="Times New Roman" w:cs="Times New Roman"/>
                <w:color w:val="000000"/>
                <w:szCs w:val="22"/>
              </w:rPr>
              <w:t xml:space="preserve"> M, Freedman M, BarOr A, </w:t>
            </w:r>
            <w:proofErr w:type="spellStart"/>
            <w:r w:rsidRPr="00406AEC">
              <w:rPr>
                <w:rFonts w:ascii="Times New Roman" w:eastAsia="Times New Roman" w:hAnsi="Times New Roman" w:cs="Times New Roman"/>
                <w:color w:val="000000"/>
                <w:szCs w:val="22"/>
              </w:rPr>
              <w:t>Dukovic</w:t>
            </w:r>
            <w:proofErr w:type="spellEnd"/>
            <w:r w:rsidRPr="00406AEC">
              <w:rPr>
                <w:rFonts w:ascii="Times New Roman" w:eastAsia="Times New Roman" w:hAnsi="Times New Roman" w:cs="Times New Roman"/>
                <w:color w:val="000000"/>
                <w:szCs w:val="22"/>
              </w:rPr>
              <w:t xml:space="preserve"> D, Benamor M et al. (2015) 12-year clinical efficacy and safety data for teriflunomide: Results from a phase 2 extension study. Neurology 84 (18): </w:t>
            </w:r>
          </w:p>
        </w:tc>
      </w:tr>
      <w:tr w:rsidR="00406AEC" w:rsidRPr="00406AEC" w14:paraId="38B96C81" w14:textId="77777777" w:rsidTr="00406AEC">
        <w:trPr>
          <w:trHeight w:val="300"/>
        </w:trPr>
        <w:tc>
          <w:tcPr>
            <w:tcW w:w="9360" w:type="dxa"/>
            <w:tcBorders>
              <w:top w:val="nil"/>
              <w:left w:val="nil"/>
              <w:bottom w:val="nil"/>
              <w:right w:val="nil"/>
            </w:tcBorders>
            <w:shd w:val="clear" w:color="auto" w:fill="auto"/>
            <w:noWrap/>
            <w:vAlign w:val="bottom"/>
            <w:hideMark/>
          </w:tcPr>
          <w:p w14:paraId="00F100D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Liu S, Cui Y, Hung S, </w:t>
            </w:r>
            <w:proofErr w:type="spellStart"/>
            <w:r w:rsidRPr="00406AEC">
              <w:rPr>
                <w:rFonts w:ascii="Times New Roman" w:eastAsia="Times New Roman" w:hAnsi="Times New Roman" w:cs="Times New Roman"/>
                <w:color w:val="000000"/>
                <w:szCs w:val="22"/>
              </w:rPr>
              <w:t>Seddighzadeh</w:t>
            </w:r>
            <w:proofErr w:type="spellEnd"/>
            <w:r w:rsidRPr="00406AEC">
              <w:rPr>
                <w:rFonts w:ascii="Times New Roman" w:eastAsia="Times New Roman" w:hAnsi="Times New Roman" w:cs="Times New Roman"/>
                <w:color w:val="000000"/>
                <w:szCs w:val="22"/>
              </w:rPr>
              <w:t xml:space="preserve"> A et al. (2015) Long-term safety and tolerability of peginterferon beta1a: Interim analysis from attain, a phase 3 extension study. Neurology 84 (18): </w:t>
            </w:r>
          </w:p>
        </w:tc>
      </w:tr>
      <w:tr w:rsidR="00406AEC" w:rsidRPr="00406AEC" w14:paraId="3D690AC3" w14:textId="77777777" w:rsidTr="00406AEC">
        <w:trPr>
          <w:trHeight w:val="300"/>
        </w:trPr>
        <w:tc>
          <w:tcPr>
            <w:tcW w:w="9360" w:type="dxa"/>
            <w:tcBorders>
              <w:top w:val="nil"/>
              <w:left w:val="nil"/>
              <w:bottom w:val="nil"/>
              <w:right w:val="nil"/>
            </w:tcBorders>
            <w:shd w:val="clear" w:color="auto" w:fill="auto"/>
            <w:noWrap/>
            <w:vAlign w:val="bottom"/>
            <w:hideMark/>
          </w:tcPr>
          <w:p w14:paraId="3C84602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Kurukulasuriya NC, 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Five-year follow-up of delayed-release dimethyl fumarate in relapsing-remitting multiple sclerosis: MRI outcomes from DEFINE, CONFIRM, and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93.</w:t>
            </w:r>
          </w:p>
        </w:tc>
      </w:tr>
      <w:tr w:rsidR="00406AEC" w:rsidRPr="00406AEC" w14:paraId="71890DCB" w14:textId="77777777" w:rsidTr="00406AEC">
        <w:trPr>
          <w:trHeight w:val="300"/>
        </w:trPr>
        <w:tc>
          <w:tcPr>
            <w:tcW w:w="9360" w:type="dxa"/>
            <w:tcBorders>
              <w:top w:val="nil"/>
              <w:left w:val="nil"/>
              <w:bottom w:val="nil"/>
              <w:right w:val="nil"/>
            </w:tcBorders>
            <w:shd w:val="clear" w:color="auto" w:fill="auto"/>
            <w:noWrap/>
            <w:vAlign w:val="bottom"/>
            <w:hideMark/>
          </w:tcPr>
          <w:p w14:paraId="01CEB1D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Landi D, Albanese M, Buttari F, Monteleone F, Boffa L et al. </w:t>
            </w:r>
            <w:r w:rsidRPr="00406AEC">
              <w:rPr>
                <w:rFonts w:ascii="Times New Roman" w:eastAsia="Times New Roman" w:hAnsi="Times New Roman" w:cs="Times New Roman"/>
                <w:color w:val="000000"/>
                <w:szCs w:val="22"/>
              </w:rPr>
              <w:t xml:space="preserve">(2017) Management of flu-like syndrome with cetirizine in patients with relapsing-remitting multiple sclerosis during therapy with interferon beta: results of a randomized, cross-over, placebo-controlled pilot study. </w:t>
            </w:r>
            <w:proofErr w:type="spellStart"/>
            <w:r w:rsidRPr="00406AEC">
              <w:rPr>
                <w:rFonts w:ascii="Times New Roman" w:eastAsia="Times New Roman" w:hAnsi="Times New Roman" w:cs="Times New Roman"/>
                <w:color w:val="000000"/>
                <w:szCs w:val="22"/>
              </w:rPr>
              <w:t>PLoS</w:t>
            </w:r>
            <w:proofErr w:type="spellEnd"/>
            <w:r w:rsidRPr="00406AEC">
              <w:rPr>
                <w:rFonts w:ascii="Times New Roman" w:eastAsia="Times New Roman" w:hAnsi="Times New Roman" w:cs="Times New Roman"/>
                <w:color w:val="000000"/>
                <w:szCs w:val="22"/>
              </w:rPr>
              <w:t xml:space="preserve"> ONE 12 (7): </w:t>
            </w:r>
          </w:p>
        </w:tc>
      </w:tr>
      <w:tr w:rsidR="00406AEC" w:rsidRPr="00406AEC" w14:paraId="7274E24B" w14:textId="77777777" w:rsidTr="00406AEC">
        <w:trPr>
          <w:trHeight w:val="300"/>
        </w:trPr>
        <w:tc>
          <w:tcPr>
            <w:tcW w:w="9360" w:type="dxa"/>
            <w:tcBorders>
              <w:top w:val="nil"/>
              <w:left w:val="nil"/>
              <w:bottom w:val="nil"/>
              <w:right w:val="nil"/>
            </w:tcBorders>
            <w:shd w:val="clear" w:color="auto" w:fill="auto"/>
            <w:noWrap/>
            <w:vAlign w:val="bottom"/>
            <w:hideMark/>
          </w:tcPr>
          <w:p w14:paraId="31E327A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Laroni A, Brogi D, Brescia Morra V, Guidi L, Pozzilli C et al. </w:t>
            </w:r>
            <w:r w:rsidRPr="00406AEC">
              <w:rPr>
                <w:rFonts w:ascii="Times New Roman" w:eastAsia="Times New Roman" w:hAnsi="Times New Roman" w:cs="Times New Roman"/>
                <w:color w:val="000000"/>
                <w:szCs w:val="22"/>
              </w:rPr>
              <w:t>(2017) Safety and tolerability of fingolimod in patients with relapsing-remitting multiple sclerosis: results of an open-label clinical trial in Italy. Neurological Sciences 38 (1): 53-59.</w:t>
            </w:r>
          </w:p>
        </w:tc>
      </w:tr>
      <w:tr w:rsidR="00406AEC" w:rsidRPr="00406AEC" w14:paraId="51F01014" w14:textId="77777777" w:rsidTr="00406AEC">
        <w:trPr>
          <w:trHeight w:val="300"/>
        </w:trPr>
        <w:tc>
          <w:tcPr>
            <w:tcW w:w="9360" w:type="dxa"/>
            <w:tcBorders>
              <w:top w:val="nil"/>
              <w:left w:val="nil"/>
              <w:bottom w:val="nil"/>
              <w:right w:val="nil"/>
            </w:tcBorders>
            <w:shd w:val="clear" w:color="auto" w:fill="auto"/>
            <w:noWrap/>
            <w:vAlign w:val="bottom"/>
            <w:hideMark/>
          </w:tcPr>
          <w:p w14:paraId="091A530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Li DBK,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AL,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Dukovic</w:t>
            </w:r>
            <w:proofErr w:type="spellEnd"/>
            <w:r w:rsidRPr="00406AEC">
              <w:rPr>
                <w:rFonts w:ascii="Times New Roman" w:eastAsia="Times New Roman" w:hAnsi="Times New Roman" w:cs="Times New Roman"/>
                <w:color w:val="000000"/>
                <w:szCs w:val="22"/>
              </w:rPr>
              <w:t xml:space="preserve"> D, O'Connor PW Long-term MRI outcomes from patients treated with teriflunomide: Results from a phase 2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102-103.</w:t>
            </w:r>
          </w:p>
        </w:tc>
      </w:tr>
      <w:tr w:rsidR="00406AEC" w:rsidRPr="00406AEC" w14:paraId="4D354CE2" w14:textId="77777777" w:rsidTr="00406AEC">
        <w:trPr>
          <w:trHeight w:val="300"/>
        </w:trPr>
        <w:tc>
          <w:tcPr>
            <w:tcW w:w="9360" w:type="dxa"/>
            <w:tcBorders>
              <w:top w:val="nil"/>
              <w:left w:val="nil"/>
              <w:bottom w:val="nil"/>
              <w:right w:val="nil"/>
            </w:tcBorders>
            <w:shd w:val="clear" w:color="auto" w:fill="auto"/>
            <w:noWrap/>
            <w:vAlign w:val="bottom"/>
            <w:hideMark/>
          </w:tcPr>
          <w:p w14:paraId="01A5B59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Lim LL, Silva DG, Lo TC, Pimentel RS,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et al. (2019) Uveitis in Patients with Multiple Sclerosis in Clinical Trials of Fingolimod: Incidence, Prevalence, and Impact on Disease Course. Ophthalmology 126 (3): 438-444.</w:t>
            </w:r>
          </w:p>
        </w:tc>
      </w:tr>
      <w:tr w:rsidR="00406AEC" w:rsidRPr="00406AEC" w14:paraId="168FFE75" w14:textId="77777777" w:rsidTr="00406AEC">
        <w:trPr>
          <w:trHeight w:val="300"/>
        </w:trPr>
        <w:tc>
          <w:tcPr>
            <w:tcW w:w="9360" w:type="dxa"/>
            <w:tcBorders>
              <w:top w:val="nil"/>
              <w:left w:val="nil"/>
              <w:bottom w:val="nil"/>
              <w:right w:val="nil"/>
            </w:tcBorders>
            <w:shd w:val="clear" w:color="auto" w:fill="auto"/>
            <w:noWrap/>
            <w:vAlign w:val="bottom"/>
            <w:hideMark/>
          </w:tcPr>
          <w:p w14:paraId="10D355D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Loken-Amsrud KI, Myhr KM, Bakke SJ, </w:t>
            </w:r>
            <w:proofErr w:type="spellStart"/>
            <w:r w:rsidRPr="00406AEC">
              <w:rPr>
                <w:rFonts w:ascii="Times New Roman" w:eastAsia="Times New Roman" w:hAnsi="Times New Roman" w:cs="Times New Roman"/>
                <w:color w:val="000000"/>
                <w:szCs w:val="22"/>
              </w:rPr>
              <w:t>Beiske</w:t>
            </w:r>
            <w:proofErr w:type="spellEnd"/>
            <w:r w:rsidRPr="00406AEC">
              <w:rPr>
                <w:rFonts w:ascii="Times New Roman" w:eastAsia="Times New Roman" w:hAnsi="Times New Roman" w:cs="Times New Roman"/>
                <w:color w:val="000000"/>
                <w:szCs w:val="22"/>
              </w:rPr>
              <w:t xml:space="preserve"> AG, </w:t>
            </w:r>
            <w:proofErr w:type="spellStart"/>
            <w:r w:rsidRPr="00406AEC">
              <w:rPr>
                <w:rFonts w:ascii="Times New Roman" w:eastAsia="Times New Roman" w:hAnsi="Times New Roman" w:cs="Times New Roman"/>
                <w:color w:val="000000"/>
                <w:szCs w:val="22"/>
              </w:rPr>
              <w:t>Bjerve</w:t>
            </w:r>
            <w:proofErr w:type="spellEnd"/>
            <w:r w:rsidRPr="00406AEC">
              <w:rPr>
                <w:rFonts w:ascii="Times New Roman" w:eastAsia="Times New Roman" w:hAnsi="Times New Roman" w:cs="Times New Roman"/>
                <w:color w:val="000000"/>
                <w:szCs w:val="22"/>
              </w:rPr>
              <w:t xml:space="preserve"> KS et al. (2013) Alpha-tocopherol and MRI Outcomes in Multiple Sclerosis - Association and Prediction. </w:t>
            </w:r>
            <w:proofErr w:type="spellStart"/>
            <w:r w:rsidRPr="00406AEC">
              <w:rPr>
                <w:rFonts w:ascii="Times New Roman" w:eastAsia="Times New Roman" w:hAnsi="Times New Roman" w:cs="Times New Roman"/>
                <w:color w:val="000000"/>
                <w:szCs w:val="22"/>
              </w:rPr>
              <w:t>PLoS</w:t>
            </w:r>
            <w:proofErr w:type="spellEnd"/>
            <w:r w:rsidRPr="00406AEC">
              <w:rPr>
                <w:rFonts w:ascii="Times New Roman" w:eastAsia="Times New Roman" w:hAnsi="Times New Roman" w:cs="Times New Roman"/>
                <w:color w:val="000000"/>
                <w:szCs w:val="22"/>
              </w:rPr>
              <w:t xml:space="preserve"> ONE 8 (1): </w:t>
            </w:r>
          </w:p>
        </w:tc>
      </w:tr>
      <w:tr w:rsidR="00406AEC" w:rsidRPr="00406AEC" w14:paraId="7A0E45A5" w14:textId="77777777" w:rsidTr="00406AEC">
        <w:trPr>
          <w:trHeight w:val="300"/>
        </w:trPr>
        <w:tc>
          <w:tcPr>
            <w:tcW w:w="9360" w:type="dxa"/>
            <w:tcBorders>
              <w:top w:val="nil"/>
              <w:left w:val="nil"/>
              <w:bottom w:val="nil"/>
              <w:right w:val="nil"/>
            </w:tcBorders>
            <w:shd w:val="clear" w:color="auto" w:fill="auto"/>
            <w:noWrap/>
            <w:vAlign w:val="bottom"/>
            <w:hideMark/>
          </w:tcPr>
          <w:p w14:paraId="2D21859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Lycke J, Arnold DL, Cohen JA, Coles AJ, Fox EJ et al. Adverse event profile of alemtuzumab in active relapsing remitting multiple sclerosis patients who participated in the CARE-MS studies: Three-year follow-up.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487-488.</w:t>
            </w:r>
          </w:p>
        </w:tc>
      </w:tr>
      <w:tr w:rsidR="00406AEC" w:rsidRPr="00406AEC" w14:paraId="6990E74F" w14:textId="77777777" w:rsidTr="00406AEC">
        <w:trPr>
          <w:trHeight w:val="300"/>
        </w:trPr>
        <w:tc>
          <w:tcPr>
            <w:tcW w:w="9360" w:type="dxa"/>
            <w:tcBorders>
              <w:top w:val="nil"/>
              <w:left w:val="nil"/>
              <w:bottom w:val="nil"/>
              <w:right w:val="nil"/>
            </w:tcBorders>
            <w:shd w:val="clear" w:color="auto" w:fill="auto"/>
            <w:noWrap/>
            <w:vAlign w:val="bottom"/>
            <w:hideMark/>
          </w:tcPr>
          <w:p w14:paraId="1092C4B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Maurer M, Kallmann B, Hofmann WE, Schlegel E, Seibert S et al. </w:t>
            </w:r>
            <w:r w:rsidRPr="00406AEC">
              <w:rPr>
                <w:rFonts w:ascii="Times New Roman" w:eastAsia="Times New Roman" w:hAnsi="Times New Roman" w:cs="Times New Roman"/>
                <w:color w:val="000000"/>
                <w:szCs w:val="22"/>
              </w:rPr>
              <w:t>(2015) A 6-month, multicenter, randomized, controlled study to evaluate the effect of physical training on fatigue in patients with relapsing-remitting multiple sclerosis treated with Fingolimod (</w:t>
            </w:r>
            <w:proofErr w:type="spellStart"/>
            <w:r w:rsidRPr="00406AEC">
              <w:rPr>
                <w:rFonts w:ascii="Times New Roman" w:eastAsia="Times New Roman" w:hAnsi="Times New Roman" w:cs="Times New Roman"/>
                <w:color w:val="000000"/>
                <w:szCs w:val="22"/>
              </w:rPr>
              <w:t>Gilenya</w:t>
            </w:r>
            <w:proofErr w:type="spellEnd"/>
            <w:r w:rsidRPr="00406AEC">
              <w:rPr>
                <w:rFonts w:ascii="Times New Roman" w:eastAsia="Times New Roman" w:hAnsi="Times New Roman" w:cs="Times New Roman"/>
                <w:color w:val="000000"/>
                <w:szCs w:val="22"/>
              </w:rPr>
              <w:t>(R))-first results of the PACE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405-.</w:t>
            </w:r>
          </w:p>
        </w:tc>
      </w:tr>
      <w:tr w:rsidR="00406AEC" w:rsidRPr="00406AEC" w14:paraId="55E293C6" w14:textId="77777777" w:rsidTr="00406AEC">
        <w:trPr>
          <w:trHeight w:val="300"/>
        </w:trPr>
        <w:tc>
          <w:tcPr>
            <w:tcW w:w="9360" w:type="dxa"/>
            <w:tcBorders>
              <w:top w:val="nil"/>
              <w:left w:val="nil"/>
              <w:bottom w:val="nil"/>
              <w:right w:val="nil"/>
            </w:tcBorders>
            <w:shd w:val="clear" w:color="auto" w:fill="auto"/>
            <w:noWrap/>
            <w:vAlign w:val="bottom"/>
            <w:hideMark/>
          </w:tcPr>
          <w:p w14:paraId="7706AB3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Maurer M, Miller A, Comi G, Kappos L, Wolinsky J et al. (2017) Impact of long-term teriflunomide treatment on severe relapses: analysis of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and tower extensions. Neurology 88 (16): </w:t>
            </w:r>
          </w:p>
        </w:tc>
      </w:tr>
      <w:tr w:rsidR="00406AEC" w:rsidRPr="00406AEC" w14:paraId="2EE06F8C" w14:textId="77777777" w:rsidTr="00406AEC">
        <w:trPr>
          <w:trHeight w:val="300"/>
        </w:trPr>
        <w:tc>
          <w:tcPr>
            <w:tcW w:w="9360" w:type="dxa"/>
            <w:tcBorders>
              <w:top w:val="nil"/>
              <w:left w:val="nil"/>
              <w:bottom w:val="nil"/>
              <w:right w:val="nil"/>
            </w:tcBorders>
            <w:shd w:val="clear" w:color="auto" w:fill="auto"/>
            <w:noWrap/>
            <w:vAlign w:val="bottom"/>
            <w:hideMark/>
          </w:tcPr>
          <w:p w14:paraId="704C017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Mellion M, Brochet B, </w:t>
            </w:r>
            <w:proofErr w:type="spellStart"/>
            <w:r w:rsidRPr="00406AEC">
              <w:rPr>
                <w:rFonts w:ascii="Times New Roman" w:eastAsia="Times New Roman" w:hAnsi="Times New Roman" w:cs="Times New Roman"/>
                <w:color w:val="000000"/>
                <w:szCs w:val="22"/>
              </w:rPr>
              <w:t>Nocentini</w:t>
            </w:r>
            <w:proofErr w:type="spellEnd"/>
            <w:r w:rsidRPr="00406AEC">
              <w:rPr>
                <w:rFonts w:ascii="Times New Roman" w:eastAsia="Times New Roman" w:hAnsi="Times New Roman" w:cs="Times New Roman"/>
                <w:color w:val="000000"/>
                <w:szCs w:val="22"/>
              </w:rPr>
              <w:t xml:space="preserve"> U, </w:t>
            </w:r>
            <w:proofErr w:type="spellStart"/>
            <w:r w:rsidRPr="00406AEC">
              <w:rPr>
                <w:rFonts w:ascii="Times New Roman" w:eastAsia="Times New Roman" w:hAnsi="Times New Roman" w:cs="Times New Roman"/>
                <w:color w:val="000000"/>
                <w:szCs w:val="22"/>
              </w:rPr>
              <w:t>Drulovic</w:t>
            </w:r>
            <w:proofErr w:type="spellEnd"/>
            <w:r w:rsidRPr="00406AEC">
              <w:rPr>
                <w:rFonts w:ascii="Times New Roman" w:eastAsia="Times New Roman" w:hAnsi="Times New Roman" w:cs="Times New Roman"/>
                <w:color w:val="000000"/>
                <w:szCs w:val="22"/>
              </w:rPr>
              <w:t xml:space="preserve"> J, </w:t>
            </w:r>
            <w:proofErr w:type="spellStart"/>
            <w:r w:rsidRPr="00406AEC">
              <w:rPr>
                <w:rFonts w:ascii="Times New Roman" w:eastAsia="Times New Roman" w:hAnsi="Times New Roman" w:cs="Times New Roman"/>
                <w:color w:val="000000"/>
                <w:szCs w:val="22"/>
              </w:rPr>
              <w:t>Mancardi</w:t>
            </w:r>
            <w:proofErr w:type="spellEnd"/>
            <w:r w:rsidRPr="00406AEC">
              <w:rPr>
                <w:rFonts w:ascii="Times New Roman" w:eastAsia="Times New Roman" w:hAnsi="Times New Roman" w:cs="Times New Roman"/>
                <w:color w:val="000000"/>
                <w:szCs w:val="22"/>
              </w:rPr>
              <w:t xml:space="preserve"> GL et al. (2015) Characterization of baseline cognitive profiles of RRMS and SPMS patients in international multiple sclerosis clinical trials utilizing MS-COG.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120-121.</w:t>
            </w:r>
          </w:p>
        </w:tc>
      </w:tr>
      <w:tr w:rsidR="00406AEC" w:rsidRPr="00406AEC" w14:paraId="494DFB27" w14:textId="77777777" w:rsidTr="00406AEC">
        <w:trPr>
          <w:trHeight w:val="300"/>
        </w:trPr>
        <w:tc>
          <w:tcPr>
            <w:tcW w:w="9360" w:type="dxa"/>
            <w:tcBorders>
              <w:top w:val="nil"/>
              <w:left w:val="nil"/>
              <w:bottom w:val="nil"/>
              <w:right w:val="nil"/>
            </w:tcBorders>
            <w:shd w:val="clear" w:color="auto" w:fill="auto"/>
            <w:noWrap/>
            <w:vAlign w:val="bottom"/>
            <w:hideMark/>
          </w:tcPr>
          <w:p w14:paraId="73240E8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Meng X, Chin PS, </w:t>
            </w:r>
            <w:proofErr w:type="spellStart"/>
            <w:r w:rsidRPr="00406AEC">
              <w:rPr>
                <w:rFonts w:ascii="Times New Roman" w:eastAsia="Times New Roman" w:hAnsi="Times New Roman" w:cs="Times New Roman"/>
                <w:color w:val="000000"/>
                <w:szCs w:val="22"/>
              </w:rPr>
              <w:t>Hashmonay</w:t>
            </w:r>
            <w:proofErr w:type="spellEnd"/>
            <w:r w:rsidRPr="00406AEC">
              <w:rPr>
                <w:rFonts w:ascii="Times New Roman" w:eastAsia="Times New Roman" w:hAnsi="Times New Roman" w:cs="Times New Roman"/>
                <w:color w:val="000000"/>
                <w:szCs w:val="22"/>
              </w:rPr>
              <w:t xml:space="preserve"> R, Zahur Islam M, Cutter G (2015) Effect of switching from intramuscular interferon [beta]-1a to oral fingolimod on time to relapse in patients with relapsing-remitting multiple sclerosis enrolled in a 1-year extension of TRANSFORMS. Contemporary clinical trials 41 69-74.</w:t>
            </w:r>
          </w:p>
        </w:tc>
      </w:tr>
      <w:tr w:rsidR="00406AEC" w:rsidRPr="00406AEC" w14:paraId="1D4B55B6" w14:textId="77777777" w:rsidTr="00406AEC">
        <w:trPr>
          <w:trHeight w:val="300"/>
        </w:trPr>
        <w:tc>
          <w:tcPr>
            <w:tcW w:w="9360" w:type="dxa"/>
            <w:tcBorders>
              <w:top w:val="nil"/>
              <w:left w:val="nil"/>
              <w:bottom w:val="nil"/>
              <w:right w:val="nil"/>
            </w:tcBorders>
            <w:shd w:val="clear" w:color="auto" w:fill="auto"/>
            <w:noWrap/>
            <w:vAlign w:val="bottom"/>
            <w:hideMark/>
          </w:tcPr>
          <w:p w14:paraId="4FA8E44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Meng X, Cutter G, Chin P, </w:t>
            </w:r>
            <w:proofErr w:type="spellStart"/>
            <w:r w:rsidRPr="00406AEC">
              <w:rPr>
                <w:rFonts w:ascii="Times New Roman" w:eastAsia="Times New Roman" w:hAnsi="Times New Roman" w:cs="Times New Roman"/>
                <w:color w:val="000000"/>
                <w:szCs w:val="22"/>
              </w:rPr>
              <w:t>Hashmonay</w:t>
            </w:r>
            <w:proofErr w:type="spellEnd"/>
            <w:r w:rsidRPr="00406AEC">
              <w:rPr>
                <w:rFonts w:ascii="Times New Roman" w:eastAsia="Times New Roman" w:hAnsi="Times New Roman" w:cs="Times New Roman"/>
                <w:color w:val="000000"/>
                <w:szCs w:val="22"/>
              </w:rPr>
              <w:t xml:space="preserve"> R, Islam MZ Effect of switching from intramuscular interferon B-1a to fingolimod on time to relapse in patients with relapsing-remitting multiple sclerosis enrolled in a 1-year extension of transforms.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7206F98F" w14:textId="77777777" w:rsidTr="00406AEC">
        <w:trPr>
          <w:trHeight w:val="300"/>
        </w:trPr>
        <w:tc>
          <w:tcPr>
            <w:tcW w:w="9360" w:type="dxa"/>
            <w:tcBorders>
              <w:top w:val="nil"/>
              <w:left w:val="nil"/>
              <w:bottom w:val="nil"/>
              <w:right w:val="nil"/>
            </w:tcBorders>
            <w:shd w:val="clear" w:color="auto" w:fill="auto"/>
            <w:noWrap/>
            <w:vAlign w:val="bottom"/>
            <w:hideMark/>
          </w:tcPr>
          <w:p w14:paraId="6E23E4A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Mikol D, Lopez-Bresnahan M, </w:t>
            </w:r>
            <w:proofErr w:type="spellStart"/>
            <w:r w:rsidRPr="00406AEC">
              <w:rPr>
                <w:rFonts w:ascii="Times New Roman" w:eastAsia="Times New Roman" w:hAnsi="Times New Roman" w:cs="Times New Roman"/>
                <w:color w:val="000000"/>
                <w:szCs w:val="22"/>
              </w:rPr>
              <w:t>Taraskiewicz</w:t>
            </w:r>
            <w:proofErr w:type="spellEnd"/>
            <w:r w:rsidRPr="00406AEC">
              <w:rPr>
                <w:rFonts w:ascii="Times New Roman" w:eastAsia="Times New Roman" w:hAnsi="Times New Roman" w:cs="Times New Roman"/>
                <w:color w:val="000000"/>
                <w:szCs w:val="22"/>
              </w:rPr>
              <w:t xml:space="preserve"> S, Chang P, Rangnow J et al. (2005) A randomized,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open-label, parallel-group trial of the tolerability of interferon beta-1a (Rebif) administered by </w:t>
            </w:r>
            <w:proofErr w:type="spellStart"/>
            <w:r w:rsidRPr="00406AEC">
              <w:rPr>
                <w:rFonts w:ascii="Times New Roman" w:eastAsia="Times New Roman" w:hAnsi="Times New Roman" w:cs="Times New Roman"/>
                <w:color w:val="000000"/>
                <w:szCs w:val="22"/>
              </w:rPr>
              <w:t>autoinjection</w:t>
            </w:r>
            <w:proofErr w:type="spellEnd"/>
            <w:r w:rsidRPr="00406AEC">
              <w:rPr>
                <w:rFonts w:ascii="Times New Roman" w:eastAsia="Times New Roman" w:hAnsi="Times New Roman" w:cs="Times New Roman"/>
                <w:color w:val="000000"/>
                <w:szCs w:val="22"/>
              </w:rPr>
              <w:t xml:space="preserve"> or manual injection in relapsing-remitting multiple sclerosis. Multiple Sclerosis 11 (5): 585-591.</w:t>
            </w:r>
          </w:p>
        </w:tc>
      </w:tr>
      <w:tr w:rsidR="00406AEC" w:rsidRPr="00406AEC" w14:paraId="04E13BD2" w14:textId="77777777" w:rsidTr="00406AEC">
        <w:trPr>
          <w:trHeight w:val="300"/>
        </w:trPr>
        <w:tc>
          <w:tcPr>
            <w:tcW w:w="9360" w:type="dxa"/>
            <w:tcBorders>
              <w:top w:val="nil"/>
              <w:left w:val="nil"/>
              <w:bottom w:val="nil"/>
              <w:right w:val="nil"/>
            </w:tcBorders>
            <w:shd w:val="clear" w:color="auto" w:fill="auto"/>
            <w:noWrap/>
            <w:vAlign w:val="bottom"/>
            <w:hideMark/>
          </w:tcPr>
          <w:p w14:paraId="10A0D39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Milanese C, Salmaggi A, La Mantia L, Campi A, Eoli M et al. </w:t>
            </w:r>
            <w:r w:rsidRPr="00406AEC">
              <w:rPr>
                <w:rFonts w:ascii="Times New Roman" w:eastAsia="Times New Roman" w:hAnsi="Times New Roman" w:cs="Times New Roman"/>
                <w:color w:val="000000"/>
                <w:szCs w:val="22"/>
              </w:rPr>
              <w:t>(1990) Double blind study of intrathecal beta-interferon in multiple sclerosis: Clinical and laboratory results. Journal of Neurology Neurosurgery and Psychiatry 53 (7): 554-557.</w:t>
            </w:r>
          </w:p>
        </w:tc>
      </w:tr>
      <w:tr w:rsidR="00406AEC" w:rsidRPr="00406AEC" w14:paraId="28326314" w14:textId="77777777" w:rsidTr="00406AEC">
        <w:trPr>
          <w:trHeight w:val="300"/>
        </w:trPr>
        <w:tc>
          <w:tcPr>
            <w:tcW w:w="9360" w:type="dxa"/>
            <w:tcBorders>
              <w:top w:val="nil"/>
              <w:left w:val="nil"/>
              <w:bottom w:val="nil"/>
              <w:right w:val="nil"/>
            </w:tcBorders>
            <w:shd w:val="clear" w:color="auto" w:fill="auto"/>
            <w:noWrap/>
            <w:vAlign w:val="bottom"/>
            <w:hideMark/>
          </w:tcPr>
          <w:p w14:paraId="4FC0881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D, Yousry T, Fox RJ, Gold R, Arnold DL et al. Sustained low rate of brain volume loss with </w:t>
            </w:r>
            <w:proofErr w:type="spellStart"/>
            <w:r w:rsidRPr="00406AEC">
              <w:rPr>
                <w:rFonts w:ascii="Times New Roman" w:eastAsia="Times New Roman" w:hAnsi="Times New Roman" w:cs="Times New Roman"/>
                <w:color w:val="000000"/>
                <w:szCs w:val="22"/>
              </w:rPr>
              <w:t>longterm</w:t>
            </w:r>
            <w:proofErr w:type="spellEnd"/>
            <w:r w:rsidRPr="00406AEC">
              <w:rPr>
                <w:rFonts w:ascii="Times New Roman" w:eastAsia="Times New Roman" w:hAnsi="Times New Roman" w:cs="Times New Roman"/>
                <w:color w:val="000000"/>
                <w:szCs w:val="22"/>
              </w:rPr>
              <w:t xml:space="preserve"> delayed-release dimethyl fumarate treatment in relapsing-remitting multiple sclerosis patients: Results from the ENDORSE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550-551.</w:t>
            </w:r>
          </w:p>
        </w:tc>
      </w:tr>
      <w:tr w:rsidR="00406AEC" w:rsidRPr="00406AEC" w14:paraId="682B5EF0" w14:textId="77777777" w:rsidTr="00406AEC">
        <w:trPr>
          <w:trHeight w:val="300"/>
        </w:trPr>
        <w:tc>
          <w:tcPr>
            <w:tcW w:w="9360" w:type="dxa"/>
            <w:tcBorders>
              <w:top w:val="nil"/>
              <w:left w:val="nil"/>
              <w:bottom w:val="nil"/>
              <w:right w:val="nil"/>
            </w:tcBorders>
            <w:shd w:val="clear" w:color="auto" w:fill="auto"/>
            <w:noWrap/>
            <w:vAlign w:val="bottom"/>
            <w:hideMark/>
          </w:tcPr>
          <w:p w14:paraId="300FC5F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DH,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Three-year follow-up of oral BG-12 (dimethyl fumarate) treatment in relapsing remitting multiple sclerosis (RRMS): Integrated magnetic resonance imaging (MRI) outcomes from DEFINE, CONFIRM, and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461-462.</w:t>
            </w:r>
          </w:p>
        </w:tc>
      </w:tr>
      <w:tr w:rsidR="00406AEC" w:rsidRPr="00406AEC" w14:paraId="2E1418C1" w14:textId="77777777" w:rsidTr="00406AEC">
        <w:trPr>
          <w:trHeight w:val="300"/>
        </w:trPr>
        <w:tc>
          <w:tcPr>
            <w:tcW w:w="9360" w:type="dxa"/>
            <w:tcBorders>
              <w:top w:val="nil"/>
              <w:left w:val="nil"/>
              <w:bottom w:val="nil"/>
              <w:right w:val="nil"/>
            </w:tcBorders>
            <w:shd w:val="clear" w:color="auto" w:fill="auto"/>
            <w:noWrap/>
            <w:vAlign w:val="bottom"/>
            <w:hideMark/>
          </w:tcPr>
          <w:p w14:paraId="62E609D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DH, Khan OA, </w:t>
            </w:r>
            <w:proofErr w:type="spellStart"/>
            <w:r w:rsidRPr="00406AEC">
              <w:rPr>
                <w:rFonts w:ascii="Times New Roman" w:eastAsia="Times New Roman" w:hAnsi="Times New Roman" w:cs="Times New Roman"/>
                <w:color w:val="000000"/>
                <w:szCs w:val="22"/>
              </w:rPr>
              <w:t>Sheremata</w:t>
            </w:r>
            <w:proofErr w:type="spellEnd"/>
            <w:r w:rsidRPr="00406AEC">
              <w:rPr>
                <w:rFonts w:ascii="Times New Roman" w:eastAsia="Times New Roman" w:hAnsi="Times New Roman" w:cs="Times New Roman"/>
                <w:color w:val="000000"/>
                <w:szCs w:val="22"/>
              </w:rPr>
              <w:t xml:space="preserve"> WA, Blumhardt LD, Rice GPA et al. (2003) A controlled trial of natalizumab for relapsing multiple sclerosis. New England Journal of Medicine 348 (1): 15-23.</w:t>
            </w:r>
          </w:p>
        </w:tc>
      </w:tr>
      <w:tr w:rsidR="00406AEC" w:rsidRPr="00406AEC" w14:paraId="184029A2" w14:textId="77777777" w:rsidTr="00406AEC">
        <w:trPr>
          <w:trHeight w:val="300"/>
        </w:trPr>
        <w:tc>
          <w:tcPr>
            <w:tcW w:w="9360" w:type="dxa"/>
            <w:tcBorders>
              <w:top w:val="nil"/>
              <w:left w:val="nil"/>
              <w:bottom w:val="nil"/>
              <w:right w:val="nil"/>
            </w:tcBorders>
            <w:shd w:val="clear" w:color="auto" w:fill="auto"/>
            <w:noWrap/>
            <w:vAlign w:val="bottom"/>
            <w:hideMark/>
          </w:tcPr>
          <w:p w14:paraId="54067EE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Miller DM, Cohen JA, Koojimans M, Tsao E, Cutter G et al. </w:t>
            </w:r>
            <w:r w:rsidRPr="00406AEC">
              <w:rPr>
                <w:rFonts w:ascii="Times New Roman" w:eastAsia="Times New Roman" w:hAnsi="Times New Roman" w:cs="Times New Roman"/>
                <w:color w:val="000000"/>
                <w:szCs w:val="22"/>
              </w:rPr>
              <w:t>(2006) Change in clinician-assessed measures of multiple sclerosis and subject-reported quality of life: Results from the IMPACT study. Multiple Sclerosis 12 (2): 180-186.</w:t>
            </w:r>
          </w:p>
        </w:tc>
      </w:tr>
      <w:tr w:rsidR="00406AEC" w:rsidRPr="00406AEC" w14:paraId="77B06400" w14:textId="77777777" w:rsidTr="00406AEC">
        <w:trPr>
          <w:trHeight w:val="300"/>
        </w:trPr>
        <w:tc>
          <w:tcPr>
            <w:tcW w:w="9360" w:type="dxa"/>
            <w:tcBorders>
              <w:top w:val="nil"/>
              <w:left w:val="nil"/>
              <w:bottom w:val="nil"/>
              <w:right w:val="nil"/>
            </w:tcBorders>
            <w:shd w:val="clear" w:color="auto" w:fill="auto"/>
            <w:noWrap/>
            <w:vAlign w:val="bottom"/>
            <w:hideMark/>
          </w:tcPr>
          <w:p w14:paraId="7089F60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Moccia M, Capacchione A, Lanzillo R, Carbone F, Micillo T et al. </w:t>
            </w:r>
            <w:r w:rsidRPr="00406AEC">
              <w:rPr>
                <w:rFonts w:ascii="Times New Roman" w:eastAsia="Times New Roman" w:hAnsi="Times New Roman" w:cs="Times New Roman"/>
                <w:color w:val="000000"/>
                <w:szCs w:val="22"/>
              </w:rPr>
              <w:t xml:space="preserve">(2019) Sample Size for oxidative stress and inflammation when treating multiple sclerosis with interferon-beta1a and coenzyme Q10. Brain Sciences 9 (10): </w:t>
            </w:r>
          </w:p>
        </w:tc>
      </w:tr>
      <w:tr w:rsidR="00406AEC" w:rsidRPr="00406AEC" w14:paraId="28EA05A0" w14:textId="77777777" w:rsidTr="00406AEC">
        <w:trPr>
          <w:trHeight w:val="300"/>
        </w:trPr>
        <w:tc>
          <w:tcPr>
            <w:tcW w:w="9360" w:type="dxa"/>
            <w:tcBorders>
              <w:top w:val="nil"/>
              <w:left w:val="nil"/>
              <w:bottom w:val="nil"/>
              <w:right w:val="nil"/>
            </w:tcBorders>
            <w:shd w:val="clear" w:color="auto" w:fill="auto"/>
            <w:noWrap/>
            <w:vAlign w:val="bottom"/>
            <w:hideMark/>
          </w:tcPr>
          <w:p w14:paraId="44F93EC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Arnold DL, Weber M, Staikov I, Piasecka-</w:t>
            </w:r>
            <w:proofErr w:type="spellStart"/>
            <w:r w:rsidRPr="00406AEC">
              <w:rPr>
                <w:rFonts w:ascii="Times New Roman" w:eastAsia="Times New Roman" w:hAnsi="Times New Roman" w:cs="Times New Roman"/>
                <w:color w:val="000000"/>
                <w:szCs w:val="22"/>
              </w:rPr>
              <w:t>Strycznska</w:t>
            </w:r>
            <w:proofErr w:type="spellEnd"/>
            <w:r w:rsidRPr="00406AEC">
              <w:rPr>
                <w:rFonts w:ascii="Times New Roman" w:eastAsia="Times New Roman" w:hAnsi="Times New Roman" w:cs="Times New Roman"/>
                <w:color w:val="000000"/>
                <w:szCs w:val="22"/>
              </w:rPr>
              <w:t xml:space="preserve"> K et al. (2019) Primary analysis of a randomized phase II study to evaluate the efficacy and safety of </w:t>
            </w:r>
            <w:proofErr w:type="spellStart"/>
            <w:r w:rsidRPr="00406AEC">
              <w:rPr>
                <w:rFonts w:ascii="Times New Roman" w:eastAsia="Times New Roman" w:hAnsi="Times New Roman" w:cs="Times New Roman"/>
                <w:color w:val="000000"/>
                <w:szCs w:val="22"/>
              </w:rPr>
              <w:t>evobrutinib</w:t>
            </w:r>
            <w:proofErr w:type="spellEnd"/>
            <w:r w:rsidRPr="00406AEC">
              <w:rPr>
                <w:rFonts w:ascii="Times New Roman" w:eastAsia="Times New Roman" w:hAnsi="Times New Roman" w:cs="Times New Roman"/>
                <w:color w:val="000000"/>
                <w:szCs w:val="22"/>
              </w:rPr>
              <w:t>, a BTK inhibitor, in patients with relapsing MS. Multiple sclerosis journal 25 52-53.</w:t>
            </w:r>
          </w:p>
        </w:tc>
      </w:tr>
      <w:tr w:rsidR="00406AEC" w:rsidRPr="00406AEC" w14:paraId="0EB55085" w14:textId="77777777" w:rsidTr="00406AEC">
        <w:trPr>
          <w:trHeight w:val="300"/>
        </w:trPr>
        <w:tc>
          <w:tcPr>
            <w:tcW w:w="9360" w:type="dxa"/>
            <w:tcBorders>
              <w:top w:val="nil"/>
              <w:left w:val="nil"/>
              <w:bottom w:val="nil"/>
              <w:right w:val="nil"/>
            </w:tcBorders>
            <w:shd w:val="clear" w:color="auto" w:fill="auto"/>
            <w:noWrap/>
            <w:vAlign w:val="bottom"/>
            <w:hideMark/>
          </w:tcPr>
          <w:p w14:paraId="34E6A0D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Arnold DL, Weber MS, Staikov I, Piasecka-</w:t>
            </w:r>
            <w:proofErr w:type="spellStart"/>
            <w:r w:rsidRPr="00406AEC">
              <w:rPr>
                <w:rFonts w:ascii="Times New Roman" w:eastAsia="Times New Roman" w:hAnsi="Times New Roman" w:cs="Times New Roman"/>
                <w:color w:val="000000"/>
                <w:szCs w:val="22"/>
              </w:rPr>
              <w:t>Stryczynska</w:t>
            </w:r>
            <w:proofErr w:type="spellEnd"/>
            <w:r w:rsidRPr="00406AEC">
              <w:rPr>
                <w:rFonts w:ascii="Times New Roman" w:eastAsia="Times New Roman" w:hAnsi="Times New Roman" w:cs="Times New Roman"/>
                <w:color w:val="000000"/>
                <w:szCs w:val="22"/>
              </w:rPr>
              <w:t xml:space="preserve"> K et al. (2019) Efficacy and safety of the </w:t>
            </w:r>
            <w:proofErr w:type="spellStart"/>
            <w:r w:rsidRPr="00406AEC">
              <w:rPr>
                <w:rFonts w:ascii="Times New Roman" w:eastAsia="Times New Roman" w:hAnsi="Times New Roman" w:cs="Times New Roman"/>
                <w:color w:val="000000"/>
                <w:szCs w:val="22"/>
              </w:rPr>
              <w:t>bruton's</w:t>
            </w:r>
            <w:proofErr w:type="spellEnd"/>
            <w:r w:rsidRPr="00406AEC">
              <w:rPr>
                <w:rFonts w:ascii="Times New Roman" w:eastAsia="Times New Roman" w:hAnsi="Times New Roman" w:cs="Times New Roman"/>
                <w:color w:val="000000"/>
                <w:szCs w:val="22"/>
              </w:rPr>
              <w:t xml:space="preserve"> tyrosine kinase inhibitor </w:t>
            </w:r>
            <w:proofErr w:type="spellStart"/>
            <w:r w:rsidRPr="00406AEC">
              <w:rPr>
                <w:rFonts w:ascii="Times New Roman" w:eastAsia="Times New Roman" w:hAnsi="Times New Roman" w:cs="Times New Roman"/>
                <w:color w:val="000000"/>
                <w:szCs w:val="22"/>
              </w:rPr>
              <w:t>evobrutinib</w:t>
            </w:r>
            <w:proofErr w:type="spellEnd"/>
            <w:r w:rsidRPr="00406AEC">
              <w:rPr>
                <w:rFonts w:ascii="Times New Roman" w:eastAsia="Times New Roman" w:hAnsi="Times New Roman" w:cs="Times New Roman"/>
                <w:color w:val="000000"/>
                <w:szCs w:val="22"/>
              </w:rPr>
              <w:t xml:space="preserve"> (M2951) in patients with relapsing multiple sclerosis over 48 weeks: a randomized, placebo-controlled, phase 2 study. Neurology 92 (15): </w:t>
            </w:r>
          </w:p>
        </w:tc>
      </w:tr>
      <w:tr w:rsidR="00406AEC" w:rsidRPr="00406AEC" w14:paraId="65BF3145" w14:textId="77777777" w:rsidTr="00406AEC">
        <w:trPr>
          <w:trHeight w:val="300"/>
        </w:trPr>
        <w:tc>
          <w:tcPr>
            <w:tcW w:w="9360" w:type="dxa"/>
            <w:tcBorders>
              <w:top w:val="nil"/>
              <w:left w:val="nil"/>
              <w:bottom w:val="nil"/>
              <w:right w:val="nil"/>
            </w:tcBorders>
            <w:shd w:val="clear" w:color="auto" w:fill="auto"/>
            <w:noWrap/>
            <w:vAlign w:val="bottom"/>
            <w:hideMark/>
          </w:tcPr>
          <w:p w14:paraId="5CDEADD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Arnold DL, Weber MS, Staikov I, Piasecka-</w:t>
            </w:r>
            <w:proofErr w:type="spellStart"/>
            <w:r w:rsidRPr="00406AEC">
              <w:rPr>
                <w:rFonts w:ascii="Times New Roman" w:eastAsia="Times New Roman" w:hAnsi="Times New Roman" w:cs="Times New Roman"/>
                <w:color w:val="000000"/>
                <w:szCs w:val="22"/>
              </w:rPr>
              <w:t>Stryczynska</w:t>
            </w:r>
            <w:proofErr w:type="spellEnd"/>
            <w:r w:rsidRPr="00406AEC">
              <w:rPr>
                <w:rFonts w:ascii="Times New Roman" w:eastAsia="Times New Roman" w:hAnsi="Times New Roman" w:cs="Times New Roman"/>
                <w:color w:val="000000"/>
                <w:szCs w:val="22"/>
              </w:rPr>
              <w:t xml:space="preserve"> K et al. (2018) Primary analysis of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placebo-controlled phase 2 study of the Bruton's tyrosine </w:t>
            </w:r>
            <w:r w:rsidRPr="00406AEC">
              <w:rPr>
                <w:rFonts w:ascii="Times New Roman" w:eastAsia="Times New Roman" w:hAnsi="Times New Roman" w:cs="Times New Roman"/>
                <w:color w:val="000000"/>
                <w:szCs w:val="22"/>
              </w:rPr>
              <w:lastRenderedPageBreak/>
              <w:t xml:space="preserve">kinase inhibitor </w:t>
            </w:r>
            <w:proofErr w:type="spellStart"/>
            <w:r w:rsidRPr="00406AEC">
              <w:rPr>
                <w:rFonts w:ascii="Times New Roman" w:eastAsia="Times New Roman" w:hAnsi="Times New Roman" w:cs="Times New Roman"/>
                <w:color w:val="000000"/>
                <w:szCs w:val="22"/>
              </w:rPr>
              <w:t>evobrutinib</w:t>
            </w:r>
            <w:proofErr w:type="spellEnd"/>
            <w:r w:rsidRPr="00406AEC">
              <w:rPr>
                <w:rFonts w:ascii="Times New Roman" w:eastAsia="Times New Roman" w:hAnsi="Times New Roman" w:cs="Times New Roman"/>
                <w:color w:val="000000"/>
                <w:szCs w:val="22"/>
              </w:rPr>
              <w:t xml:space="preserve"> (M2951) in patients with relapsing multiple sclerosis. Multiple sclerosis journal 24 (2): 984-985.</w:t>
            </w:r>
          </w:p>
        </w:tc>
      </w:tr>
      <w:tr w:rsidR="00406AEC" w:rsidRPr="00406AEC" w14:paraId="00F1B1D3" w14:textId="77777777" w:rsidTr="00406AEC">
        <w:trPr>
          <w:trHeight w:val="300"/>
        </w:trPr>
        <w:tc>
          <w:tcPr>
            <w:tcW w:w="9360" w:type="dxa"/>
            <w:tcBorders>
              <w:top w:val="nil"/>
              <w:left w:val="nil"/>
              <w:bottom w:val="nil"/>
              <w:right w:val="nil"/>
            </w:tcBorders>
            <w:shd w:val="clear" w:color="auto" w:fill="auto"/>
            <w:noWrap/>
            <w:vAlign w:val="bottom"/>
            <w:hideMark/>
          </w:tcPr>
          <w:p w14:paraId="72D2180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Montalban X, Cohen B, Leist T, Moses H, Hamlett A et al. Oral cladribine as add on to IFN beta therapy in patients with active multiple sclerosis: Results from the phase II onward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47E8A7C5" w14:textId="77777777" w:rsidTr="00406AEC">
        <w:trPr>
          <w:trHeight w:val="300"/>
        </w:trPr>
        <w:tc>
          <w:tcPr>
            <w:tcW w:w="9360" w:type="dxa"/>
            <w:tcBorders>
              <w:top w:val="nil"/>
              <w:left w:val="nil"/>
              <w:bottom w:val="nil"/>
              <w:right w:val="nil"/>
            </w:tcBorders>
            <w:shd w:val="clear" w:color="auto" w:fill="auto"/>
            <w:noWrap/>
            <w:vAlign w:val="bottom"/>
            <w:hideMark/>
          </w:tcPr>
          <w:p w14:paraId="533F8BF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Montalban X, Cohen B, Leist T, Moses H,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et al. (2016) Safety and tolerability of cladribine tablets added to IFN-beta therapy in patients with active relapsing multiple sclerosis: final results from the ONWARD study (amended protocol).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23 409-410.</w:t>
            </w:r>
          </w:p>
        </w:tc>
      </w:tr>
      <w:tr w:rsidR="00406AEC" w:rsidRPr="00406AEC" w14:paraId="1457B78D" w14:textId="77777777" w:rsidTr="00406AEC">
        <w:trPr>
          <w:trHeight w:val="300"/>
        </w:trPr>
        <w:tc>
          <w:tcPr>
            <w:tcW w:w="9360" w:type="dxa"/>
            <w:tcBorders>
              <w:top w:val="nil"/>
              <w:left w:val="nil"/>
              <w:bottom w:val="nil"/>
              <w:right w:val="nil"/>
            </w:tcBorders>
            <w:shd w:val="clear" w:color="auto" w:fill="auto"/>
            <w:noWrap/>
            <w:vAlign w:val="bottom"/>
            <w:hideMark/>
          </w:tcPr>
          <w:p w14:paraId="4379023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Montalban X, Cohen B, Leist T, Moses H,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et al. (2018) Efficacy of cladribine tablets 3.5mg/kg added to interferon-beta in patients with SPMS or relapsing-RRMS: a post-hoc analysis from ONWARD. European journal of neurology 25 (440): </w:t>
            </w:r>
          </w:p>
        </w:tc>
      </w:tr>
      <w:tr w:rsidR="00406AEC" w:rsidRPr="00406AEC" w14:paraId="43E58988" w14:textId="77777777" w:rsidTr="00406AEC">
        <w:trPr>
          <w:trHeight w:val="300"/>
        </w:trPr>
        <w:tc>
          <w:tcPr>
            <w:tcW w:w="9360" w:type="dxa"/>
            <w:tcBorders>
              <w:top w:val="nil"/>
              <w:left w:val="nil"/>
              <w:bottom w:val="nil"/>
              <w:right w:val="nil"/>
            </w:tcBorders>
            <w:shd w:val="clear" w:color="auto" w:fill="auto"/>
            <w:noWrap/>
            <w:vAlign w:val="bottom"/>
            <w:hideMark/>
          </w:tcPr>
          <w:p w14:paraId="04296A7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Comi G, Antel J, O'Connor P, De Vera A et al. Long-term (&gt;7-year) efficacy and safety data from a phase II extension study of fingolimod in relapsing multiple sclerosis. Journal of Neurology 259 (1 SUPPL. 1): S69-S70.</w:t>
            </w:r>
          </w:p>
        </w:tc>
      </w:tr>
      <w:tr w:rsidR="00406AEC" w:rsidRPr="00406AEC" w14:paraId="5F347A7B" w14:textId="77777777" w:rsidTr="00406AEC">
        <w:trPr>
          <w:trHeight w:val="300"/>
        </w:trPr>
        <w:tc>
          <w:tcPr>
            <w:tcW w:w="9360" w:type="dxa"/>
            <w:tcBorders>
              <w:top w:val="nil"/>
              <w:left w:val="nil"/>
              <w:bottom w:val="nil"/>
              <w:right w:val="nil"/>
            </w:tcBorders>
            <w:shd w:val="clear" w:color="auto" w:fill="auto"/>
            <w:noWrap/>
            <w:vAlign w:val="bottom"/>
            <w:hideMark/>
          </w:tcPr>
          <w:p w14:paraId="57D9F26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Montalban X, Comi G, Antel J, O'Connor P, e Vera A et al. </w:t>
            </w:r>
            <w:r w:rsidRPr="00406AEC">
              <w:rPr>
                <w:rFonts w:ascii="Times New Roman" w:eastAsia="Times New Roman" w:hAnsi="Times New Roman" w:cs="Times New Roman"/>
                <w:color w:val="000000"/>
                <w:szCs w:val="22"/>
              </w:rPr>
              <w:t>(2015) Long-term results from a phase 2 extension study of fingolimod at high and approved dose in relapsing multiple sclerosis. Journal of Neurology 262 (12): 2627-2634.</w:t>
            </w:r>
          </w:p>
        </w:tc>
      </w:tr>
      <w:tr w:rsidR="00406AEC" w:rsidRPr="00406AEC" w14:paraId="23677F52" w14:textId="77777777" w:rsidTr="00406AEC">
        <w:trPr>
          <w:trHeight w:val="300"/>
        </w:trPr>
        <w:tc>
          <w:tcPr>
            <w:tcW w:w="9360" w:type="dxa"/>
            <w:tcBorders>
              <w:top w:val="nil"/>
              <w:left w:val="nil"/>
              <w:bottom w:val="nil"/>
              <w:right w:val="nil"/>
            </w:tcBorders>
            <w:shd w:val="clear" w:color="auto" w:fill="auto"/>
            <w:noWrap/>
            <w:vAlign w:val="bottom"/>
            <w:hideMark/>
          </w:tcPr>
          <w:p w14:paraId="7B4BBB9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Montalban X, Comi G, P OC, Gold SM, De Vera A et al. </w:t>
            </w:r>
            <w:r w:rsidRPr="00406AEC">
              <w:rPr>
                <w:rFonts w:ascii="Times New Roman" w:eastAsia="Times New Roman" w:hAnsi="Times New Roman" w:cs="Times New Roman"/>
                <w:color w:val="000000"/>
                <w:szCs w:val="22"/>
              </w:rPr>
              <w:t>(2011) Oral fingolimod (FTY720) in relapsing multiple sclerosis: Impact on health-related quality of life in a phase II study. Multiple sclerosis journal 17 (11): 1341-1350.</w:t>
            </w:r>
          </w:p>
        </w:tc>
      </w:tr>
      <w:tr w:rsidR="00406AEC" w:rsidRPr="00406AEC" w14:paraId="224AF983" w14:textId="77777777" w:rsidTr="00406AEC">
        <w:trPr>
          <w:trHeight w:val="300"/>
        </w:trPr>
        <w:tc>
          <w:tcPr>
            <w:tcW w:w="9360" w:type="dxa"/>
            <w:tcBorders>
              <w:top w:val="nil"/>
              <w:left w:val="nil"/>
              <w:bottom w:val="nil"/>
              <w:right w:val="nil"/>
            </w:tcBorders>
            <w:shd w:val="clear" w:color="auto" w:fill="auto"/>
            <w:noWrap/>
            <w:vAlign w:val="bottom"/>
            <w:hideMark/>
          </w:tcPr>
          <w:p w14:paraId="548C37F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Montalban X, Leist TP, Cohen BA, Moses H, Campbell J et al. (2018) Cladribine tablets added to IFN-[beta] in active relapsing MS. Neurology: neuroimmunology and neuroinflammation 5 (5): </w:t>
            </w:r>
          </w:p>
        </w:tc>
      </w:tr>
      <w:tr w:rsidR="00406AEC" w:rsidRPr="00406AEC" w14:paraId="505DFD00" w14:textId="77777777" w:rsidTr="00406AEC">
        <w:trPr>
          <w:trHeight w:val="300"/>
        </w:trPr>
        <w:tc>
          <w:tcPr>
            <w:tcW w:w="9360" w:type="dxa"/>
            <w:tcBorders>
              <w:top w:val="nil"/>
              <w:left w:val="nil"/>
              <w:bottom w:val="nil"/>
              <w:right w:val="nil"/>
            </w:tcBorders>
            <w:shd w:val="clear" w:color="auto" w:fill="auto"/>
            <w:noWrap/>
            <w:vAlign w:val="bottom"/>
            <w:hideMark/>
          </w:tcPr>
          <w:p w14:paraId="3152CBB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144F5E">
              <w:rPr>
                <w:rFonts w:ascii="Times New Roman" w:eastAsia="Times New Roman" w:hAnsi="Times New Roman" w:cs="Times New Roman"/>
                <w:color w:val="000000"/>
                <w:szCs w:val="22"/>
                <w:lang w:val="es-ES"/>
              </w:rPr>
              <w:t>Montalban</w:t>
            </w:r>
            <w:proofErr w:type="spellEnd"/>
            <w:r w:rsidRPr="00144F5E">
              <w:rPr>
                <w:rFonts w:ascii="Times New Roman" w:eastAsia="Times New Roman" w:hAnsi="Times New Roman" w:cs="Times New Roman"/>
                <w:color w:val="000000"/>
                <w:szCs w:val="22"/>
                <w:lang w:val="es-ES"/>
              </w:rPr>
              <w:t xml:space="preserve"> X, O'Connor P, Izquierdo G, </w:t>
            </w:r>
            <w:proofErr w:type="spellStart"/>
            <w:r w:rsidRPr="00144F5E">
              <w:rPr>
                <w:rFonts w:ascii="Times New Roman" w:eastAsia="Times New Roman" w:hAnsi="Times New Roman" w:cs="Times New Roman"/>
                <w:color w:val="000000"/>
                <w:szCs w:val="22"/>
                <w:lang w:val="es-ES"/>
              </w:rPr>
              <w:t>Von</w:t>
            </w:r>
            <w:proofErr w:type="spellEnd"/>
            <w:r w:rsidRPr="00144F5E">
              <w:rPr>
                <w:rFonts w:ascii="Times New Roman" w:eastAsia="Times New Roman" w:hAnsi="Times New Roman" w:cs="Times New Roman"/>
                <w:color w:val="000000"/>
                <w:szCs w:val="22"/>
                <w:lang w:val="es-ES"/>
              </w:rPr>
              <w:t xml:space="preserve"> </w:t>
            </w:r>
            <w:proofErr w:type="spellStart"/>
            <w:r w:rsidRPr="00144F5E">
              <w:rPr>
                <w:rFonts w:ascii="Times New Roman" w:eastAsia="Times New Roman" w:hAnsi="Times New Roman" w:cs="Times New Roman"/>
                <w:color w:val="000000"/>
                <w:szCs w:val="22"/>
                <w:lang w:val="es-ES"/>
              </w:rPr>
              <w:t>Rosenstiel</w:t>
            </w:r>
            <w:proofErr w:type="spellEnd"/>
            <w:r w:rsidRPr="00144F5E">
              <w:rPr>
                <w:rFonts w:ascii="Times New Roman" w:eastAsia="Times New Roman" w:hAnsi="Times New Roman" w:cs="Times New Roman"/>
                <w:color w:val="000000"/>
                <w:szCs w:val="22"/>
                <w:lang w:val="es-ES"/>
              </w:rPr>
              <w:t xml:space="preserve"> P, </w:t>
            </w:r>
            <w:proofErr w:type="spellStart"/>
            <w:r w:rsidRPr="00144F5E">
              <w:rPr>
                <w:rFonts w:ascii="Times New Roman" w:eastAsia="Times New Roman" w:hAnsi="Times New Roman" w:cs="Times New Roman"/>
                <w:color w:val="000000"/>
                <w:szCs w:val="22"/>
                <w:lang w:val="es-ES"/>
              </w:rPr>
              <w:t>Cremer</w:t>
            </w:r>
            <w:proofErr w:type="spellEnd"/>
            <w:r w:rsidRPr="00144F5E">
              <w:rPr>
                <w:rFonts w:ascii="Times New Roman" w:eastAsia="Times New Roman" w:hAnsi="Times New Roman" w:cs="Times New Roman"/>
                <w:color w:val="000000"/>
                <w:szCs w:val="22"/>
                <w:lang w:val="es-ES"/>
              </w:rPr>
              <w:t xml:space="preserve"> M et al. </w:t>
            </w:r>
            <w:r w:rsidRPr="00406AEC">
              <w:rPr>
                <w:rFonts w:ascii="Times New Roman" w:eastAsia="Times New Roman" w:hAnsi="Times New Roman" w:cs="Times New Roman"/>
                <w:color w:val="000000"/>
                <w:szCs w:val="22"/>
              </w:rPr>
              <w:t xml:space="preserve">Long-term fingolimod (FTY720) in relapsing MS: 5-year results from an extension of a phase II,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study </w:t>
            </w:r>
            <w:proofErr w:type="gramStart"/>
            <w:r w:rsidRPr="00406AEC">
              <w:rPr>
                <w:rFonts w:ascii="Times New Roman" w:eastAsia="Times New Roman" w:hAnsi="Times New Roman" w:cs="Times New Roman"/>
                <w:color w:val="000000"/>
                <w:szCs w:val="22"/>
              </w:rPr>
              <w:t>show</w:t>
            </w:r>
            <w:proofErr w:type="gramEnd"/>
            <w:r w:rsidRPr="00406AEC">
              <w:rPr>
                <w:rFonts w:ascii="Times New Roman" w:eastAsia="Times New Roman" w:hAnsi="Times New Roman" w:cs="Times New Roman"/>
                <w:color w:val="000000"/>
                <w:szCs w:val="22"/>
              </w:rPr>
              <w:t xml:space="preserve"> a sustained low level of disease activity.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S442-S443.</w:t>
            </w:r>
          </w:p>
        </w:tc>
      </w:tr>
      <w:tr w:rsidR="00406AEC" w:rsidRPr="00406AEC" w14:paraId="1B3A5A65" w14:textId="77777777" w:rsidTr="00406AEC">
        <w:trPr>
          <w:trHeight w:val="300"/>
        </w:trPr>
        <w:tc>
          <w:tcPr>
            <w:tcW w:w="9360" w:type="dxa"/>
            <w:tcBorders>
              <w:top w:val="nil"/>
              <w:left w:val="nil"/>
              <w:bottom w:val="nil"/>
              <w:right w:val="nil"/>
            </w:tcBorders>
            <w:shd w:val="clear" w:color="auto" w:fill="auto"/>
            <w:noWrap/>
            <w:vAlign w:val="bottom"/>
            <w:hideMark/>
          </w:tcPr>
          <w:p w14:paraId="40BFDAD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Nabavi SM, </w:t>
            </w:r>
            <w:proofErr w:type="spellStart"/>
            <w:r w:rsidRPr="00406AEC">
              <w:rPr>
                <w:rFonts w:ascii="Times New Roman" w:eastAsia="Times New Roman" w:hAnsi="Times New Roman" w:cs="Times New Roman"/>
                <w:color w:val="000000"/>
                <w:szCs w:val="22"/>
              </w:rPr>
              <w:t>Abolfazli</w:t>
            </w:r>
            <w:proofErr w:type="spellEnd"/>
            <w:r w:rsidRPr="00406AEC">
              <w:rPr>
                <w:rFonts w:ascii="Times New Roman" w:eastAsia="Times New Roman" w:hAnsi="Times New Roman" w:cs="Times New Roman"/>
                <w:color w:val="000000"/>
                <w:szCs w:val="22"/>
              </w:rPr>
              <w:t xml:space="preserve"> R, </w:t>
            </w:r>
            <w:proofErr w:type="spellStart"/>
            <w:r w:rsidRPr="00406AEC">
              <w:rPr>
                <w:rFonts w:ascii="Times New Roman" w:eastAsia="Times New Roman" w:hAnsi="Times New Roman" w:cs="Times New Roman"/>
                <w:color w:val="000000"/>
                <w:szCs w:val="22"/>
              </w:rPr>
              <w:t>Etemadrezaei</w:t>
            </w:r>
            <w:proofErr w:type="spellEnd"/>
            <w:r w:rsidRPr="00406AEC">
              <w:rPr>
                <w:rFonts w:ascii="Times New Roman" w:eastAsia="Times New Roman" w:hAnsi="Times New Roman" w:cs="Times New Roman"/>
                <w:color w:val="000000"/>
                <w:szCs w:val="22"/>
              </w:rPr>
              <w:t xml:space="preserve"> A, Hosseini H, Moradi N et al. (2019) A comparison study of efficacy and safety of a biosimilar form of intramuscular Beta-interferon i-a versus the reference product: A randomized controlled clinical trial in Iran. Iranian Journal of Pharmaceutical Research 18 (3): 1632-1638.</w:t>
            </w:r>
          </w:p>
        </w:tc>
      </w:tr>
      <w:tr w:rsidR="00406AEC" w:rsidRPr="00406AEC" w14:paraId="34BD42B0" w14:textId="77777777" w:rsidTr="00406AEC">
        <w:trPr>
          <w:trHeight w:val="300"/>
        </w:trPr>
        <w:tc>
          <w:tcPr>
            <w:tcW w:w="9360" w:type="dxa"/>
            <w:tcBorders>
              <w:top w:val="nil"/>
              <w:left w:val="nil"/>
              <w:bottom w:val="nil"/>
              <w:right w:val="nil"/>
            </w:tcBorders>
            <w:shd w:val="clear" w:color="auto" w:fill="auto"/>
            <w:noWrap/>
            <w:vAlign w:val="bottom"/>
            <w:hideMark/>
          </w:tcPr>
          <w:p w14:paraId="28AA9FB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Nafissi S, Azimi A, Amini-Harandi A, Salami S, Shahkarami MA et al. </w:t>
            </w:r>
            <w:r w:rsidRPr="00406AEC">
              <w:rPr>
                <w:rFonts w:ascii="Times New Roman" w:eastAsia="Times New Roman" w:hAnsi="Times New Roman" w:cs="Times New Roman"/>
                <w:color w:val="000000"/>
                <w:szCs w:val="22"/>
              </w:rPr>
              <w:t xml:space="preserve">(2012) Comparing efficacy and side effects of a weekly intramuscular </w:t>
            </w:r>
            <w:proofErr w:type="spellStart"/>
            <w:r w:rsidRPr="00406AEC">
              <w:rPr>
                <w:rFonts w:ascii="Times New Roman" w:eastAsia="Times New Roman" w:hAnsi="Times New Roman" w:cs="Times New Roman"/>
                <w:color w:val="000000"/>
                <w:szCs w:val="22"/>
              </w:rPr>
              <w:t>biogeneric</w:t>
            </w:r>
            <w:proofErr w:type="spellEnd"/>
            <w:r w:rsidRPr="00406AEC">
              <w:rPr>
                <w:rFonts w:ascii="Times New Roman" w:eastAsia="Times New Roman" w:hAnsi="Times New Roman" w:cs="Times New Roman"/>
                <w:color w:val="000000"/>
                <w:szCs w:val="22"/>
              </w:rPr>
              <w:t>/biosimilar interferon beta-1a with Avonex in relapsing remitting multiple sclerosis: A double blind randomized clinical trial. Clinical Neurology and Neurosurgery 114 (7): 986-989.</w:t>
            </w:r>
          </w:p>
        </w:tc>
      </w:tr>
      <w:tr w:rsidR="00406AEC" w:rsidRPr="00406AEC" w14:paraId="26EEDC1C" w14:textId="77777777" w:rsidTr="00406AEC">
        <w:trPr>
          <w:trHeight w:val="300"/>
        </w:trPr>
        <w:tc>
          <w:tcPr>
            <w:tcW w:w="9360" w:type="dxa"/>
            <w:tcBorders>
              <w:top w:val="nil"/>
              <w:left w:val="nil"/>
              <w:bottom w:val="nil"/>
              <w:right w:val="nil"/>
            </w:tcBorders>
            <w:shd w:val="clear" w:color="auto" w:fill="auto"/>
            <w:noWrap/>
            <w:vAlign w:val="bottom"/>
            <w:hideMark/>
          </w:tcPr>
          <w:p w14:paraId="5BB4174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Naismith RT, Hendin B, Wray S, Huang D, Gaudenzi F et al. (2019) Patients transitioning from non-pegylated to pegylated interferon beta-1a have a low risk of new flu-like symptoms: ALLOW phase 3b trial results. Multiple Sclerosis Journal Experimental Translational &amp; Clinical 5 (1): 2055217318822148.</w:t>
            </w:r>
          </w:p>
        </w:tc>
      </w:tr>
      <w:tr w:rsidR="00406AEC" w:rsidRPr="00406AEC" w14:paraId="04E3A971" w14:textId="77777777" w:rsidTr="00406AEC">
        <w:trPr>
          <w:trHeight w:val="300"/>
        </w:trPr>
        <w:tc>
          <w:tcPr>
            <w:tcW w:w="9360" w:type="dxa"/>
            <w:tcBorders>
              <w:top w:val="nil"/>
              <w:left w:val="nil"/>
              <w:bottom w:val="nil"/>
              <w:right w:val="nil"/>
            </w:tcBorders>
            <w:shd w:val="clear" w:color="auto" w:fill="auto"/>
            <w:noWrap/>
            <w:vAlign w:val="bottom"/>
            <w:hideMark/>
          </w:tcPr>
          <w:p w14:paraId="347EF0A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Naismith RT, Hendin B, Wray S, You X, Kinter ET </w:t>
            </w:r>
            <w:proofErr w:type="spellStart"/>
            <w:r w:rsidRPr="00406AEC">
              <w:rPr>
                <w:rFonts w:ascii="Times New Roman" w:eastAsia="Times New Roman" w:hAnsi="Times New Roman" w:cs="Times New Roman"/>
                <w:color w:val="000000"/>
                <w:szCs w:val="22"/>
              </w:rPr>
              <w:t>et</w:t>
            </w:r>
            <w:proofErr w:type="spellEnd"/>
            <w:r w:rsidRPr="00406AEC">
              <w:rPr>
                <w:rFonts w:ascii="Times New Roman" w:eastAsia="Times New Roman" w:hAnsi="Times New Roman" w:cs="Times New Roman"/>
                <w:color w:val="000000"/>
                <w:szCs w:val="22"/>
              </w:rPr>
              <w:t xml:space="preserve"> al. (2015) An open-label, two-arm,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study to </w:t>
            </w:r>
            <w:proofErr w:type="spellStart"/>
            <w:r w:rsidRPr="00406AEC">
              <w:rPr>
                <w:rFonts w:ascii="Times New Roman" w:eastAsia="Times New Roman" w:hAnsi="Times New Roman" w:cs="Times New Roman"/>
                <w:color w:val="000000"/>
                <w:szCs w:val="22"/>
              </w:rPr>
              <w:t>characterise</w:t>
            </w:r>
            <w:proofErr w:type="spellEnd"/>
            <w:r w:rsidRPr="00406AEC">
              <w:rPr>
                <w:rFonts w:ascii="Times New Roman" w:eastAsia="Times New Roman" w:hAnsi="Times New Roman" w:cs="Times New Roman"/>
                <w:color w:val="000000"/>
                <w:szCs w:val="22"/>
              </w:rPr>
              <w:t xml:space="preserve"> flu-like symptoms in relapsing multiple sclerosis patients transitioning to peginterferon beta-1a (ALLOW): interim analysis results.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21 (6): 818-819.</w:t>
            </w:r>
          </w:p>
        </w:tc>
      </w:tr>
      <w:tr w:rsidR="00406AEC" w:rsidRPr="00406AEC" w14:paraId="59ACB7C9" w14:textId="77777777" w:rsidTr="00406AEC">
        <w:trPr>
          <w:trHeight w:val="300"/>
        </w:trPr>
        <w:tc>
          <w:tcPr>
            <w:tcW w:w="9360" w:type="dxa"/>
            <w:tcBorders>
              <w:top w:val="nil"/>
              <w:left w:val="nil"/>
              <w:bottom w:val="nil"/>
              <w:right w:val="nil"/>
            </w:tcBorders>
            <w:shd w:val="clear" w:color="auto" w:fill="auto"/>
            <w:noWrap/>
            <w:vAlign w:val="bottom"/>
            <w:hideMark/>
          </w:tcPr>
          <w:p w14:paraId="2CE7F4F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Naismith RT, Hendin B, Wray S, You X, Sabatella G et al. ALLOW-a phase 3b trial </w:t>
            </w:r>
            <w:proofErr w:type="spellStart"/>
            <w:r w:rsidRPr="00406AEC">
              <w:rPr>
                <w:rFonts w:ascii="Times New Roman" w:eastAsia="Times New Roman" w:hAnsi="Times New Roman" w:cs="Times New Roman"/>
                <w:color w:val="000000"/>
                <w:szCs w:val="22"/>
              </w:rPr>
              <w:t>characterising</w:t>
            </w:r>
            <w:proofErr w:type="spellEnd"/>
            <w:r w:rsidRPr="00406AEC">
              <w:rPr>
                <w:rFonts w:ascii="Times New Roman" w:eastAsia="Times New Roman" w:hAnsi="Times New Roman" w:cs="Times New Roman"/>
                <w:color w:val="000000"/>
                <w:szCs w:val="22"/>
              </w:rPr>
              <w:t xml:space="preserve"> flu-like symptoms in patients transitioning to pegylated interferon beta-1a: Interim analysis of all patients.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577-578.</w:t>
            </w:r>
          </w:p>
        </w:tc>
      </w:tr>
      <w:tr w:rsidR="00406AEC" w:rsidRPr="00406AEC" w14:paraId="52EE26F3" w14:textId="77777777" w:rsidTr="00406AEC">
        <w:trPr>
          <w:trHeight w:val="300"/>
        </w:trPr>
        <w:tc>
          <w:tcPr>
            <w:tcW w:w="9360" w:type="dxa"/>
            <w:tcBorders>
              <w:top w:val="nil"/>
              <w:left w:val="nil"/>
              <w:bottom w:val="nil"/>
              <w:right w:val="nil"/>
            </w:tcBorders>
            <w:shd w:val="clear" w:color="auto" w:fill="auto"/>
            <w:noWrap/>
            <w:vAlign w:val="bottom"/>
            <w:hideMark/>
          </w:tcPr>
          <w:p w14:paraId="52138BF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Naismith RT, Wolinsky JS, </w:t>
            </w: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LaGanke</w:t>
            </w:r>
            <w:proofErr w:type="spellEnd"/>
            <w:r w:rsidRPr="00406AEC">
              <w:rPr>
                <w:rFonts w:ascii="Times New Roman" w:eastAsia="Times New Roman" w:hAnsi="Times New Roman" w:cs="Times New Roman"/>
                <w:color w:val="000000"/>
                <w:szCs w:val="22"/>
              </w:rPr>
              <w:t xml:space="preserve"> C, Arnold DL et al. (2020) Diroximel fumarate (DRF) in patients with relapsing-remitting multiple sclerosis: Interim safety and efficacy results from the phase 3 EVOLVE-MS-1 study. Multiple sclerosis journal 26 (13): 1729-1739.</w:t>
            </w:r>
          </w:p>
        </w:tc>
      </w:tr>
      <w:tr w:rsidR="00406AEC" w:rsidRPr="00406AEC" w14:paraId="17634031" w14:textId="77777777" w:rsidTr="00406AEC">
        <w:trPr>
          <w:trHeight w:val="300"/>
        </w:trPr>
        <w:tc>
          <w:tcPr>
            <w:tcW w:w="9360" w:type="dxa"/>
            <w:tcBorders>
              <w:top w:val="nil"/>
              <w:left w:val="nil"/>
              <w:bottom w:val="nil"/>
              <w:right w:val="nil"/>
            </w:tcBorders>
            <w:shd w:val="clear" w:color="auto" w:fill="auto"/>
            <w:noWrap/>
            <w:vAlign w:val="bottom"/>
            <w:hideMark/>
          </w:tcPr>
          <w:p w14:paraId="1559216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Naismith RT, </w:t>
            </w: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Freedman MS et al. (2020) Diroximel Fumarate Demonstrates an Improved Gastrointestinal Tolerability Profile Compared with Dimethyl Fumarate in Patients with </w:t>
            </w:r>
            <w:proofErr w:type="spellStart"/>
            <w:r w:rsidRPr="00406AEC">
              <w:rPr>
                <w:rFonts w:ascii="Times New Roman" w:eastAsia="Times New Roman" w:hAnsi="Times New Roman" w:cs="Times New Roman"/>
                <w:color w:val="000000"/>
                <w:szCs w:val="22"/>
              </w:rPr>
              <w:t>Relapsinga</w:t>
            </w:r>
            <w:proofErr w:type="spellEnd"/>
            <w:r w:rsidRPr="00406AEC">
              <w:rPr>
                <w:rFonts w:ascii="Times New Roman" w:eastAsia="Times New Roman" w:hAnsi="Times New Roman" w:cs="Times New Roman"/>
                <w:color w:val="000000"/>
                <w:szCs w:val="22"/>
              </w:rPr>
              <w:t xml:space="preserve">[Euro sign]"Remitting Multiple Sclerosis: results from the Randomized, Double-Blind, Phase III EVOLVE-MS-2 Study. CNS drugs </w:t>
            </w:r>
          </w:p>
        </w:tc>
      </w:tr>
      <w:tr w:rsidR="00406AEC" w:rsidRPr="00406AEC" w14:paraId="4E9BEF8D" w14:textId="77777777" w:rsidTr="00406AEC">
        <w:trPr>
          <w:trHeight w:val="300"/>
        </w:trPr>
        <w:tc>
          <w:tcPr>
            <w:tcW w:w="9360" w:type="dxa"/>
            <w:tcBorders>
              <w:top w:val="nil"/>
              <w:left w:val="nil"/>
              <w:bottom w:val="nil"/>
              <w:right w:val="nil"/>
            </w:tcBorders>
            <w:shd w:val="clear" w:color="auto" w:fill="auto"/>
            <w:noWrap/>
            <w:vAlign w:val="bottom"/>
            <w:hideMark/>
          </w:tcPr>
          <w:p w14:paraId="55A24E1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Nelson F, Lebrun-Frenay C, Camu W, Boyko A, Thangavelu K et al. (2017) Long-term outcomes in patients with progressive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with relapses: analysis of TEMSO and TOWER Extension data. Neurology 88 (16): </w:t>
            </w:r>
          </w:p>
        </w:tc>
      </w:tr>
      <w:tr w:rsidR="00406AEC" w:rsidRPr="00406AEC" w14:paraId="2A0113B2" w14:textId="77777777" w:rsidTr="00406AEC">
        <w:trPr>
          <w:trHeight w:val="300"/>
        </w:trPr>
        <w:tc>
          <w:tcPr>
            <w:tcW w:w="9360" w:type="dxa"/>
            <w:tcBorders>
              <w:top w:val="nil"/>
              <w:left w:val="nil"/>
              <w:bottom w:val="nil"/>
              <w:right w:val="nil"/>
            </w:tcBorders>
            <w:shd w:val="clear" w:color="auto" w:fill="auto"/>
            <w:noWrap/>
            <w:vAlign w:val="bottom"/>
            <w:hideMark/>
          </w:tcPr>
          <w:p w14:paraId="4F41CA7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Arnold DL, Shang S, Liu S et al. (2016) Subgroup and sensitivity analyses of annualized relapse rate over 2 years in the ADVANCE trial of peginterferon beta-1a in patients with relapsing-remitting multiple sclerosis. Journal of Neurology 263 (9): 1778-1787.</w:t>
            </w:r>
          </w:p>
        </w:tc>
      </w:tr>
      <w:tr w:rsidR="00406AEC" w:rsidRPr="00406AEC" w14:paraId="4453B82E" w14:textId="77777777" w:rsidTr="00406AEC">
        <w:trPr>
          <w:trHeight w:val="300"/>
        </w:trPr>
        <w:tc>
          <w:tcPr>
            <w:tcW w:w="9360" w:type="dxa"/>
            <w:tcBorders>
              <w:top w:val="nil"/>
              <w:left w:val="nil"/>
              <w:bottom w:val="nil"/>
              <w:right w:val="nil"/>
            </w:tcBorders>
            <w:shd w:val="clear" w:color="auto" w:fill="auto"/>
            <w:noWrap/>
            <w:vAlign w:val="bottom"/>
            <w:hideMark/>
          </w:tcPr>
          <w:p w14:paraId="065D4CB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Liu S, You X, Kinter E et al. (2017) Peginterferon beta-1a reduces disability worsening in relapsing-remitting multiple sclerosis: 2-year results from ADVANCE. Therapeutic Advances in Neurological Disorders 10 (1): 41-50.</w:t>
            </w:r>
          </w:p>
        </w:tc>
      </w:tr>
      <w:tr w:rsidR="00406AEC" w:rsidRPr="00406AEC" w14:paraId="1C4EEE4F" w14:textId="77777777" w:rsidTr="00406AEC">
        <w:trPr>
          <w:trHeight w:val="300"/>
        </w:trPr>
        <w:tc>
          <w:tcPr>
            <w:tcW w:w="9360" w:type="dxa"/>
            <w:tcBorders>
              <w:top w:val="nil"/>
              <w:left w:val="nil"/>
              <w:bottom w:val="nil"/>
              <w:right w:val="nil"/>
            </w:tcBorders>
            <w:shd w:val="clear" w:color="auto" w:fill="auto"/>
            <w:noWrap/>
            <w:vAlign w:val="bottom"/>
            <w:hideMark/>
          </w:tcPr>
          <w:p w14:paraId="5ACD980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Newsome SD, Sperling B, Liu S, Shang S, Hung S et al. (2015) Peginterferon beta-1a dosed every 2 weeks maintained efficacy over 3 years in patients with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566-567.</w:t>
            </w:r>
          </w:p>
        </w:tc>
      </w:tr>
      <w:tr w:rsidR="00406AEC" w:rsidRPr="00406AEC" w14:paraId="2DFC9869" w14:textId="77777777" w:rsidTr="00406AEC">
        <w:trPr>
          <w:trHeight w:val="300"/>
        </w:trPr>
        <w:tc>
          <w:tcPr>
            <w:tcW w:w="9360" w:type="dxa"/>
            <w:tcBorders>
              <w:top w:val="nil"/>
              <w:left w:val="nil"/>
              <w:bottom w:val="nil"/>
              <w:right w:val="nil"/>
            </w:tcBorders>
            <w:shd w:val="clear" w:color="auto" w:fill="auto"/>
            <w:noWrap/>
            <w:vAlign w:val="bottom"/>
            <w:hideMark/>
          </w:tcPr>
          <w:p w14:paraId="1B19206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O'Connor PW, Goodman A, Willmer-Hulme AJ, Libonati MA, Metz L et al. (2004) Randomized multicenter trial of natalizumab in acute MS relapses: Clinical and MRI effects. Neurology 62 (11): 2038-2043.</w:t>
            </w:r>
          </w:p>
        </w:tc>
      </w:tr>
      <w:tr w:rsidR="00406AEC" w:rsidRPr="00406AEC" w14:paraId="31131BAB" w14:textId="77777777" w:rsidTr="00406AEC">
        <w:trPr>
          <w:trHeight w:val="300"/>
        </w:trPr>
        <w:tc>
          <w:tcPr>
            <w:tcW w:w="9360" w:type="dxa"/>
            <w:tcBorders>
              <w:top w:val="nil"/>
              <w:left w:val="nil"/>
              <w:bottom w:val="nil"/>
              <w:right w:val="nil"/>
            </w:tcBorders>
            <w:shd w:val="clear" w:color="auto" w:fill="auto"/>
            <w:noWrap/>
            <w:vAlign w:val="bottom"/>
            <w:hideMark/>
          </w:tcPr>
          <w:p w14:paraId="4E6FC63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Oger J, Francis G, Chang P (2005) Prospective assessment of changing from placebo to IFN beta-1a in relapsing MS: The PRISMS study. Journal of the Neurological Sciences 237 (1-2): 45-52.</w:t>
            </w:r>
          </w:p>
        </w:tc>
      </w:tr>
      <w:tr w:rsidR="00406AEC" w:rsidRPr="00406AEC" w14:paraId="76FC8C6E" w14:textId="77777777" w:rsidTr="00406AEC">
        <w:trPr>
          <w:trHeight w:val="300"/>
        </w:trPr>
        <w:tc>
          <w:tcPr>
            <w:tcW w:w="9360" w:type="dxa"/>
            <w:tcBorders>
              <w:top w:val="nil"/>
              <w:left w:val="nil"/>
              <w:bottom w:val="nil"/>
              <w:right w:val="nil"/>
            </w:tcBorders>
            <w:shd w:val="clear" w:color="auto" w:fill="auto"/>
            <w:noWrap/>
            <w:vAlign w:val="bottom"/>
            <w:hideMark/>
          </w:tcPr>
          <w:p w14:paraId="45194F1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 OC, Comi G, Montalban X, Antel J, Radue EW et al. (2009) Oral fingolimod (FTY720) in multiple sclerosis: Two-year results of a phase II extension study. Neurology 72 (1): 73-79.</w:t>
            </w:r>
          </w:p>
        </w:tc>
      </w:tr>
      <w:tr w:rsidR="00406AEC" w:rsidRPr="00406AEC" w14:paraId="29DF891C" w14:textId="77777777" w:rsidTr="00406AEC">
        <w:trPr>
          <w:trHeight w:val="300"/>
        </w:trPr>
        <w:tc>
          <w:tcPr>
            <w:tcW w:w="9360" w:type="dxa"/>
            <w:tcBorders>
              <w:top w:val="nil"/>
              <w:left w:val="nil"/>
              <w:bottom w:val="nil"/>
              <w:right w:val="nil"/>
            </w:tcBorders>
            <w:shd w:val="clear" w:color="auto" w:fill="auto"/>
            <w:noWrap/>
            <w:vAlign w:val="bottom"/>
            <w:hideMark/>
          </w:tcPr>
          <w:p w14:paraId="51A45F0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Pakdaman</w:t>
            </w:r>
            <w:proofErr w:type="spellEnd"/>
            <w:r w:rsidRPr="00406AEC">
              <w:rPr>
                <w:rFonts w:ascii="Times New Roman" w:eastAsia="Times New Roman" w:hAnsi="Times New Roman" w:cs="Times New Roman"/>
                <w:color w:val="000000"/>
                <w:szCs w:val="22"/>
              </w:rPr>
              <w:t xml:space="preserve"> H, Abbasi M, </w:t>
            </w:r>
            <w:proofErr w:type="spellStart"/>
            <w:r w:rsidRPr="00406AEC">
              <w:rPr>
                <w:rFonts w:ascii="Times New Roman" w:eastAsia="Times New Roman" w:hAnsi="Times New Roman" w:cs="Times New Roman"/>
                <w:color w:val="000000"/>
                <w:szCs w:val="22"/>
              </w:rPr>
              <w:t>Gharagozli</w:t>
            </w:r>
            <w:proofErr w:type="spellEnd"/>
            <w:r w:rsidRPr="00406AEC">
              <w:rPr>
                <w:rFonts w:ascii="Times New Roman" w:eastAsia="Times New Roman" w:hAnsi="Times New Roman" w:cs="Times New Roman"/>
                <w:color w:val="000000"/>
                <w:szCs w:val="22"/>
              </w:rPr>
              <w:t xml:space="preserve"> K, Ashrafi F, Delavar </w:t>
            </w:r>
            <w:proofErr w:type="spellStart"/>
            <w:r w:rsidRPr="00406AEC">
              <w:rPr>
                <w:rFonts w:ascii="Times New Roman" w:eastAsia="Times New Roman" w:hAnsi="Times New Roman" w:cs="Times New Roman"/>
                <w:color w:val="000000"/>
                <w:szCs w:val="22"/>
              </w:rPr>
              <w:t>Kasmaei</w:t>
            </w:r>
            <w:proofErr w:type="spellEnd"/>
            <w:r w:rsidRPr="00406AEC">
              <w:rPr>
                <w:rFonts w:ascii="Times New Roman" w:eastAsia="Times New Roman" w:hAnsi="Times New Roman" w:cs="Times New Roman"/>
                <w:color w:val="000000"/>
                <w:szCs w:val="22"/>
              </w:rPr>
              <w:t xml:space="preserve"> H et al. (2018) A randomized double-blind trial of comparative efficacy and safety of Avonex and </w:t>
            </w:r>
            <w:proofErr w:type="spellStart"/>
            <w:r w:rsidRPr="00406AEC">
              <w:rPr>
                <w:rFonts w:ascii="Times New Roman" w:eastAsia="Times New Roman" w:hAnsi="Times New Roman" w:cs="Times New Roman"/>
                <w:color w:val="000000"/>
                <w:szCs w:val="22"/>
              </w:rPr>
              <w:t>CinnoVex</w:t>
            </w:r>
            <w:proofErr w:type="spellEnd"/>
            <w:r w:rsidRPr="00406AEC">
              <w:rPr>
                <w:rFonts w:ascii="Times New Roman" w:eastAsia="Times New Roman" w:hAnsi="Times New Roman" w:cs="Times New Roman"/>
                <w:color w:val="000000"/>
                <w:szCs w:val="22"/>
              </w:rPr>
              <w:t xml:space="preserve"> for treatment of relapsing-remitting multiple sclerosis. Neurological Sciences 39 (12): 2107-2113.</w:t>
            </w:r>
          </w:p>
        </w:tc>
      </w:tr>
      <w:tr w:rsidR="00406AEC" w:rsidRPr="00406AEC" w14:paraId="139500F8" w14:textId="77777777" w:rsidTr="00406AEC">
        <w:trPr>
          <w:trHeight w:val="300"/>
        </w:trPr>
        <w:tc>
          <w:tcPr>
            <w:tcW w:w="9360" w:type="dxa"/>
            <w:tcBorders>
              <w:top w:val="nil"/>
              <w:left w:val="nil"/>
              <w:bottom w:val="nil"/>
              <w:right w:val="nil"/>
            </w:tcBorders>
            <w:shd w:val="clear" w:color="auto" w:fill="auto"/>
            <w:noWrap/>
            <w:vAlign w:val="bottom"/>
            <w:hideMark/>
          </w:tcPr>
          <w:p w14:paraId="7F9BB5A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Palte MJ, Wehr A, Tawa M, Perkin K, Leigh-Pemberton R et al. (2019) Improving the Gastrointestinal Tolerability of Fumaric Acid Esters: Early Findings on Gastrointestinal Events with Diroximel Fumarate in Patients with Relapsing-Remitting Multiple Sclerosis from the Phase 3, Open-Label EVOLVE-MS-1 Study. Advances in Therapy 36 (11): 3154-3165.</w:t>
            </w:r>
          </w:p>
        </w:tc>
      </w:tr>
      <w:tr w:rsidR="00406AEC" w:rsidRPr="00406AEC" w14:paraId="45302E85" w14:textId="77777777" w:rsidTr="00406AEC">
        <w:trPr>
          <w:trHeight w:val="300"/>
        </w:trPr>
        <w:tc>
          <w:tcPr>
            <w:tcW w:w="9360" w:type="dxa"/>
            <w:tcBorders>
              <w:top w:val="nil"/>
              <w:left w:val="nil"/>
              <w:bottom w:val="nil"/>
              <w:right w:val="nil"/>
            </w:tcBorders>
            <w:shd w:val="clear" w:color="auto" w:fill="auto"/>
            <w:noWrap/>
            <w:vAlign w:val="bottom"/>
            <w:hideMark/>
          </w:tcPr>
          <w:p w14:paraId="5652E5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Palte MJ, Wehr A, Tawa M, Perkin K, Leigh-Pemberton R et al. (2019) Improving the Gastrointestinal Tolerability of Fumaric Acid Esters: Early Findings on Gastrointestinal Events with Diroximel Fumarate in Patients with Relapsing-Remitting Multiple Sclerosis from the Phase 3, Open-Label EVOLVE-MS-1 Study. Advances in Therapy 36 (11): 3154-3165.</w:t>
            </w:r>
          </w:p>
        </w:tc>
      </w:tr>
      <w:tr w:rsidR="00406AEC" w:rsidRPr="00406AEC" w14:paraId="0AA39423" w14:textId="77777777" w:rsidTr="00406AEC">
        <w:trPr>
          <w:trHeight w:val="300"/>
        </w:trPr>
        <w:tc>
          <w:tcPr>
            <w:tcW w:w="9360" w:type="dxa"/>
            <w:tcBorders>
              <w:top w:val="nil"/>
              <w:left w:val="nil"/>
              <w:bottom w:val="nil"/>
              <w:right w:val="nil"/>
            </w:tcBorders>
            <w:shd w:val="clear" w:color="auto" w:fill="auto"/>
            <w:noWrap/>
            <w:vAlign w:val="bottom"/>
            <w:hideMark/>
          </w:tcPr>
          <w:p w14:paraId="64757F5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Patti F, </w:t>
            </w:r>
            <w:proofErr w:type="spellStart"/>
            <w:r w:rsidRPr="00406AEC">
              <w:rPr>
                <w:rFonts w:ascii="Times New Roman" w:eastAsia="Times New Roman" w:hAnsi="Times New Roman" w:cs="Times New Roman"/>
                <w:color w:val="000000"/>
                <w:szCs w:val="22"/>
              </w:rPr>
              <w:t>L'Episcopo</w:t>
            </w:r>
            <w:proofErr w:type="spellEnd"/>
            <w:r w:rsidRPr="00406AEC">
              <w:rPr>
                <w:rFonts w:ascii="Times New Roman" w:eastAsia="Times New Roman" w:hAnsi="Times New Roman" w:cs="Times New Roman"/>
                <w:color w:val="000000"/>
                <w:szCs w:val="22"/>
              </w:rPr>
              <w:t xml:space="preserve"> MR, Cataldi ML, Reggio A (1999) Natural interferon-beta treatment of relapsing-remitting and secondary- progressive multiple sclerosis patients. A two-year study. Acta </w:t>
            </w:r>
            <w:proofErr w:type="spellStart"/>
            <w:r w:rsidRPr="00406AEC">
              <w:rPr>
                <w:rFonts w:ascii="Times New Roman" w:eastAsia="Times New Roman" w:hAnsi="Times New Roman" w:cs="Times New Roman"/>
                <w:color w:val="000000"/>
                <w:szCs w:val="22"/>
              </w:rPr>
              <w:t>Neurologica</w:t>
            </w:r>
            <w:proofErr w:type="spellEnd"/>
            <w:r w:rsidRPr="00406AEC">
              <w:rPr>
                <w:rFonts w:ascii="Times New Roman" w:eastAsia="Times New Roman" w:hAnsi="Times New Roman" w:cs="Times New Roman"/>
                <w:color w:val="000000"/>
                <w:szCs w:val="22"/>
              </w:rPr>
              <w:t xml:space="preserve"> Scandinavica 100 (5): 283-289.</w:t>
            </w:r>
          </w:p>
        </w:tc>
      </w:tr>
      <w:tr w:rsidR="00406AEC" w:rsidRPr="00406AEC" w14:paraId="26C4F5A1" w14:textId="77777777" w:rsidTr="00406AEC">
        <w:trPr>
          <w:trHeight w:val="300"/>
        </w:trPr>
        <w:tc>
          <w:tcPr>
            <w:tcW w:w="9360" w:type="dxa"/>
            <w:tcBorders>
              <w:top w:val="nil"/>
              <w:left w:val="nil"/>
              <w:bottom w:val="nil"/>
              <w:right w:val="nil"/>
            </w:tcBorders>
            <w:shd w:val="clear" w:color="auto" w:fill="auto"/>
            <w:noWrap/>
            <w:vAlign w:val="bottom"/>
            <w:hideMark/>
          </w:tcPr>
          <w:p w14:paraId="4076C08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Patti F, Morra VB, Amato MP, Trojano M, Bastianello S et al. </w:t>
            </w:r>
            <w:r w:rsidRPr="00406AEC">
              <w:rPr>
                <w:rFonts w:ascii="Times New Roman" w:eastAsia="Times New Roman" w:hAnsi="Times New Roman" w:cs="Times New Roman"/>
                <w:color w:val="000000"/>
                <w:szCs w:val="22"/>
              </w:rPr>
              <w:t xml:space="preserve">(2013) Subcutaneous Interferon beta-1a May Protect against Cognitive Impairment in Patients with Relapsing-Remitting Multiple Sclerosis: 5-Year Follow-up of the COGIMUS Study. </w:t>
            </w:r>
            <w:proofErr w:type="spellStart"/>
            <w:r w:rsidRPr="00406AEC">
              <w:rPr>
                <w:rFonts w:ascii="Times New Roman" w:eastAsia="Times New Roman" w:hAnsi="Times New Roman" w:cs="Times New Roman"/>
                <w:color w:val="000000"/>
                <w:szCs w:val="22"/>
              </w:rPr>
              <w:t>PLoS</w:t>
            </w:r>
            <w:proofErr w:type="spellEnd"/>
            <w:r w:rsidRPr="00406AEC">
              <w:rPr>
                <w:rFonts w:ascii="Times New Roman" w:eastAsia="Times New Roman" w:hAnsi="Times New Roman" w:cs="Times New Roman"/>
                <w:color w:val="000000"/>
                <w:szCs w:val="22"/>
              </w:rPr>
              <w:t xml:space="preserve"> ONE 8 (8): </w:t>
            </w:r>
          </w:p>
        </w:tc>
      </w:tr>
      <w:tr w:rsidR="00406AEC" w:rsidRPr="00406AEC" w14:paraId="145B4E8B" w14:textId="77777777" w:rsidTr="00406AEC">
        <w:trPr>
          <w:trHeight w:val="300"/>
        </w:trPr>
        <w:tc>
          <w:tcPr>
            <w:tcW w:w="9360" w:type="dxa"/>
            <w:tcBorders>
              <w:top w:val="nil"/>
              <w:left w:val="nil"/>
              <w:bottom w:val="nil"/>
              <w:right w:val="nil"/>
            </w:tcBorders>
            <w:shd w:val="clear" w:color="auto" w:fill="auto"/>
            <w:noWrap/>
            <w:vAlign w:val="bottom"/>
            <w:hideMark/>
          </w:tcPr>
          <w:p w14:paraId="6D0FDB4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Fox E, Grainger W, Tuccillo D, Liu S et al. (2011) An open-label, multicenter study to evaluate the safe and effective use of the single-use autoinjector with an Avonex&lt;sup&gt; &lt;/sup&gt;prefilled syringe in multiple sclerosis subjects. BMC Neurology 11 (no pagination) </w:t>
            </w:r>
          </w:p>
        </w:tc>
      </w:tr>
      <w:tr w:rsidR="00406AEC" w:rsidRPr="00406AEC" w14:paraId="06826D34" w14:textId="77777777" w:rsidTr="00406AEC">
        <w:trPr>
          <w:trHeight w:val="300"/>
        </w:trPr>
        <w:tc>
          <w:tcPr>
            <w:tcW w:w="9360" w:type="dxa"/>
            <w:tcBorders>
              <w:top w:val="nil"/>
              <w:left w:val="nil"/>
              <w:bottom w:val="nil"/>
              <w:right w:val="nil"/>
            </w:tcBorders>
            <w:shd w:val="clear" w:color="auto" w:fill="auto"/>
            <w:noWrap/>
            <w:vAlign w:val="bottom"/>
            <w:hideMark/>
          </w:tcPr>
          <w:p w14:paraId="0DE0DCC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Fox R,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Raghupathi</w:t>
            </w:r>
            <w:proofErr w:type="spellEnd"/>
            <w:r w:rsidRPr="00406AEC">
              <w:rPr>
                <w:rFonts w:ascii="Times New Roman" w:eastAsia="Times New Roman" w:hAnsi="Times New Roman" w:cs="Times New Roman"/>
                <w:color w:val="000000"/>
                <w:szCs w:val="22"/>
              </w:rPr>
              <w:t xml:space="preserve"> K, Yuan H et al. Safety and tolerability of oral BG-12 (dimethyl fumarate) in relapsing-remitting multiple sclerosis (RRMS): Interim results from endorse extension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34721638" w14:textId="77777777" w:rsidTr="00406AEC">
        <w:trPr>
          <w:trHeight w:val="300"/>
        </w:trPr>
        <w:tc>
          <w:tcPr>
            <w:tcW w:w="9360" w:type="dxa"/>
            <w:tcBorders>
              <w:top w:val="nil"/>
              <w:left w:val="nil"/>
              <w:bottom w:val="nil"/>
              <w:right w:val="nil"/>
            </w:tcBorders>
            <w:shd w:val="clear" w:color="auto" w:fill="auto"/>
            <w:noWrap/>
            <w:vAlign w:val="bottom"/>
            <w:hideMark/>
          </w:tcPr>
          <w:p w14:paraId="54A40C2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Raghupathi</w:t>
            </w:r>
            <w:proofErr w:type="spellEnd"/>
            <w:r w:rsidRPr="00406AEC">
              <w:rPr>
                <w:rFonts w:ascii="Times New Roman" w:eastAsia="Times New Roman" w:hAnsi="Times New Roman" w:cs="Times New Roman"/>
                <w:color w:val="000000"/>
                <w:szCs w:val="22"/>
              </w:rPr>
              <w:t xml:space="preserve"> K, O'Gorman J et al. Long-term safety and tolerability of oral BG-12 (dimethyl fumarate) in relapsing-remitting multiple sclerosis: Interim results from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517-518.</w:t>
            </w:r>
          </w:p>
        </w:tc>
      </w:tr>
      <w:tr w:rsidR="00406AEC" w:rsidRPr="00406AEC" w14:paraId="6B662205" w14:textId="77777777" w:rsidTr="00406AEC">
        <w:trPr>
          <w:trHeight w:val="300"/>
        </w:trPr>
        <w:tc>
          <w:tcPr>
            <w:tcW w:w="9360" w:type="dxa"/>
            <w:tcBorders>
              <w:top w:val="nil"/>
              <w:left w:val="nil"/>
              <w:bottom w:val="nil"/>
              <w:right w:val="nil"/>
            </w:tcBorders>
            <w:shd w:val="clear" w:color="auto" w:fill="auto"/>
            <w:noWrap/>
            <w:vAlign w:val="bottom"/>
            <w:hideMark/>
          </w:tcPr>
          <w:p w14:paraId="17CB401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Yang M, Zhang R et al. Safety profile of BG-12 (dimethyl fumarate) in relapsing remitting multiple sclerosis: Long-term interim results from the ENDORSE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457.</w:t>
            </w:r>
          </w:p>
        </w:tc>
      </w:tr>
      <w:tr w:rsidR="00406AEC" w:rsidRPr="00406AEC" w14:paraId="0E676B24" w14:textId="77777777" w:rsidTr="00406AEC">
        <w:trPr>
          <w:trHeight w:val="300"/>
        </w:trPr>
        <w:tc>
          <w:tcPr>
            <w:tcW w:w="9360" w:type="dxa"/>
            <w:tcBorders>
              <w:top w:val="nil"/>
              <w:left w:val="nil"/>
              <w:bottom w:val="nil"/>
              <w:right w:val="nil"/>
            </w:tcBorders>
            <w:shd w:val="clear" w:color="auto" w:fill="auto"/>
            <w:noWrap/>
            <w:vAlign w:val="bottom"/>
            <w:hideMark/>
          </w:tcPr>
          <w:p w14:paraId="4834031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Phillips T, Fox R, </w:t>
            </w:r>
            <w:proofErr w:type="spellStart"/>
            <w:r w:rsidRPr="00713F1E">
              <w:rPr>
                <w:rFonts w:ascii="Times New Roman" w:eastAsia="Times New Roman" w:hAnsi="Times New Roman" w:cs="Times New Roman"/>
                <w:color w:val="000000"/>
                <w:szCs w:val="22"/>
                <w:lang w:val="fr-FR"/>
              </w:rPr>
              <w:t>Selmaj</w:t>
            </w:r>
            <w:proofErr w:type="spellEnd"/>
            <w:r w:rsidRPr="00713F1E">
              <w:rPr>
                <w:rFonts w:ascii="Times New Roman" w:eastAsia="Times New Roman" w:hAnsi="Times New Roman" w:cs="Times New Roman"/>
                <w:color w:val="000000"/>
                <w:szCs w:val="22"/>
                <w:lang w:val="fr-FR"/>
              </w:rPr>
              <w:t xml:space="preserve"> K, Zhang R, Novas M et al. </w:t>
            </w:r>
            <w:r w:rsidRPr="00406AEC">
              <w:rPr>
                <w:rFonts w:ascii="Times New Roman" w:eastAsia="Times New Roman" w:hAnsi="Times New Roman" w:cs="Times New Roman"/>
                <w:color w:val="000000"/>
                <w:szCs w:val="22"/>
              </w:rPr>
              <w:t>Safety profile of delayed-release dimethyl fumarate in relapsing-remitting multiple sclerosis (RRMS): Long-term interim results from the endorse extension study. Neurology 82 (10 SUPPL. 1): CONFERENCE START: 2014 Apr 2026 CONFERENCE END: 2014 May 2013.</w:t>
            </w:r>
          </w:p>
        </w:tc>
      </w:tr>
      <w:tr w:rsidR="00406AEC" w:rsidRPr="00406AEC" w14:paraId="1EB3318B" w14:textId="77777777" w:rsidTr="00406AEC">
        <w:trPr>
          <w:trHeight w:val="300"/>
        </w:trPr>
        <w:tc>
          <w:tcPr>
            <w:tcW w:w="9360" w:type="dxa"/>
            <w:tcBorders>
              <w:top w:val="nil"/>
              <w:left w:val="nil"/>
              <w:bottom w:val="nil"/>
              <w:right w:val="nil"/>
            </w:tcBorders>
            <w:shd w:val="clear" w:color="auto" w:fill="auto"/>
            <w:noWrap/>
            <w:vAlign w:val="bottom"/>
            <w:hideMark/>
          </w:tcPr>
          <w:p w14:paraId="3085F92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Polman C,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Kappos L,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Sandbrink</w:t>
            </w:r>
            <w:proofErr w:type="spellEnd"/>
            <w:r w:rsidRPr="00406AEC">
              <w:rPr>
                <w:rFonts w:ascii="Times New Roman" w:eastAsia="Times New Roman" w:hAnsi="Times New Roman" w:cs="Times New Roman"/>
                <w:color w:val="000000"/>
                <w:szCs w:val="22"/>
              </w:rPr>
              <w:t xml:space="preserve"> R et al. (2003) Oral interferon beta-1a in relapsing-remitting multiple sclerosis: A double-blind randomized study. Multiple Sclerosis 9 (4): 342-348.</w:t>
            </w:r>
          </w:p>
        </w:tc>
      </w:tr>
      <w:tr w:rsidR="00406AEC" w:rsidRPr="00406AEC" w14:paraId="697E95A1" w14:textId="77777777" w:rsidTr="00406AEC">
        <w:trPr>
          <w:trHeight w:val="300"/>
        </w:trPr>
        <w:tc>
          <w:tcPr>
            <w:tcW w:w="9360" w:type="dxa"/>
            <w:tcBorders>
              <w:top w:val="nil"/>
              <w:left w:val="nil"/>
              <w:bottom w:val="nil"/>
              <w:right w:val="nil"/>
            </w:tcBorders>
            <w:shd w:val="clear" w:color="auto" w:fill="auto"/>
            <w:noWrap/>
            <w:vAlign w:val="bottom"/>
            <w:hideMark/>
          </w:tcPr>
          <w:p w14:paraId="5B80711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Pozzilli C, Bastianello S, Koudriavtseva T, Gasperini C, Mainero C et al. </w:t>
            </w:r>
            <w:r w:rsidRPr="00406AEC">
              <w:rPr>
                <w:rFonts w:ascii="Times New Roman" w:eastAsia="Times New Roman" w:hAnsi="Times New Roman" w:cs="Times New Roman"/>
                <w:color w:val="000000"/>
                <w:szCs w:val="22"/>
              </w:rPr>
              <w:t xml:space="preserve">(1997) An Open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with Two Different Doses of Recombinant Interferon Beta 1a in Relapsing-Remitting Multiple Sclerosis: clinical and MRI Results. Journal of Neurology 244 </w:t>
            </w:r>
          </w:p>
        </w:tc>
      </w:tr>
      <w:tr w:rsidR="00406AEC" w:rsidRPr="00406AEC" w14:paraId="6C15E880" w14:textId="77777777" w:rsidTr="00406AEC">
        <w:trPr>
          <w:trHeight w:val="300"/>
        </w:trPr>
        <w:tc>
          <w:tcPr>
            <w:tcW w:w="9360" w:type="dxa"/>
            <w:tcBorders>
              <w:top w:val="nil"/>
              <w:left w:val="nil"/>
              <w:bottom w:val="nil"/>
              <w:right w:val="nil"/>
            </w:tcBorders>
            <w:shd w:val="clear" w:color="auto" w:fill="auto"/>
            <w:noWrap/>
            <w:vAlign w:val="bottom"/>
            <w:hideMark/>
          </w:tcPr>
          <w:p w14:paraId="383F366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Phillips JT, Fox R,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Zhang R et al. (2015) Long-term follow-up of the safety of delayed-release dimethyl fumarate in RRMS: Interim results from the endorse extension study. Neurology 84 (18): </w:t>
            </w:r>
          </w:p>
        </w:tc>
      </w:tr>
      <w:tr w:rsidR="00406AEC" w:rsidRPr="00406AEC" w14:paraId="599B7D97" w14:textId="77777777" w:rsidTr="00406AEC">
        <w:trPr>
          <w:trHeight w:val="300"/>
        </w:trPr>
        <w:tc>
          <w:tcPr>
            <w:tcW w:w="9360" w:type="dxa"/>
            <w:tcBorders>
              <w:top w:val="nil"/>
              <w:left w:val="nil"/>
              <w:bottom w:val="nil"/>
              <w:right w:val="nil"/>
            </w:tcBorders>
            <w:shd w:val="clear" w:color="auto" w:fill="auto"/>
            <w:noWrap/>
            <w:vAlign w:val="bottom"/>
            <w:hideMark/>
          </w:tcPr>
          <w:p w14:paraId="1F85585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Pozzilli</w:t>
            </w:r>
            <w:proofErr w:type="spellEnd"/>
            <w:r w:rsidRPr="00406AEC">
              <w:rPr>
                <w:rFonts w:ascii="Times New Roman" w:eastAsia="Times New Roman" w:hAnsi="Times New Roman" w:cs="Times New Roman"/>
                <w:color w:val="000000"/>
                <w:szCs w:val="22"/>
              </w:rPr>
              <w:t xml:space="preserve"> C, Phillips JT, Fox RJ, Prada C, Yang L et al. (2017) Safety of delayed-release dimethyl fumarate in relapsing-remitting multiple sclerosis patients from ENDORSE: seven-year interim results. Neurology 88 (16): </w:t>
            </w:r>
          </w:p>
        </w:tc>
      </w:tr>
      <w:tr w:rsidR="00406AEC" w:rsidRPr="00406AEC" w14:paraId="23B31EC7" w14:textId="77777777" w:rsidTr="00406AEC">
        <w:trPr>
          <w:trHeight w:val="300"/>
        </w:trPr>
        <w:tc>
          <w:tcPr>
            <w:tcW w:w="9360" w:type="dxa"/>
            <w:tcBorders>
              <w:top w:val="nil"/>
              <w:left w:val="nil"/>
              <w:bottom w:val="nil"/>
              <w:right w:val="nil"/>
            </w:tcBorders>
            <w:shd w:val="clear" w:color="auto" w:fill="auto"/>
            <w:noWrap/>
            <w:vAlign w:val="bottom"/>
            <w:hideMark/>
          </w:tcPr>
          <w:p w14:paraId="3D2DDE3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Zhang R et al. Long-term follow-up of the safety of </w:t>
            </w:r>
            <w:proofErr w:type="spellStart"/>
            <w:r w:rsidRPr="00406AEC">
              <w:rPr>
                <w:rFonts w:ascii="Times New Roman" w:eastAsia="Times New Roman" w:hAnsi="Times New Roman" w:cs="Times New Roman"/>
                <w:color w:val="000000"/>
                <w:szCs w:val="22"/>
              </w:rPr>
              <w:t>delayedrelease</w:t>
            </w:r>
            <w:proofErr w:type="spellEnd"/>
            <w:r w:rsidRPr="00406AEC">
              <w:rPr>
                <w:rFonts w:ascii="Times New Roman" w:eastAsia="Times New Roman" w:hAnsi="Times New Roman" w:cs="Times New Roman"/>
                <w:color w:val="000000"/>
                <w:szCs w:val="22"/>
              </w:rPr>
              <w:t xml:space="preserve"> dimethyl fumarate in RRMS: Interim results from the ENDORSE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247.</w:t>
            </w:r>
          </w:p>
        </w:tc>
      </w:tr>
      <w:tr w:rsidR="00406AEC" w:rsidRPr="00406AEC" w14:paraId="74E8DF46" w14:textId="77777777" w:rsidTr="00406AEC">
        <w:trPr>
          <w:trHeight w:val="300"/>
        </w:trPr>
        <w:tc>
          <w:tcPr>
            <w:tcW w:w="9360" w:type="dxa"/>
            <w:tcBorders>
              <w:top w:val="nil"/>
              <w:left w:val="nil"/>
              <w:bottom w:val="nil"/>
              <w:right w:val="nil"/>
            </w:tcBorders>
            <w:shd w:val="clear" w:color="auto" w:fill="auto"/>
            <w:noWrap/>
            <w:vAlign w:val="bottom"/>
            <w:hideMark/>
          </w:tcPr>
          <w:p w14:paraId="29B08B9D"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Zhang R et al. Long-term follow-up of the safety of delayed-release dimethyl fumarate in RRMS: Interim results from the ENDORSE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96-97.</w:t>
            </w:r>
          </w:p>
        </w:tc>
      </w:tr>
      <w:tr w:rsidR="00406AEC" w:rsidRPr="00406AEC" w14:paraId="03E164C7" w14:textId="77777777" w:rsidTr="00406AEC">
        <w:trPr>
          <w:trHeight w:val="300"/>
        </w:trPr>
        <w:tc>
          <w:tcPr>
            <w:tcW w:w="9360" w:type="dxa"/>
            <w:tcBorders>
              <w:top w:val="nil"/>
              <w:left w:val="nil"/>
              <w:bottom w:val="nil"/>
              <w:right w:val="nil"/>
            </w:tcBorders>
            <w:shd w:val="clear" w:color="auto" w:fill="auto"/>
            <w:noWrap/>
            <w:vAlign w:val="bottom"/>
            <w:hideMark/>
          </w:tcPr>
          <w:p w14:paraId="24CA671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Zhang R et al. (2015) Long-term follow-up of the safety of delayed-release dimethyl fumarate in RRMS: Interim results from the ENDORSE extension study. European journal of neurology 22 (708): </w:t>
            </w:r>
          </w:p>
        </w:tc>
      </w:tr>
      <w:tr w:rsidR="00406AEC" w:rsidRPr="00406AEC" w14:paraId="580C4D67" w14:textId="77777777" w:rsidTr="00406AEC">
        <w:trPr>
          <w:trHeight w:val="300"/>
        </w:trPr>
        <w:tc>
          <w:tcPr>
            <w:tcW w:w="9360" w:type="dxa"/>
            <w:tcBorders>
              <w:top w:val="nil"/>
              <w:left w:val="nil"/>
              <w:bottom w:val="nil"/>
              <w:right w:val="nil"/>
            </w:tcBorders>
            <w:shd w:val="clear" w:color="auto" w:fill="auto"/>
            <w:noWrap/>
            <w:vAlign w:val="bottom"/>
            <w:hideMark/>
          </w:tcPr>
          <w:p w14:paraId="78E3D91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Phillips JT, Fox RJ,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Zhang R et al. (2014) Safety profile of delayed-release dimethyl fumarate in relapsing-remitting multiple sclerosis: Long-term interim results from the ENDORSE extension study. Journal of Neurology 261 (31): </w:t>
            </w:r>
          </w:p>
        </w:tc>
      </w:tr>
      <w:tr w:rsidR="00406AEC" w:rsidRPr="00406AEC" w14:paraId="5075727E" w14:textId="77777777" w:rsidTr="00406AEC">
        <w:trPr>
          <w:trHeight w:val="300"/>
        </w:trPr>
        <w:tc>
          <w:tcPr>
            <w:tcW w:w="9360" w:type="dxa"/>
            <w:tcBorders>
              <w:top w:val="nil"/>
              <w:left w:val="nil"/>
              <w:bottom w:val="nil"/>
              <w:right w:val="nil"/>
            </w:tcBorders>
            <w:shd w:val="clear" w:color="auto" w:fill="auto"/>
            <w:noWrap/>
            <w:vAlign w:val="bottom"/>
            <w:hideMark/>
          </w:tcPr>
          <w:p w14:paraId="6B02409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it-IT"/>
              </w:rPr>
              <w:t xml:space="preserve">Prosperini L, Gianni C, Barletta V, Mancinelli C, Fubelli F et al. </w:t>
            </w:r>
            <w:r w:rsidRPr="00406AEC">
              <w:rPr>
                <w:rFonts w:ascii="Times New Roman" w:eastAsia="Times New Roman" w:hAnsi="Times New Roman" w:cs="Times New Roman"/>
                <w:color w:val="000000"/>
                <w:szCs w:val="22"/>
              </w:rPr>
              <w:t>(2012) Predictors of freedom from disease activity in natalizumab treated-patients with multiple sclerosis. Journal of the Neurological Sciences 323 (1-2): 104-112.</w:t>
            </w:r>
          </w:p>
        </w:tc>
      </w:tr>
      <w:tr w:rsidR="00406AEC" w:rsidRPr="00406AEC" w14:paraId="1CD3326E" w14:textId="77777777" w:rsidTr="00406AEC">
        <w:trPr>
          <w:trHeight w:val="300"/>
        </w:trPr>
        <w:tc>
          <w:tcPr>
            <w:tcW w:w="9360" w:type="dxa"/>
            <w:tcBorders>
              <w:top w:val="nil"/>
              <w:left w:val="nil"/>
              <w:bottom w:val="nil"/>
              <w:right w:val="nil"/>
            </w:tcBorders>
            <w:shd w:val="clear" w:color="auto" w:fill="auto"/>
            <w:noWrap/>
            <w:vAlign w:val="bottom"/>
            <w:hideMark/>
          </w:tcPr>
          <w:p w14:paraId="44B6331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Radue EW,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Cohen J, Holdbrook F, Francis G et al. MRI analyses in RRMS patients with highly active disease: Results from freedoms and transforms phase 3 studies. Neurology 78 (1 Meeting Abstract): CONFERENCE START: 2012 Apr 2021 CONFERENCE END: 2012 Apr 2028.</w:t>
            </w:r>
          </w:p>
        </w:tc>
      </w:tr>
      <w:tr w:rsidR="00406AEC" w:rsidRPr="00406AEC" w14:paraId="292E042B" w14:textId="77777777" w:rsidTr="00406AEC">
        <w:trPr>
          <w:trHeight w:val="300"/>
        </w:trPr>
        <w:tc>
          <w:tcPr>
            <w:tcW w:w="9360" w:type="dxa"/>
            <w:tcBorders>
              <w:top w:val="nil"/>
              <w:left w:val="nil"/>
              <w:bottom w:val="nil"/>
              <w:right w:val="nil"/>
            </w:tcBorders>
            <w:shd w:val="clear" w:color="auto" w:fill="auto"/>
            <w:noWrap/>
            <w:vAlign w:val="bottom"/>
            <w:hideMark/>
          </w:tcPr>
          <w:p w14:paraId="6D42727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Radue EW, Stuart WH, Calabresi PA, Confavreux C, Galetta SL et al. </w:t>
            </w:r>
            <w:r w:rsidRPr="00406AEC">
              <w:rPr>
                <w:rFonts w:ascii="Times New Roman" w:eastAsia="Times New Roman" w:hAnsi="Times New Roman" w:cs="Times New Roman"/>
                <w:color w:val="000000"/>
                <w:szCs w:val="22"/>
              </w:rPr>
              <w:t>(2010) Natalizumab plus interferon beta-1a reduces lesion formation in relapsing multiple sclerosis. Journal of the Neurological Sciences 292 (1-2): 28-35.</w:t>
            </w:r>
          </w:p>
        </w:tc>
      </w:tr>
      <w:tr w:rsidR="00406AEC" w:rsidRPr="00406AEC" w14:paraId="13391E84" w14:textId="77777777" w:rsidTr="00406AEC">
        <w:trPr>
          <w:trHeight w:val="300"/>
        </w:trPr>
        <w:tc>
          <w:tcPr>
            <w:tcW w:w="9360" w:type="dxa"/>
            <w:tcBorders>
              <w:top w:val="nil"/>
              <w:left w:val="nil"/>
              <w:bottom w:val="nil"/>
              <w:right w:val="nil"/>
            </w:tcBorders>
            <w:shd w:val="clear" w:color="auto" w:fill="auto"/>
            <w:noWrap/>
            <w:vAlign w:val="bottom"/>
            <w:hideMark/>
          </w:tcPr>
          <w:p w14:paraId="65629D4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Reder A, Goodin D, Ebers G,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Clinical outcomes and cause of death for interferon beta-1b versus placebo, 21 years following randomization. Neurology 78 (1 Meeting Abstract): CONFERENCE START: 2012 Apr 2021 CONFERENCE END: 2012 Apr 2028.</w:t>
            </w:r>
          </w:p>
        </w:tc>
      </w:tr>
      <w:tr w:rsidR="00406AEC" w:rsidRPr="00406AEC" w14:paraId="6D024C71" w14:textId="77777777" w:rsidTr="00406AEC">
        <w:trPr>
          <w:trHeight w:val="300"/>
        </w:trPr>
        <w:tc>
          <w:tcPr>
            <w:tcW w:w="9360" w:type="dxa"/>
            <w:tcBorders>
              <w:top w:val="nil"/>
              <w:left w:val="nil"/>
              <w:bottom w:val="nil"/>
              <w:right w:val="nil"/>
            </w:tcBorders>
            <w:shd w:val="clear" w:color="auto" w:fill="auto"/>
            <w:noWrap/>
            <w:vAlign w:val="bottom"/>
            <w:hideMark/>
          </w:tcPr>
          <w:p w14:paraId="1154606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Reder AT, Cohen J, Silva D, Meier DP, Tomic D et al. (2017) Long-term effect of fingolimod on disability: 8-year disease outcomes by EDSS categories. Multiple sclerosis journal 23 (3): 625-626.</w:t>
            </w:r>
          </w:p>
        </w:tc>
      </w:tr>
      <w:tr w:rsidR="00406AEC" w:rsidRPr="00406AEC" w14:paraId="606EAFFC" w14:textId="77777777" w:rsidTr="00406AEC">
        <w:trPr>
          <w:trHeight w:val="300"/>
        </w:trPr>
        <w:tc>
          <w:tcPr>
            <w:tcW w:w="9360" w:type="dxa"/>
            <w:tcBorders>
              <w:top w:val="nil"/>
              <w:left w:val="nil"/>
              <w:bottom w:val="nil"/>
              <w:right w:val="nil"/>
            </w:tcBorders>
            <w:shd w:val="clear" w:color="auto" w:fill="auto"/>
            <w:noWrap/>
            <w:vAlign w:val="bottom"/>
            <w:hideMark/>
          </w:tcPr>
          <w:p w14:paraId="0C3B77C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Reder AT, Goodin D, Ebers G, Cutter G, Rametta M et al. Survival outcomes and cause of death from the 21-year long-term follow-up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(12): 1865.</w:t>
            </w:r>
          </w:p>
        </w:tc>
      </w:tr>
      <w:tr w:rsidR="00406AEC" w:rsidRPr="00406AEC" w14:paraId="7F79B10A" w14:textId="77777777" w:rsidTr="00406AEC">
        <w:trPr>
          <w:trHeight w:val="300"/>
        </w:trPr>
        <w:tc>
          <w:tcPr>
            <w:tcW w:w="9360" w:type="dxa"/>
            <w:tcBorders>
              <w:top w:val="nil"/>
              <w:left w:val="nil"/>
              <w:bottom w:val="nil"/>
              <w:right w:val="nil"/>
            </w:tcBorders>
            <w:shd w:val="clear" w:color="auto" w:fill="auto"/>
            <w:noWrap/>
            <w:vAlign w:val="bottom"/>
            <w:hideMark/>
          </w:tcPr>
          <w:p w14:paraId="1162343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Rice GPA, Filippi M, Comi G (2000) Cladribine and progressive MS: Clinical and MRI outcomes of a multicenter controlled trial. Neurology 54 (5): 1145-1155.</w:t>
            </w:r>
          </w:p>
        </w:tc>
      </w:tr>
      <w:tr w:rsidR="00406AEC" w:rsidRPr="00406AEC" w14:paraId="10B27FE1" w14:textId="77777777" w:rsidTr="00406AEC">
        <w:trPr>
          <w:trHeight w:val="300"/>
        </w:trPr>
        <w:tc>
          <w:tcPr>
            <w:tcW w:w="9360" w:type="dxa"/>
            <w:tcBorders>
              <w:top w:val="nil"/>
              <w:left w:val="nil"/>
              <w:bottom w:val="nil"/>
              <w:right w:val="nil"/>
            </w:tcBorders>
            <w:shd w:val="clear" w:color="auto" w:fill="auto"/>
            <w:noWrap/>
            <w:vAlign w:val="bottom"/>
            <w:hideMark/>
          </w:tcPr>
          <w:p w14:paraId="7A89BA0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Rice GPA, </w:t>
            </w:r>
            <w:proofErr w:type="spellStart"/>
            <w:r w:rsidRPr="00406AEC">
              <w:rPr>
                <w:rFonts w:ascii="Times New Roman" w:eastAsia="Times New Roman" w:hAnsi="Times New Roman" w:cs="Times New Roman"/>
                <w:color w:val="000000"/>
                <w:szCs w:val="22"/>
              </w:rPr>
              <w:t>Froste</w:t>
            </w:r>
            <w:proofErr w:type="spellEnd"/>
            <w:r w:rsidRPr="00406AEC">
              <w:rPr>
                <w:rFonts w:ascii="Times New Roman" w:eastAsia="Times New Roman" w:hAnsi="Times New Roman" w:cs="Times New Roman"/>
                <w:color w:val="000000"/>
                <w:szCs w:val="22"/>
              </w:rPr>
              <w:t xml:space="preserve"> L, Ebers GC (1998) Treatment of progressive multiple sclerosis with cladribine: observations from patient retreatment after a phase III trial. Multiple Sclerosis 4 (386): </w:t>
            </w:r>
          </w:p>
        </w:tc>
      </w:tr>
      <w:tr w:rsidR="00406AEC" w:rsidRPr="00406AEC" w14:paraId="0377A8C3" w14:textId="77777777" w:rsidTr="00406AEC">
        <w:trPr>
          <w:trHeight w:val="300"/>
        </w:trPr>
        <w:tc>
          <w:tcPr>
            <w:tcW w:w="9360" w:type="dxa"/>
            <w:tcBorders>
              <w:top w:val="nil"/>
              <w:left w:val="nil"/>
              <w:bottom w:val="nil"/>
              <w:right w:val="nil"/>
            </w:tcBorders>
            <w:shd w:val="clear" w:color="auto" w:fill="auto"/>
            <w:noWrap/>
            <w:vAlign w:val="bottom"/>
            <w:hideMark/>
          </w:tcPr>
          <w:p w14:paraId="2AE08C6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Romano S, Ferraldeschi M, Bagnato F, Mechelli R, Morena E et al. </w:t>
            </w:r>
            <w:r w:rsidRPr="00406AEC">
              <w:rPr>
                <w:rFonts w:ascii="Times New Roman" w:eastAsia="Times New Roman" w:hAnsi="Times New Roman" w:cs="Times New Roman"/>
                <w:color w:val="000000"/>
                <w:szCs w:val="22"/>
              </w:rPr>
              <w:t xml:space="preserve">(2019) Drug holiday of interferon beta 1b in multiple sclerosis: a Pilot, Randomized, Single Blind Study of Non-inferiority. Frontiers in neurology 10 (JUL): </w:t>
            </w:r>
          </w:p>
        </w:tc>
      </w:tr>
      <w:tr w:rsidR="00406AEC" w:rsidRPr="00406AEC" w14:paraId="17D875D0" w14:textId="77777777" w:rsidTr="00406AEC">
        <w:trPr>
          <w:trHeight w:val="300"/>
        </w:trPr>
        <w:tc>
          <w:tcPr>
            <w:tcW w:w="9360" w:type="dxa"/>
            <w:tcBorders>
              <w:top w:val="nil"/>
              <w:left w:val="nil"/>
              <w:bottom w:val="nil"/>
              <w:right w:val="nil"/>
            </w:tcBorders>
            <w:shd w:val="clear" w:color="auto" w:fill="auto"/>
            <w:noWrap/>
            <w:vAlign w:val="bottom"/>
            <w:hideMark/>
          </w:tcPr>
          <w:p w14:paraId="2091E3AF"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Romine JS, Sipe JC, Koziol JA, </w:t>
            </w:r>
            <w:proofErr w:type="spellStart"/>
            <w:r w:rsidRPr="00406AEC">
              <w:rPr>
                <w:rFonts w:ascii="Times New Roman" w:eastAsia="Times New Roman" w:hAnsi="Times New Roman" w:cs="Times New Roman"/>
                <w:color w:val="000000"/>
                <w:szCs w:val="22"/>
              </w:rPr>
              <w:t>Zyroff</w:t>
            </w:r>
            <w:proofErr w:type="spellEnd"/>
            <w:r w:rsidRPr="00406AEC">
              <w:rPr>
                <w:rFonts w:ascii="Times New Roman" w:eastAsia="Times New Roman" w:hAnsi="Times New Roman" w:cs="Times New Roman"/>
                <w:color w:val="000000"/>
                <w:szCs w:val="22"/>
              </w:rPr>
              <w:t xml:space="preserve"> J, Beutler E (1999) A double-blind, placebo-controlled, randomized trial of cladribine in relapsing-remitting multiple sclerosis. Proceedings of the Association of American Physicians 111 (1): 35-44.</w:t>
            </w:r>
          </w:p>
        </w:tc>
      </w:tr>
      <w:tr w:rsidR="00406AEC" w:rsidRPr="00406AEC" w14:paraId="4E7BBC2B" w14:textId="77777777" w:rsidTr="00406AEC">
        <w:trPr>
          <w:trHeight w:val="300"/>
        </w:trPr>
        <w:tc>
          <w:tcPr>
            <w:tcW w:w="9360" w:type="dxa"/>
            <w:tcBorders>
              <w:top w:val="nil"/>
              <w:left w:val="nil"/>
              <w:bottom w:val="nil"/>
              <w:right w:val="nil"/>
            </w:tcBorders>
            <w:shd w:val="clear" w:color="auto" w:fill="auto"/>
            <w:noWrap/>
            <w:vAlign w:val="bottom"/>
            <w:hideMark/>
          </w:tcPr>
          <w:p w14:paraId="662C59B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Rovaris M, Comi G, Rocca MA, Valsasina P, Pieri E et al. </w:t>
            </w:r>
            <w:r w:rsidRPr="00406AEC">
              <w:rPr>
                <w:rFonts w:ascii="Times New Roman" w:eastAsia="Times New Roman" w:hAnsi="Times New Roman" w:cs="Times New Roman"/>
                <w:color w:val="000000"/>
                <w:szCs w:val="22"/>
              </w:rPr>
              <w:t xml:space="preserve">(2007) Long-term follow-up of patients treated with glatiramer acetate: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multinational extension of the European/Canadian double-blind, placebo-controlled, MRI-monitored trial. Multiple Sclerosis 13 (4): 502-508.</w:t>
            </w:r>
          </w:p>
        </w:tc>
      </w:tr>
      <w:tr w:rsidR="00406AEC" w:rsidRPr="00406AEC" w14:paraId="0B469AC4" w14:textId="77777777" w:rsidTr="00406AEC">
        <w:trPr>
          <w:trHeight w:val="300"/>
        </w:trPr>
        <w:tc>
          <w:tcPr>
            <w:tcW w:w="9360" w:type="dxa"/>
            <w:tcBorders>
              <w:top w:val="nil"/>
              <w:left w:val="nil"/>
              <w:bottom w:val="nil"/>
              <w:right w:val="nil"/>
            </w:tcBorders>
            <w:shd w:val="clear" w:color="auto" w:fill="auto"/>
            <w:noWrap/>
            <w:vAlign w:val="bottom"/>
            <w:hideMark/>
          </w:tcPr>
          <w:p w14:paraId="7BEE97E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Rudick RA, Stuart WH, Calabresi PA, Confavreux C, Galetta SL et al. </w:t>
            </w:r>
            <w:r w:rsidRPr="00406AEC">
              <w:rPr>
                <w:rFonts w:ascii="Times New Roman" w:eastAsia="Times New Roman" w:hAnsi="Times New Roman" w:cs="Times New Roman"/>
                <w:color w:val="000000"/>
                <w:szCs w:val="22"/>
              </w:rPr>
              <w:t>(2006) Natalizumab plus interferon beta-1a for relapsing multiple sclerosis. New England Journal of Medicine 354 (9): 911-923.</w:t>
            </w:r>
          </w:p>
        </w:tc>
      </w:tr>
      <w:tr w:rsidR="00406AEC" w:rsidRPr="00406AEC" w14:paraId="1A364220" w14:textId="77777777" w:rsidTr="00406AEC">
        <w:trPr>
          <w:trHeight w:val="300"/>
        </w:trPr>
        <w:tc>
          <w:tcPr>
            <w:tcW w:w="9360" w:type="dxa"/>
            <w:tcBorders>
              <w:top w:val="nil"/>
              <w:left w:val="nil"/>
              <w:bottom w:val="nil"/>
              <w:right w:val="nil"/>
            </w:tcBorders>
            <w:shd w:val="clear" w:color="auto" w:fill="auto"/>
            <w:noWrap/>
            <w:vAlign w:val="bottom"/>
            <w:hideMark/>
          </w:tcPr>
          <w:p w14:paraId="2EAC11D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 </w:t>
            </w:r>
            <w:proofErr w:type="spellStart"/>
            <w:r w:rsidRPr="00406AEC">
              <w:rPr>
                <w:rFonts w:ascii="Times New Roman" w:eastAsia="Times New Roman" w:hAnsi="Times New Roman" w:cs="Times New Roman"/>
                <w:color w:val="000000"/>
                <w:szCs w:val="22"/>
              </w:rPr>
              <w:t>Inshasi</w:t>
            </w:r>
            <w:proofErr w:type="spellEnd"/>
            <w:r w:rsidRPr="00406AEC">
              <w:rPr>
                <w:rFonts w:ascii="Times New Roman" w:eastAsia="Times New Roman" w:hAnsi="Times New Roman" w:cs="Times New Roman"/>
                <w:color w:val="000000"/>
                <w:szCs w:val="22"/>
              </w:rPr>
              <w:t xml:space="preserve"> J, Jumah MA, </w:t>
            </w:r>
            <w:proofErr w:type="spellStart"/>
            <w:r w:rsidRPr="00406AEC">
              <w:rPr>
                <w:rFonts w:ascii="Times New Roman" w:eastAsia="Times New Roman" w:hAnsi="Times New Roman" w:cs="Times New Roman"/>
                <w:color w:val="000000"/>
                <w:szCs w:val="22"/>
              </w:rPr>
              <w:t>Alroughani</w:t>
            </w:r>
            <w:proofErr w:type="spellEnd"/>
            <w:r w:rsidRPr="00406AEC">
              <w:rPr>
                <w:rFonts w:ascii="Times New Roman" w:eastAsia="Times New Roman" w:hAnsi="Times New Roman" w:cs="Times New Roman"/>
                <w:color w:val="000000"/>
                <w:szCs w:val="22"/>
              </w:rPr>
              <w:t xml:space="preserve"> R, Compston DAS, Filippi M et al. (2016) Alemtuzumab-treated patients with active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demonstrate durable slowing of brain volume loss over 5 years with most not receiving treatment for 4 years-CARE-MS I and II extension study. Multiple Sclerosis 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NP7.</w:t>
            </w:r>
          </w:p>
        </w:tc>
      </w:tr>
      <w:tr w:rsidR="00406AEC" w:rsidRPr="00406AEC" w14:paraId="6B1266AF" w14:textId="77777777" w:rsidTr="00406AEC">
        <w:trPr>
          <w:trHeight w:val="300"/>
        </w:trPr>
        <w:tc>
          <w:tcPr>
            <w:tcW w:w="9360" w:type="dxa"/>
            <w:tcBorders>
              <w:top w:val="nil"/>
              <w:left w:val="nil"/>
              <w:bottom w:val="nil"/>
              <w:right w:val="nil"/>
            </w:tcBorders>
            <w:shd w:val="clear" w:color="auto" w:fill="auto"/>
            <w:noWrap/>
            <w:vAlign w:val="bottom"/>
            <w:hideMark/>
          </w:tcPr>
          <w:p w14:paraId="2E937C4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w:t>
            </w:r>
            <w:proofErr w:type="spellStart"/>
            <w:r w:rsidRPr="00406AEC">
              <w:rPr>
                <w:rFonts w:ascii="Times New Roman" w:eastAsia="Times New Roman" w:hAnsi="Times New Roman" w:cs="Times New Roman"/>
                <w:color w:val="000000"/>
                <w:szCs w:val="22"/>
              </w:rPr>
              <w:t>Itoyama</w:t>
            </w:r>
            <w:proofErr w:type="spellEnd"/>
            <w:r w:rsidRPr="00406AEC">
              <w:rPr>
                <w:rFonts w:ascii="Times New Roman" w:eastAsia="Times New Roman" w:hAnsi="Times New Roman" w:cs="Times New Roman"/>
                <w:color w:val="000000"/>
                <w:szCs w:val="22"/>
              </w:rPr>
              <w:t xml:space="preserve"> Y, Tashiro K, Kira JI, Hao Q (2012) Intramuscular interferon beta-1a is effective in Japanese patients with relapsing-remitting multiple sclerosis: A pre-treatment versus treatment comparison study of gadolinium-enhanced MRI brain lesions. Multiple sclerosis journal 18 (12): 1782-1790.</w:t>
            </w:r>
          </w:p>
        </w:tc>
      </w:tr>
      <w:tr w:rsidR="00406AEC" w:rsidRPr="00406AEC" w14:paraId="089E11B4" w14:textId="77777777" w:rsidTr="00406AEC">
        <w:trPr>
          <w:trHeight w:val="300"/>
        </w:trPr>
        <w:tc>
          <w:tcPr>
            <w:tcW w:w="9360" w:type="dxa"/>
            <w:tcBorders>
              <w:top w:val="nil"/>
              <w:left w:val="nil"/>
              <w:bottom w:val="nil"/>
              <w:right w:val="nil"/>
            </w:tcBorders>
            <w:shd w:val="clear" w:color="auto" w:fill="auto"/>
            <w:noWrap/>
            <w:vAlign w:val="bottom"/>
            <w:hideMark/>
          </w:tcPr>
          <w:p w14:paraId="3BFA33B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Saida T, Kira JI, Kishida S, Yamamura T, Ohtsuka N et al. (2017) Safety and Efficacy of Natalizumab in Japanese Patients with Relapsing-Remitting Multiple Sclerosis: Open-Label Extension Study of a Phase 2 Trial. Neurology and Therapy 6 (1): 39-55.</w:t>
            </w:r>
          </w:p>
        </w:tc>
      </w:tr>
      <w:tr w:rsidR="00406AEC" w:rsidRPr="00406AEC" w14:paraId="018B8E0A" w14:textId="77777777" w:rsidTr="00406AEC">
        <w:trPr>
          <w:trHeight w:val="300"/>
        </w:trPr>
        <w:tc>
          <w:tcPr>
            <w:tcW w:w="9360" w:type="dxa"/>
            <w:tcBorders>
              <w:top w:val="nil"/>
              <w:left w:val="nil"/>
              <w:bottom w:val="nil"/>
              <w:right w:val="nil"/>
            </w:tcBorders>
            <w:shd w:val="clear" w:color="auto" w:fill="auto"/>
            <w:noWrap/>
            <w:vAlign w:val="bottom"/>
            <w:hideMark/>
          </w:tcPr>
          <w:p w14:paraId="3319D84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Kira JI, Ueno Y, Harada N, Hirakata T (2016) Long-term efficacy and safety of intramuscular interferon beta-1a: Randomized </w:t>
            </w:r>
            <w:proofErr w:type="spellStart"/>
            <w:r w:rsidRPr="00406AEC">
              <w:rPr>
                <w:rFonts w:ascii="Times New Roman" w:eastAsia="Times New Roman" w:hAnsi="Times New Roman" w:cs="Times New Roman"/>
                <w:color w:val="000000"/>
                <w:szCs w:val="22"/>
              </w:rPr>
              <w:t>postmarketing</w:t>
            </w:r>
            <w:proofErr w:type="spellEnd"/>
            <w:r w:rsidRPr="00406AEC">
              <w:rPr>
                <w:rFonts w:ascii="Times New Roman" w:eastAsia="Times New Roman" w:hAnsi="Times New Roman" w:cs="Times New Roman"/>
                <w:color w:val="000000"/>
                <w:szCs w:val="22"/>
              </w:rPr>
              <w:t xml:space="preserve"> trial of two dosing regimens in Japanese patients with relapsing-remitting multiple sclerosis. Multiple Sclerosis and Related Disorders 7 102-108.</w:t>
            </w:r>
          </w:p>
        </w:tc>
      </w:tr>
      <w:tr w:rsidR="00406AEC" w:rsidRPr="00406AEC" w14:paraId="3C9B58AE" w14:textId="77777777" w:rsidTr="00406AEC">
        <w:trPr>
          <w:trHeight w:val="300"/>
        </w:trPr>
        <w:tc>
          <w:tcPr>
            <w:tcW w:w="9360" w:type="dxa"/>
            <w:tcBorders>
              <w:top w:val="nil"/>
              <w:left w:val="nil"/>
              <w:bottom w:val="nil"/>
              <w:right w:val="nil"/>
            </w:tcBorders>
            <w:shd w:val="clear" w:color="auto" w:fill="auto"/>
            <w:noWrap/>
            <w:vAlign w:val="bottom"/>
            <w:hideMark/>
          </w:tcPr>
          <w:p w14:paraId="61D4D27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Saida T, </w:t>
            </w:r>
            <w:proofErr w:type="spellStart"/>
            <w:r w:rsidRPr="00713F1E">
              <w:rPr>
                <w:rFonts w:ascii="Times New Roman" w:eastAsia="Times New Roman" w:hAnsi="Times New Roman" w:cs="Times New Roman"/>
                <w:color w:val="000000"/>
                <w:szCs w:val="22"/>
                <w:lang w:val="fr-FR"/>
              </w:rPr>
              <w:t>Tashiro</w:t>
            </w:r>
            <w:proofErr w:type="spellEnd"/>
            <w:r w:rsidRPr="00713F1E">
              <w:rPr>
                <w:rFonts w:ascii="Times New Roman" w:eastAsia="Times New Roman" w:hAnsi="Times New Roman" w:cs="Times New Roman"/>
                <w:color w:val="000000"/>
                <w:szCs w:val="22"/>
                <w:lang w:val="fr-FR"/>
              </w:rPr>
              <w:t xml:space="preserve"> K, </w:t>
            </w:r>
            <w:proofErr w:type="spellStart"/>
            <w:r w:rsidRPr="00713F1E">
              <w:rPr>
                <w:rFonts w:ascii="Times New Roman" w:eastAsia="Times New Roman" w:hAnsi="Times New Roman" w:cs="Times New Roman"/>
                <w:color w:val="000000"/>
                <w:szCs w:val="22"/>
                <w:lang w:val="fr-FR"/>
              </w:rPr>
              <w:t>Itoyama</w:t>
            </w:r>
            <w:proofErr w:type="spellEnd"/>
            <w:r w:rsidRPr="00713F1E">
              <w:rPr>
                <w:rFonts w:ascii="Times New Roman" w:eastAsia="Times New Roman" w:hAnsi="Times New Roman" w:cs="Times New Roman"/>
                <w:color w:val="000000"/>
                <w:szCs w:val="22"/>
                <w:lang w:val="fr-FR"/>
              </w:rPr>
              <w:t xml:space="preserve"> Y, Sato T, </w:t>
            </w:r>
            <w:proofErr w:type="spellStart"/>
            <w:r w:rsidRPr="00713F1E">
              <w:rPr>
                <w:rFonts w:ascii="Times New Roman" w:eastAsia="Times New Roman" w:hAnsi="Times New Roman" w:cs="Times New Roman"/>
                <w:color w:val="000000"/>
                <w:szCs w:val="22"/>
                <w:lang w:val="fr-FR"/>
              </w:rPr>
              <w:t>Ohashi</w:t>
            </w:r>
            <w:proofErr w:type="spellEnd"/>
            <w:r w:rsidRPr="00713F1E">
              <w:rPr>
                <w:rFonts w:ascii="Times New Roman" w:eastAsia="Times New Roman" w:hAnsi="Times New Roman" w:cs="Times New Roman"/>
                <w:color w:val="000000"/>
                <w:szCs w:val="22"/>
                <w:lang w:val="fr-FR"/>
              </w:rPr>
              <w:t xml:space="preserve"> Y et al. </w:t>
            </w:r>
            <w:r w:rsidRPr="00406AEC">
              <w:rPr>
                <w:rFonts w:ascii="Times New Roman" w:eastAsia="Times New Roman" w:hAnsi="Times New Roman" w:cs="Times New Roman"/>
                <w:color w:val="000000"/>
                <w:szCs w:val="22"/>
              </w:rPr>
              <w:t>(2005) Interferon beta-1b is effective in Japanese RRMS patients: A randomized, multicenter study. Neurology 64 (4): 621-630.</w:t>
            </w:r>
          </w:p>
        </w:tc>
      </w:tr>
      <w:tr w:rsidR="00406AEC" w:rsidRPr="00406AEC" w14:paraId="2C81FEB5" w14:textId="77777777" w:rsidTr="00406AEC">
        <w:trPr>
          <w:trHeight w:val="300"/>
        </w:trPr>
        <w:tc>
          <w:tcPr>
            <w:tcW w:w="9360" w:type="dxa"/>
            <w:tcBorders>
              <w:top w:val="nil"/>
              <w:left w:val="nil"/>
              <w:bottom w:val="nil"/>
              <w:right w:val="nil"/>
            </w:tcBorders>
            <w:shd w:val="clear" w:color="auto" w:fill="auto"/>
            <w:noWrap/>
            <w:vAlign w:val="bottom"/>
            <w:hideMark/>
          </w:tcPr>
          <w:p w14:paraId="2EA5DFA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Sandberg-</w:t>
            </w:r>
            <w:proofErr w:type="spellStart"/>
            <w:r w:rsidRPr="00406AEC">
              <w:rPr>
                <w:rFonts w:ascii="Times New Roman" w:eastAsia="Times New Roman" w:hAnsi="Times New Roman" w:cs="Times New Roman"/>
                <w:color w:val="000000"/>
                <w:szCs w:val="22"/>
              </w:rPr>
              <w:t>Wollheim</w:t>
            </w:r>
            <w:proofErr w:type="spellEnd"/>
            <w:r w:rsidRPr="00406AEC">
              <w:rPr>
                <w:rFonts w:ascii="Times New Roman" w:eastAsia="Times New Roman" w:hAnsi="Times New Roman" w:cs="Times New Roman"/>
                <w:color w:val="000000"/>
                <w:szCs w:val="22"/>
              </w:rPr>
              <w:t xml:space="preserve"> M, Frank D, Goodwin TM, Giesser B, Lopez-Bresnahan M et al. (2005) Pregnancy outcomes during treatment with interferon beta-1a in patients with multiple sclerosis. Neurology 65 (6): 802-806.</w:t>
            </w:r>
          </w:p>
        </w:tc>
      </w:tr>
      <w:tr w:rsidR="00406AEC" w:rsidRPr="00406AEC" w14:paraId="529D4E41" w14:textId="77777777" w:rsidTr="00406AEC">
        <w:trPr>
          <w:trHeight w:val="300"/>
        </w:trPr>
        <w:tc>
          <w:tcPr>
            <w:tcW w:w="9360" w:type="dxa"/>
            <w:tcBorders>
              <w:top w:val="nil"/>
              <w:left w:val="nil"/>
              <w:bottom w:val="nil"/>
              <w:right w:val="nil"/>
            </w:tcBorders>
            <w:shd w:val="clear" w:color="auto" w:fill="auto"/>
            <w:noWrap/>
            <w:vAlign w:val="bottom"/>
            <w:hideMark/>
          </w:tcPr>
          <w:p w14:paraId="121534F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Sarda SP, Kita M, Fox RJ, Gold R, Giovannoni G et al. </w:t>
            </w:r>
            <w:r w:rsidRPr="00406AEC">
              <w:rPr>
                <w:rFonts w:ascii="Times New Roman" w:eastAsia="Times New Roman" w:hAnsi="Times New Roman" w:cs="Times New Roman"/>
                <w:color w:val="000000"/>
                <w:szCs w:val="22"/>
              </w:rPr>
              <w:t>An interim analysis of quality of life in patients with relapsing-remitting multiple sclerosis treated with delayed-release dimethyl fumarate.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413-414.</w:t>
            </w:r>
          </w:p>
        </w:tc>
      </w:tr>
      <w:tr w:rsidR="00406AEC" w:rsidRPr="00406AEC" w14:paraId="0039BCC8" w14:textId="77777777" w:rsidTr="00406AEC">
        <w:trPr>
          <w:trHeight w:val="300"/>
        </w:trPr>
        <w:tc>
          <w:tcPr>
            <w:tcW w:w="9360" w:type="dxa"/>
            <w:tcBorders>
              <w:top w:val="nil"/>
              <w:left w:val="nil"/>
              <w:bottom w:val="nil"/>
              <w:right w:val="nil"/>
            </w:tcBorders>
            <w:shd w:val="clear" w:color="auto" w:fill="auto"/>
            <w:noWrap/>
            <w:vAlign w:val="bottom"/>
            <w:hideMark/>
          </w:tcPr>
          <w:p w14:paraId="77CFF6B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Schwartzbach CJ, Grove RA, Brown R, Tompson D, Then Bergh F et al. (2017) Lesion remyelinating activity of GSK239512 versus placebo in patients with relapsing-</w:t>
            </w:r>
            <w:r w:rsidRPr="00406AEC">
              <w:rPr>
                <w:rFonts w:ascii="Times New Roman" w:eastAsia="Times New Roman" w:hAnsi="Times New Roman" w:cs="Times New Roman"/>
                <w:color w:val="000000"/>
                <w:szCs w:val="22"/>
              </w:rPr>
              <w:lastRenderedPageBreak/>
              <w:t xml:space="preserve">remitting multiple sclerosis: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single-blind, phase II study. Journal of Neurology 264 (2): 304-315.</w:t>
            </w:r>
          </w:p>
        </w:tc>
      </w:tr>
      <w:tr w:rsidR="00406AEC" w:rsidRPr="00406AEC" w14:paraId="5E5817C0" w14:textId="77777777" w:rsidTr="00406AEC">
        <w:trPr>
          <w:trHeight w:val="300"/>
        </w:trPr>
        <w:tc>
          <w:tcPr>
            <w:tcW w:w="9360" w:type="dxa"/>
            <w:tcBorders>
              <w:top w:val="nil"/>
              <w:left w:val="nil"/>
              <w:bottom w:val="nil"/>
              <w:right w:val="nil"/>
            </w:tcBorders>
            <w:shd w:val="clear" w:color="auto" w:fill="auto"/>
            <w:noWrap/>
            <w:vAlign w:val="bottom"/>
            <w:hideMark/>
          </w:tcPr>
          <w:p w14:paraId="420BEB8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Schwid SR, Goodman AD, Weinstein A, McDermott MP, Johnson KP (2007) Cognitive function in relapsing multiple sclerosis: Minimal changes in a 10-year clinical trial. Journal of the Neurological Sciences 255 (1-2): 57-63.</w:t>
            </w:r>
          </w:p>
        </w:tc>
      </w:tr>
      <w:tr w:rsidR="00406AEC" w:rsidRPr="00406AEC" w14:paraId="6E5CE95E" w14:textId="77777777" w:rsidTr="00406AEC">
        <w:trPr>
          <w:trHeight w:val="300"/>
        </w:trPr>
        <w:tc>
          <w:tcPr>
            <w:tcW w:w="9360" w:type="dxa"/>
            <w:tcBorders>
              <w:top w:val="nil"/>
              <w:left w:val="nil"/>
              <w:bottom w:val="nil"/>
              <w:right w:val="nil"/>
            </w:tcBorders>
            <w:shd w:val="clear" w:color="auto" w:fill="auto"/>
            <w:noWrap/>
            <w:vAlign w:val="bottom"/>
            <w:hideMark/>
          </w:tcPr>
          <w:p w14:paraId="74940A5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Schwid SR, Thorpe J, Sharief M, Sandberg-Wollheim M, Rammohan K et al. </w:t>
            </w:r>
            <w:r w:rsidRPr="00406AEC">
              <w:rPr>
                <w:rFonts w:ascii="Times New Roman" w:eastAsia="Times New Roman" w:hAnsi="Times New Roman" w:cs="Times New Roman"/>
                <w:color w:val="000000"/>
                <w:szCs w:val="22"/>
              </w:rPr>
              <w:t>(2005) Enhanced benefit of increasing interferon beta-1a dose and frequency in relapsing multiple sclerosis: The EVIDENCE study. Archives of neurology 62 (5): 785-792.</w:t>
            </w:r>
          </w:p>
        </w:tc>
      </w:tr>
      <w:tr w:rsidR="00406AEC" w:rsidRPr="00406AEC" w14:paraId="0BE5E335" w14:textId="77777777" w:rsidTr="00406AEC">
        <w:trPr>
          <w:trHeight w:val="300"/>
        </w:trPr>
        <w:tc>
          <w:tcPr>
            <w:tcW w:w="9360" w:type="dxa"/>
            <w:tcBorders>
              <w:top w:val="nil"/>
              <w:left w:val="nil"/>
              <w:bottom w:val="nil"/>
              <w:right w:val="nil"/>
            </w:tcBorders>
            <w:shd w:val="clear" w:color="auto" w:fill="auto"/>
            <w:noWrap/>
            <w:vAlign w:val="bottom"/>
            <w:hideMark/>
          </w:tcPr>
          <w:p w14:paraId="7D71A578"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Scott T,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Newsome S, You X, Shang S et al. (2015) Disability progression and recovery from relapses with peginterferon beta-1a: Interim analysis from ATTAIN, extension of the phase III study-ADVANCE. European journal of neurology 22 (757): </w:t>
            </w:r>
          </w:p>
        </w:tc>
      </w:tr>
      <w:tr w:rsidR="00406AEC" w:rsidRPr="00406AEC" w14:paraId="723002E9" w14:textId="77777777" w:rsidTr="00406AEC">
        <w:trPr>
          <w:trHeight w:val="300"/>
        </w:trPr>
        <w:tc>
          <w:tcPr>
            <w:tcW w:w="9360" w:type="dxa"/>
            <w:tcBorders>
              <w:top w:val="nil"/>
              <w:left w:val="nil"/>
              <w:bottom w:val="nil"/>
              <w:right w:val="nil"/>
            </w:tcBorders>
            <w:shd w:val="clear" w:color="auto" w:fill="auto"/>
            <w:noWrap/>
            <w:vAlign w:val="bottom"/>
            <w:hideMark/>
          </w:tcPr>
          <w:p w14:paraId="0D4A306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Seddighzadeh</w:t>
            </w:r>
            <w:proofErr w:type="spellEnd"/>
            <w:r w:rsidRPr="00406AEC">
              <w:rPr>
                <w:rFonts w:ascii="Times New Roman" w:eastAsia="Times New Roman" w:hAnsi="Times New Roman" w:cs="Times New Roman"/>
                <w:color w:val="000000"/>
                <w:szCs w:val="22"/>
              </w:rPr>
              <w:t xml:space="preserve"> A, Hung S,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Cui Y, Liu S et al. (2014) Single-use autoinjector for peginterferon-beta1a treatment of relapsing-remitting multiple sclerosis: Safety, </w:t>
            </w:r>
            <w:proofErr w:type="gramStart"/>
            <w:r w:rsidRPr="00406AEC">
              <w:rPr>
                <w:rFonts w:ascii="Times New Roman" w:eastAsia="Times New Roman" w:hAnsi="Times New Roman" w:cs="Times New Roman"/>
                <w:color w:val="000000"/>
                <w:szCs w:val="22"/>
              </w:rPr>
              <w:t>tolerability</w:t>
            </w:r>
            <w:proofErr w:type="gramEnd"/>
            <w:r w:rsidRPr="00406AEC">
              <w:rPr>
                <w:rFonts w:ascii="Times New Roman" w:eastAsia="Times New Roman" w:hAnsi="Times New Roman" w:cs="Times New Roman"/>
                <w:color w:val="000000"/>
                <w:szCs w:val="22"/>
              </w:rPr>
              <w:t xml:space="preserve"> and patient evaluation data from the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ATTAIN study. Expert Opinion on Drug Delivery 11 (11): 1713-1720.</w:t>
            </w:r>
          </w:p>
        </w:tc>
      </w:tr>
      <w:tr w:rsidR="00406AEC" w:rsidRPr="00406AEC" w14:paraId="2BB1564B" w14:textId="77777777" w:rsidTr="00406AEC">
        <w:trPr>
          <w:trHeight w:val="300"/>
        </w:trPr>
        <w:tc>
          <w:tcPr>
            <w:tcW w:w="9360" w:type="dxa"/>
            <w:tcBorders>
              <w:top w:val="nil"/>
              <w:left w:val="nil"/>
              <w:bottom w:val="nil"/>
              <w:right w:val="nil"/>
            </w:tcBorders>
            <w:shd w:val="clear" w:color="auto" w:fill="auto"/>
            <w:noWrap/>
            <w:vAlign w:val="bottom"/>
            <w:hideMark/>
          </w:tcPr>
          <w:p w14:paraId="36EC8B8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Selmaj K, Barkhof F, Belova AN, Wolf C, van den Tweel ERW et al. </w:t>
            </w:r>
            <w:r w:rsidRPr="00406AEC">
              <w:rPr>
                <w:rFonts w:ascii="Times New Roman" w:eastAsia="Times New Roman" w:hAnsi="Times New Roman" w:cs="Times New Roman"/>
                <w:color w:val="000000"/>
                <w:szCs w:val="22"/>
              </w:rPr>
              <w:t>(2017) Switching from branded to generic glatiramer acetate: 15-month GATE trial extension results. Multiple Sclerosis 23 (14): 1909-1917.</w:t>
            </w:r>
          </w:p>
        </w:tc>
      </w:tr>
      <w:tr w:rsidR="00406AEC" w:rsidRPr="00406AEC" w14:paraId="67F58131" w14:textId="77777777" w:rsidTr="00406AEC">
        <w:trPr>
          <w:trHeight w:val="300"/>
        </w:trPr>
        <w:tc>
          <w:tcPr>
            <w:tcW w:w="9360" w:type="dxa"/>
            <w:tcBorders>
              <w:top w:val="nil"/>
              <w:left w:val="nil"/>
              <w:bottom w:val="nil"/>
              <w:right w:val="nil"/>
            </w:tcBorders>
            <w:shd w:val="clear" w:color="auto" w:fill="auto"/>
            <w:noWrap/>
            <w:vAlign w:val="bottom"/>
            <w:hideMark/>
          </w:tcPr>
          <w:p w14:paraId="4D48411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Phillips JT, Fox RJ, </w:t>
            </w:r>
            <w:proofErr w:type="spellStart"/>
            <w:r w:rsidRPr="00406AEC">
              <w:rPr>
                <w:rFonts w:ascii="Times New Roman" w:eastAsia="Times New Roman" w:hAnsi="Times New Roman" w:cs="Times New Roman"/>
                <w:color w:val="000000"/>
                <w:szCs w:val="22"/>
              </w:rPr>
              <w:t>Raghupathi</w:t>
            </w:r>
            <w:proofErr w:type="spellEnd"/>
            <w:r w:rsidRPr="00406AEC">
              <w:rPr>
                <w:rFonts w:ascii="Times New Roman" w:eastAsia="Times New Roman" w:hAnsi="Times New Roman" w:cs="Times New Roman"/>
                <w:color w:val="000000"/>
                <w:szCs w:val="22"/>
              </w:rPr>
              <w:t xml:space="preserve"> K, Yuan H et al. (2013) Safety and tolerability of BG-12 (dimethyl fumarate) in relapsing-remitting multiple sclerosis: Interim results from the endorse extension study. Journal of the Neurological Sciences 333 (21): </w:t>
            </w:r>
          </w:p>
        </w:tc>
      </w:tr>
      <w:tr w:rsidR="00406AEC" w:rsidRPr="00406AEC" w14:paraId="139A6EE5" w14:textId="77777777" w:rsidTr="00406AEC">
        <w:trPr>
          <w:trHeight w:val="300"/>
        </w:trPr>
        <w:tc>
          <w:tcPr>
            <w:tcW w:w="9360" w:type="dxa"/>
            <w:tcBorders>
              <w:top w:val="nil"/>
              <w:left w:val="nil"/>
              <w:bottom w:val="nil"/>
              <w:right w:val="nil"/>
            </w:tcBorders>
            <w:shd w:val="clear" w:color="auto" w:fill="auto"/>
            <w:noWrap/>
            <w:vAlign w:val="bottom"/>
            <w:hideMark/>
          </w:tcPr>
          <w:p w14:paraId="506A285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Shang S, </w:t>
            </w:r>
            <w:proofErr w:type="spellStart"/>
            <w:r w:rsidRPr="00406AEC">
              <w:rPr>
                <w:rFonts w:ascii="Times New Roman" w:eastAsia="Times New Roman" w:hAnsi="Times New Roman" w:cs="Times New Roman"/>
                <w:color w:val="000000"/>
                <w:szCs w:val="22"/>
              </w:rPr>
              <w:t>Evilevitch</w:t>
            </w:r>
            <w:proofErr w:type="spellEnd"/>
            <w:r w:rsidRPr="00406AEC">
              <w:rPr>
                <w:rFonts w:ascii="Times New Roman" w:eastAsia="Times New Roman" w:hAnsi="Times New Roman" w:cs="Times New Roman"/>
                <w:color w:val="000000"/>
                <w:szCs w:val="22"/>
              </w:rPr>
              <w:t xml:space="preserve"> V, You X (2015) Effects of switching from placebo to peginterferon beta-1A in the advance study in patients with relapsing multiple sclerosis. Journal of the Neurological Sciences 357 (31): </w:t>
            </w:r>
          </w:p>
        </w:tc>
      </w:tr>
      <w:tr w:rsidR="00406AEC" w:rsidRPr="00406AEC" w14:paraId="701B1A59" w14:textId="77777777" w:rsidTr="00406AEC">
        <w:trPr>
          <w:trHeight w:val="300"/>
        </w:trPr>
        <w:tc>
          <w:tcPr>
            <w:tcW w:w="9360" w:type="dxa"/>
            <w:tcBorders>
              <w:top w:val="nil"/>
              <w:left w:val="nil"/>
              <w:bottom w:val="nil"/>
              <w:right w:val="nil"/>
            </w:tcBorders>
            <w:shd w:val="clear" w:color="auto" w:fill="auto"/>
            <w:noWrap/>
            <w:vAlign w:val="bottom"/>
            <w:hideMark/>
          </w:tcPr>
          <w:p w14:paraId="269D002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Silber E, Kappos L, Radue EW, Connor P, Amato M et al. </w:t>
            </w:r>
            <w:r w:rsidRPr="00406AEC">
              <w:rPr>
                <w:rFonts w:ascii="Times New Roman" w:eastAsia="Times New Roman" w:hAnsi="Times New Roman" w:cs="Times New Roman"/>
                <w:color w:val="000000"/>
                <w:szCs w:val="22"/>
              </w:rPr>
              <w:t>Switching therapy to fingolimod improves clinical and MRI outcomes. Journal of Neurology, Neurosurgery and Psychiatry 85 (10): A39.</w:t>
            </w:r>
          </w:p>
        </w:tc>
      </w:tr>
      <w:tr w:rsidR="00406AEC" w:rsidRPr="00406AEC" w14:paraId="4AC797E4" w14:textId="77777777" w:rsidTr="00406AEC">
        <w:trPr>
          <w:trHeight w:val="300"/>
        </w:trPr>
        <w:tc>
          <w:tcPr>
            <w:tcW w:w="9360" w:type="dxa"/>
            <w:tcBorders>
              <w:top w:val="nil"/>
              <w:left w:val="nil"/>
              <w:bottom w:val="nil"/>
              <w:right w:val="nil"/>
            </w:tcBorders>
            <w:shd w:val="clear" w:color="auto" w:fill="auto"/>
            <w:noWrap/>
            <w:vAlign w:val="bottom"/>
            <w:hideMark/>
          </w:tcPr>
          <w:p w14:paraId="5ACECE2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Silva T, Fragoso YD, Rodrigues MFSD, Gomes AO, Silva FC et al. (2020) Effects of </w:t>
            </w:r>
            <w:proofErr w:type="spellStart"/>
            <w:r w:rsidRPr="00406AEC">
              <w:rPr>
                <w:rFonts w:ascii="Times New Roman" w:eastAsia="Times New Roman" w:hAnsi="Times New Roman" w:cs="Times New Roman"/>
                <w:color w:val="000000"/>
                <w:szCs w:val="22"/>
              </w:rPr>
              <w:t>photobiomodulation</w:t>
            </w:r>
            <w:proofErr w:type="spellEnd"/>
            <w:r w:rsidRPr="00406AEC">
              <w:rPr>
                <w:rFonts w:ascii="Times New Roman" w:eastAsia="Times New Roman" w:hAnsi="Times New Roman" w:cs="Times New Roman"/>
                <w:color w:val="000000"/>
                <w:szCs w:val="22"/>
              </w:rPr>
              <w:t xml:space="preserve"> on interleukin-10 and nitrites in individuals with relapsing-remitting multiple sclerosis - Randomized clinical trial. </w:t>
            </w:r>
            <w:proofErr w:type="spellStart"/>
            <w:r w:rsidRPr="00406AEC">
              <w:rPr>
                <w:rFonts w:ascii="Times New Roman" w:eastAsia="Times New Roman" w:hAnsi="Times New Roman" w:cs="Times New Roman"/>
                <w:color w:val="000000"/>
                <w:szCs w:val="22"/>
              </w:rPr>
              <w:t>PLoS</w:t>
            </w:r>
            <w:proofErr w:type="spellEnd"/>
            <w:r w:rsidRPr="00406AEC">
              <w:rPr>
                <w:rFonts w:ascii="Times New Roman" w:eastAsia="Times New Roman" w:hAnsi="Times New Roman" w:cs="Times New Roman"/>
                <w:color w:val="000000"/>
                <w:szCs w:val="22"/>
              </w:rPr>
              <w:t xml:space="preserve"> ONE 15 (4): </w:t>
            </w:r>
          </w:p>
        </w:tc>
      </w:tr>
      <w:tr w:rsidR="00406AEC" w:rsidRPr="00406AEC" w14:paraId="31B58144" w14:textId="77777777" w:rsidTr="00406AEC">
        <w:trPr>
          <w:trHeight w:val="300"/>
        </w:trPr>
        <w:tc>
          <w:tcPr>
            <w:tcW w:w="9360" w:type="dxa"/>
            <w:tcBorders>
              <w:top w:val="nil"/>
              <w:left w:val="nil"/>
              <w:bottom w:val="nil"/>
              <w:right w:val="nil"/>
            </w:tcBorders>
            <w:shd w:val="clear" w:color="auto" w:fill="auto"/>
            <w:noWrap/>
            <w:vAlign w:val="bottom"/>
            <w:hideMark/>
          </w:tcPr>
          <w:p w14:paraId="661AEAF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Singer B, </w:t>
            </w:r>
            <w:proofErr w:type="spellStart"/>
            <w:r w:rsidRPr="00406AEC">
              <w:rPr>
                <w:rFonts w:ascii="Times New Roman" w:eastAsia="Times New Roman" w:hAnsi="Times New Roman" w:cs="Times New Roman"/>
                <w:color w:val="000000"/>
                <w:szCs w:val="22"/>
              </w:rPr>
              <w:t>Gudesblatt</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Agashivala</w:t>
            </w:r>
            <w:proofErr w:type="spellEnd"/>
            <w:r w:rsidRPr="00406AEC">
              <w:rPr>
                <w:rFonts w:ascii="Times New Roman" w:eastAsia="Times New Roman" w:hAnsi="Times New Roman" w:cs="Times New Roman"/>
                <w:color w:val="000000"/>
                <w:szCs w:val="22"/>
              </w:rPr>
              <w:t xml:space="preserve"> N, Li S, Randhawa S et al. Patient-reported outcomes after therapy switch to fingolimod: Post-HOC subgroup analysis of the </w:t>
            </w:r>
            <w:proofErr w:type="spellStart"/>
            <w:r w:rsidRPr="00406AEC">
              <w:rPr>
                <w:rFonts w:ascii="Times New Roman" w:eastAsia="Times New Roman" w:hAnsi="Times New Roman" w:cs="Times New Roman"/>
                <w:color w:val="000000"/>
                <w:szCs w:val="22"/>
              </w:rPr>
              <w:t>epoc</w:t>
            </w:r>
            <w:proofErr w:type="spellEnd"/>
            <w:r w:rsidRPr="00406AEC">
              <w:rPr>
                <w:rFonts w:ascii="Times New Roman" w:eastAsia="Times New Roman" w:hAnsi="Times New Roman" w:cs="Times New Roman"/>
                <w:color w:val="000000"/>
                <w:szCs w:val="22"/>
              </w:rPr>
              <w:t xml:space="preserve"> study. Neurology 82 (10 SUPPL. 1): CONFERENCE START: 2014 Apr 2026 CONFERENCE END: 2014 May 2013.</w:t>
            </w:r>
          </w:p>
        </w:tc>
      </w:tr>
      <w:tr w:rsidR="00406AEC" w:rsidRPr="00406AEC" w14:paraId="2365808F" w14:textId="77777777" w:rsidTr="00406AEC">
        <w:trPr>
          <w:trHeight w:val="300"/>
        </w:trPr>
        <w:tc>
          <w:tcPr>
            <w:tcW w:w="9360" w:type="dxa"/>
            <w:tcBorders>
              <w:top w:val="nil"/>
              <w:left w:val="nil"/>
              <w:bottom w:val="nil"/>
              <w:right w:val="nil"/>
            </w:tcBorders>
            <w:shd w:val="clear" w:color="auto" w:fill="auto"/>
            <w:noWrap/>
            <w:vAlign w:val="bottom"/>
            <w:hideMark/>
          </w:tcPr>
          <w:p w14:paraId="1B2CDEA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Skurkovich</w:t>
            </w:r>
            <w:proofErr w:type="spellEnd"/>
            <w:r w:rsidRPr="00406AEC">
              <w:rPr>
                <w:rFonts w:ascii="Times New Roman" w:eastAsia="Times New Roman" w:hAnsi="Times New Roman" w:cs="Times New Roman"/>
                <w:color w:val="000000"/>
                <w:szCs w:val="22"/>
              </w:rPr>
              <w:t xml:space="preserve"> S, Boiko A, </w:t>
            </w:r>
            <w:proofErr w:type="spellStart"/>
            <w:r w:rsidRPr="00406AEC">
              <w:rPr>
                <w:rFonts w:ascii="Times New Roman" w:eastAsia="Times New Roman" w:hAnsi="Times New Roman" w:cs="Times New Roman"/>
                <w:color w:val="000000"/>
                <w:szCs w:val="22"/>
              </w:rPr>
              <w:t>Beliaeva</w:t>
            </w:r>
            <w:proofErr w:type="spellEnd"/>
            <w:r w:rsidRPr="00406AEC">
              <w:rPr>
                <w:rFonts w:ascii="Times New Roman" w:eastAsia="Times New Roman" w:hAnsi="Times New Roman" w:cs="Times New Roman"/>
                <w:color w:val="000000"/>
                <w:szCs w:val="22"/>
              </w:rPr>
              <w:t xml:space="preserve"> I, </w:t>
            </w:r>
            <w:proofErr w:type="spellStart"/>
            <w:r w:rsidRPr="00406AEC">
              <w:rPr>
                <w:rFonts w:ascii="Times New Roman" w:eastAsia="Times New Roman" w:hAnsi="Times New Roman" w:cs="Times New Roman"/>
                <w:color w:val="000000"/>
                <w:szCs w:val="22"/>
              </w:rPr>
              <w:t>Buglak</w:t>
            </w:r>
            <w:proofErr w:type="spellEnd"/>
            <w:r w:rsidRPr="00406AEC">
              <w:rPr>
                <w:rFonts w:ascii="Times New Roman" w:eastAsia="Times New Roman" w:hAnsi="Times New Roman" w:cs="Times New Roman"/>
                <w:color w:val="000000"/>
                <w:szCs w:val="22"/>
              </w:rPr>
              <w:t xml:space="preserve"> A, Alekseeva T et al. (2001) Randomized study of antibodies to IFN-gamma and TNF-alpha in secondary progressive multiple sclerosis. Multiple Sclerosis 7 (5): 277-284.</w:t>
            </w:r>
          </w:p>
        </w:tc>
      </w:tr>
      <w:tr w:rsidR="00406AEC" w:rsidRPr="00406AEC" w14:paraId="460A1130" w14:textId="77777777" w:rsidTr="00406AEC">
        <w:trPr>
          <w:trHeight w:val="300"/>
        </w:trPr>
        <w:tc>
          <w:tcPr>
            <w:tcW w:w="9360" w:type="dxa"/>
            <w:tcBorders>
              <w:top w:val="nil"/>
              <w:left w:val="nil"/>
              <w:bottom w:val="nil"/>
              <w:right w:val="nil"/>
            </w:tcBorders>
            <w:shd w:val="clear" w:color="auto" w:fill="auto"/>
            <w:noWrap/>
            <w:vAlign w:val="bottom"/>
            <w:hideMark/>
          </w:tcPr>
          <w:p w14:paraId="0801BF0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Soelberg-Sorensen P, Giovannoni G, Comi G, Cook S, Rammohan K et al. (2017) Durable efficacy of cladribine tablets in patients with multiple sclerosis: analysis of relapse rates and relapse-free patients in the CLARITY and CLARITY Extension studies. Neurology 88 (16): </w:t>
            </w:r>
          </w:p>
        </w:tc>
      </w:tr>
      <w:tr w:rsidR="00406AEC" w:rsidRPr="00406AEC" w14:paraId="03E94AD3" w14:textId="77777777" w:rsidTr="00406AEC">
        <w:trPr>
          <w:trHeight w:val="300"/>
        </w:trPr>
        <w:tc>
          <w:tcPr>
            <w:tcW w:w="9360" w:type="dxa"/>
            <w:tcBorders>
              <w:top w:val="nil"/>
              <w:left w:val="nil"/>
              <w:bottom w:val="nil"/>
              <w:right w:val="nil"/>
            </w:tcBorders>
            <w:shd w:val="clear" w:color="auto" w:fill="auto"/>
            <w:noWrap/>
            <w:vAlign w:val="bottom"/>
            <w:hideMark/>
          </w:tcPr>
          <w:p w14:paraId="0B42274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Steinman L, Comi G, Cree BAC, Bar-Or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et al. (2019) Ozanimod efficacy in relapsing multiple sclerosis supported by open-label long-term extension of two phase 3 trials. Neurology 92 (15): </w:t>
            </w:r>
          </w:p>
        </w:tc>
      </w:tr>
      <w:tr w:rsidR="00406AEC" w:rsidRPr="00406AEC" w14:paraId="1449AEF6" w14:textId="77777777" w:rsidTr="00406AEC">
        <w:trPr>
          <w:trHeight w:val="300"/>
        </w:trPr>
        <w:tc>
          <w:tcPr>
            <w:tcW w:w="9360" w:type="dxa"/>
            <w:tcBorders>
              <w:top w:val="nil"/>
              <w:left w:val="nil"/>
              <w:bottom w:val="nil"/>
              <w:right w:val="nil"/>
            </w:tcBorders>
            <w:shd w:val="clear" w:color="auto" w:fill="auto"/>
            <w:noWrap/>
            <w:vAlign w:val="bottom"/>
            <w:hideMark/>
          </w:tcPr>
          <w:p w14:paraId="27E84271"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pl-PL"/>
              </w:rPr>
              <w:t xml:space="preserve">Stelmasiak Z, Solski J, Nowicki J, Jakubowska B, Ryba M et al. </w:t>
            </w:r>
            <w:r w:rsidRPr="00406AEC">
              <w:rPr>
                <w:rFonts w:ascii="Times New Roman" w:eastAsia="Times New Roman" w:hAnsi="Times New Roman" w:cs="Times New Roman"/>
                <w:color w:val="000000"/>
                <w:szCs w:val="22"/>
              </w:rPr>
              <w:t>(2009) Effect of parenteral cladribine on relapse rates in patients with relapsing forms of multiple sclerosis: Results of a 2-year, double-blind, placebo-controlled, crossover study. Multiple Sclerosis 15 (6): 767-770.</w:t>
            </w:r>
          </w:p>
        </w:tc>
      </w:tr>
      <w:tr w:rsidR="00406AEC" w:rsidRPr="00406AEC" w14:paraId="7F92DEF8" w14:textId="77777777" w:rsidTr="00406AEC">
        <w:trPr>
          <w:trHeight w:val="300"/>
        </w:trPr>
        <w:tc>
          <w:tcPr>
            <w:tcW w:w="9360" w:type="dxa"/>
            <w:tcBorders>
              <w:top w:val="nil"/>
              <w:left w:val="nil"/>
              <w:bottom w:val="nil"/>
              <w:right w:val="nil"/>
            </w:tcBorders>
            <w:shd w:val="clear" w:color="auto" w:fill="auto"/>
            <w:noWrap/>
            <w:vAlign w:val="bottom"/>
            <w:hideMark/>
          </w:tcPr>
          <w:p w14:paraId="69C9D8E6"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Stokmaier</w:t>
            </w:r>
            <w:proofErr w:type="spellEnd"/>
            <w:r w:rsidRPr="00406AEC">
              <w:rPr>
                <w:rFonts w:ascii="Times New Roman" w:eastAsia="Times New Roman" w:hAnsi="Times New Roman" w:cs="Times New Roman"/>
                <w:color w:val="000000"/>
                <w:szCs w:val="22"/>
              </w:rPr>
              <w:t xml:space="preserve"> D, Winthrop K, </w:t>
            </w:r>
            <w:proofErr w:type="spellStart"/>
            <w:r w:rsidRPr="00406AEC">
              <w:rPr>
                <w:rFonts w:ascii="Times New Roman" w:eastAsia="Times New Roman" w:hAnsi="Times New Roman" w:cs="Times New Roman"/>
                <w:color w:val="000000"/>
                <w:szCs w:val="22"/>
              </w:rPr>
              <w:t>Chognot</w:t>
            </w:r>
            <w:proofErr w:type="spellEnd"/>
            <w:r w:rsidRPr="00406AEC">
              <w:rPr>
                <w:rFonts w:ascii="Times New Roman" w:eastAsia="Times New Roman" w:hAnsi="Times New Roman" w:cs="Times New Roman"/>
                <w:color w:val="000000"/>
                <w:szCs w:val="22"/>
              </w:rPr>
              <w:t xml:space="preserve"> C, Evershed J, </w:t>
            </w:r>
            <w:proofErr w:type="spellStart"/>
            <w:r w:rsidRPr="00406AEC">
              <w:rPr>
                <w:rFonts w:ascii="Times New Roman" w:eastAsia="Times New Roman" w:hAnsi="Times New Roman" w:cs="Times New Roman"/>
                <w:color w:val="000000"/>
                <w:szCs w:val="22"/>
              </w:rPr>
              <w:t>Manfrini</w:t>
            </w:r>
            <w:proofErr w:type="spellEnd"/>
            <w:r w:rsidRPr="00406AEC">
              <w:rPr>
                <w:rFonts w:ascii="Times New Roman" w:eastAsia="Times New Roman" w:hAnsi="Times New Roman" w:cs="Times New Roman"/>
                <w:color w:val="000000"/>
                <w:szCs w:val="22"/>
              </w:rPr>
              <w:t xml:space="preserve"> M et al. (2018) Effect of ocrelizumab on vaccine responses in patients with multiple sclerosis. Neurology 90 (15): </w:t>
            </w:r>
          </w:p>
        </w:tc>
      </w:tr>
      <w:tr w:rsidR="00406AEC" w:rsidRPr="00406AEC" w14:paraId="29565ED6" w14:textId="77777777" w:rsidTr="00406AEC">
        <w:trPr>
          <w:trHeight w:val="300"/>
        </w:trPr>
        <w:tc>
          <w:tcPr>
            <w:tcW w:w="9360" w:type="dxa"/>
            <w:tcBorders>
              <w:top w:val="nil"/>
              <w:left w:val="nil"/>
              <w:bottom w:val="nil"/>
              <w:right w:val="nil"/>
            </w:tcBorders>
            <w:shd w:val="clear" w:color="auto" w:fill="auto"/>
            <w:noWrap/>
            <w:vAlign w:val="bottom"/>
            <w:hideMark/>
          </w:tcPr>
          <w:p w14:paraId="4080D41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Traboulsee A, Coles A, Cohen J, </w:t>
            </w:r>
            <w:proofErr w:type="spellStart"/>
            <w:r w:rsidRPr="00713F1E">
              <w:rPr>
                <w:rFonts w:ascii="Times New Roman" w:eastAsia="Times New Roman" w:hAnsi="Times New Roman" w:cs="Times New Roman"/>
                <w:color w:val="000000"/>
                <w:szCs w:val="22"/>
                <w:lang w:val="fr-FR"/>
              </w:rPr>
              <w:t>Compston</w:t>
            </w:r>
            <w:proofErr w:type="spellEnd"/>
            <w:r w:rsidRPr="00713F1E">
              <w:rPr>
                <w:rFonts w:ascii="Times New Roman" w:eastAsia="Times New Roman" w:hAnsi="Times New Roman" w:cs="Times New Roman"/>
                <w:color w:val="000000"/>
                <w:szCs w:val="22"/>
                <w:lang w:val="fr-FR"/>
              </w:rPr>
              <w:t xml:space="preserve"> DAS, Fox E et al. </w:t>
            </w:r>
            <w:r w:rsidRPr="00406AEC">
              <w:rPr>
                <w:rFonts w:ascii="Times New Roman" w:eastAsia="Times New Roman" w:hAnsi="Times New Roman" w:cs="Times New Roman"/>
                <w:color w:val="000000"/>
                <w:szCs w:val="22"/>
              </w:rPr>
              <w:t xml:space="preserve">(2015) Durable effect of alemtuzumab on MRI outcomes in patients with relapsing-remitting multiple sclerosis who relapsed on prior therapy: 4-year follow-up of CARE-MS II. Neurology 84 (18): </w:t>
            </w:r>
          </w:p>
        </w:tc>
      </w:tr>
      <w:tr w:rsidR="00406AEC" w:rsidRPr="00406AEC" w14:paraId="7ED17B34" w14:textId="77777777" w:rsidTr="00406AEC">
        <w:trPr>
          <w:trHeight w:val="300"/>
        </w:trPr>
        <w:tc>
          <w:tcPr>
            <w:tcW w:w="9360" w:type="dxa"/>
            <w:tcBorders>
              <w:top w:val="nil"/>
              <w:left w:val="nil"/>
              <w:bottom w:val="nil"/>
              <w:right w:val="nil"/>
            </w:tcBorders>
            <w:shd w:val="clear" w:color="auto" w:fill="auto"/>
            <w:noWrap/>
            <w:vAlign w:val="bottom"/>
            <w:hideMark/>
          </w:tcPr>
          <w:p w14:paraId="71810CB5"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Traboulsee A, Li D, Zhao Y, Tam R, Zhao G et al. Natural evolution of gadolinium-enhancing lesions into chronic black holes in multiple sclerosis: Analysis of PRISMS and SPECTRIMS placebo arms.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277.</w:t>
            </w:r>
          </w:p>
        </w:tc>
      </w:tr>
      <w:tr w:rsidR="00406AEC" w:rsidRPr="00406AEC" w14:paraId="06E07E48" w14:textId="77777777" w:rsidTr="00406AEC">
        <w:trPr>
          <w:trHeight w:val="300"/>
        </w:trPr>
        <w:tc>
          <w:tcPr>
            <w:tcW w:w="9360" w:type="dxa"/>
            <w:tcBorders>
              <w:top w:val="nil"/>
              <w:left w:val="nil"/>
              <w:bottom w:val="nil"/>
              <w:right w:val="nil"/>
            </w:tcBorders>
            <w:shd w:val="clear" w:color="auto" w:fill="auto"/>
            <w:noWrap/>
            <w:vAlign w:val="bottom"/>
            <w:hideMark/>
          </w:tcPr>
          <w:p w14:paraId="4570790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Tubridy N, Behan PO, Capildeo R, Chaudhuri A, Forbes R et al. (1999) The effect of anti-alpha4 integrin antibody on brain lesion activity in MS. Neurology 53 (3): 466-472.</w:t>
            </w:r>
          </w:p>
        </w:tc>
      </w:tr>
      <w:tr w:rsidR="00406AEC" w:rsidRPr="00406AEC" w14:paraId="12A46520" w14:textId="77777777" w:rsidTr="00406AEC">
        <w:trPr>
          <w:trHeight w:val="300"/>
        </w:trPr>
        <w:tc>
          <w:tcPr>
            <w:tcW w:w="9360" w:type="dxa"/>
            <w:tcBorders>
              <w:top w:val="nil"/>
              <w:left w:val="nil"/>
              <w:bottom w:val="nil"/>
              <w:right w:val="nil"/>
            </w:tcBorders>
            <w:shd w:val="clear" w:color="auto" w:fill="auto"/>
            <w:noWrap/>
            <w:vAlign w:val="bottom"/>
            <w:hideMark/>
          </w:tcPr>
          <w:p w14:paraId="6D59371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Uitdehaag</w:t>
            </w:r>
            <w:proofErr w:type="spellEnd"/>
            <w:r w:rsidRPr="00406AEC">
              <w:rPr>
                <w:rFonts w:ascii="Times New Roman" w:eastAsia="Times New Roman" w:hAnsi="Times New Roman" w:cs="Times New Roman"/>
                <w:color w:val="000000"/>
                <w:szCs w:val="22"/>
              </w:rPr>
              <w:t xml:space="preserve"> B, Constantinescu C, Cornelisse P, Jeffery D, Kappos L et al. (2011) Impact of exposure to interferon beta-1a on outcomes in patients with relapsing-remitting multiple sclerosis: Exploratory analyses from the PRISMS long-term follow-up study. Therapeutic Advances in Neurological Disorders 4 (1): 3-14.</w:t>
            </w:r>
          </w:p>
        </w:tc>
      </w:tr>
      <w:tr w:rsidR="00406AEC" w:rsidRPr="00406AEC" w14:paraId="6582ABC5" w14:textId="77777777" w:rsidTr="00406AEC">
        <w:trPr>
          <w:trHeight w:val="300"/>
        </w:trPr>
        <w:tc>
          <w:tcPr>
            <w:tcW w:w="9360" w:type="dxa"/>
            <w:tcBorders>
              <w:top w:val="nil"/>
              <w:left w:val="nil"/>
              <w:bottom w:val="nil"/>
              <w:right w:val="nil"/>
            </w:tcBorders>
            <w:shd w:val="clear" w:color="auto" w:fill="auto"/>
            <w:noWrap/>
            <w:vAlign w:val="bottom"/>
            <w:hideMark/>
          </w:tcPr>
          <w:p w14:paraId="47C82D6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Giovannoni G, Soelberg-Sorensen P, Keller B, Jack D (2018) Sustained efficacy in relapsing remitting multiple sclerosis following switch to placebo treatment from cladribine tablets in patients with high disease activity at baseline. Multiple sclerosis journal 24 (2): 268-269.</w:t>
            </w:r>
          </w:p>
        </w:tc>
      </w:tr>
      <w:tr w:rsidR="00406AEC" w:rsidRPr="00406AEC" w14:paraId="095D34D0" w14:textId="77777777" w:rsidTr="00406AEC">
        <w:trPr>
          <w:trHeight w:val="300"/>
        </w:trPr>
        <w:tc>
          <w:tcPr>
            <w:tcW w:w="9360" w:type="dxa"/>
            <w:tcBorders>
              <w:top w:val="nil"/>
              <w:left w:val="nil"/>
              <w:bottom w:val="nil"/>
              <w:right w:val="nil"/>
            </w:tcBorders>
            <w:shd w:val="clear" w:color="auto" w:fill="auto"/>
            <w:noWrap/>
            <w:vAlign w:val="bottom"/>
            <w:hideMark/>
          </w:tcPr>
          <w:p w14:paraId="61049F39"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Vollmer T, Radue E, Vermersch P, Von Rosenstiel P, Putzki N et al. </w:t>
            </w:r>
            <w:r w:rsidRPr="00406AEC">
              <w:rPr>
                <w:rFonts w:ascii="Times New Roman" w:eastAsia="Times New Roman" w:hAnsi="Times New Roman" w:cs="Times New Roman"/>
                <w:color w:val="000000"/>
                <w:szCs w:val="22"/>
              </w:rPr>
              <w:t>Clinical and magnetic resonance imaging (MRI) disease activity after fingolimod discontinuation.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227-228.</w:t>
            </w:r>
          </w:p>
        </w:tc>
      </w:tr>
      <w:tr w:rsidR="00406AEC" w:rsidRPr="00406AEC" w14:paraId="724E2C71" w14:textId="77777777" w:rsidTr="00406AEC">
        <w:trPr>
          <w:trHeight w:val="300"/>
        </w:trPr>
        <w:tc>
          <w:tcPr>
            <w:tcW w:w="9360" w:type="dxa"/>
            <w:tcBorders>
              <w:top w:val="nil"/>
              <w:left w:val="nil"/>
              <w:bottom w:val="nil"/>
              <w:right w:val="nil"/>
            </w:tcBorders>
            <w:shd w:val="clear" w:color="auto" w:fill="auto"/>
            <w:noWrap/>
            <w:vAlign w:val="bottom"/>
            <w:hideMark/>
          </w:tcPr>
          <w:p w14:paraId="57BFC0A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Vucic S, Parratt J, Li DKB, Macdonell R, King J et al. (2015) Long-term clinical and MRI outcomes from teriflunomide extension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21 (6): 821-.</w:t>
            </w:r>
          </w:p>
        </w:tc>
      </w:tr>
      <w:tr w:rsidR="00406AEC" w:rsidRPr="00406AEC" w14:paraId="2CFFD462" w14:textId="77777777" w:rsidTr="00406AEC">
        <w:trPr>
          <w:trHeight w:val="300"/>
        </w:trPr>
        <w:tc>
          <w:tcPr>
            <w:tcW w:w="9360" w:type="dxa"/>
            <w:tcBorders>
              <w:top w:val="nil"/>
              <w:left w:val="nil"/>
              <w:bottom w:val="nil"/>
              <w:right w:val="nil"/>
            </w:tcBorders>
            <w:shd w:val="clear" w:color="auto" w:fill="auto"/>
            <w:noWrap/>
            <w:vAlign w:val="bottom"/>
            <w:hideMark/>
          </w:tcPr>
          <w:p w14:paraId="3C0BD53A"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 Narayana P, Nelson F, Datta S, Cofield S et al.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A multi-center, double-blind, randomized study comparing the combined use of interferon beta-1a and glatiramer acetate to either agent alone in participants with relapsing remitting multiple sclerosis - MRI outcomes. Neurology 78 (1 Meeting Abstract): CONFERENCE START: 2012 Apr 2021 CONFERENCE END: 2012 Apr 2028.</w:t>
            </w:r>
          </w:p>
        </w:tc>
      </w:tr>
      <w:tr w:rsidR="00406AEC" w:rsidRPr="00406AEC" w14:paraId="6968EA25" w14:textId="77777777" w:rsidTr="00406AEC">
        <w:trPr>
          <w:trHeight w:val="300"/>
        </w:trPr>
        <w:tc>
          <w:tcPr>
            <w:tcW w:w="9360" w:type="dxa"/>
            <w:tcBorders>
              <w:top w:val="nil"/>
              <w:left w:val="nil"/>
              <w:bottom w:val="nil"/>
              <w:right w:val="nil"/>
            </w:tcBorders>
            <w:shd w:val="clear" w:color="auto" w:fill="auto"/>
            <w:noWrap/>
            <w:vAlign w:val="bottom"/>
            <w:hideMark/>
          </w:tcPr>
          <w:p w14:paraId="6D8383EC"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Wynn D, Kolodny S, Rubinchick S, Steinerman J, Knappertz V et al. </w:t>
            </w:r>
            <w:r w:rsidRPr="00406AEC">
              <w:rPr>
                <w:rFonts w:ascii="Times New Roman" w:eastAsia="Times New Roman" w:hAnsi="Times New Roman" w:cs="Times New Roman"/>
                <w:color w:val="000000"/>
                <w:szCs w:val="22"/>
              </w:rPr>
              <w:t xml:space="preserve">(2015) Patient experience with glatiramer acetate 40mg/1ml three-times weekly treatment for relapsing-remitting multiple sclerosis: Results from the GLACIER extension study. European journal of neurology 22 (827): </w:t>
            </w:r>
          </w:p>
        </w:tc>
      </w:tr>
      <w:tr w:rsidR="00406AEC" w:rsidRPr="00406AEC" w14:paraId="7D895CEC" w14:textId="77777777" w:rsidTr="00406AEC">
        <w:trPr>
          <w:trHeight w:val="300"/>
        </w:trPr>
        <w:tc>
          <w:tcPr>
            <w:tcW w:w="9360" w:type="dxa"/>
            <w:tcBorders>
              <w:top w:val="nil"/>
              <w:left w:val="nil"/>
              <w:bottom w:val="nil"/>
              <w:right w:val="nil"/>
            </w:tcBorders>
            <w:shd w:val="clear" w:color="auto" w:fill="auto"/>
            <w:noWrap/>
            <w:vAlign w:val="bottom"/>
            <w:hideMark/>
          </w:tcPr>
          <w:p w14:paraId="78EB7F8E"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Wynn D, Meyer C, Allen N, O'Brien D (2008) Optimal dosing of immunomodulating drugs: A dose-comparison study of GA in RRMS. Progress in Neurotherapeutics and Neuropsychopharmacology 3 (1): 137-151.</w:t>
            </w:r>
          </w:p>
        </w:tc>
      </w:tr>
      <w:tr w:rsidR="00406AEC" w:rsidRPr="00406AEC" w14:paraId="4869C185" w14:textId="77777777" w:rsidTr="00406AEC">
        <w:trPr>
          <w:trHeight w:val="300"/>
        </w:trPr>
        <w:tc>
          <w:tcPr>
            <w:tcW w:w="9360" w:type="dxa"/>
            <w:tcBorders>
              <w:top w:val="nil"/>
              <w:left w:val="nil"/>
              <w:bottom w:val="nil"/>
              <w:right w:val="nil"/>
            </w:tcBorders>
            <w:shd w:val="clear" w:color="auto" w:fill="auto"/>
            <w:noWrap/>
            <w:vAlign w:val="bottom"/>
            <w:hideMark/>
          </w:tcPr>
          <w:p w14:paraId="19BED122"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Yousry T, Arnold D, Fox R,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(2015) Five-year follow-up of delayed-release dimethyl fumarate in relapsing-remitting multiple sclerosis: MRI outcomes from DEFINE, CONFIRM, and ENDORSE. Neurology 84 (18): </w:t>
            </w:r>
          </w:p>
        </w:tc>
      </w:tr>
      <w:tr w:rsidR="00406AEC" w:rsidRPr="00406AEC" w14:paraId="405F2AA5" w14:textId="77777777" w:rsidTr="00406AEC">
        <w:trPr>
          <w:trHeight w:val="300"/>
        </w:trPr>
        <w:tc>
          <w:tcPr>
            <w:tcW w:w="9360" w:type="dxa"/>
            <w:tcBorders>
              <w:top w:val="nil"/>
              <w:left w:val="nil"/>
              <w:bottom w:val="nil"/>
              <w:right w:val="nil"/>
            </w:tcBorders>
            <w:shd w:val="clear" w:color="auto" w:fill="auto"/>
            <w:noWrap/>
            <w:vAlign w:val="bottom"/>
            <w:hideMark/>
          </w:tcPr>
          <w:p w14:paraId="1C31DFB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Yousry T, 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(2015) Five-year follow-up of delayed-release dimethyl fumarate in relapsing-remitting multiple sclerosis: MRI outcomes from DEFINE, CONFIRM, and ENDORSE. European journal of neurology 22 (157): </w:t>
            </w:r>
          </w:p>
        </w:tc>
      </w:tr>
      <w:tr w:rsidR="00406AEC" w:rsidRPr="00406AEC" w14:paraId="2D631695" w14:textId="77777777" w:rsidTr="00406AEC">
        <w:trPr>
          <w:trHeight w:val="300"/>
        </w:trPr>
        <w:tc>
          <w:tcPr>
            <w:tcW w:w="9360" w:type="dxa"/>
            <w:tcBorders>
              <w:top w:val="nil"/>
              <w:left w:val="nil"/>
              <w:bottom w:val="nil"/>
              <w:right w:val="nil"/>
            </w:tcBorders>
            <w:shd w:val="clear" w:color="auto" w:fill="auto"/>
            <w:noWrap/>
            <w:vAlign w:val="bottom"/>
            <w:hideMark/>
          </w:tcPr>
          <w:p w14:paraId="1DF3CF44"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Zecca C, Meier S, </w:t>
            </w:r>
            <w:proofErr w:type="spellStart"/>
            <w:r w:rsidRPr="00406AEC">
              <w:rPr>
                <w:rFonts w:ascii="Times New Roman" w:eastAsia="Times New Roman" w:hAnsi="Times New Roman" w:cs="Times New Roman"/>
                <w:color w:val="000000"/>
                <w:szCs w:val="22"/>
              </w:rPr>
              <w:t>Tschuor</w:t>
            </w:r>
            <w:proofErr w:type="spellEnd"/>
            <w:r w:rsidRPr="00406AEC">
              <w:rPr>
                <w:rFonts w:ascii="Times New Roman" w:eastAsia="Times New Roman" w:hAnsi="Times New Roman" w:cs="Times New Roman"/>
                <w:color w:val="000000"/>
                <w:szCs w:val="22"/>
              </w:rPr>
              <w:t xml:space="preserve"> S, Nadarajah N, Cotton F et al. Natalizumab de-escalation to interferon-b-1b in multiple sclerosis: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controlled, pilot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463-464.</w:t>
            </w:r>
          </w:p>
        </w:tc>
      </w:tr>
      <w:tr w:rsidR="00406AEC" w:rsidRPr="00406AEC" w14:paraId="5FDD66DD" w14:textId="77777777" w:rsidTr="00406AEC">
        <w:trPr>
          <w:trHeight w:val="300"/>
        </w:trPr>
        <w:tc>
          <w:tcPr>
            <w:tcW w:w="9360" w:type="dxa"/>
            <w:tcBorders>
              <w:top w:val="nil"/>
              <w:left w:val="nil"/>
              <w:bottom w:val="nil"/>
              <w:right w:val="nil"/>
            </w:tcBorders>
            <w:shd w:val="clear" w:color="auto" w:fill="auto"/>
            <w:noWrap/>
            <w:vAlign w:val="bottom"/>
            <w:hideMark/>
          </w:tcPr>
          <w:p w14:paraId="4D66126B"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Zhao GJ, Koopmans RA, Li DKB, Bedell L, Paty DW (2000) Effect of interferon beta-1b in MS: Assessment of annual accumulation of PD/T2 activity on MRI. Neurology 54 (1): 200-206.</w:t>
            </w:r>
          </w:p>
        </w:tc>
      </w:tr>
      <w:tr w:rsidR="00406AEC" w:rsidRPr="00406AEC" w14:paraId="2447024D" w14:textId="77777777" w:rsidTr="00406AEC">
        <w:trPr>
          <w:trHeight w:val="300"/>
        </w:trPr>
        <w:tc>
          <w:tcPr>
            <w:tcW w:w="9360" w:type="dxa"/>
            <w:tcBorders>
              <w:top w:val="nil"/>
              <w:left w:val="nil"/>
              <w:bottom w:val="nil"/>
              <w:right w:val="nil"/>
            </w:tcBorders>
            <w:shd w:val="clear" w:color="auto" w:fill="auto"/>
            <w:noWrap/>
            <w:vAlign w:val="bottom"/>
            <w:hideMark/>
          </w:tcPr>
          <w:p w14:paraId="4BC01DE0"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Zhao Y, Traboulsee A, Petkau AJ, Li D (2008) Regression of new gadolinium enhancing lesion activity in relapsing-remitting multiple sclerosis. Neurology 70 (13 PART 2): 1092-1097.</w:t>
            </w:r>
          </w:p>
        </w:tc>
      </w:tr>
      <w:tr w:rsidR="00406AEC" w:rsidRPr="00406AEC" w14:paraId="7795AA80" w14:textId="77777777" w:rsidTr="00406AEC">
        <w:trPr>
          <w:trHeight w:val="300"/>
        </w:trPr>
        <w:tc>
          <w:tcPr>
            <w:tcW w:w="9360" w:type="dxa"/>
            <w:tcBorders>
              <w:top w:val="nil"/>
              <w:left w:val="nil"/>
              <w:bottom w:val="nil"/>
              <w:right w:val="nil"/>
            </w:tcBorders>
            <w:shd w:val="clear" w:color="auto" w:fill="auto"/>
            <w:noWrap/>
            <w:vAlign w:val="bottom"/>
            <w:hideMark/>
          </w:tcPr>
          <w:p w14:paraId="53301B57" w14:textId="77777777" w:rsidR="00406AEC" w:rsidRPr="00406AEC" w:rsidRDefault="00406AEC" w:rsidP="00223A29">
            <w:pPr>
              <w:pStyle w:val="ListParagraph"/>
              <w:numPr>
                <w:ilvl w:val="0"/>
                <w:numId w:val="32"/>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Zivadinov</w:t>
            </w:r>
            <w:proofErr w:type="spellEnd"/>
            <w:r w:rsidRPr="00406AEC">
              <w:rPr>
                <w:rFonts w:ascii="Times New Roman" w:eastAsia="Times New Roman" w:hAnsi="Times New Roman" w:cs="Times New Roman"/>
                <w:color w:val="000000"/>
                <w:szCs w:val="22"/>
              </w:rPr>
              <w:t xml:space="preserve"> R, Dwyer M, </w:t>
            </w:r>
            <w:proofErr w:type="spellStart"/>
            <w:r w:rsidRPr="00406AEC">
              <w:rPr>
                <w:rFonts w:ascii="Times New Roman" w:eastAsia="Times New Roman" w:hAnsi="Times New Roman" w:cs="Times New Roman"/>
                <w:color w:val="000000"/>
                <w:szCs w:val="22"/>
              </w:rPr>
              <w:t>Bergsland</w:t>
            </w:r>
            <w:proofErr w:type="spellEnd"/>
            <w:r w:rsidRPr="00406AEC">
              <w:rPr>
                <w:rFonts w:ascii="Times New Roman" w:eastAsia="Times New Roman" w:hAnsi="Times New Roman" w:cs="Times New Roman"/>
                <w:color w:val="000000"/>
                <w:szCs w:val="22"/>
              </w:rPr>
              <w:t xml:space="preserve"> N, Ramasamy D, Carl E et al. (2015) MRI indicators of brain tissue loss: 3-year results of the glatiramer acetate low-frequency administration (GALA) open-label extension study in relapsing-remitting multiple sclerosis. Neurology 84 (18): </w:t>
            </w:r>
          </w:p>
        </w:tc>
      </w:tr>
      <w:tr w:rsidR="00406AEC" w:rsidRPr="00406AEC" w14:paraId="7301F9F8" w14:textId="77777777" w:rsidTr="00406AEC">
        <w:trPr>
          <w:trHeight w:val="300"/>
        </w:trPr>
        <w:tc>
          <w:tcPr>
            <w:tcW w:w="9360" w:type="dxa"/>
            <w:tcBorders>
              <w:top w:val="nil"/>
              <w:left w:val="nil"/>
              <w:bottom w:val="nil"/>
              <w:right w:val="nil"/>
            </w:tcBorders>
            <w:shd w:val="clear" w:color="auto" w:fill="auto"/>
            <w:noWrap/>
            <w:vAlign w:val="bottom"/>
            <w:hideMark/>
          </w:tcPr>
          <w:p w14:paraId="43BADECB"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74FDAECD" w14:textId="77777777" w:rsidTr="00406AEC">
        <w:trPr>
          <w:trHeight w:val="300"/>
        </w:trPr>
        <w:tc>
          <w:tcPr>
            <w:tcW w:w="9360" w:type="dxa"/>
            <w:tcBorders>
              <w:top w:val="nil"/>
              <w:left w:val="nil"/>
              <w:bottom w:val="nil"/>
              <w:right w:val="nil"/>
            </w:tcBorders>
            <w:shd w:val="clear" w:color="auto" w:fill="auto"/>
            <w:noWrap/>
            <w:vAlign w:val="bottom"/>
            <w:hideMark/>
          </w:tcPr>
          <w:p w14:paraId="2DDF9256"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Study design (n = 269)</w:t>
            </w:r>
          </w:p>
        </w:tc>
      </w:tr>
      <w:tr w:rsidR="00406AEC" w:rsidRPr="00406AEC" w14:paraId="6D9D58EF" w14:textId="77777777" w:rsidTr="00406AEC">
        <w:trPr>
          <w:trHeight w:val="300"/>
        </w:trPr>
        <w:tc>
          <w:tcPr>
            <w:tcW w:w="9360" w:type="dxa"/>
            <w:tcBorders>
              <w:top w:val="nil"/>
              <w:left w:val="nil"/>
              <w:bottom w:val="nil"/>
              <w:right w:val="nil"/>
            </w:tcBorders>
            <w:shd w:val="clear" w:color="auto" w:fill="auto"/>
            <w:noWrap/>
            <w:vAlign w:val="bottom"/>
            <w:hideMark/>
          </w:tcPr>
          <w:p w14:paraId="4327EC3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(1998)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placebo-controlled study of interferon beta-1a in relapsing/remitting multiple sclerosis. PRISMS (Prevention of Relapses and Disability by Interferon beta-1a Subcutaneously in Multiple Sclerosis) Study Group. Lancet 352 (9139): 1498-1504.</w:t>
            </w:r>
          </w:p>
        </w:tc>
      </w:tr>
      <w:tr w:rsidR="00406AEC" w:rsidRPr="00406AEC" w14:paraId="1CB98A39" w14:textId="77777777" w:rsidTr="00406AEC">
        <w:trPr>
          <w:trHeight w:val="300"/>
        </w:trPr>
        <w:tc>
          <w:tcPr>
            <w:tcW w:w="9360" w:type="dxa"/>
            <w:tcBorders>
              <w:top w:val="nil"/>
              <w:left w:val="nil"/>
              <w:bottom w:val="nil"/>
              <w:right w:val="nil"/>
            </w:tcBorders>
            <w:shd w:val="clear" w:color="auto" w:fill="auto"/>
            <w:noWrap/>
            <w:vAlign w:val="bottom"/>
            <w:hideMark/>
          </w:tcPr>
          <w:p w14:paraId="4869C50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BEYOND Follow-up: </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(R)/</w:t>
            </w:r>
            <w:proofErr w:type="spellStart"/>
            <w:r w:rsidRPr="00406AEC">
              <w:rPr>
                <w:rFonts w:ascii="Times New Roman" w:eastAsia="Times New Roman" w:hAnsi="Times New Roman" w:cs="Times New Roman"/>
                <w:color w:val="000000"/>
                <w:szCs w:val="22"/>
              </w:rPr>
              <w:t>Betaseron</w:t>
            </w:r>
            <w:proofErr w:type="spellEnd"/>
            <w:r w:rsidRPr="00406AEC">
              <w:rPr>
                <w:rFonts w:ascii="Times New Roman" w:eastAsia="Times New Roman" w:hAnsi="Times New Roman" w:cs="Times New Roman"/>
                <w:color w:val="000000"/>
                <w:szCs w:val="22"/>
              </w:rPr>
              <w:t xml:space="preserve">(R) Efficacy Yielding Outcomes of a New Dose. https://clinicaltrialsgov/show/NCT00459667 </w:t>
            </w:r>
          </w:p>
        </w:tc>
      </w:tr>
      <w:tr w:rsidR="00406AEC" w:rsidRPr="00406AEC" w14:paraId="17D0D9C6" w14:textId="77777777" w:rsidTr="00406AEC">
        <w:trPr>
          <w:trHeight w:val="300"/>
        </w:trPr>
        <w:tc>
          <w:tcPr>
            <w:tcW w:w="9360" w:type="dxa"/>
            <w:tcBorders>
              <w:top w:val="nil"/>
              <w:left w:val="nil"/>
              <w:bottom w:val="nil"/>
              <w:right w:val="nil"/>
            </w:tcBorders>
            <w:shd w:val="clear" w:color="auto" w:fill="auto"/>
            <w:noWrap/>
            <w:vAlign w:val="bottom"/>
            <w:hideMark/>
          </w:tcPr>
          <w:p w14:paraId="14F861E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(2014) Corrections to Safety and efficacy of fingolimod in patients with relapsing-remitting multiple sclerosis (FREEDOMS II): A double-blind,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placebo-controlled, phase 3 trial. [Lancet Neurol 13 (2014) 545-56]. The Lancet Neurology 13 (6): 536.</w:t>
            </w:r>
          </w:p>
        </w:tc>
      </w:tr>
      <w:tr w:rsidR="00406AEC" w:rsidRPr="00406AEC" w14:paraId="10C4092F" w14:textId="77777777" w:rsidTr="00406AEC">
        <w:trPr>
          <w:trHeight w:val="300"/>
        </w:trPr>
        <w:tc>
          <w:tcPr>
            <w:tcW w:w="9360" w:type="dxa"/>
            <w:tcBorders>
              <w:top w:val="nil"/>
              <w:left w:val="nil"/>
              <w:bottom w:val="nil"/>
              <w:right w:val="nil"/>
            </w:tcBorders>
            <w:shd w:val="clear" w:color="auto" w:fill="auto"/>
            <w:noWrap/>
            <w:vAlign w:val="bottom"/>
            <w:hideMark/>
          </w:tcPr>
          <w:p w14:paraId="423F484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Blood </w:t>
            </w:r>
            <w:proofErr w:type="spellStart"/>
            <w:r w:rsidRPr="00406AEC">
              <w:rPr>
                <w:rFonts w:ascii="Times New Roman" w:eastAsia="Times New Roman" w:hAnsi="Times New Roman" w:cs="Times New Roman"/>
                <w:color w:val="000000"/>
                <w:szCs w:val="22"/>
              </w:rPr>
              <w:t>NfL</w:t>
            </w:r>
            <w:proofErr w:type="spellEnd"/>
            <w:r w:rsidRPr="00406AEC">
              <w:rPr>
                <w:rFonts w:ascii="Times New Roman" w:eastAsia="Times New Roman" w:hAnsi="Times New Roman" w:cs="Times New Roman"/>
                <w:color w:val="000000"/>
                <w:szCs w:val="22"/>
              </w:rPr>
              <w:t xml:space="preserve"> as a potential endpoint in Phase 2 clinical studies in relapsing-remitting multiple sclerosis. Multiple sclerosis journal Conference: 7th Joint ECTRIMS-ACTRIMS, MSPARIS2017. France. 23 (3 Supplement 1): 978-979.</w:t>
            </w:r>
          </w:p>
        </w:tc>
      </w:tr>
      <w:tr w:rsidR="00406AEC" w:rsidRPr="00406AEC" w14:paraId="7E11875C" w14:textId="77777777" w:rsidTr="00406AEC">
        <w:trPr>
          <w:trHeight w:val="300"/>
        </w:trPr>
        <w:tc>
          <w:tcPr>
            <w:tcW w:w="9360" w:type="dxa"/>
            <w:tcBorders>
              <w:top w:val="nil"/>
              <w:left w:val="nil"/>
              <w:bottom w:val="nil"/>
              <w:right w:val="nil"/>
            </w:tcBorders>
            <w:shd w:val="clear" w:color="auto" w:fill="auto"/>
            <w:noWrap/>
            <w:vAlign w:val="bottom"/>
            <w:hideMark/>
          </w:tcPr>
          <w:p w14:paraId="4BA1178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(2017) Efficacy of interferon beta-</w:t>
            </w:r>
            <w:proofErr w:type="spellStart"/>
            <w:r w:rsidRPr="00406AEC">
              <w:rPr>
                <w:rFonts w:ascii="Times New Roman" w:eastAsia="Times New Roman" w:hAnsi="Times New Roman" w:cs="Times New Roman"/>
                <w:color w:val="000000"/>
                <w:szCs w:val="22"/>
              </w:rPr>
              <w:t>ia</w:t>
            </w:r>
            <w:proofErr w:type="spellEnd"/>
            <w:r w:rsidRPr="00406AEC">
              <w:rPr>
                <w:rFonts w:ascii="Times New Roman" w:eastAsia="Times New Roman" w:hAnsi="Times New Roman" w:cs="Times New Roman"/>
                <w:color w:val="000000"/>
                <w:szCs w:val="22"/>
              </w:rPr>
              <w:t xml:space="preserve"> subcutaneously three times weekly according to baseline EDSS/duration, EDSS, and MSSS subgroups: post Hoc analysis of PRISMS data. Neurology Conference: 69th American Academy of Neurology Annual Meeting, AAN 88 (16 Supplement 1): </w:t>
            </w:r>
          </w:p>
        </w:tc>
      </w:tr>
      <w:tr w:rsidR="00406AEC" w:rsidRPr="00406AEC" w14:paraId="14E71B7F" w14:textId="77777777" w:rsidTr="00406AEC">
        <w:trPr>
          <w:trHeight w:val="300"/>
        </w:trPr>
        <w:tc>
          <w:tcPr>
            <w:tcW w:w="9360" w:type="dxa"/>
            <w:tcBorders>
              <w:top w:val="nil"/>
              <w:left w:val="nil"/>
              <w:bottom w:val="nil"/>
              <w:right w:val="nil"/>
            </w:tcBorders>
            <w:shd w:val="clear" w:color="auto" w:fill="auto"/>
            <w:noWrap/>
            <w:vAlign w:val="bottom"/>
            <w:hideMark/>
          </w:tcPr>
          <w:p w14:paraId="0182E06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Fingolimod Versus Dimethyl-fumarate in Multiple Sclerosis. https://clinicaltrialsgov/show/NCT03345940 </w:t>
            </w:r>
          </w:p>
        </w:tc>
      </w:tr>
      <w:tr w:rsidR="00406AEC" w:rsidRPr="00406AEC" w14:paraId="59859E0F" w14:textId="77777777" w:rsidTr="00406AEC">
        <w:trPr>
          <w:trHeight w:val="300"/>
        </w:trPr>
        <w:tc>
          <w:tcPr>
            <w:tcW w:w="9360" w:type="dxa"/>
            <w:tcBorders>
              <w:top w:val="nil"/>
              <w:left w:val="nil"/>
              <w:bottom w:val="nil"/>
              <w:right w:val="nil"/>
            </w:tcBorders>
            <w:shd w:val="clear" w:color="auto" w:fill="auto"/>
            <w:noWrap/>
            <w:vAlign w:val="bottom"/>
            <w:hideMark/>
          </w:tcPr>
          <w:p w14:paraId="01168F5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(2018) Effect of teriflunomide in subgroups defined by prior treatment: pooled analysis of the phase 3 TEMSO, TOWER, and TENERE studies. Multiple sclerosis journal 24 (2): 682-.</w:t>
            </w:r>
          </w:p>
        </w:tc>
      </w:tr>
      <w:tr w:rsidR="00406AEC" w:rsidRPr="00406AEC" w14:paraId="024FDF2A" w14:textId="77777777" w:rsidTr="00406AEC">
        <w:trPr>
          <w:trHeight w:val="300"/>
        </w:trPr>
        <w:tc>
          <w:tcPr>
            <w:tcW w:w="9360" w:type="dxa"/>
            <w:tcBorders>
              <w:top w:val="nil"/>
              <w:left w:val="nil"/>
              <w:bottom w:val="nil"/>
              <w:right w:val="nil"/>
            </w:tcBorders>
            <w:shd w:val="clear" w:color="auto" w:fill="auto"/>
            <w:noWrap/>
            <w:vAlign w:val="bottom"/>
            <w:hideMark/>
          </w:tcPr>
          <w:p w14:paraId="760D966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Effect of Teriflunomide on substantial disability worsening in patients with relapsing forms of MS in a Pooled Analysis of the phase-3 TEMSO and TOWER studies. European journal of neurology Conference: 4th Congress of the European Academy of Neurology, EAN 2018. Portugal. 25 (Supplement 2): 433.</w:t>
            </w:r>
          </w:p>
        </w:tc>
      </w:tr>
      <w:tr w:rsidR="00406AEC" w:rsidRPr="00406AEC" w14:paraId="6A956C8F" w14:textId="77777777" w:rsidTr="00406AEC">
        <w:trPr>
          <w:trHeight w:val="300"/>
        </w:trPr>
        <w:tc>
          <w:tcPr>
            <w:tcW w:w="9360" w:type="dxa"/>
            <w:tcBorders>
              <w:top w:val="nil"/>
              <w:left w:val="nil"/>
              <w:bottom w:val="nil"/>
              <w:right w:val="nil"/>
            </w:tcBorders>
            <w:shd w:val="clear" w:color="auto" w:fill="auto"/>
            <w:noWrap/>
            <w:vAlign w:val="bottom"/>
            <w:hideMark/>
          </w:tcPr>
          <w:p w14:paraId="4D30F78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Efficacy and safety of teriflunomide in Asian patients with relapsing forms of multiple sclerosis: a subgroup analysis of the phase 3 TOWER study. Journal of Clinical Neuroscience </w:t>
            </w:r>
          </w:p>
        </w:tc>
      </w:tr>
      <w:tr w:rsidR="00406AEC" w:rsidRPr="00406AEC" w14:paraId="225900FF" w14:textId="77777777" w:rsidTr="00406AEC">
        <w:trPr>
          <w:trHeight w:val="300"/>
        </w:trPr>
        <w:tc>
          <w:tcPr>
            <w:tcW w:w="9360" w:type="dxa"/>
            <w:tcBorders>
              <w:top w:val="nil"/>
              <w:left w:val="nil"/>
              <w:bottom w:val="nil"/>
              <w:right w:val="nil"/>
            </w:tcBorders>
            <w:shd w:val="clear" w:color="auto" w:fill="auto"/>
            <w:noWrap/>
            <w:vAlign w:val="bottom"/>
            <w:hideMark/>
          </w:tcPr>
          <w:p w14:paraId="01728B5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Long-term Disease Control with Fingolimod in RRMS Patients with Active Disease. Multiple sclerosis and related disorders 26 236-237.</w:t>
            </w:r>
          </w:p>
        </w:tc>
      </w:tr>
      <w:tr w:rsidR="00406AEC" w:rsidRPr="00406AEC" w14:paraId="38F94E87" w14:textId="77777777" w:rsidTr="00406AEC">
        <w:trPr>
          <w:trHeight w:val="300"/>
        </w:trPr>
        <w:tc>
          <w:tcPr>
            <w:tcW w:w="9360" w:type="dxa"/>
            <w:tcBorders>
              <w:top w:val="nil"/>
              <w:left w:val="nil"/>
              <w:bottom w:val="nil"/>
              <w:right w:val="nil"/>
            </w:tcBorders>
            <w:shd w:val="clear" w:color="auto" w:fill="auto"/>
            <w:noWrap/>
            <w:vAlign w:val="bottom"/>
            <w:hideMark/>
          </w:tcPr>
          <w:p w14:paraId="4B87EF6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Longer-term safety with Siponimod treatment in multiple sclerosis: pooled analysis of data from the BOLD and EXPAND trials and their extensions. Multiple sclerosis journal 24 (2): 491-492.</w:t>
            </w:r>
          </w:p>
        </w:tc>
      </w:tr>
      <w:tr w:rsidR="00406AEC" w:rsidRPr="00406AEC" w14:paraId="5A06A2B7" w14:textId="77777777" w:rsidTr="00406AEC">
        <w:trPr>
          <w:trHeight w:val="300"/>
        </w:trPr>
        <w:tc>
          <w:tcPr>
            <w:tcW w:w="9360" w:type="dxa"/>
            <w:tcBorders>
              <w:top w:val="nil"/>
              <w:left w:val="nil"/>
              <w:bottom w:val="nil"/>
              <w:right w:val="nil"/>
            </w:tcBorders>
            <w:shd w:val="clear" w:color="auto" w:fill="auto"/>
            <w:noWrap/>
            <w:vAlign w:val="bottom"/>
            <w:hideMark/>
          </w:tcPr>
          <w:p w14:paraId="4F46611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Rapidity of onset of ocrelizumab clinical efficacy in relapsing multiple sclerosis. Multiple sclerosis journal Conference: 4th Middle East North Africa Committee for Research and Treatment in Multiple Sclerosis, MENACTRIMS 2018. United Arab Emirates. 24 (2): NP13-NP14.</w:t>
            </w:r>
          </w:p>
        </w:tc>
      </w:tr>
      <w:tr w:rsidR="00406AEC" w:rsidRPr="00406AEC" w14:paraId="6646D773" w14:textId="77777777" w:rsidTr="00406AEC">
        <w:trPr>
          <w:trHeight w:val="300"/>
        </w:trPr>
        <w:tc>
          <w:tcPr>
            <w:tcW w:w="9360" w:type="dxa"/>
            <w:tcBorders>
              <w:top w:val="nil"/>
              <w:left w:val="nil"/>
              <w:bottom w:val="nil"/>
              <w:right w:val="nil"/>
            </w:tcBorders>
            <w:shd w:val="clear" w:color="auto" w:fill="auto"/>
            <w:noWrap/>
            <w:vAlign w:val="bottom"/>
            <w:hideMark/>
          </w:tcPr>
          <w:p w14:paraId="4B9D22A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Characterizing lymphocyte counts and infection rates with long-term teriflunomide treatment: pooled analysis of clinical trials. Multiple sclerosis journal </w:t>
            </w:r>
          </w:p>
        </w:tc>
      </w:tr>
      <w:tr w:rsidR="00406AEC" w:rsidRPr="00406AEC" w14:paraId="7352A37C" w14:textId="77777777" w:rsidTr="00406AEC">
        <w:trPr>
          <w:trHeight w:val="300"/>
        </w:trPr>
        <w:tc>
          <w:tcPr>
            <w:tcW w:w="9360" w:type="dxa"/>
            <w:tcBorders>
              <w:top w:val="nil"/>
              <w:left w:val="nil"/>
              <w:bottom w:val="nil"/>
              <w:right w:val="nil"/>
            </w:tcBorders>
            <w:shd w:val="clear" w:color="auto" w:fill="auto"/>
            <w:noWrap/>
            <w:vAlign w:val="bottom"/>
            <w:hideMark/>
          </w:tcPr>
          <w:p w14:paraId="46C449D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Effects of dimethyl fumarate on brain volume change in relapsing-remitting multiple sclerosis: a pooled analysis of the phase 3 define and confirm studies. Neurology 92 (15): </w:t>
            </w:r>
          </w:p>
        </w:tc>
      </w:tr>
      <w:tr w:rsidR="00406AEC" w:rsidRPr="00406AEC" w14:paraId="4FAD332B" w14:textId="77777777" w:rsidTr="00406AEC">
        <w:trPr>
          <w:trHeight w:val="300"/>
        </w:trPr>
        <w:tc>
          <w:tcPr>
            <w:tcW w:w="9360" w:type="dxa"/>
            <w:tcBorders>
              <w:top w:val="nil"/>
              <w:left w:val="nil"/>
              <w:bottom w:val="nil"/>
              <w:right w:val="nil"/>
            </w:tcBorders>
            <w:shd w:val="clear" w:color="auto" w:fill="auto"/>
            <w:noWrap/>
            <w:vAlign w:val="bottom"/>
            <w:hideMark/>
          </w:tcPr>
          <w:p w14:paraId="4456C41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Efficacy and safety of teriflunomide in patients of differing ages: analysis of pooled clinical trials. Neurology 92 (15): </w:t>
            </w:r>
          </w:p>
        </w:tc>
      </w:tr>
      <w:tr w:rsidR="00406AEC" w:rsidRPr="00406AEC" w14:paraId="493FE688" w14:textId="77777777" w:rsidTr="00406AEC">
        <w:trPr>
          <w:trHeight w:val="300"/>
        </w:trPr>
        <w:tc>
          <w:tcPr>
            <w:tcW w:w="9360" w:type="dxa"/>
            <w:tcBorders>
              <w:top w:val="nil"/>
              <w:left w:val="nil"/>
              <w:bottom w:val="nil"/>
              <w:right w:val="nil"/>
            </w:tcBorders>
            <w:shd w:val="clear" w:color="auto" w:fill="auto"/>
            <w:noWrap/>
            <w:vAlign w:val="bottom"/>
            <w:hideMark/>
          </w:tcPr>
          <w:p w14:paraId="4290D4C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Efficacy of cladribine tablets 3.5a[Euro sign][spacing macron]mg/kg in patients with relapsing multiple sclerosis aged above and below 45 years; clarity and clarity extension. Journal of the Neurological Sciences 405 177-178.</w:t>
            </w:r>
          </w:p>
        </w:tc>
      </w:tr>
      <w:tr w:rsidR="00406AEC" w:rsidRPr="00406AEC" w14:paraId="2CED3E31" w14:textId="77777777" w:rsidTr="00406AEC">
        <w:trPr>
          <w:trHeight w:val="300"/>
        </w:trPr>
        <w:tc>
          <w:tcPr>
            <w:tcW w:w="9360" w:type="dxa"/>
            <w:tcBorders>
              <w:top w:val="nil"/>
              <w:left w:val="nil"/>
              <w:bottom w:val="nil"/>
              <w:right w:val="nil"/>
            </w:tcBorders>
            <w:shd w:val="clear" w:color="auto" w:fill="auto"/>
            <w:noWrap/>
            <w:vAlign w:val="bottom"/>
            <w:hideMark/>
          </w:tcPr>
          <w:p w14:paraId="337BBC2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An exploratory analysis of the efficacy of cladribine tablets 3.5 mg/kg in patients with relapsing multiple sclerosis stratified according to age above and below 45 years in the clarity study. Multiple sclerosis journal 25 (3): 465-466.</w:t>
            </w:r>
          </w:p>
        </w:tc>
      </w:tr>
      <w:tr w:rsidR="00406AEC" w:rsidRPr="00406AEC" w14:paraId="1E938E59" w14:textId="77777777" w:rsidTr="00406AEC">
        <w:trPr>
          <w:trHeight w:val="300"/>
        </w:trPr>
        <w:tc>
          <w:tcPr>
            <w:tcW w:w="9360" w:type="dxa"/>
            <w:tcBorders>
              <w:top w:val="nil"/>
              <w:left w:val="nil"/>
              <w:bottom w:val="nil"/>
              <w:right w:val="nil"/>
            </w:tcBorders>
            <w:shd w:val="clear" w:color="auto" w:fill="auto"/>
            <w:noWrap/>
            <w:vAlign w:val="bottom"/>
            <w:hideMark/>
          </w:tcPr>
          <w:p w14:paraId="2477AF7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The interim sub-analysis from apex part 1+2 studies; efficacy and safety of dimethyl fumarate in treatment-naive Japanese patients with relapse-remitting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Multiple sclerosis journal 25 (3): 456-457.</w:t>
            </w:r>
          </w:p>
        </w:tc>
      </w:tr>
      <w:tr w:rsidR="00406AEC" w:rsidRPr="00406AEC" w14:paraId="38A9CBB4" w14:textId="77777777" w:rsidTr="00406AEC">
        <w:trPr>
          <w:trHeight w:val="300"/>
        </w:trPr>
        <w:tc>
          <w:tcPr>
            <w:tcW w:w="9360" w:type="dxa"/>
            <w:tcBorders>
              <w:top w:val="nil"/>
              <w:left w:val="nil"/>
              <w:bottom w:val="nil"/>
              <w:right w:val="nil"/>
            </w:tcBorders>
            <w:shd w:val="clear" w:color="auto" w:fill="auto"/>
            <w:noWrap/>
            <w:vAlign w:val="bottom"/>
            <w:hideMark/>
          </w:tcPr>
          <w:p w14:paraId="1DC8BA8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Long-Term Effect of Immediate Versus Delayed Fingolimod Treatment in Young Adult Patients with </w:t>
            </w:r>
            <w:proofErr w:type="spellStart"/>
            <w:r w:rsidRPr="00406AEC">
              <w:rPr>
                <w:rFonts w:ascii="Times New Roman" w:eastAsia="Times New Roman" w:hAnsi="Times New Roman" w:cs="Times New Roman"/>
                <w:color w:val="000000"/>
                <w:szCs w:val="22"/>
              </w:rPr>
              <w:t>Relapsinga</w:t>
            </w:r>
            <w:proofErr w:type="spellEnd"/>
            <w:r w:rsidRPr="00406AEC">
              <w:rPr>
                <w:rFonts w:ascii="Times New Roman" w:eastAsia="Times New Roman" w:hAnsi="Times New Roman" w:cs="Times New Roman"/>
                <w:color w:val="000000"/>
                <w:szCs w:val="22"/>
              </w:rPr>
              <w:t xml:space="preserve">[Euro sign]"Remitting Multiple Sclerosis: pooled Analysis from the FREEDOMS/FREEDOMSA II Trials. Neurology and Therapy </w:t>
            </w:r>
          </w:p>
        </w:tc>
      </w:tr>
      <w:tr w:rsidR="00406AEC" w:rsidRPr="00406AEC" w14:paraId="2CFAEB08" w14:textId="77777777" w:rsidTr="00406AEC">
        <w:trPr>
          <w:trHeight w:val="300"/>
        </w:trPr>
        <w:tc>
          <w:tcPr>
            <w:tcW w:w="9360" w:type="dxa"/>
            <w:tcBorders>
              <w:top w:val="nil"/>
              <w:left w:val="nil"/>
              <w:bottom w:val="nil"/>
              <w:right w:val="nil"/>
            </w:tcBorders>
            <w:shd w:val="clear" w:color="auto" w:fill="auto"/>
            <w:noWrap/>
            <w:vAlign w:val="bottom"/>
            <w:hideMark/>
          </w:tcPr>
          <w:p w14:paraId="64F8845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A novel functional composite endpoint to characterize disease progression in patients with secondary progressive multiple sclerosis. Neurology 92 (15): </w:t>
            </w:r>
          </w:p>
        </w:tc>
      </w:tr>
      <w:tr w:rsidR="00406AEC" w:rsidRPr="00406AEC" w14:paraId="69C1393D" w14:textId="77777777" w:rsidTr="00406AEC">
        <w:trPr>
          <w:trHeight w:val="300"/>
        </w:trPr>
        <w:tc>
          <w:tcPr>
            <w:tcW w:w="9360" w:type="dxa"/>
            <w:tcBorders>
              <w:top w:val="nil"/>
              <w:left w:val="nil"/>
              <w:bottom w:val="nil"/>
              <w:right w:val="nil"/>
            </w:tcBorders>
            <w:shd w:val="clear" w:color="auto" w:fill="auto"/>
            <w:noWrap/>
            <w:vAlign w:val="bottom"/>
            <w:hideMark/>
          </w:tcPr>
          <w:p w14:paraId="3117666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Number needed to treat to prevent relapse and disability worsening among patients with relapsing MS treated with teriflunomide or cladribine. Neurology 92 (15): </w:t>
            </w:r>
          </w:p>
        </w:tc>
      </w:tr>
      <w:tr w:rsidR="00406AEC" w:rsidRPr="00406AEC" w14:paraId="70124FEE" w14:textId="77777777" w:rsidTr="00406AEC">
        <w:trPr>
          <w:trHeight w:val="300"/>
        </w:trPr>
        <w:tc>
          <w:tcPr>
            <w:tcW w:w="9360" w:type="dxa"/>
            <w:tcBorders>
              <w:top w:val="nil"/>
              <w:left w:val="nil"/>
              <w:bottom w:val="nil"/>
              <w:right w:val="nil"/>
            </w:tcBorders>
            <w:shd w:val="clear" w:color="auto" w:fill="auto"/>
            <w:noWrap/>
            <w:vAlign w:val="bottom"/>
            <w:hideMark/>
          </w:tcPr>
          <w:p w14:paraId="34BDCA9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Pnd97 Factors Influencing Health-Related Quality of Life in Patients with Secondary Progressive Multiple Sclerosis Using Expand Trial Data. Value in health 22 </w:t>
            </w:r>
          </w:p>
        </w:tc>
      </w:tr>
      <w:tr w:rsidR="00406AEC" w:rsidRPr="00406AEC" w14:paraId="29A06A79" w14:textId="77777777" w:rsidTr="00406AEC">
        <w:trPr>
          <w:trHeight w:val="300"/>
        </w:trPr>
        <w:tc>
          <w:tcPr>
            <w:tcW w:w="9360" w:type="dxa"/>
            <w:tcBorders>
              <w:top w:val="nil"/>
              <w:left w:val="nil"/>
              <w:bottom w:val="nil"/>
              <w:right w:val="nil"/>
            </w:tcBorders>
            <w:shd w:val="clear" w:color="auto" w:fill="auto"/>
            <w:noWrap/>
            <w:vAlign w:val="bottom"/>
            <w:hideMark/>
          </w:tcPr>
          <w:p w14:paraId="0991637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Agius M, Meng X, Chin P, </w:t>
            </w:r>
            <w:proofErr w:type="spellStart"/>
            <w:r w:rsidRPr="00406AEC">
              <w:rPr>
                <w:rFonts w:ascii="Times New Roman" w:eastAsia="Times New Roman" w:hAnsi="Times New Roman" w:cs="Times New Roman"/>
                <w:color w:val="000000"/>
                <w:szCs w:val="22"/>
              </w:rPr>
              <w:t>Grinspan</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Hashmonay</w:t>
            </w:r>
            <w:proofErr w:type="spellEnd"/>
            <w:r w:rsidRPr="00406AEC">
              <w:rPr>
                <w:rFonts w:ascii="Times New Roman" w:eastAsia="Times New Roman" w:hAnsi="Times New Roman" w:cs="Times New Roman"/>
                <w:color w:val="000000"/>
                <w:szCs w:val="22"/>
              </w:rPr>
              <w:t xml:space="preserve"> R (2014) Fingolimod therapy in early multiple sclerosis: An efficacy analysis of the transforms and freedoms studies by time since first symptom. CNS Neuroscience and Therapeutics 20 (5): 446-451.</w:t>
            </w:r>
          </w:p>
        </w:tc>
      </w:tr>
      <w:tr w:rsidR="00406AEC" w:rsidRPr="00406AEC" w14:paraId="4042FF89" w14:textId="77777777" w:rsidTr="00406AEC">
        <w:trPr>
          <w:trHeight w:val="300"/>
        </w:trPr>
        <w:tc>
          <w:tcPr>
            <w:tcW w:w="9360" w:type="dxa"/>
            <w:tcBorders>
              <w:top w:val="nil"/>
              <w:left w:val="nil"/>
              <w:bottom w:val="nil"/>
              <w:right w:val="nil"/>
            </w:tcBorders>
            <w:shd w:val="clear" w:color="auto" w:fill="auto"/>
            <w:noWrap/>
            <w:vAlign w:val="bottom"/>
            <w:hideMark/>
          </w:tcPr>
          <w:p w14:paraId="0A2172E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Alvarenga RMP, Cohen JA, Naylor RM, Correale J, Luetic G et al. Comparison of oral fingolimod with interferon beta-1a in treatment of relapsing-remitting multiple sclerosis: Subgroup analysis of the Latin-American cohort in TRANSFORMS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(12): 1851.</w:t>
            </w:r>
          </w:p>
        </w:tc>
      </w:tr>
      <w:tr w:rsidR="00406AEC" w:rsidRPr="00406AEC" w14:paraId="1406A330" w14:textId="77777777" w:rsidTr="00406AEC">
        <w:trPr>
          <w:trHeight w:val="300"/>
        </w:trPr>
        <w:tc>
          <w:tcPr>
            <w:tcW w:w="9360" w:type="dxa"/>
            <w:tcBorders>
              <w:top w:val="nil"/>
              <w:left w:val="nil"/>
              <w:bottom w:val="nil"/>
              <w:right w:val="nil"/>
            </w:tcBorders>
            <w:shd w:val="clear" w:color="auto" w:fill="auto"/>
            <w:noWrap/>
            <w:vAlign w:val="bottom"/>
            <w:hideMark/>
          </w:tcPr>
          <w:p w14:paraId="6551F3E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Alvarez-Gonzalez C, Adams A, Mathews J, Turner BP, Giovannoni G et al. (2017) Cladribine to treat disease exacerbation after fingolimod discontinuation in progressive multiple sclerosis. Annals of Clinical and Translational Neurology 4 (7): 506-511.</w:t>
            </w:r>
          </w:p>
        </w:tc>
      </w:tr>
      <w:tr w:rsidR="00406AEC" w:rsidRPr="00406AEC" w14:paraId="217B556F" w14:textId="77777777" w:rsidTr="00406AEC">
        <w:trPr>
          <w:trHeight w:val="300"/>
        </w:trPr>
        <w:tc>
          <w:tcPr>
            <w:tcW w:w="9360" w:type="dxa"/>
            <w:tcBorders>
              <w:top w:val="nil"/>
              <w:left w:val="nil"/>
              <w:bottom w:val="nil"/>
              <w:right w:val="nil"/>
            </w:tcBorders>
            <w:shd w:val="clear" w:color="auto" w:fill="auto"/>
            <w:noWrap/>
            <w:vAlign w:val="bottom"/>
            <w:hideMark/>
          </w:tcPr>
          <w:p w14:paraId="5DAF19B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 </w:t>
            </w:r>
            <w:proofErr w:type="spellStart"/>
            <w:r w:rsidRPr="00406AEC">
              <w:rPr>
                <w:rFonts w:ascii="Times New Roman" w:eastAsia="Times New Roman" w:hAnsi="Times New Roman" w:cs="Times New Roman"/>
                <w:color w:val="000000"/>
                <w:szCs w:val="22"/>
              </w:rPr>
              <w:t>Mokliatchouck</w:t>
            </w:r>
            <w:proofErr w:type="spellEnd"/>
            <w:r w:rsidRPr="00406AEC">
              <w:rPr>
                <w:rFonts w:ascii="Times New Roman" w:eastAsia="Times New Roman" w:hAnsi="Times New Roman" w:cs="Times New Roman"/>
                <w:color w:val="000000"/>
                <w:szCs w:val="22"/>
              </w:rPr>
              <w:t xml:space="preserve"> O,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Naylor ML (2018) Peginterferon beta-1a reduces the number of black holes evolved from acute MRI lesions in newly diagnosed patients with relapsing-remitting multiple sclerosis: a post hoc analysis ADVANCE. Multiple sclerosis journal 24 (2): 721-.</w:t>
            </w:r>
          </w:p>
        </w:tc>
      </w:tr>
      <w:tr w:rsidR="00406AEC" w:rsidRPr="00406AEC" w14:paraId="12A0814B" w14:textId="77777777" w:rsidTr="00406AEC">
        <w:trPr>
          <w:trHeight w:val="300"/>
        </w:trPr>
        <w:tc>
          <w:tcPr>
            <w:tcW w:w="9360" w:type="dxa"/>
            <w:tcBorders>
              <w:top w:val="nil"/>
              <w:left w:val="nil"/>
              <w:bottom w:val="nil"/>
              <w:right w:val="nil"/>
            </w:tcBorders>
            <w:shd w:val="clear" w:color="auto" w:fill="auto"/>
            <w:noWrap/>
            <w:vAlign w:val="bottom"/>
            <w:hideMark/>
          </w:tcPr>
          <w:p w14:paraId="13893AC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Ascherio</w:t>
            </w:r>
            <w:proofErr w:type="spellEnd"/>
            <w:r w:rsidRPr="00406AEC">
              <w:rPr>
                <w:rFonts w:ascii="Times New Roman" w:eastAsia="Times New Roman" w:hAnsi="Times New Roman" w:cs="Times New Roman"/>
                <w:color w:val="000000"/>
                <w:szCs w:val="22"/>
              </w:rPr>
              <w:t xml:space="preserve"> A, Fitzgerald K, Munger K, Kochert K, Arnason B et al. Vitamin D as a predictor of multiple sclerosis activity and progression in patients with multiple sclerosis on interferon beta-1b.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47.</w:t>
            </w:r>
          </w:p>
        </w:tc>
      </w:tr>
      <w:tr w:rsidR="00406AEC" w:rsidRPr="00406AEC" w14:paraId="606F1059" w14:textId="77777777" w:rsidTr="00406AEC">
        <w:trPr>
          <w:trHeight w:val="300"/>
        </w:trPr>
        <w:tc>
          <w:tcPr>
            <w:tcW w:w="9360" w:type="dxa"/>
            <w:tcBorders>
              <w:top w:val="nil"/>
              <w:left w:val="nil"/>
              <w:bottom w:val="nil"/>
              <w:right w:val="nil"/>
            </w:tcBorders>
            <w:shd w:val="clear" w:color="auto" w:fill="auto"/>
            <w:noWrap/>
            <w:vAlign w:val="bottom"/>
            <w:hideMark/>
          </w:tcPr>
          <w:p w14:paraId="328CD90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Bajer-Kornek B, Ghezzi A, Karlsson G, </w:t>
            </w:r>
            <w:proofErr w:type="spellStart"/>
            <w:r w:rsidRPr="00406AEC">
              <w:rPr>
                <w:rFonts w:ascii="Times New Roman" w:eastAsia="Times New Roman" w:hAnsi="Times New Roman" w:cs="Times New Roman"/>
                <w:color w:val="000000"/>
                <w:szCs w:val="22"/>
              </w:rPr>
              <w:t>Haering</w:t>
            </w:r>
            <w:proofErr w:type="spellEnd"/>
            <w:r w:rsidRPr="00406AEC">
              <w:rPr>
                <w:rFonts w:ascii="Times New Roman" w:eastAsia="Times New Roman" w:hAnsi="Times New Roman" w:cs="Times New Roman"/>
                <w:color w:val="000000"/>
                <w:szCs w:val="22"/>
              </w:rPr>
              <w:t xml:space="preserve"> D, Gartner J et al. (2015) Safety and effect of fingolimod on no evidence of disease activity (NEDA-4) in young adult patients with relapsing-remitting multiple sclerosis. European Journal of </w:t>
            </w:r>
            <w:proofErr w:type="spellStart"/>
            <w:r w:rsidRPr="00406AEC">
              <w:rPr>
                <w:rFonts w:ascii="Times New Roman" w:eastAsia="Times New Roman" w:hAnsi="Times New Roman" w:cs="Times New Roman"/>
                <w:color w:val="000000"/>
                <w:szCs w:val="22"/>
              </w:rPr>
              <w:t>Paediatric</w:t>
            </w:r>
            <w:proofErr w:type="spellEnd"/>
            <w:r w:rsidRPr="00406AEC">
              <w:rPr>
                <w:rFonts w:ascii="Times New Roman" w:eastAsia="Times New Roman" w:hAnsi="Times New Roman" w:cs="Times New Roman"/>
                <w:color w:val="000000"/>
                <w:szCs w:val="22"/>
              </w:rPr>
              <w:t xml:space="preserve"> Neurology 19 (27): </w:t>
            </w:r>
          </w:p>
        </w:tc>
      </w:tr>
      <w:tr w:rsidR="00406AEC" w:rsidRPr="00406AEC" w14:paraId="012416D6" w14:textId="77777777" w:rsidTr="00406AEC">
        <w:trPr>
          <w:trHeight w:val="300"/>
        </w:trPr>
        <w:tc>
          <w:tcPr>
            <w:tcW w:w="9360" w:type="dxa"/>
            <w:tcBorders>
              <w:top w:val="nil"/>
              <w:left w:val="nil"/>
              <w:bottom w:val="nil"/>
              <w:right w:val="nil"/>
            </w:tcBorders>
            <w:shd w:val="clear" w:color="auto" w:fill="auto"/>
            <w:noWrap/>
            <w:vAlign w:val="bottom"/>
            <w:hideMark/>
          </w:tcPr>
          <w:p w14:paraId="1FD31D9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Bar-Or A, Fox R, Gold R, Miller D, Arnold D et al. Effect of BG-12 (dimethyl fumarate) in subgroups of patients with relapsing-remitting multiple sclerosis: An integrated analysis of the phase 3 define and confirm studies.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11D9BC27" w14:textId="77777777" w:rsidTr="00406AEC">
        <w:trPr>
          <w:trHeight w:val="300"/>
        </w:trPr>
        <w:tc>
          <w:tcPr>
            <w:tcW w:w="9360" w:type="dxa"/>
            <w:tcBorders>
              <w:top w:val="nil"/>
              <w:left w:val="nil"/>
              <w:bottom w:val="nil"/>
              <w:right w:val="nil"/>
            </w:tcBorders>
            <w:shd w:val="clear" w:color="auto" w:fill="auto"/>
            <w:noWrap/>
            <w:vAlign w:val="bottom"/>
            <w:hideMark/>
          </w:tcPr>
          <w:p w14:paraId="608CBA7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Bar-Or A, Fox RJ, Gold R, Giovannoni G, Kita M et al. </w:t>
            </w:r>
            <w:r w:rsidRPr="00406AEC">
              <w:rPr>
                <w:rFonts w:ascii="Times New Roman" w:eastAsia="Times New Roman" w:hAnsi="Times New Roman" w:cs="Times New Roman"/>
                <w:color w:val="000000"/>
                <w:szCs w:val="22"/>
              </w:rPr>
              <w:t>Clinical effects of BG-12 in subgroups of patients with relapsing-remitting multiple sclerosis: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191.</w:t>
            </w:r>
          </w:p>
        </w:tc>
      </w:tr>
      <w:tr w:rsidR="00406AEC" w:rsidRPr="00406AEC" w14:paraId="386FF02F" w14:textId="77777777" w:rsidTr="00406AEC">
        <w:trPr>
          <w:trHeight w:val="300"/>
        </w:trPr>
        <w:tc>
          <w:tcPr>
            <w:tcW w:w="9360" w:type="dxa"/>
            <w:tcBorders>
              <w:top w:val="nil"/>
              <w:left w:val="nil"/>
              <w:bottom w:val="nil"/>
              <w:right w:val="nil"/>
            </w:tcBorders>
            <w:shd w:val="clear" w:color="auto" w:fill="auto"/>
            <w:noWrap/>
            <w:vAlign w:val="bottom"/>
            <w:hideMark/>
          </w:tcPr>
          <w:p w14:paraId="6913D21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Cohen J, Montalban X, Comi G, Zhang- Auberson L et al. Fingolimod (FTY720) reduces brain volume loss over 12 months compared with intramuscular interferon beta-1a: Subgroup analyses of TRANSFORMS data based on inflammatory disease activity.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S406.</w:t>
            </w:r>
          </w:p>
        </w:tc>
      </w:tr>
      <w:tr w:rsidR="00406AEC" w:rsidRPr="00406AEC" w14:paraId="68F92AD1" w14:textId="77777777" w:rsidTr="00406AEC">
        <w:trPr>
          <w:trHeight w:val="300"/>
        </w:trPr>
        <w:tc>
          <w:tcPr>
            <w:tcW w:w="9360" w:type="dxa"/>
            <w:tcBorders>
              <w:top w:val="nil"/>
              <w:left w:val="nil"/>
              <w:bottom w:val="nil"/>
              <w:right w:val="nil"/>
            </w:tcBorders>
            <w:shd w:val="clear" w:color="auto" w:fill="auto"/>
            <w:noWrap/>
            <w:vAlign w:val="bottom"/>
            <w:hideMark/>
          </w:tcPr>
          <w:p w14:paraId="395E128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fr-FR"/>
              </w:rPr>
              <w:t xml:space="preserve">Barnes D, Leist T, </w:t>
            </w:r>
            <w:proofErr w:type="spellStart"/>
            <w:r w:rsidRPr="00144F5E">
              <w:rPr>
                <w:rFonts w:ascii="Times New Roman" w:eastAsia="Times New Roman" w:hAnsi="Times New Roman" w:cs="Times New Roman"/>
                <w:color w:val="000000"/>
                <w:szCs w:val="22"/>
                <w:lang w:val="fr-FR"/>
              </w:rPr>
              <w:t>Freedman</w:t>
            </w:r>
            <w:proofErr w:type="spellEnd"/>
            <w:r w:rsidRPr="00144F5E">
              <w:rPr>
                <w:rFonts w:ascii="Times New Roman" w:eastAsia="Times New Roman" w:hAnsi="Times New Roman" w:cs="Times New Roman"/>
                <w:color w:val="000000"/>
                <w:szCs w:val="22"/>
                <w:lang w:val="fr-FR"/>
              </w:rPr>
              <w:t xml:space="preserve"> M, Olsson T, Miller A et al. </w:t>
            </w:r>
            <w:r w:rsidRPr="00406AEC">
              <w:rPr>
                <w:rFonts w:ascii="Times New Roman" w:eastAsia="Times New Roman" w:hAnsi="Times New Roman" w:cs="Times New Roman"/>
                <w:color w:val="000000"/>
                <w:szCs w:val="22"/>
              </w:rPr>
              <w:t xml:space="preserve">(2015) Safety and tolerability of teriflunomide in clinical studies. Journal of neurology, </w:t>
            </w:r>
            <w:proofErr w:type="gramStart"/>
            <w:r w:rsidRPr="00406AEC">
              <w:rPr>
                <w:rFonts w:ascii="Times New Roman" w:eastAsia="Times New Roman" w:hAnsi="Times New Roman" w:cs="Times New Roman"/>
                <w:color w:val="000000"/>
                <w:szCs w:val="22"/>
              </w:rPr>
              <w:t>neurosurgery</w:t>
            </w:r>
            <w:proofErr w:type="gramEnd"/>
            <w:r w:rsidRPr="00406AEC">
              <w:rPr>
                <w:rFonts w:ascii="Times New Roman" w:eastAsia="Times New Roman" w:hAnsi="Times New Roman" w:cs="Times New Roman"/>
                <w:color w:val="000000"/>
                <w:szCs w:val="22"/>
              </w:rPr>
              <w:t xml:space="preserve"> and psychiatry Conference: association of </w:t>
            </w:r>
            <w:proofErr w:type="spellStart"/>
            <w:r w:rsidRPr="00406AEC">
              <w:rPr>
                <w:rFonts w:ascii="Times New Roman" w:eastAsia="Times New Roman" w:hAnsi="Times New Roman" w:cs="Times New Roman"/>
                <w:color w:val="000000"/>
                <w:szCs w:val="22"/>
              </w:rPr>
              <w:t>british</w:t>
            </w:r>
            <w:proofErr w:type="spellEnd"/>
            <w:r w:rsidRPr="00406AEC">
              <w:rPr>
                <w:rFonts w:ascii="Times New Roman" w:eastAsia="Times New Roman" w:hAnsi="Times New Roman" w:cs="Times New Roman"/>
                <w:color w:val="000000"/>
                <w:szCs w:val="22"/>
              </w:rPr>
              <w:t xml:space="preserve"> neurologists, ABN 86 (11): </w:t>
            </w:r>
          </w:p>
        </w:tc>
      </w:tr>
      <w:tr w:rsidR="00406AEC" w:rsidRPr="00406AEC" w14:paraId="40AE6DAF" w14:textId="77777777" w:rsidTr="00406AEC">
        <w:trPr>
          <w:trHeight w:val="300"/>
        </w:trPr>
        <w:tc>
          <w:tcPr>
            <w:tcW w:w="9360" w:type="dxa"/>
            <w:tcBorders>
              <w:top w:val="nil"/>
              <w:left w:val="nil"/>
              <w:bottom w:val="nil"/>
              <w:right w:val="nil"/>
            </w:tcBorders>
            <w:shd w:val="clear" w:color="auto" w:fill="auto"/>
            <w:noWrap/>
            <w:vAlign w:val="bottom"/>
            <w:hideMark/>
          </w:tcPr>
          <w:p w14:paraId="39EC7E1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BarOr A, Gold R, Fox R, Phillips JT, Hutchinson M et al. (2015) Five-year follow-up of delayed-release dimethyl fumarate in RRMS: Integrated clinical efficacy data from the define, confirm, and endorse studies. Neurology 84 (18): </w:t>
            </w:r>
          </w:p>
        </w:tc>
      </w:tr>
      <w:tr w:rsidR="00406AEC" w:rsidRPr="00406AEC" w14:paraId="2514CCA2" w14:textId="77777777" w:rsidTr="00406AEC">
        <w:trPr>
          <w:trHeight w:val="300"/>
        </w:trPr>
        <w:tc>
          <w:tcPr>
            <w:tcW w:w="9360" w:type="dxa"/>
            <w:tcBorders>
              <w:top w:val="nil"/>
              <w:left w:val="nil"/>
              <w:bottom w:val="nil"/>
              <w:right w:val="nil"/>
            </w:tcBorders>
            <w:shd w:val="clear" w:color="auto" w:fill="auto"/>
            <w:noWrap/>
            <w:vAlign w:val="bottom"/>
            <w:hideMark/>
          </w:tcPr>
          <w:p w14:paraId="7EB29BE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Bermel RA, Puli SR, Rudick RA, Weinstock-Guttman B, Fisher E et al. </w:t>
            </w:r>
            <w:r w:rsidRPr="00406AEC">
              <w:rPr>
                <w:rFonts w:ascii="Times New Roman" w:eastAsia="Times New Roman" w:hAnsi="Times New Roman" w:cs="Times New Roman"/>
                <w:color w:val="000000"/>
                <w:szCs w:val="22"/>
              </w:rPr>
              <w:t xml:space="preserve">(2005) Prediction of longitudinal brain atrophy in multiple sclerosis by gray matter magnetic resonance imaging T2 </w:t>
            </w:r>
            <w:proofErr w:type="spellStart"/>
            <w:r w:rsidRPr="00406AEC">
              <w:rPr>
                <w:rFonts w:ascii="Times New Roman" w:eastAsia="Times New Roman" w:hAnsi="Times New Roman" w:cs="Times New Roman"/>
                <w:color w:val="000000"/>
                <w:szCs w:val="22"/>
              </w:rPr>
              <w:t>hypointensity</w:t>
            </w:r>
            <w:proofErr w:type="spellEnd"/>
            <w:r w:rsidRPr="00406AEC">
              <w:rPr>
                <w:rFonts w:ascii="Times New Roman" w:eastAsia="Times New Roman" w:hAnsi="Times New Roman" w:cs="Times New Roman"/>
                <w:color w:val="000000"/>
                <w:szCs w:val="22"/>
              </w:rPr>
              <w:t>. Archives of neurology 62 (9): 1371-1376.</w:t>
            </w:r>
          </w:p>
        </w:tc>
      </w:tr>
      <w:tr w:rsidR="00406AEC" w:rsidRPr="00406AEC" w14:paraId="242C3CCE" w14:textId="77777777" w:rsidTr="00406AEC">
        <w:trPr>
          <w:trHeight w:val="300"/>
        </w:trPr>
        <w:tc>
          <w:tcPr>
            <w:tcW w:w="9360" w:type="dxa"/>
            <w:tcBorders>
              <w:top w:val="nil"/>
              <w:left w:val="nil"/>
              <w:bottom w:val="nil"/>
              <w:right w:val="nil"/>
            </w:tcBorders>
            <w:shd w:val="clear" w:color="auto" w:fill="auto"/>
            <w:noWrap/>
            <w:vAlign w:val="bottom"/>
            <w:hideMark/>
          </w:tcPr>
          <w:p w14:paraId="29FB2E4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Bhanushali MJ, Gustafson T, Powell S, </w:t>
            </w:r>
            <w:proofErr w:type="spellStart"/>
            <w:r w:rsidRPr="00406AEC">
              <w:rPr>
                <w:rFonts w:ascii="Times New Roman" w:eastAsia="Times New Roman" w:hAnsi="Times New Roman" w:cs="Times New Roman"/>
                <w:color w:val="000000"/>
                <w:szCs w:val="22"/>
              </w:rPr>
              <w:t>Conwit</w:t>
            </w:r>
            <w:proofErr w:type="spellEnd"/>
            <w:r w:rsidRPr="00406AEC">
              <w:rPr>
                <w:rFonts w:ascii="Times New Roman" w:eastAsia="Times New Roman" w:hAnsi="Times New Roman" w:cs="Times New Roman"/>
                <w:color w:val="000000"/>
                <w:szCs w:val="22"/>
              </w:rPr>
              <w:t xml:space="preserve"> RA, Wolinsky JS et al. (2014) Recruitment of participants to a multiple sclerosis trial: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experience. Clinical trials (London, England) 11 (2): 159-166.</w:t>
            </w:r>
          </w:p>
        </w:tc>
      </w:tr>
      <w:tr w:rsidR="00406AEC" w:rsidRPr="00406AEC" w14:paraId="48268C20" w14:textId="77777777" w:rsidTr="00406AEC">
        <w:trPr>
          <w:trHeight w:val="300"/>
        </w:trPr>
        <w:tc>
          <w:tcPr>
            <w:tcW w:w="9360" w:type="dxa"/>
            <w:tcBorders>
              <w:top w:val="nil"/>
              <w:left w:val="nil"/>
              <w:bottom w:val="nil"/>
              <w:right w:val="nil"/>
            </w:tcBorders>
            <w:shd w:val="clear" w:color="auto" w:fill="auto"/>
            <w:noWrap/>
            <w:vAlign w:val="bottom"/>
            <w:hideMark/>
          </w:tcPr>
          <w:p w14:paraId="502575D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Boster</w:t>
            </w:r>
            <w:proofErr w:type="spellEnd"/>
            <w:r w:rsidRPr="00713F1E">
              <w:rPr>
                <w:rFonts w:ascii="Times New Roman" w:eastAsia="Times New Roman" w:hAnsi="Times New Roman" w:cs="Times New Roman"/>
                <w:color w:val="000000"/>
                <w:szCs w:val="22"/>
                <w:lang w:val="fr-FR"/>
              </w:rPr>
              <w:t xml:space="preserve"> A, </w:t>
            </w:r>
            <w:proofErr w:type="spellStart"/>
            <w:r w:rsidRPr="00713F1E">
              <w:rPr>
                <w:rFonts w:ascii="Times New Roman" w:eastAsia="Times New Roman" w:hAnsi="Times New Roman" w:cs="Times New Roman"/>
                <w:color w:val="000000"/>
                <w:szCs w:val="22"/>
                <w:lang w:val="fr-FR"/>
              </w:rPr>
              <w:t>Repovic</w:t>
            </w:r>
            <w:proofErr w:type="spellEnd"/>
            <w:r w:rsidRPr="00713F1E">
              <w:rPr>
                <w:rFonts w:ascii="Times New Roman" w:eastAsia="Times New Roman" w:hAnsi="Times New Roman" w:cs="Times New Roman"/>
                <w:color w:val="000000"/>
                <w:szCs w:val="22"/>
                <w:lang w:val="fr-FR"/>
              </w:rPr>
              <w:t xml:space="preserve"> P, Meng X, Meier DP, </w:t>
            </w:r>
            <w:proofErr w:type="spellStart"/>
            <w:r w:rsidRPr="00713F1E">
              <w:rPr>
                <w:rFonts w:ascii="Times New Roman" w:eastAsia="Times New Roman" w:hAnsi="Times New Roman" w:cs="Times New Roman"/>
                <w:color w:val="000000"/>
                <w:szCs w:val="22"/>
                <w:lang w:val="fr-FR"/>
              </w:rPr>
              <w:t>Boulos</w:t>
            </w:r>
            <w:proofErr w:type="spellEnd"/>
            <w:r w:rsidRPr="00713F1E">
              <w:rPr>
                <w:rFonts w:ascii="Times New Roman" w:eastAsia="Times New Roman" w:hAnsi="Times New Roman" w:cs="Times New Roman"/>
                <w:color w:val="000000"/>
                <w:szCs w:val="22"/>
                <w:lang w:val="fr-FR"/>
              </w:rPr>
              <w:t xml:space="preserve"> F et al. </w:t>
            </w:r>
            <w:r w:rsidRPr="00406AEC">
              <w:rPr>
                <w:rFonts w:ascii="Times New Roman" w:eastAsia="Times New Roman" w:hAnsi="Times New Roman" w:cs="Times New Roman"/>
                <w:color w:val="000000"/>
                <w:szCs w:val="22"/>
              </w:rPr>
              <w:t>(2017) Short and long-term predictors of relapses or disability worsening in patients with multiple sclerosis in the phase 3 TRANSFORMS study. Multiple Sclerosis 23 83-84.</w:t>
            </w:r>
          </w:p>
        </w:tc>
      </w:tr>
      <w:tr w:rsidR="00406AEC" w:rsidRPr="00406AEC" w14:paraId="2020F2D5" w14:textId="77777777" w:rsidTr="00406AEC">
        <w:trPr>
          <w:trHeight w:val="300"/>
        </w:trPr>
        <w:tc>
          <w:tcPr>
            <w:tcW w:w="9360" w:type="dxa"/>
            <w:tcBorders>
              <w:top w:val="nil"/>
              <w:left w:val="nil"/>
              <w:bottom w:val="nil"/>
              <w:right w:val="nil"/>
            </w:tcBorders>
            <w:shd w:val="clear" w:color="auto" w:fill="auto"/>
            <w:noWrap/>
            <w:vAlign w:val="bottom"/>
            <w:hideMark/>
          </w:tcPr>
          <w:p w14:paraId="09DA8B5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Boster A, </w:t>
            </w:r>
            <w:proofErr w:type="spellStart"/>
            <w:r w:rsidRPr="00406AEC">
              <w:rPr>
                <w:rFonts w:ascii="Times New Roman" w:eastAsia="Times New Roman" w:hAnsi="Times New Roman" w:cs="Times New Roman"/>
                <w:color w:val="000000"/>
                <w:szCs w:val="22"/>
              </w:rPr>
              <w:t>Repovic</w:t>
            </w:r>
            <w:proofErr w:type="spellEnd"/>
            <w:r w:rsidRPr="00406AEC">
              <w:rPr>
                <w:rFonts w:ascii="Times New Roman" w:eastAsia="Times New Roman" w:hAnsi="Times New Roman" w:cs="Times New Roman"/>
                <w:color w:val="000000"/>
                <w:szCs w:val="22"/>
              </w:rPr>
              <w:t xml:space="preserve"> P, Ritter S, Tomic D, Meng X et al. (2017) Short and long-term predictors of relapses or disability worsening in patients with multiple sclerosis in the phase 3 FREEDOMS and FREEDOMS II studies. Multiple Sclerosis 23 (83): </w:t>
            </w:r>
          </w:p>
        </w:tc>
      </w:tr>
      <w:tr w:rsidR="00406AEC" w:rsidRPr="00406AEC" w14:paraId="390515B1" w14:textId="77777777" w:rsidTr="00406AEC">
        <w:trPr>
          <w:trHeight w:val="300"/>
        </w:trPr>
        <w:tc>
          <w:tcPr>
            <w:tcW w:w="9360" w:type="dxa"/>
            <w:tcBorders>
              <w:top w:val="nil"/>
              <w:left w:val="nil"/>
              <w:bottom w:val="nil"/>
              <w:right w:val="nil"/>
            </w:tcBorders>
            <w:shd w:val="clear" w:color="auto" w:fill="auto"/>
            <w:noWrap/>
            <w:vAlign w:val="bottom"/>
            <w:hideMark/>
          </w:tcPr>
          <w:p w14:paraId="2B10A7E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Bourdette D, Yadav V (2009) Alemtuzumab versus interferon beta-1a in early multiple sclerosis. Current Neurology and Neuroscience Reports 9 (5): 341-342.</w:t>
            </w:r>
          </w:p>
        </w:tc>
      </w:tr>
      <w:tr w:rsidR="00406AEC" w:rsidRPr="00406AEC" w14:paraId="7E55B3D2" w14:textId="77777777" w:rsidTr="00406AEC">
        <w:trPr>
          <w:trHeight w:val="300"/>
        </w:trPr>
        <w:tc>
          <w:tcPr>
            <w:tcW w:w="9360" w:type="dxa"/>
            <w:tcBorders>
              <w:top w:val="nil"/>
              <w:left w:val="nil"/>
              <w:bottom w:val="nil"/>
              <w:right w:val="nil"/>
            </w:tcBorders>
            <w:shd w:val="clear" w:color="auto" w:fill="auto"/>
            <w:noWrap/>
            <w:vAlign w:val="bottom"/>
            <w:hideMark/>
          </w:tcPr>
          <w:p w14:paraId="131DEE9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Bovis</w:t>
            </w:r>
            <w:proofErr w:type="spellEnd"/>
            <w:r w:rsidRPr="00713F1E">
              <w:rPr>
                <w:rFonts w:ascii="Times New Roman" w:eastAsia="Times New Roman" w:hAnsi="Times New Roman" w:cs="Times New Roman"/>
                <w:color w:val="000000"/>
                <w:szCs w:val="22"/>
                <w:lang w:val="fr-FR"/>
              </w:rPr>
              <w:t xml:space="preserve"> F, </w:t>
            </w:r>
            <w:proofErr w:type="spellStart"/>
            <w:r w:rsidRPr="00713F1E">
              <w:rPr>
                <w:rFonts w:ascii="Times New Roman" w:eastAsia="Times New Roman" w:hAnsi="Times New Roman" w:cs="Times New Roman"/>
                <w:color w:val="000000"/>
                <w:szCs w:val="22"/>
                <w:lang w:val="fr-FR"/>
              </w:rPr>
              <w:t>Kalincik</w:t>
            </w:r>
            <w:proofErr w:type="spellEnd"/>
            <w:r w:rsidRPr="00713F1E">
              <w:rPr>
                <w:rFonts w:ascii="Times New Roman" w:eastAsia="Times New Roman" w:hAnsi="Times New Roman" w:cs="Times New Roman"/>
                <w:color w:val="000000"/>
                <w:szCs w:val="22"/>
                <w:lang w:val="fr-FR"/>
              </w:rPr>
              <w:t xml:space="preserve"> T, Lublin F, Cutter G, </w:t>
            </w:r>
            <w:proofErr w:type="spellStart"/>
            <w:r w:rsidRPr="00713F1E">
              <w:rPr>
                <w:rFonts w:ascii="Times New Roman" w:eastAsia="Times New Roman" w:hAnsi="Times New Roman" w:cs="Times New Roman"/>
                <w:color w:val="000000"/>
                <w:szCs w:val="22"/>
                <w:lang w:val="fr-FR"/>
              </w:rPr>
              <w:t>Malpas</w:t>
            </w:r>
            <w:proofErr w:type="spellEnd"/>
            <w:r w:rsidRPr="00713F1E">
              <w:rPr>
                <w:rFonts w:ascii="Times New Roman" w:eastAsia="Times New Roman" w:hAnsi="Times New Roman" w:cs="Times New Roman"/>
                <w:color w:val="000000"/>
                <w:szCs w:val="22"/>
                <w:lang w:val="fr-FR"/>
              </w:rPr>
              <w:t xml:space="preserve"> C et al. </w:t>
            </w:r>
            <w:r w:rsidRPr="00406AEC">
              <w:rPr>
                <w:rFonts w:ascii="Times New Roman" w:eastAsia="Times New Roman" w:hAnsi="Times New Roman" w:cs="Times New Roman"/>
                <w:color w:val="000000"/>
                <w:szCs w:val="22"/>
              </w:rPr>
              <w:t>(2021) Treatment Response Score to Glatiramer Acetate or Interferon Beta-1a. Neurology 96 (2): e214-e227.</w:t>
            </w:r>
          </w:p>
        </w:tc>
      </w:tr>
      <w:tr w:rsidR="00406AEC" w:rsidRPr="00406AEC" w14:paraId="1565AF18" w14:textId="77777777" w:rsidTr="00406AEC">
        <w:trPr>
          <w:trHeight w:val="300"/>
        </w:trPr>
        <w:tc>
          <w:tcPr>
            <w:tcW w:w="9360" w:type="dxa"/>
            <w:tcBorders>
              <w:top w:val="nil"/>
              <w:left w:val="nil"/>
              <w:bottom w:val="nil"/>
              <w:right w:val="nil"/>
            </w:tcBorders>
            <w:shd w:val="clear" w:color="auto" w:fill="auto"/>
            <w:noWrap/>
            <w:vAlign w:val="bottom"/>
            <w:hideMark/>
          </w:tcPr>
          <w:p w14:paraId="38E0714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Brescia Morra V, Coppola G, Orefice G, De Michele G, Vacca G et al. </w:t>
            </w:r>
            <w:r w:rsidRPr="00406AEC">
              <w:rPr>
                <w:rFonts w:ascii="Times New Roman" w:eastAsia="Times New Roman" w:hAnsi="Times New Roman" w:cs="Times New Roman"/>
                <w:color w:val="000000"/>
                <w:szCs w:val="22"/>
              </w:rPr>
              <w:t>(2004) Interferon-beta treatment decreases cholesterol plasma levels in multiple sclerosis patients. Neurology 62 (5): 829-830.</w:t>
            </w:r>
          </w:p>
        </w:tc>
      </w:tr>
      <w:tr w:rsidR="00406AEC" w:rsidRPr="00406AEC" w14:paraId="4EA70C6D" w14:textId="77777777" w:rsidTr="00406AEC">
        <w:trPr>
          <w:trHeight w:val="300"/>
        </w:trPr>
        <w:tc>
          <w:tcPr>
            <w:tcW w:w="9360" w:type="dxa"/>
            <w:tcBorders>
              <w:top w:val="nil"/>
              <w:left w:val="nil"/>
              <w:bottom w:val="nil"/>
              <w:right w:val="nil"/>
            </w:tcBorders>
            <w:shd w:val="clear" w:color="auto" w:fill="auto"/>
            <w:noWrap/>
            <w:vAlign w:val="bottom"/>
            <w:hideMark/>
          </w:tcPr>
          <w:p w14:paraId="78FAF57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Brod SA, Nelson LD, Khan M, Wolinsky JS (1997) IFN-beta 1b treatment of relapsing multiple sclerosis has no effect on CD3-induced inflammatory or counterregulatory anti-inflammatory cytokine secretion ex vivo after nine months. International journal of neuroscience 90 (1-2): 135-144.</w:t>
            </w:r>
          </w:p>
        </w:tc>
      </w:tr>
      <w:tr w:rsidR="00406AEC" w:rsidRPr="00406AEC" w14:paraId="533493AB" w14:textId="77777777" w:rsidTr="00406AEC">
        <w:trPr>
          <w:trHeight w:val="300"/>
        </w:trPr>
        <w:tc>
          <w:tcPr>
            <w:tcW w:w="9360" w:type="dxa"/>
            <w:tcBorders>
              <w:top w:val="nil"/>
              <w:left w:val="nil"/>
              <w:bottom w:val="nil"/>
              <w:right w:val="nil"/>
            </w:tcBorders>
            <w:shd w:val="clear" w:color="auto" w:fill="auto"/>
            <w:noWrap/>
            <w:vAlign w:val="bottom"/>
            <w:hideMark/>
          </w:tcPr>
          <w:p w14:paraId="79948EB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Cada</w:t>
            </w:r>
            <w:proofErr w:type="spellEnd"/>
            <w:r w:rsidRPr="00406AEC">
              <w:rPr>
                <w:rFonts w:ascii="Times New Roman" w:eastAsia="Times New Roman" w:hAnsi="Times New Roman" w:cs="Times New Roman"/>
                <w:color w:val="000000"/>
                <w:szCs w:val="22"/>
              </w:rPr>
              <w:t xml:space="preserve"> DJ, Levien T, Baker DE (2002) Interferon beta-1a. Hospital Pharmacy 37 (9): 957-963.</w:t>
            </w:r>
          </w:p>
        </w:tc>
      </w:tr>
      <w:tr w:rsidR="00406AEC" w:rsidRPr="00406AEC" w14:paraId="0176FD74" w14:textId="77777777" w:rsidTr="00406AEC">
        <w:trPr>
          <w:trHeight w:val="300"/>
        </w:trPr>
        <w:tc>
          <w:tcPr>
            <w:tcW w:w="9360" w:type="dxa"/>
            <w:tcBorders>
              <w:top w:val="nil"/>
              <w:left w:val="nil"/>
              <w:bottom w:val="nil"/>
              <w:right w:val="nil"/>
            </w:tcBorders>
            <w:shd w:val="clear" w:color="auto" w:fill="auto"/>
            <w:noWrap/>
            <w:vAlign w:val="bottom"/>
            <w:hideMark/>
          </w:tcPr>
          <w:p w14:paraId="2311EB2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Calabresi P,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Arnold D, Balcer L, Boyko A et al. Advance phase 3 study of pegylated interferon beta-1a for relapsing multiple sclerosis: Patient baseline characteristics. Neurology 78 (1 Meeting Abstract): CONFERENCE START: 2012 Apr 2021 CONFERENCE END: 2012 Apr 2028.</w:t>
            </w:r>
          </w:p>
        </w:tc>
      </w:tr>
      <w:tr w:rsidR="00406AEC" w:rsidRPr="00406AEC" w14:paraId="30936BFC" w14:textId="77777777" w:rsidTr="00406AEC">
        <w:trPr>
          <w:trHeight w:val="300"/>
        </w:trPr>
        <w:tc>
          <w:tcPr>
            <w:tcW w:w="9360" w:type="dxa"/>
            <w:tcBorders>
              <w:top w:val="nil"/>
              <w:left w:val="nil"/>
              <w:bottom w:val="nil"/>
              <w:right w:val="nil"/>
            </w:tcBorders>
            <w:shd w:val="clear" w:color="auto" w:fill="auto"/>
            <w:noWrap/>
            <w:vAlign w:val="bottom"/>
            <w:hideMark/>
          </w:tcPr>
          <w:p w14:paraId="4CE60D2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Cano S, </w:t>
            </w:r>
            <w:proofErr w:type="spellStart"/>
            <w:r w:rsidRPr="00406AEC">
              <w:rPr>
                <w:rFonts w:ascii="Times New Roman" w:eastAsia="Times New Roman" w:hAnsi="Times New Roman" w:cs="Times New Roman"/>
                <w:color w:val="000000"/>
                <w:szCs w:val="22"/>
              </w:rPr>
              <w:t>Cleanthous</w:t>
            </w:r>
            <w:proofErr w:type="spellEnd"/>
            <w:r w:rsidRPr="00406AEC">
              <w:rPr>
                <w:rFonts w:ascii="Times New Roman" w:eastAsia="Times New Roman" w:hAnsi="Times New Roman" w:cs="Times New Roman"/>
                <w:color w:val="000000"/>
                <w:szCs w:val="22"/>
              </w:rPr>
              <w:t xml:space="preserve"> S, Marquis P, Hobart J, </w:t>
            </w:r>
            <w:proofErr w:type="spellStart"/>
            <w:r w:rsidRPr="00406AEC">
              <w:rPr>
                <w:rFonts w:ascii="Times New Roman" w:eastAsia="Times New Roman" w:hAnsi="Times New Roman" w:cs="Times New Roman"/>
                <w:color w:val="000000"/>
                <w:szCs w:val="22"/>
              </w:rPr>
              <w:t>Naoshy</w:t>
            </w:r>
            <w:proofErr w:type="spellEnd"/>
            <w:r w:rsidRPr="00406AEC">
              <w:rPr>
                <w:rFonts w:ascii="Times New Roman" w:eastAsia="Times New Roman" w:hAnsi="Times New Roman" w:cs="Times New Roman"/>
                <w:color w:val="000000"/>
                <w:szCs w:val="22"/>
              </w:rPr>
              <w:t xml:space="preserve"> S et al. Measuring the impact of secondary progressive multiple sclerosis (SPMS) in the ASCEND trial: Equating the MSIS-29, MSWS-12, ABILHAND-</w:t>
            </w:r>
            <w:proofErr w:type="gramStart"/>
            <w:r w:rsidRPr="00406AEC">
              <w:rPr>
                <w:rFonts w:ascii="Times New Roman" w:eastAsia="Times New Roman" w:hAnsi="Times New Roman" w:cs="Times New Roman"/>
                <w:color w:val="000000"/>
                <w:szCs w:val="22"/>
              </w:rPr>
              <w:t>56</w:t>
            </w:r>
            <w:proofErr w:type="gramEnd"/>
            <w:r w:rsidRPr="00406AEC">
              <w:rPr>
                <w:rFonts w:ascii="Times New Roman" w:eastAsia="Times New Roman" w:hAnsi="Times New Roman" w:cs="Times New Roman"/>
                <w:color w:val="000000"/>
                <w:szCs w:val="22"/>
              </w:rPr>
              <w:t xml:space="preserve"> and SF-36. Value in health 18 (7): A713.</w:t>
            </w:r>
          </w:p>
        </w:tc>
      </w:tr>
      <w:tr w:rsidR="00406AEC" w:rsidRPr="00406AEC" w14:paraId="4B5D383C" w14:textId="77777777" w:rsidTr="00406AEC">
        <w:trPr>
          <w:trHeight w:val="300"/>
        </w:trPr>
        <w:tc>
          <w:tcPr>
            <w:tcW w:w="9360" w:type="dxa"/>
            <w:tcBorders>
              <w:top w:val="nil"/>
              <w:left w:val="nil"/>
              <w:bottom w:val="nil"/>
              <w:right w:val="nil"/>
            </w:tcBorders>
            <w:shd w:val="clear" w:color="auto" w:fill="auto"/>
            <w:noWrap/>
            <w:vAlign w:val="bottom"/>
            <w:hideMark/>
          </w:tcPr>
          <w:p w14:paraId="22A2672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Cascione M, Fang J,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Predictive value of EDSS worsening and relapse/ active T2 lesions on outcomes among patients receiving IFN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for RRMS: Post hoc analyses of PRISMS data over 4 years.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575.</w:t>
            </w:r>
          </w:p>
        </w:tc>
      </w:tr>
      <w:tr w:rsidR="00406AEC" w:rsidRPr="00406AEC" w14:paraId="78C35826" w14:textId="77777777" w:rsidTr="00406AEC">
        <w:trPr>
          <w:trHeight w:val="300"/>
        </w:trPr>
        <w:tc>
          <w:tcPr>
            <w:tcW w:w="9360" w:type="dxa"/>
            <w:tcBorders>
              <w:top w:val="nil"/>
              <w:left w:val="nil"/>
              <w:bottom w:val="nil"/>
              <w:right w:val="nil"/>
            </w:tcBorders>
            <w:shd w:val="clear" w:color="auto" w:fill="auto"/>
            <w:noWrap/>
            <w:vAlign w:val="bottom"/>
            <w:hideMark/>
          </w:tcPr>
          <w:p w14:paraId="52433E8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Chan A, Cutter G, Fox RJ, Xiao J, Lewin JB et al. (2017) Comparative effectiveness of delayed-release dimethyl fumarate versus glatiramer acetate in multiple sclerosis patients: Results of a matching-adjusted indirect comparison. Journal of Comparative Effectiveness Research 6 (4): 313-323.</w:t>
            </w:r>
          </w:p>
        </w:tc>
      </w:tr>
      <w:tr w:rsidR="00406AEC" w:rsidRPr="00406AEC" w14:paraId="665FDA22" w14:textId="77777777" w:rsidTr="00406AEC">
        <w:trPr>
          <w:trHeight w:val="300"/>
        </w:trPr>
        <w:tc>
          <w:tcPr>
            <w:tcW w:w="9360" w:type="dxa"/>
            <w:tcBorders>
              <w:top w:val="nil"/>
              <w:left w:val="nil"/>
              <w:bottom w:val="nil"/>
              <w:right w:val="nil"/>
            </w:tcBorders>
            <w:shd w:val="clear" w:color="auto" w:fill="auto"/>
            <w:noWrap/>
            <w:vAlign w:val="bottom"/>
            <w:hideMark/>
          </w:tcPr>
          <w:p w14:paraId="79199B1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Chiarini M, Capra R, Serana F, Bertoli D, Sottini A et al. </w:t>
            </w:r>
            <w:r w:rsidRPr="00406AEC">
              <w:rPr>
                <w:rFonts w:ascii="Times New Roman" w:eastAsia="Times New Roman" w:hAnsi="Times New Roman" w:cs="Times New Roman"/>
                <w:color w:val="000000"/>
                <w:szCs w:val="22"/>
              </w:rPr>
              <w:t>(2020) Simultaneous quantification of natural and inducible regulatory T-cell subsets during interferon-beta therapy of multiple sclerosis patients. Journal of translational medicine 18 (1): 169.</w:t>
            </w:r>
          </w:p>
        </w:tc>
      </w:tr>
      <w:tr w:rsidR="00406AEC" w:rsidRPr="00406AEC" w14:paraId="67D5A528" w14:textId="77777777" w:rsidTr="00406AEC">
        <w:trPr>
          <w:trHeight w:val="300"/>
        </w:trPr>
        <w:tc>
          <w:tcPr>
            <w:tcW w:w="9360" w:type="dxa"/>
            <w:tcBorders>
              <w:top w:val="nil"/>
              <w:left w:val="nil"/>
              <w:bottom w:val="nil"/>
              <w:right w:val="nil"/>
            </w:tcBorders>
            <w:shd w:val="clear" w:color="auto" w:fill="auto"/>
            <w:noWrap/>
            <w:vAlign w:val="bottom"/>
            <w:hideMark/>
          </w:tcPr>
          <w:p w14:paraId="0640324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Chinea Martinez AR, Correale J, Coyle PK, Meng X, Tenenbaum N (2014) Efficacy and Safety of Fingolimod in Hispanic Patients with Multiple Sclerosis: Pooled Clinical Trial Analyses. Advances in Therapy 31 (10): 1072-1081.</w:t>
            </w:r>
          </w:p>
        </w:tc>
      </w:tr>
      <w:tr w:rsidR="00406AEC" w:rsidRPr="00406AEC" w14:paraId="1E221EAE" w14:textId="77777777" w:rsidTr="00406AEC">
        <w:trPr>
          <w:trHeight w:val="300"/>
        </w:trPr>
        <w:tc>
          <w:tcPr>
            <w:tcW w:w="9360" w:type="dxa"/>
            <w:tcBorders>
              <w:top w:val="nil"/>
              <w:left w:val="nil"/>
              <w:bottom w:val="nil"/>
              <w:right w:val="nil"/>
            </w:tcBorders>
            <w:shd w:val="clear" w:color="auto" w:fill="auto"/>
            <w:noWrap/>
            <w:vAlign w:val="bottom"/>
            <w:hideMark/>
          </w:tcPr>
          <w:p w14:paraId="0A2DE7C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Chitnis T, Karlsson G, Haring DA, Ghezzi A, Pohl D et al. Fingolimod effect on clinical and MRI disease activity in young adult patients with relapsing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208-209.</w:t>
            </w:r>
          </w:p>
        </w:tc>
      </w:tr>
      <w:tr w:rsidR="00406AEC" w:rsidRPr="00406AEC" w14:paraId="76B894C7" w14:textId="77777777" w:rsidTr="00406AEC">
        <w:trPr>
          <w:trHeight w:val="300"/>
        </w:trPr>
        <w:tc>
          <w:tcPr>
            <w:tcW w:w="9360" w:type="dxa"/>
            <w:tcBorders>
              <w:top w:val="nil"/>
              <w:left w:val="nil"/>
              <w:bottom w:val="nil"/>
              <w:right w:val="nil"/>
            </w:tcBorders>
            <w:shd w:val="clear" w:color="auto" w:fill="auto"/>
            <w:noWrap/>
            <w:vAlign w:val="bottom"/>
            <w:hideMark/>
          </w:tcPr>
          <w:p w14:paraId="1DFFBB1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Chitnis T, Karlsson G, Haring DA, Ghezzi A, Pohl D et al. (2014) Effect of age on efficacy of fingolimod treatment: Young adult patients with multiple sclerosis demonstrate higher relative reduction of relapse rates. Annals of Neurology 76 (22): </w:t>
            </w:r>
          </w:p>
        </w:tc>
      </w:tr>
      <w:tr w:rsidR="00406AEC" w:rsidRPr="00406AEC" w14:paraId="3961420B" w14:textId="77777777" w:rsidTr="00406AEC">
        <w:trPr>
          <w:trHeight w:val="300"/>
        </w:trPr>
        <w:tc>
          <w:tcPr>
            <w:tcW w:w="9360" w:type="dxa"/>
            <w:tcBorders>
              <w:top w:val="nil"/>
              <w:left w:val="nil"/>
              <w:bottom w:val="nil"/>
              <w:right w:val="nil"/>
            </w:tcBorders>
            <w:shd w:val="clear" w:color="auto" w:fill="auto"/>
            <w:noWrap/>
            <w:vAlign w:val="bottom"/>
            <w:hideMark/>
          </w:tcPr>
          <w:p w14:paraId="22307E1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Chofflon</w:t>
            </w:r>
            <w:proofErr w:type="spellEnd"/>
            <w:r w:rsidRPr="00406AEC">
              <w:rPr>
                <w:rFonts w:ascii="Times New Roman" w:eastAsia="Times New Roman" w:hAnsi="Times New Roman" w:cs="Times New Roman"/>
                <w:color w:val="000000"/>
                <w:szCs w:val="22"/>
              </w:rPr>
              <w:t xml:space="preserve"> M, Ben-Amor AF (2002) Long-term benefits of early and high doses of interferon beta-1a treatment in relapsing-remitting multiple sclerosis. Clinical Neurology and Neurosurgery 104 (3): 244-248.</w:t>
            </w:r>
          </w:p>
        </w:tc>
      </w:tr>
      <w:tr w:rsidR="00406AEC" w:rsidRPr="00406AEC" w14:paraId="3078ABDF" w14:textId="77777777" w:rsidTr="00406AEC">
        <w:trPr>
          <w:trHeight w:val="300"/>
        </w:trPr>
        <w:tc>
          <w:tcPr>
            <w:tcW w:w="9360" w:type="dxa"/>
            <w:tcBorders>
              <w:top w:val="nil"/>
              <w:left w:val="nil"/>
              <w:bottom w:val="nil"/>
              <w:right w:val="nil"/>
            </w:tcBorders>
            <w:shd w:val="clear" w:color="auto" w:fill="auto"/>
            <w:noWrap/>
            <w:vAlign w:val="bottom"/>
            <w:hideMark/>
          </w:tcPr>
          <w:p w14:paraId="632F811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Cohen JA, Belova A, Barkhof F, Wolf C, Van Den Tweel ERW et al. </w:t>
            </w:r>
            <w:r w:rsidRPr="00406AEC">
              <w:rPr>
                <w:rFonts w:ascii="Times New Roman" w:eastAsia="Times New Roman" w:hAnsi="Times New Roman" w:cs="Times New Roman"/>
                <w:color w:val="000000"/>
                <w:szCs w:val="22"/>
              </w:rPr>
              <w:t>Switching from branded to generic glatiramer acetate: Two-year clinical data from the GATE trial further support the continued efficacy and tolerability of generic glatiramer acetate.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536-537.</w:t>
            </w:r>
          </w:p>
        </w:tc>
      </w:tr>
      <w:tr w:rsidR="00406AEC" w:rsidRPr="00406AEC" w14:paraId="10963074" w14:textId="77777777" w:rsidTr="00406AEC">
        <w:trPr>
          <w:trHeight w:val="300"/>
        </w:trPr>
        <w:tc>
          <w:tcPr>
            <w:tcW w:w="9360" w:type="dxa"/>
            <w:tcBorders>
              <w:top w:val="nil"/>
              <w:left w:val="nil"/>
              <w:bottom w:val="nil"/>
              <w:right w:val="nil"/>
            </w:tcBorders>
            <w:shd w:val="clear" w:color="auto" w:fill="auto"/>
            <w:noWrap/>
            <w:vAlign w:val="bottom"/>
            <w:hideMark/>
          </w:tcPr>
          <w:p w14:paraId="2066534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Cohen JA, O'Connor P, Zhang-Auberson L, Keil A, Collins W et al. Long-term safety of fingolimod: Updated integrated safety analyses.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(10): 1396-1397.</w:t>
            </w:r>
          </w:p>
        </w:tc>
      </w:tr>
      <w:tr w:rsidR="00406AEC" w:rsidRPr="00406AEC" w14:paraId="21FC420C" w14:textId="77777777" w:rsidTr="00406AEC">
        <w:trPr>
          <w:trHeight w:val="300"/>
        </w:trPr>
        <w:tc>
          <w:tcPr>
            <w:tcW w:w="9360" w:type="dxa"/>
            <w:tcBorders>
              <w:top w:val="nil"/>
              <w:left w:val="nil"/>
              <w:bottom w:val="nil"/>
              <w:right w:val="nil"/>
            </w:tcBorders>
            <w:shd w:val="clear" w:color="auto" w:fill="auto"/>
            <w:noWrap/>
            <w:vAlign w:val="bottom"/>
            <w:hideMark/>
          </w:tcPr>
          <w:p w14:paraId="6CCD7B3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Coles AJ, Fox E, Vladic A, Gazda SK, Brinar V et al. (2011) Alemtuzumab versus interferon beta-1a in early relapsing-remitting multiple sclerosis: Post-hoc and subset analyses of clinical efficacy outcomes. The Lancet Neurology 10 (4): 338-348.</w:t>
            </w:r>
          </w:p>
        </w:tc>
      </w:tr>
      <w:tr w:rsidR="00406AEC" w:rsidRPr="00406AEC" w14:paraId="45619B5F" w14:textId="77777777" w:rsidTr="00406AEC">
        <w:trPr>
          <w:trHeight w:val="300"/>
        </w:trPr>
        <w:tc>
          <w:tcPr>
            <w:tcW w:w="9360" w:type="dxa"/>
            <w:tcBorders>
              <w:top w:val="nil"/>
              <w:left w:val="nil"/>
              <w:bottom w:val="nil"/>
              <w:right w:val="nil"/>
            </w:tcBorders>
            <w:shd w:val="clear" w:color="auto" w:fill="auto"/>
            <w:noWrap/>
            <w:vAlign w:val="bottom"/>
            <w:hideMark/>
          </w:tcPr>
          <w:p w14:paraId="657E9D3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Cook S, Leist T, Comi G, Montalban X, Sylvester E et al. (2017) Cladribine tablets in the treatment of patients with multiple sclerosis (MS): an integrated analysis of safety from the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clinical development program.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Conference: 4th international </w:t>
            </w:r>
            <w:proofErr w:type="spellStart"/>
            <w:r w:rsidRPr="00406AEC">
              <w:rPr>
                <w:rFonts w:ascii="Times New Roman" w:eastAsia="Times New Roman" w:hAnsi="Times New Roman" w:cs="Times New Roman"/>
                <w:color w:val="000000"/>
                <w:szCs w:val="22"/>
              </w:rPr>
              <w:t>porto</w:t>
            </w:r>
            <w:proofErr w:type="spellEnd"/>
            <w:r w:rsidRPr="00406AEC">
              <w:rPr>
                <w:rFonts w:ascii="Times New Roman" w:eastAsia="Times New Roman" w:hAnsi="Times New Roman" w:cs="Times New Roman"/>
                <w:color w:val="000000"/>
                <w:szCs w:val="22"/>
              </w:rPr>
              <w:t xml:space="preserve"> congress of multiple sclerosis. Portugal. 17 (1): 162.</w:t>
            </w:r>
          </w:p>
        </w:tc>
      </w:tr>
      <w:tr w:rsidR="00406AEC" w:rsidRPr="00406AEC" w14:paraId="28EAAC7D" w14:textId="77777777" w:rsidTr="00406AEC">
        <w:trPr>
          <w:trHeight w:val="300"/>
        </w:trPr>
        <w:tc>
          <w:tcPr>
            <w:tcW w:w="9360" w:type="dxa"/>
            <w:tcBorders>
              <w:top w:val="nil"/>
              <w:left w:val="nil"/>
              <w:bottom w:val="nil"/>
              <w:right w:val="nil"/>
            </w:tcBorders>
            <w:shd w:val="clear" w:color="auto" w:fill="auto"/>
            <w:noWrap/>
            <w:vAlign w:val="bottom"/>
            <w:hideMark/>
          </w:tcPr>
          <w:p w14:paraId="4C92704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 Miller A, Gold R,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Khatri B et al. (2018) Lymphocyte counts in patients treated with teriflunomide: observations from phase 3 clinical trials and the real-world </w:t>
            </w:r>
            <w:proofErr w:type="spellStart"/>
            <w:r w:rsidRPr="00406AEC">
              <w:rPr>
                <w:rFonts w:ascii="Times New Roman" w:eastAsia="Times New Roman" w:hAnsi="Times New Roman" w:cs="Times New Roman"/>
                <w:color w:val="000000"/>
                <w:szCs w:val="22"/>
              </w:rPr>
              <w:t>teri</w:t>
            </w:r>
            <w:proofErr w:type="spellEnd"/>
            <w:r w:rsidRPr="00406AEC">
              <w:rPr>
                <w:rFonts w:ascii="Times New Roman" w:eastAsia="Times New Roman" w:hAnsi="Times New Roman" w:cs="Times New Roman"/>
                <w:color w:val="000000"/>
                <w:szCs w:val="22"/>
              </w:rPr>
              <w:t xml:space="preserve">-pro study. Neurology 90 (15): </w:t>
            </w:r>
          </w:p>
        </w:tc>
      </w:tr>
      <w:tr w:rsidR="00406AEC" w:rsidRPr="00406AEC" w14:paraId="56EB43F6" w14:textId="77777777" w:rsidTr="00406AEC">
        <w:trPr>
          <w:trHeight w:val="300"/>
        </w:trPr>
        <w:tc>
          <w:tcPr>
            <w:tcW w:w="9360" w:type="dxa"/>
            <w:tcBorders>
              <w:top w:val="nil"/>
              <w:left w:val="nil"/>
              <w:bottom w:val="nil"/>
              <w:right w:val="nil"/>
            </w:tcBorders>
            <w:shd w:val="clear" w:color="auto" w:fill="auto"/>
            <w:noWrap/>
            <w:vAlign w:val="bottom"/>
            <w:hideMark/>
          </w:tcPr>
          <w:p w14:paraId="4DE7F69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PK, Freedman MS,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Fang J, Reder AT Predictive value of early MRI measures for long-term disease activity in patients with relapsing-remitting multiple sclerosis receiving IFN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or IFN beta-1a IM QW: Post hoc analyses of the EVIDENCE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594-595.</w:t>
            </w:r>
          </w:p>
        </w:tc>
      </w:tr>
      <w:tr w:rsidR="00406AEC" w:rsidRPr="00406AEC" w14:paraId="4AD009AA" w14:textId="77777777" w:rsidTr="00406AEC">
        <w:trPr>
          <w:trHeight w:val="300"/>
        </w:trPr>
        <w:tc>
          <w:tcPr>
            <w:tcW w:w="9360" w:type="dxa"/>
            <w:tcBorders>
              <w:top w:val="nil"/>
              <w:left w:val="nil"/>
              <w:bottom w:val="nil"/>
              <w:right w:val="nil"/>
            </w:tcBorders>
            <w:shd w:val="clear" w:color="auto" w:fill="auto"/>
            <w:noWrap/>
            <w:vAlign w:val="bottom"/>
            <w:hideMark/>
          </w:tcPr>
          <w:p w14:paraId="1A9B170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PK, Freedman MS, Zhang H,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Reder AT (2016) Early MRI Lesions as a predictor for longer term disease activity among patients with RRMS receiving IFN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or IFN beta-1a IM </w:t>
            </w:r>
            <w:proofErr w:type="spellStart"/>
            <w:r w:rsidRPr="00406AEC">
              <w:rPr>
                <w:rFonts w:ascii="Times New Roman" w:eastAsia="Times New Roman" w:hAnsi="Times New Roman" w:cs="Times New Roman"/>
                <w:color w:val="000000"/>
                <w:szCs w:val="22"/>
              </w:rPr>
              <w:t>qw</w:t>
            </w:r>
            <w:proofErr w:type="spellEnd"/>
            <w:r w:rsidRPr="00406AEC">
              <w:rPr>
                <w:rFonts w:ascii="Times New Roman" w:eastAsia="Times New Roman" w:hAnsi="Times New Roman" w:cs="Times New Roman"/>
                <w:color w:val="000000"/>
                <w:szCs w:val="22"/>
              </w:rPr>
              <w:t xml:space="preserve">: post hoc analyses of EVIDENCE.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(803): </w:t>
            </w:r>
          </w:p>
        </w:tc>
      </w:tr>
      <w:tr w:rsidR="00406AEC" w:rsidRPr="00406AEC" w14:paraId="3529E290" w14:textId="77777777" w:rsidTr="00406AEC">
        <w:trPr>
          <w:trHeight w:val="300"/>
        </w:trPr>
        <w:tc>
          <w:tcPr>
            <w:tcW w:w="9360" w:type="dxa"/>
            <w:tcBorders>
              <w:top w:val="nil"/>
              <w:left w:val="nil"/>
              <w:bottom w:val="nil"/>
              <w:right w:val="nil"/>
            </w:tcBorders>
            <w:shd w:val="clear" w:color="auto" w:fill="auto"/>
            <w:noWrap/>
            <w:vAlign w:val="bottom"/>
            <w:hideMark/>
          </w:tcPr>
          <w:p w14:paraId="2A0FA49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Coyle PK, Shang S, Xiao Z, Dong Q,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(2018) Matching-adjusted comparisons demonstrate better clinical outcomes with SC peginterferon beta-1a every two weeks than with SC interferon beta-1a three times per week. Multiple Sclerosis and Related Disorders 22 134-138.</w:t>
            </w:r>
          </w:p>
        </w:tc>
      </w:tr>
      <w:tr w:rsidR="00406AEC" w:rsidRPr="00406AEC" w14:paraId="597FDF08" w14:textId="77777777" w:rsidTr="00406AEC">
        <w:trPr>
          <w:trHeight w:val="300"/>
        </w:trPr>
        <w:tc>
          <w:tcPr>
            <w:tcW w:w="9360" w:type="dxa"/>
            <w:tcBorders>
              <w:top w:val="nil"/>
              <w:left w:val="nil"/>
              <w:bottom w:val="nil"/>
              <w:right w:val="nil"/>
            </w:tcBorders>
            <w:shd w:val="clear" w:color="auto" w:fill="auto"/>
            <w:noWrap/>
            <w:vAlign w:val="bottom"/>
            <w:hideMark/>
          </w:tcPr>
          <w:p w14:paraId="22E5808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Cree BAC, Al-Sabbagh A, Bennett R, Goodin D (2005) Response to interferon beta-1a treatment in African American multiple sclerosis patients. Archives of neurology 62 (11): 1681-1683.</w:t>
            </w:r>
          </w:p>
        </w:tc>
      </w:tr>
      <w:tr w:rsidR="00406AEC" w:rsidRPr="00406AEC" w14:paraId="12C467AF" w14:textId="77777777" w:rsidTr="00406AEC">
        <w:trPr>
          <w:trHeight w:val="300"/>
        </w:trPr>
        <w:tc>
          <w:tcPr>
            <w:tcW w:w="9360" w:type="dxa"/>
            <w:tcBorders>
              <w:top w:val="nil"/>
              <w:left w:val="nil"/>
              <w:bottom w:val="nil"/>
              <w:right w:val="nil"/>
            </w:tcBorders>
            <w:shd w:val="clear" w:color="auto" w:fill="auto"/>
            <w:noWrap/>
            <w:vAlign w:val="bottom"/>
            <w:hideMark/>
          </w:tcPr>
          <w:p w14:paraId="199C0DA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Cree BAC, Cohen JA, Reder AT, Tomic D, Silva D et al. (2021) Disability improvement as a clinically relevant outcome in clinical trials of relapsing forms of multiple sclerosis. Multiple sclerosis journal </w:t>
            </w:r>
          </w:p>
        </w:tc>
      </w:tr>
      <w:tr w:rsidR="00406AEC" w:rsidRPr="00406AEC" w14:paraId="549AFCA7" w14:textId="77777777" w:rsidTr="00406AEC">
        <w:trPr>
          <w:trHeight w:val="300"/>
        </w:trPr>
        <w:tc>
          <w:tcPr>
            <w:tcW w:w="9360" w:type="dxa"/>
            <w:tcBorders>
              <w:top w:val="nil"/>
              <w:left w:val="nil"/>
              <w:bottom w:val="nil"/>
              <w:right w:val="nil"/>
            </w:tcBorders>
            <w:shd w:val="clear" w:color="auto" w:fill="auto"/>
            <w:noWrap/>
            <w:vAlign w:val="bottom"/>
            <w:hideMark/>
          </w:tcPr>
          <w:p w14:paraId="13CA57E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Cree BAC, Stuart WH, Tornatore CS, Jeffery DR, Pace AL et al. (2011) Efficacy of Natalizumab therapy in patients of African descent with relapsing multiple sclerosis: Analysis of AFFIRM and SENTINEL data. Archives of neurology 68 (4): 464-468.</w:t>
            </w:r>
          </w:p>
        </w:tc>
      </w:tr>
      <w:tr w:rsidR="00406AEC" w:rsidRPr="00406AEC" w14:paraId="76097B72" w14:textId="77777777" w:rsidTr="00406AEC">
        <w:trPr>
          <w:trHeight w:val="300"/>
        </w:trPr>
        <w:tc>
          <w:tcPr>
            <w:tcW w:w="9360" w:type="dxa"/>
            <w:tcBorders>
              <w:top w:val="nil"/>
              <w:left w:val="nil"/>
              <w:bottom w:val="nil"/>
              <w:right w:val="nil"/>
            </w:tcBorders>
            <w:shd w:val="clear" w:color="auto" w:fill="auto"/>
            <w:noWrap/>
            <w:vAlign w:val="bottom"/>
            <w:hideMark/>
          </w:tcPr>
          <w:p w14:paraId="58DB744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Daigl</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Jhuti</w:t>
            </w:r>
            <w:proofErr w:type="spellEnd"/>
            <w:r w:rsidRPr="00406AEC">
              <w:rPr>
                <w:rFonts w:ascii="Times New Roman" w:eastAsia="Times New Roman" w:hAnsi="Times New Roman" w:cs="Times New Roman"/>
                <w:color w:val="000000"/>
                <w:szCs w:val="22"/>
              </w:rPr>
              <w:t xml:space="preserve"> GS, McDougall F, Bennett I (2017) Impact of disease activity measures and patient characteristics on health utilities in RMS. Value in health 20 (9): A728-.</w:t>
            </w:r>
          </w:p>
        </w:tc>
      </w:tr>
      <w:tr w:rsidR="00406AEC" w:rsidRPr="00406AEC" w14:paraId="5D627F4D" w14:textId="77777777" w:rsidTr="00406AEC">
        <w:trPr>
          <w:trHeight w:val="300"/>
        </w:trPr>
        <w:tc>
          <w:tcPr>
            <w:tcW w:w="9360" w:type="dxa"/>
            <w:tcBorders>
              <w:top w:val="nil"/>
              <w:left w:val="nil"/>
              <w:bottom w:val="nil"/>
              <w:right w:val="nil"/>
            </w:tcBorders>
            <w:shd w:val="clear" w:color="auto" w:fill="auto"/>
            <w:noWrap/>
            <w:vAlign w:val="bottom"/>
            <w:hideMark/>
          </w:tcPr>
          <w:p w14:paraId="64D1BD9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Demina TL, </w:t>
            </w:r>
            <w:proofErr w:type="spellStart"/>
            <w:r w:rsidRPr="00406AEC">
              <w:rPr>
                <w:rFonts w:ascii="Times New Roman" w:eastAsia="Times New Roman" w:hAnsi="Times New Roman" w:cs="Times New Roman"/>
                <w:color w:val="000000"/>
                <w:szCs w:val="22"/>
              </w:rPr>
              <w:t>Khachanova</w:t>
            </w:r>
            <w:proofErr w:type="spellEnd"/>
            <w:r w:rsidRPr="00406AEC">
              <w:rPr>
                <w:rFonts w:ascii="Times New Roman" w:eastAsia="Times New Roman" w:hAnsi="Times New Roman" w:cs="Times New Roman"/>
                <w:color w:val="000000"/>
                <w:szCs w:val="22"/>
              </w:rPr>
              <w:t xml:space="preserve"> NV, </w:t>
            </w:r>
            <w:proofErr w:type="spellStart"/>
            <w:r w:rsidRPr="00406AEC">
              <w:rPr>
                <w:rFonts w:ascii="Times New Roman" w:eastAsia="Times New Roman" w:hAnsi="Times New Roman" w:cs="Times New Roman"/>
                <w:color w:val="000000"/>
                <w:szCs w:val="22"/>
              </w:rPr>
              <w:t>Davydovskaya</w:t>
            </w:r>
            <w:proofErr w:type="spellEnd"/>
            <w:r w:rsidRPr="00406AEC">
              <w:rPr>
                <w:rFonts w:ascii="Times New Roman" w:eastAsia="Times New Roman" w:hAnsi="Times New Roman" w:cs="Times New Roman"/>
                <w:color w:val="000000"/>
                <w:szCs w:val="22"/>
              </w:rPr>
              <w:t xml:space="preserve"> MV, Popova NF, Gusev EI (2009) Efficacy and safety of prolonged immunomodulatory treatment with interferon beta. Neuroscience and Behavioral Physiology 39 (5): 497-499.</w:t>
            </w:r>
          </w:p>
        </w:tc>
      </w:tr>
      <w:tr w:rsidR="00406AEC" w:rsidRPr="00406AEC" w14:paraId="5E5C7984" w14:textId="77777777" w:rsidTr="00406AEC">
        <w:trPr>
          <w:trHeight w:val="300"/>
        </w:trPr>
        <w:tc>
          <w:tcPr>
            <w:tcW w:w="9360" w:type="dxa"/>
            <w:tcBorders>
              <w:top w:val="nil"/>
              <w:left w:val="nil"/>
              <w:bottom w:val="nil"/>
              <w:right w:val="nil"/>
            </w:tcBorders>
            <w:shd w:val="clear" w:color="auto" w:fill="auto"/>
            <w:noWrap/>
            <w:vAlign w:val="bottom"/>
            <w:hideMark/>
          </w:tcPr>
          <w:p w14:paraId="26BA911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Derfuss T, Ontaneda D, Nicholas J, Meng X, Hawker K (2015) Relapse outcomes in patients with multiple sclerosis treated with fingolimod: Subgroup analyses of three phase 3 fingolimod trials. Neurology 84 (18): </w:t>
            </w:r>
          </w:p>
        </w:tc>
      </w:tr>
      <w:tr w:rsidR="00406AEC" w:rsidRPr="00406AEC" w14:paraId="726B4970" w14:textId="77777777" w:rsidTr="00406AEC">
        <w:trPr>
          <w:trHeight w:val="300"/>
        </w:trPr>
        <w:tc>
          <w:tcPr>
            <w:tcW w:w="9360" w:type="dxa"/>
            <w:tcBorders>
              <w:top w:val="nil"/>
              <w:left w:val="nil"/>
              <w:bottom w:val="nil"/>
              <w:right w:val="nil"/>
            </w:tcBorders>
            <w:shd w:val="clear" w:color="auto" w:fill="auto"/>
            <w:noWrap/>
            <w:vAlign w:val="bottom"/>
            <w:hideMark/>
          </w:tcPr>
          <w:p w14:paraId="1CAEA13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Derfuss T, Ontaneda D, Nicholas J, Meng X, Hawker K (2016) Relapse rates in patients with multiple sclerosis treated with fingolimod: Subgroup analyses of pooled data from three phase 3 trials. Multiple Sclerosis and Related Disorders 8 124-130.</w:t>
            </w:r>
          </w:p>
        </w:tc>
      </w:tr>
      <w:tr w:rsidR="00406AEC" w:rsidRPr="00406AEC" w14:paraId="632551BF" w14:textId="77777777" w:rsidTr="00406AEC">
        <w:trPr>
          <w:trHeight w:val="300"/>
        </w:trPr>
        <w:tc>
          <w:tcPr>
            <w:tcW w:w="9360" w:type="dxa"/>
            <w:tcBorders>
              <w:top w:val="nil"/>
              <w:left w:val="nil"/>
              <w:bottom w:val="nil"/>
              <w:right w:val="nil"/>
            </w:tcBorders>
            <w:shd w:val="clear" w:color="auto" w:fill="auto"/>
            <w:noWrap/>
            <w:vAlign w:val="bottom"/>
            <w:hideMark/>
          </w:tcPr>
          <w:p w14:paraId="18ED501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Ebers G, Cutter G, Rametta M, Reder A, Goodin D et al. (2011) Cause of death in multiple sclerosis patients from a 21-year long-term follow-up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S412-S413.</w:t>
            </w:r>
          </w:p>
        </w:tc>
      </w:tr>
      <w:tr w:rsidR="00406AEC" w:rsidRPr="00406AEC" w14:paraId="7A3AF6EE" w14:textId="77777777" w:rsidTr="00406AEC">
        <w:trPr>
          <w:trHeight w:val="300"/>
        </w:trPr>
        <w:tc>
          <w:tcPr>
            <w:tcW w:w="9360" w:type="dxa"/>
            <w:tcBorders>
              <w:top w:val="nil"/>
              <w:left w:val="nil"/>
              <w:bottom w:val="nil"/>
              <w:right w:val="nil"/>
            </w:tcBorders>
            <w:shd w:val="clear" w:color="auto" w:fill="auto"/>
            <w:noWrap/>
            <w:vAlign w:val="bottom"/>
            <w:hideMark/>
          </w:tcPr>
          <w:p w14:paraId="29BE07B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Ebers G, Goodin D, Reder A,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(2011) Cause of death in patients with multiple sclerosis examined in the 21-Year Long-Term Follow-Up study. Journal of Neurology 258 </w:t>
            </w:r>
          </w:p>
        </w:tc>
      </w:tr>
      <w:tr w:rsidR="00406AEC" w:rsidRPr="00406AEC" w14:paraId="3ECE155F" w14:textId="77777777" w:rsidTr="00406AEC">
        <w:trPr>
          <w:trHeight w:val="300"/>
        </w:trPr>
        <w:tc>
          <w:tcPr>
            <w:tcW w:w="9360" w:type="dxa"/>
            <w:tcBorders>
              <w:top w:val="nil"/>
              <w:left w:val="nil"/>
              <w:bottom w:val="nil"/>
              <w:right w:val="nil"/>
            </w:tcBorders>
            <w:shd w:val="clear" w:color="auto" w:fill="auto"/>
            <w:noWrap/>
            <w:vAlign w:val="bottom"/>
            <w:hideMark/>
          </w:tcPr>
          <w:p w14:paraId="4320078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Ebers GC, Cook S, Cutter G, Goodin DS, Reder AT et al. (2011) Cause of death in multiple sclerosis patients from the 21-year long-term follow-up study. European journal of neurology 18 (60): </w:t>
            </w:r>
          </w:p>
        </w:tc>
      </w:tr>
      <w:tr w:rsidR="00406AEC" w:rsidRPr="00406AEC" w14:paraId="173783E2" w14:textId="77777777" w:rsidTr="00406AEC">
        <w:trPr>
          <w:trHeight w:val="300"/>
        </w:trPr>
        <w:tc>
          <w:tcPr>
            <w:tcW w:w="9360" w:type="dxa"/>
            <w:tcBorders>
              <w:top w:val="nil"/>
              <w:left w:val="nil"/>
              <w:bottom w:val="nil"/>
              <w:right w:val="nil"/>
            </w:tcBorders>
            <w:shd w:val="clear" w:color="auto" w:fill="auto"/>
            <w:noWrap/>
            <w:vAlign w:val="bottom"/>
            <w:hideMark/>
          </w:tcPr>
          <w:p w14:paraId="0316A7F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Eraly S, Fiore D, Allaire N, Li H, Tang W et al. </w:t>
            </w:r>
            <w:r w:rsidRPr="00406AEC">
              <w:rPr>
                <w:rFonts w:ascii="Times New Roman" w:eastAsia="Times New Roman" w:hAnsi="Times New Roman" w:cs="Times New Roman"/>
                <w:color w:val="000000"/>
                <w:szCs w:val="22"/>
              </w:rPr>
              <w:t xml:space="preserve">(2016) Peginterferon beta-1a is effective in RRMS regardless of pretreatment expression of interferon signature genes: results from a sub-study of ADVANCE.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22 619-620.</w:t>
            </w:r>
          </w:p>
        </w:tc>
      </w:tr>
      <w:tr w:rsidR="00406AEC" w:rsidRPr="00406AEC" w14:paraId="57EEFDCB" w14:textId="77777777" w:rsidTr="00406AEC">
        <w:trPr>
          <w:trHeight w:val="300"/>
        </w:trPr>
        <w:tc>
          <w:tcPr>
            <w:tcW w:w="9360" w:type="dxa"/>
            <w:tcBorders>
              <w:top w:val="nil"/>
              <w:left w:val="nil"/>
              <w:bottom w:val="nil"/>
              <w:right w:val="nil"/>
            </w:tcBorders>
            <w:shd w:val="clear" w:color="auto" w:fill="auto"/>
            <w:noWrap/>
            <w:vAlign w:val="bottom"/>
            <w:hideMark/>
          </w:tcPr>
          <w:p w14:paraId="47CB28F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(2009) A prospective, open label, non-</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clinical trial to determine if natalizumab (Tysabri) improves ambulatory measures in relapsing remitting multiple sclerosis (RRMS) patients. - TIMER. http://wwwwhoint/trialsearch/Trial2aspx?TrialID=EUCTR2009 </w:t>
            </w:r>
          </w:p>
        </w:tc>
      </w:tr>
      <w:tr w:rsidR="00406AEC" w:rsidRPr="00406AEC" w14:paraId="25C333F1" w14:textId="77777777" w:rsidTr="00406AEC">
        <w:trPr>
          <w:trHeight w:val="300"/>
        </w:trPr>
        <w:tc>
          <w:tcPr>
            <w:tcW w:w="9360" w:type="dxa"/>
            <w:tcBorders>
              <w:top w:val="nil"/>
              <w:left w:val="nil"/>
              <w:bottom w:val="nil"/>
              <w:right w:val="nil"/>
            </w:tcBorders>
            <w:shd w:val="clear" w:color="auto" w:fill="auto"/>
            <w:noWrap/>
            <w:vAlign w:val="bottom"/>
            <w:hideMark/>
          </w:tcPr>
          <w:p w14:paraId="068B36D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FI (2009) A multinational, multicenter, single visit, exploratory pharmacogenetic trial and long-term follow-up of the PRISMS (Prevention of Relapses and Disability by Interferon beta-1a Subcutaneously in Multiple Sclerosis) trial - PRISMS-15. http://wwwwhoint/trialsearch/Trial2aspx?TrialID=EUCTR2009 </w:t>
            </w:r>
          </w:p>
        </w:tc>
      </w:tr>
      <w:tr w:rsidR="00406AEC" w:rsidRPr="00406AEC" w14:paraId="0BB6CAD6" w14:textId="77777777" w:rsidTr="00406AEC">
        <w:trPr>
          <w:trHeight w:val="300"/>
        </w:trPr>
        <w:tc>
          <w:tcPr>
            <w:tcW w:w="9360" w:type="dxa"/>
            <w:tcBorders>
              <w:top w:val="nil"/>
              <w:left w:val="nil"/>
              <w:bottom w:val="nil"/>
              <w:right w:val="nil"/>
            </w:tcBorders>
            <w:shd w:val="clear" w:color="auto" w:fill="auto"/>
            <w:noWrap/>
            <w:vAlign w:val="bottom"/>
            <w:hideMark/>
          </w:tcPr>
          <w:p w14:paraId="4CAC5E9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PL (2014) A safety and efficacy study of BG00012 in slowing the progression of disability in patients with Secondary Progressive Multiple Sclerosis. http://wwwwhoint/trialsearch/Trial2aspx?TrialID=EUCTR2014 </w:t>
            </w:r>
          </w:p>
        </w:tc>
      </w:tr>
      <w:tr w:rsidR="00406AEC" w:rsidRPr="00406AEC" w14:paraId="7E50FD94" w14:textId="77777777" w:rsidTr="00406AEC">
        <w:trPr>
          <w:trHeight w:val="300"/>
        </w:trPr>
        <w:tc>
          <w:tcPr>
            <w:tcW w:w="9360" w:type="dxa"/>
            <w:tcBorders>
              <w:top w:val="nil"/>
              <w:left w:val="nil"/>
              <w:bottom w:val="nil"/>
              <w:right w:val="nil"/>
            </w:tcBorders>
            <w:shd w:val="clear" w:color="auto" w:fill="auto"/>
            <w:noWrap/>
            <w:vAlign w:val="bottom"/>
            <w:hideMark/>
          </w:tcPr>
          <w:p w14:paraId="7E903BB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Fainardi E, Rizzo R, Melchiorri L, Castellazzi M, Govoni V et al. </w:t>
            </w:r>
            <w:r w:rsidRPr="00406AEC">
              <w:rPr>
                <w:rFonts w:ascii="Times New Roman" w:eastAsia="Times New Roman" w:hAnsi="Times New Roman" w:cs="Times New Roman"/>
                <w:color w:val="000000"/>
                <w:szCs w:val="22"/>
              </w:rPr>
              <w:t xml:space="preserve">(2004) Beneficial effect of interferon-beta 1b treatment in patients with relapsing-remitting multiple sclerosis is associated </w:t>
            </w:r>
            <w:r w:rsidRPr="00406AEC">
              <w:rPr>
                <w:rFonts w:ascii="Times New Roman" w:eastAsia="Times New Roman" w:hAnsi="Times New Roman" w:cs="Times New Roman"/>
                <w:color w:val="000000"/>
                <w:szCs w:val="22"/>
              </w:rPr>
              <w:lastRenderedPageBreak/>
              <w:t>with an increase in serum levels of soluble HLA-I molecules during the first 3 months of therapy. Journal of Neuroimmunology 148 (1-2): 206-211.</w:t>
            </w:r>
          </w:p>
        </w:tc>
      </w:tr>
      <w:tr w:rsidR="00406AEC" w:rsidRPr="00406AEC" w14:paraId="68779753" w14:textId="77777777" w:rsidTr="00406AEC">
        <w:trPr>
          <w:trHeight w:val="300"/>
        </w:trPr>
        <w:tc>
          <w:tcPr>
            <w:tcW w:w="9360" w:type="dxa"/>
            <w:tcBorders>
              <w:top w:val="nil"/>
              <w:left w:val="nil"/>
              <w:bottom w:val="nil"/>
              <w:right w:val="nil"/>
            </w:tcBorders>
            <w:shd w:val="clear" w:color="auto" w:fill="auto"/>
            <w:noWrap/>
            <w:vAlign w:val="bottom"/>
            <w:hideMark/>
          </w:tcPr>
          <w:p w14:paraId="041D05E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lastRenderedPageBreak/>
              <w:t xml:space="preserve">Fang J, </w:t>
            </w:r>
            <w:proofErr w:type="spellStart"/>
            <w:r w:rsidRPr="00713F1E">
              <w:rPr>
                <w:rFonts w:ascii="Times New Roman" w:eastAsia="Times New Roman" w:hAnsi="Times New Roman" w:cs="Times New Roman"/>
                <w:color w:val="000000"/>
                <w:szCs w:val="22"/>
                <w:lang w:val="fr-FR"/>
              </w:rPr>
              <w:t>Coyle</w:t>
            </w:r>
            <w:proofErr w:type="spellEnd"/>
            <w:r w:rsidRPr="00713F1E">
              <w:rPr>
                <w:rFonts w:ascii="Times New Roman" w:eastAsia="Times New Roman" w:hAnsi="Times New Roman" w:cs="Times New Roman"/>
                <w:color w:val="000000"/>
                <w:szCs w:val="22"/>
                <w:lang w:val="fr-FR"/>
              </w:rPr>
              <w:t xml:space="preserve"> P, Hassan A, </w:t>
            </w:r>
            <w:proofErr w:type="spellStart"/>
            <w:r w:rsidRPr="00713F1E">
              <w:rPr>
                <w:rFonts w:ascii="Times New Roman" w:eastAsia="Times New Roman" w:hAnsi="Times New Roman" w:cs="Times New Roman"/>
                <w:color w:val="000000"/>
                <w:szCs w:val="22"/>
                <w:lang w:val="fr-FR"/>
              </w:rPr>
              <w:t>Cha</w:t>
            </w:r>
            <w:proofErr w:type="spellEnd"/>
            <w:r w:rsidRPr="00713F1E">
              <w:rPr>
                <w:rFonts w:ascii="Times New Roman" w:eastAsia="Times New Roman" w:hAnsi="Times New Roman" w:cs="Times New Roman"/>
                <w:color w:val="000000"/>
                <w:szCs w:val="22"/>
                <w:lang w:val="fr-FR"/>
              </w:rPr>
              <w:t xml:space="preserve"> C, </w:t>
            </w:r>
            <w:proofErr w:type="spellStart"/>
            <w:r w:rsidRPr="00713F1E">
              <w:rPr>
                <w:rFonts w:ascii="Times New Roman" w:eastAsia="Times New Roman" w:hAnsi="Times New Roman" w:cs="Times New Roman"/>
                <w:color w:val="000000"/>
                <w:szCs w:val="22"/>
                <w:lang w:val="fr-FR"/>
              </w:rPr>
              <w:t>Dangond</w:t>
            </w:r>
            <w:proofErr w:type="spellEnd"/>
            <w:r w:rsidRPr="00713F1E">
              <w:rPr>
                <w:rFonts w:ascii="Times New Roman" w:eastAsia="Times New Roman" w:hAnsi="Times New Roman" w:cs="Times New Roman"/>
                <w:color w:val="000000"/>
                <w:szCs w:val="22"/>
                <w:lang w:val="fr-FR"/>
              </w:rPr>
              <w:t xml:space="preserve"> F et al. </w:t>
            </w:r>
            <w:r w:rsidRPr="00406AEC">
              <w:rPr>
                <w:rFonts w:ascii="Times New Roman" w:eastAsia="Times New Roman" w:hAnsi="Times New Roman" w:cs="Times New Roman"/>
                <w:color w:val="000000"/>
                <w:szCs w:val="22"/>
              </w:rPr>
              <w:t xml:space="preserve">(2015) No evidence of disease activity in patients with relapsing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treated with interferon beta-1a </w:t>
            </w:r>
            <w:proofErr w:type="spellStart"/>
            <w:r w:rsidRPr="00406AEC">
              <w:rPr>
                <w:rFonts w:ascii="Times New Roman" w:eastAsia="Times New Roman" w:hAnsi="Times New Roman" w:cs="Times New Roman"/>
                <w:color w:val="000000"/>
                <w:szCs w:val="22"/>
              </w:rPr>
              <w:t>sc</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versus interferon beta-1a IM QW: Subgroup analyses of the evidence study. Neurology 84 (18): </w:t>
            </w:r>
          </w:p>
        </w:tc>
      </w:tr>
      <w:tr w:rsidR="00406AEC" w:rsidRPr="00406AEC" w14:paraId="31676A1B" w14:textId="77777777" w:rsidTr="00406AEC">
        <w:trPr>
          <w:trHeight w:val="300"/>
        </w:trPr>
        <w:tc>
          <w:tcPr>
            <w:tcW w:w="9360" w:type="dxa"/>
            <w:tcBorders>
              <w:top w:val="nil"/>
              <w:left w:val="nil"/>
              <w:bottom w:val="nil"/>
              <w:right w:val="nil"/>
            </w:tcBorders>
            <w:shd w:val="clear" w:color="auto" w:fill="auto"/>
            <w:noWrap/>
            <w:vAlign w:val="bottom"/>
            <w:hideMark/>
          </w:tcPr>
          <w:p w14:paraId="4EF53E6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Fazekas F, </w:t>
            </w:r>
            <w:proofErr w:type="spellStart"/>
            <w:r w:rsidRPr="00406AEC">
              <w:rPr>
                <w:rFonts w:ascii="Times New Roman" w:eastAsia="Times New Roman" w:hAnsi="Times New Roman" w:cs="Times New Roman"/>
                <w:color w:val="000000"/>
                <w:szCs w:val="22"/>
              </w:rPr>
              <w:t>Bajenaru</w:t>
            </w:r>
            <w:proofErr w:type="spellEnd"/>
            <w:r w:rsidRPr="00406AEC">
              <w:rPr>
                <w:rFonts w:ascii="Times New Roman" w:eastAsia="Times New Roman" w:hAnsi="Times New Roman" w:cs="Times New Roman"/>
                <w:color w:val="000000"/>
                <w:szCs w:val="22"/>
              </w:rPr>
              <w:t xml:space="preserve"> O, Berger T, Fabjan TH, Ledinek AH et al. (2013) How does fingolimod (</w:t>
            </w:r>
            <w:proofErr w:type="spellStart"/>
            <w:r w:rsidRPr="00406AEC">
              <w:rPr>
                <w:rFonts w:ascii="Times New Roman" w:eastAsia="Times New Roman" w:hAnsi="Times New Roman" w:cs="Times New Roman"/>
                <w:color w:val="000000"/>
                <w:szCs w:val="22"/>
              </w:rPr>
              <w:t>gilenya</w:t>
            </w:r>
            <w:proofErr w:type="spellEnd"/>
            <w:r w:rsidRPr="00406AEC">
              <w:rPr>
                <w:rFonts w:ascii="Times New Roman" w:eastAsia="Times New Roman" w:hAnsi="Times New Roman" w:cs="Times New Roman"/>
                <w:color w:val="000000"/>
                <w:szCs w:val="22"/>
              </w:rPr>
              <w:t xml:space="preserve">) fit in the treatment algorithm for highly active relapsing-remitting multiple sclerosis? Frontiers in neurology 4 MAY (no pagination) </w:t>
            </w:r>
          </w:p>
        </w:tc>
      </w:tr>
      <w:tr w:rsidR="00406AEC" w:rsidRPr="00406AEC" w14:paraId="2945994D" w14:textId="77777777" w:rsidTr="00406AEC">
        <w:trPr>
          <w:trHeight w:val="300"/>
        </w:trPr>
        <w:tc>
          <w:tcPr>
            <w:tcW w:w="9360" w:type="dxa"/>
            <w:tcBorders>
              <w:top w:val="nil"/>
              <w:left w:val="nil"/>
              <w:bottom w:val="nil"/>
              <w:right w:val="nil"/>
            </w:tcBorders>
            <w:shd w:val="clear" w:color="auto" w:fill="auto"/>
            <w:noWrap/>
            <w:vAlign w:val="bottom"/>
            <w:hideMark/>
          </w:tcPr>
          <w:p w14:paraId="675E573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Fernandez O, Giovannoni G, Fox RJ, Gold R, Phillips JT et al. Efficacy of delayed-release dimethyl fumarate for RRMS in prior interferon users in the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96.</w:t>
            </w:r>
          </w:p>
        </w:tc>
      </w:tr>
      <w:tr w:rsidR="00406AEC" w:rsidRPr="00406AEC" w14:paraId="7F88556F" w14:textId="77777777" w:rsidTr="00406AEC">
        <w:trPr>
          <w:trHeight w:val="300"/>
        </w:trPr>
        <w:tc>
          <w:tcPr>
            <w:tcW w:w="9360" w:type="dxa"/>
            <w:tcBorders>
              <w:top w:val="nil"/>
              <w:left w:val="nil"/>
              <w:bottom w:val="nil"/>
              <w:right w:val="nil"/>
            </w:tcBorders>
            <w:shd w:val="clear" w:color="auto" w:fill="auto"/>
            <w:noWrap/>
            <w:vAlign w:val="bottom"/>
            <w:hideMark/>
          </w:tcPr>
          <w:p w14:paraId="6E16E62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Fernandez O, Giovannoni G, Fox RJ, Gold R, Phillips JT et al. (2017) Efficacy and Safety of Delayed-release Dimethyl Fumarate for Relapsing-Remitting Multiple Sclerosis in Prior Interferon Users: an Integrated Analysis of DEFINE and CONFIRM. Clinical Therapeutics (pagination): </w:t>
            </w:r>
          </w:p>
        </w:tc>
      </w:tr>
      <w:tr w:rsidR="00406AEC" w:rsidRPr="00406AEC" w14:paraId="0D3B751F" w14:textId="77777777" w:rsidTr="00406AEC">
        <w:trPr>
          <w:trHeight w:val="300"/>
        </w:trPr>
        <w:tc>
          <w:tcPr>
            <w:tcW w:w="9360" w:type="dxa"/>
            <w:tcBorders>
              <w:top w:val="nil"/>
              <w:left w:val="nil"/>
              <w:bottom w:val="nil"/>
              <w:right w:val="nil"/>
            </w:tcBorders>
            <w:shd w:val="clear" w:color="auto" w:fill="auto"/>
            <w:noWrap/>
            <w:vAlign w:val="bottom"/>
            <w:hideMark/>
          </w:tcPr>
          <w:p w14:paraId="2C42797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Fernandez O, Giovannoni G, Fox RJ, Gold R, Phillips JT et al. (2014) Efficacy of delayed-release dimethyl fumarate for relapsing-remitting multiple sclerosis (RRMS) in "non-responders" to prior treatment with interferon beta. European journal of neurology 21 (25): </w:t>
            </w:r>
          </w:p>
        </w:tc>
      </w:tr>
      <w:tr w:rsidR="00406AEC" w:rsidRPr="00406AEC" w14:paraId="1AD4B3F6" w14:textId="77777777" w:rsidTr="00406AEC">
        <w:trPr>
          <w:trHeight w:val="300"/>
        </w:trPr>
        <w:tc>
          <w:tcPr>
            <w:tcW w:w="9360" w:type="dxa"/>
            <w:tcBorders>
              <w:top w:val="nil"/>
              <w:left w:val="nil"/>
              <w:bottom w:val="nil"/>
              <w:right w:val="nil"/>
            </w:tcBorders>
            <w:shd w:val="clear" w:color="auto" w:fill="auto"/>
            <w:noWrap/>
            <w:vAlign w:val="bottom"/>
            <w:hideMark/>
          </w:tcPr>
          <w:p w14:paraId="3D08EF6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Fisk JD, Brown MG, </w:t>
            </w:r>
            <w:proofErr w:type="spellStart"/>
            <w:r w:rsidRPr="00406AEC">
              <w:rPr>
                <w:rFonts w:ascii="Times New Roman" w:eastAsia="Times New Roman" w:hAnsi="Times New Roman" w:cs="Times New Roman"/>
                <w:color w:val="000000"/>
                <w:szCs w:val="22"/>
              </w:rPr>
              <w:t>Sketris</w:t>
            </w:r>
            <w:proofErr w:type="spellEnd"/>
            <w:r w:rsidRPr="00406AEC">
              <w:rPr>
                <w:rFonts w:ascii="Times New Roman" w:eastAsia="Times New Roman" w:hAnsi="Times New Roman" w:cs="Times New Roman"/>
                <w:color w:val="000000"/>
                <w:szCs w:val="22"/>
              </w:rPr>
              <w:t xml:space="preserve"> IS, Metz LM, Murray TJ et al. (2005) A comparison of health utility measures for the evaluation of multiple sclerosis treatments. Journal of Neurology, Neurosurgery &amp; Psychiatry 76 (1): 58-63.</w:t>
            </w:r>
          </w:p>
        </w:tc>
      </w:tr>
      <w:tr w:rsidR="00406AEC" w:rsidRPr="00406AEC" w14:paraId="7D62AEE3" w14:textId="77777777" w:rsidTr="00406AEC">
        <w:trPr>
          <w:trHeight w:val="300"/>
        </w:trPr>
        <w:tc>
          <w:tcPr>
            <w:tcW w:w="9360" w:type="dxa"/>
            <w:tcBorders>
              <w:top w:val="nil"/>
              <w:left w:val="nil"/>
              <w:bottom w:val="nil"/>
              <w:right w:val="nil"/>
            </w:tcBorders>
            <w:shd w:val="clear" w:color="auto" w:fill="auto"/>
            <w:noWrap/>
            <w:vAlign w:val="bottom"/>
            <w:hideMark/>
          </w:tcPr>
          <w:p w14:paraId="6D0895A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Flechter</w:t>
            </w:r>
            <w:proofErr w:type="spellEnd"/>
            <w:r w:rsidRPr="00406AEC">
              <w:rPr>
                <w:rFonts w:ascii="Times New Roman" w:eastAsia="Times New Roman" w:hAnsi="Times New Roman" w:cs="Times New Roman"/>
                <w:color w:val="000000"/>
                <w:szCs w:val="22"/>
              </w:rPr>
              <w:t xml:space="preserve"> S, Vardi J, Finkelstein Y, Pollak L (2007) Cognitive dysfunction evaluation in multiple sclerosis patients treated with interferon beta-1b: An open-label prospective 1 year study. Israel Medical Association Journal 9 (6): 457-459.</w:t>
            </w:r>
          </w:p>
        </w:tc>
      </w:tr>
      <w:tr w:rsidR="00406AEC" w:rsidRPr="00406AEC" w14:paraId="155EBCE3" w14:textId="77777777" w:rsidTr="00406AEC">
        <w:trPr>
          <w:trHeight w:val="300"/>
        </w:trPr>
        <w:tc>
          <w:tcPr>
            <w:tcW w:w="9360" w:type="dxa"/>
            <w:tcBorders>
              <w:top w:val="nil"/>
              <w:left w:val="nil"/>
              <w:bottom w:val="nil"/>
              <w:right w:val="nil"/>
            </w:tcBorders>
            <w:shd w:val="clear" w:color="auto" w:fill="auto"/>
            <w:noWrap/>
            <w:vAlign w:val="bottom"/>
            <w:hideMark/>
          </w:tcPr>
          <w:p w14:paraId="4DDC3EB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Flechter</w:t>
            </w:r>
            <w:proofErr w:type="spellEnd"/>
            <w:r w:rsidRPr="00406AEC">
              <w:rPr>
                <w:rFonts w:ascii="Times New Roman" w:eastAsia="Times New Roman" w:hAnsi="Times New Roman" w:cs="Times New Roman"/>
                <w:color w:val="000000"/>
                <w:szCs w:val="22"/>
              </w:rPr>
              <w:t xml:space="preserve"> S, Vardi J, Pollak L, Rabey JM (2002) Comparison of glatiramer acetate (Copaxone) and interferon beta-1b (</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 in multiple sclerosis patients: An open-label 2-year follow-up. Journal of the Neurological Sciences 197 (1-2): 51-55.</w:t>
            </w:r>
          </w:p>
        </w:tc>
      </w:tr>
      <w:tr w:rsidR="00406AEC" w:rsidRPr="00406AEC" w14:paraId="68A04DC7" w14:textId="77777777" w:rsidTr="00406AEC">
        <w:trPr>
          <w:trHeight w:val="300"/>
        </w:trPr>
        <w:tc>
          <w:tcPr>
            <w:tcW w:w="9360" w:type="dxa"/>
            <w:tcBorders>
              <w:top w:val="nil"/>
              <w:left w:val="nil"/>
              <w:bottom w:val="nil"/>
              <w:right w:val="nil"/>
            </w:tcBorders>
            <w:shd w:val="clear" w:color="auto" w:fill="auto"/>
            <w:noWrap/>
            <w:vAlign w:val="bottom"/>
            <w:hideMark/>
          </w:tcPr>
          <w:p w14:paraId="6E81121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 Miller D, Phillips JT, Arnold D,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Clinical efficacy of BG-12 (dimethyl fumarate) in relapsing-remitting multiple sclerosis (RRMS): An integrated analysis of the phase 3 define and confirm studies.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44C3AD80" w14:textId="77777777" w:rsidTr="00406AEC">
        <w:trPr>
          <w:trHeight w:val="300"/>
        </w:trPr>
        <w:tc>
          <w:tcPr>
            <w:tcW w:w="9360" w:type="dxa"/>
            <w:tcBorders>
              <w:top w:val="nil"/>
              <w:left w:val="nil"/>
              <w:bottom w:val="nil"/>
              <w:right w:val="nil"/>
            </w:tcBorders>
            <w:shd w:val="clear" w:color="auto" w:fill="auto"/>
            <w:noWrap/>
            <w:vAlign w:val="bottom"/>
            <w:hideMark/>
          </w:tcPr>
          <w:p w14:paraId="68D4BF8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Fox RJ, Chan A, Zhang A, Xiao J, Levison D et al. (2017) Comparative effectiveness using a matching-adjusted indirect comparison between delayed-release dimethyl fumarate and fingolimod for the treatment of multiple sclerosis. Current Medical Research and Opinion 33 (2): 175-183.</w:t>
            </w:r>
          </w:p>
        </w:tc>
      </w:tr>
      <w:tr w:rsidR="00406AEC" w:rsidRPr="00406AEC" w14:paraId="3F4B4CA3" w14:textId="77777777" w:rsidTr="00406AEC">
        <w:trPr>
          <w:trHeight w:val="300"/>
        </w:trPr>
        <w:tc>
          <w:tcPr>
            <w:tcW w:w="9360" w:type="dxa"/>
            <w:tcBorders>
              <w:top w:val="nil"/>
              <w:left w:val="nil"/>
              <w:bottom w:val="nil"/>
              <w:right w:val="nil"/>
            </w:tcBorders>
            <w:shd w:val="clear" w:color="auto" w:fill="auto"/>
            <w:noWrap/>
            <w:vAlign w:val="bottom"/>
            <w:hideMark/>
          </w:tcPr>
          <w:p w14:paraId="21E3E81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Cutter G, Chan A, Xiao J, </w:t>
            </w:r>
            <w:proofErr w:type="spellStart"/>
            <w:r w:rsidRPr="00406AEC">
              <w:rPr>
                <w:rFonts w:ascii="Times New Roman" w:eastAsia="Times New Roman" w:hAnsi="Times New Roman" w:cs="Times New Roman"/>
                <w:color w:val="000000"/>
                <w:szCs w:val="22"/>
              </w:rPr>
              <w:t>Okwuokenye</w:t>
            </w:r>
            <w:proofErr w:type="spellEnd"/>
            <w:r w:rsidRPr="00406AEC">
              <w:rPr>
                <w:rFonts w:ascii="Times New Roman" w:eastAsia="Times New Roman" w:hAnsi="Times New Roman" w:cs="Times New Roman"/>
                <w:color w:val="000000"/>
                <w:szCs w:val="22"/>
              </w:rPr>
              <w:t xml:space="preserve"> M et al. (2015) Comparative effectiveness using a matching-adjusted indirect comparison between delayed-release dimethyl fumarate and fingolimod for the treatment of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530-531.</w:t>
            </w:r>
          </w:p>
        </w:tc>
      </w:tr>
      <w:tr w:rsidR="00406AEC" w:rsidRPr="00406AEC" w14:paraId="7F35CC8B" w14:textId="77777777" w:rsidTr="00406AEC">
        <w:trPr>
          <w:trHeight w:val="300"/>
        </w:trPr>
        <w:tc>
          <w:tcPr>
            <w:tcW w:w="9360" w:type="dxa"/>
            <w:tcBorders>
              <w:top w:val="nil"/>
              <w:left w:val="nil"/>
              <w:bottom w:val="nil"/>
              <w:right w:val="nil"/>
            </w:tcBorders>
            <w:shd w:val="clear" w:color="auto" w:fill="auto"/>
            <w:noWrap/>
            <w:vAlign w:val="bottom"/>
            <w:hideMark/>
          </w:tcPr>
          <w:p w14:paraId="46C7EF5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Gold R, Phillips JT, </w:t>
            </w:r>
            <w:proofErr w:type="spellStart"/>
            <w:r w:rsidRPr="00406AEC">
              <w:rPr>
                <w:rFonts w:ascii="Times New Roman" w:eastAsia="Times New Roman" w:hAnsi="Times New Roman" w:cs="Times New Roman"/>
                <w:color w:val="000000"/>
                <w:szCs w:val="22"/>
              </w:rPr>
              <w:t>Okwuokenye</w:t>
            </w:r>
            <w:proofErr w:type="spellEnd"/>
            <w:r w:rsidRPr="00406AEC">
              <w:rPr>
                <w:rFonts w:ascii="Times New Roman" w:eastAsia="Times New Roman" w:hAnsi="Times New Roman" w:cs="Times New Roman"/>
                <w:color w:val="000000"/>
                <w:szCs w:val="22"/>
              </w:rPr>
              <w:t xml:space="preserve"> M, Zhang A et al. (2017) Efficacy and Tolerability of Delayed-release Dimethyl Fumarate in Black, Hispanic, and Asian Patients with Relapsing-Remitting Multiple Sclerosis: Post Hoc Integrated Analysis of DEFINE and CONFIRM. Neurology and Therapy 6 (2): 175-187.</w:t>
            </w:r>
          </w:p>
        </w:tc>
      </w:tr>
      <w:tr w:rsidR="00406AEC" w:rsidRPr="00406AEC" w14:paraId="4AE4FC34" w14:textId="77777777" w:rsidTr="00406AEC">
        <w:trPr>
          <w:trHeight w:val="300"/>
        </w:trPr>
        <w:tc>
          <w:tcPr>
            <w:tcW w:w="9360" w:type="dxa"/>
            <w:tcBorders>
              <w:top w:val="nil"/>
              <w:left w:val="nil"/>
              <w:bottom w:val="nil"/>
              <w:right w:val="nil"/>
            </w:tcBorders>
            <w:shd w:val="clear" w:color="auto" w:fill="auto"/>
            <w:noWrap/>
            <w:vAlign w:val="bottom"/>
            <w:hideMark/>
          </w:tcPr>
          <w:p w14:paraId="4DF4FEE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Fox RJ, Miller DH, Phillips JT, Arnold DL,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(2013) An integrated analysis of the clinical efficacy of BG-12 (dimethyl fumarate) in patients with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from the phase 3 DEFINE and CONFIRM studies. Journal of Neurology 260 (8): </w:t>
            </w:r>
          </w:p>
        </w:tc>
      </w:tr>
      <w:tr w:rsidR="00406AEC" w:rsidRPr="00406AEC" w14:paraId="6074B783" w14:textId="77777777" w:rsidTr="00406AEC">
        <w:trPr>
          <w:trHeight w:val="300"/>
        </w:trPr>
        <w:tc>
          <w:tcPr>
            <w:tcW w:w="9360" w:type="dxa"/>
            <w:tcBorders>
              <w:top w:val="nil"/>
              <w:left w:val="nil"/>
              <w:bottom w:val="nil"/>
              <w:right w:val="nil"/>
            </w:tcBorders>
            <w:shd w:val="clear" w:color="auto" w:fill="auto"/>
            <w:noWrap/>
            <w:vAlign w:val="bottom"/>
            <w:hideMark/>
          </w:tcPr>
          <w:p w14:paraId="4DAC278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Fox RJ, Rudick RA (2004) Multiple sclerosis: Disease markers accelerate progress. Lancet Neurology 3 (1): 10.</w:t>
            </w:r>
          </w:p>
        </w:tc>
      </w:tr>
      <w:tr w:rsidR="00406AEC" w:rsidRPr="00406AEC" w14:paraId="3912BE50" w14:textId="77777777" w:rsidTr="00406AEC">
        <w:trPr>
          <w:trHeight w:val="300"/>
        </w:trPr>
        <w:tc>
          <w:tcPr>
            <w:tcW w:w="9360" w:type="dxa"/>
            <w:tcBorders>
              <w:top w:val="nil"/>
              <w:left w:val="nil"/>
              <w:bottom w:val="nil"/>
              <w:right w:val="nil"/>
            </w:tcBorders>
            <w:shd w:val="clear" w:color="auto" w:fill="auto"/>
            <w:noWrap/>
            <w:vAlign w:val="bottom"/>
            <w:hideMark/>
          </w:tcPr>
          <w:p w14:paraId="78B0FE2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Frank JA, Richert N, Bash C, Stone L, Calabresi PA et al. (2004) Interferon-beta-1b slows progression of atrophy in RRMS: Three-year follow-up in </w:t>
            </w:r>
            <w:proofErr w:type="spellStart"/>
            <w:r w:rsidRPr="00406AEC">
              <w:rPr>
                <w:rFonts w:ascii="Times New Roman" w:eastAsia="Times New Roman" w:hAnsi="Times New Roman" w:cs="Times New Roman"/>
                <w:color w:val="000000"/>
                <w:szCs w:val="22"/>
              </w:rPr>
              <w:t>NAb</w:t>
            </w:r>
            <w:proofErr w:type="spellEnd"/>
            <w:r w:rsidRPr="00406AEC">
              <w:rPr>
                <w:rFonts w:ascii="Times New Roman" w:eastAsia="Times New Roman" w:hAnsi="Times New Roman" w:cs="Times New Roman"/>
                <w:color w:val="000000"/>
                <w:szCs w:val="22"/>
              </w:rPr>
              <w:t xml:space="preserve">- and </w:t>
            </w:r>
            <w:proofErr w:type="spellStart"/>
            <w:r w:rsidRPr="00406AEC">
              <w:rPr>
                <w:rFonts w:ascii="Times New Roman" w:eastAsia="Times New Roman" w:hAnsi="Times New Roman" w:cs="Times New Roman"/>
                <w:color w:val="000000"/>
                <w:szCs w:val="22"/>
              </w:rPr>
              <w:t>NAb</w:t>
            </w:r>
            <w:proofErr w:type="spellEnd"/>
            <w:r w:rsidRPr="00406AEC">
              <w:rPr>
                <w:rFonts w:ascii="Times New Roman" w:eastAsia="Times New Roman" w:hAnsi="Times New Roman" w:cs="Times New Roman"/>
                <w:color w:val="000000"/>
                <w:szCs w:val="22"/>
              </w:rPr>
              <w:t>+ patients. Neurology 62 (5): 719-725.</w:t>
            </w:r>
          </w:p>
        </w:tc>
      </w:tr>
      <w:tr w:rsidR="00406AEC" w:rsidRPr="00406AEC" w14:paraId="0A892082" w14:textId="77777777" w:rsidTr="00406AEC">
        <w:trPr>
          <w:trHeight w:val="300"/>
        </w:trPr>
        <w:tc>
          <w:tcPr>
            <w:tcW w:w="9360" w:type="dxa"/>
            <w:tcBorders>
              <w:top w:val="nil"/>
              <w:left w:val="nil"/>
              <w:bottom w:val="nil"/>
              <w:right w:val="nil"/>
            </w:tcBorders>
            <w:shd w:val="clear" w:color="auto" w:fill="auto"/>
            <w:noWrap/>
            <w:vAlign w:val="bottom"/>
            <w:hideMark/>
          </w:tcPr>
          <w:p w14:paraId="1F1BDA0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Frau J, Sormani MP, Signori A, Realmuto S, Baroncini D et al. </w:t>
            </w:r>
            <w:r w:rsidRPr="00406AEC">
              <w:rPr>
                <w:rFonts w:ascii="Times New Roman" w:eastAsia="Times New Roman" w:hAnsi="Times New Roman" w:cs="Times New Roman"/>
                <w:color w:val="000000"/>
                <w:szCs w:val="22"/>
              </w:rPr>
              <w:t>(2017) Clinical activity after fingolimod cessation: disease reactivation or rebound? Multiple sclerosis journal 23 (3): 911-912.</w:t>
            </w:r>
          </w:p>
        </w:tc>
      </w:tr>
      <w:tr w:rsidR="00406AEC" w:rsidRPr="00406AEC" w14:paraId="1F5E1C69" w14:textId="77777777" w:rsidTr="00406AEC">
        <w:trPr>
          <w:trHeight w:val="300"/>
        </w:trPr>
        <w:tc>
          <w:tcPr>
            <w:tcW w:w="9360" w:type="dxa"/>
            <w:tcBorders>
              <w:top w:val="nil"/>
              <w:left w:val="nil"/>
              <w:bottom w:val="nil"/>
              <w:right w:val="nil"/>
            </w:tcBorders>
            <w:shd w:val="clear" w:color="auto" w:fill="auto"/>
            <w:noWrap/>
            <w:vAlign w:val="bottom"/>
            <w:hideMark/>
          </w:tcPr>
          <w:p w14:paraId="49B0D16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Efficacy of alemtuzumab vs IFNB-1A in relapsing-remitting multiple sclerosis patients who experienced disease activity while on prior therapy (CARE-MS II): Subgroup analysis by previous disease modifying therapy (DMT) use.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2D352C6B" w14:textId="77777777" w:rsidTr="00406AEC">
        <w:trPr>
          <w:trHeight w:val="300"/>
        </w:trPr>
        <w:tc>
          <w:tcPr>
            <w:tcW w:w="9360" w:type="dxa"/>
            <w:tcBorders>
              <w:top w:val="nil"/>
              <w:left w:val="nil"/>
              <w:bottom w:val="nil"/>
              <w:right w:val="nil"/>
            </w:tcBorders>
            <w:shd w:val="clear" w:color="auto" w:fill="auto"/>
            <w:noWrap/>
            <w:vAlign w:val="bottom"/>
            <w:hideMark/>
          </w:tcPr>
          <w:p w14:paraId="7874A04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Arnold DL, Cohen 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Fox EJ et al. Efficacy of alemtuzumab in relapsing-remitting multiple sclerosis patients who relapsed on prior therapy (CARE-MSII): Subgroup analyses by previous DMT use.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199-200.</w:t>
            </w:r>
          </w:p>
        </w:tc>
      </w:tr>
      <w:tr w:rsidR="00406AEC" w:rsidRPr="00406AEC" w14:paraId="4E90EA47" w14:textId="77777777" w:rsidTr="00406AEC">
        <w:trPr>
          <w:trHeight w:val="300"/>
        </w:trPr>
        <w:tc>
          <w:tcPr>
            <w:tcW w:w="9360" w:type="dxa"/>
            <w:tcBorders>
              <w:top w:val="nil"/>
              <w:left w:val="nil"/>
              <w:bottom w:val="nil"/>
              <w:right w:val="nil"/>
            </w:tcBorders>
            <w:shd w:val="clear" w:color="auto" w:fill="auto"/>
            <w:noWrap/>
            <w:vAlign w:val="bottom"/>
            <w:hideMark/>
          </w:tcPr>
          <w:p w14:paraId="6BF5C4E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Brod S, Singer BA, Cohen BA, Hayward B et al. (2020) Clinical and MRI efficacy of </w:t>
            </w:r>
            <w:proofErr w:type="spellStart"/>
            <w:r w:rsidRPr="00406AEC">
              <w:rPr>
                <w:rFonts w:ascii="Times New Roman" w:eastAsia="Times New Roman" w:hAnsi="Times New Roman" w:cs="Times New Roman"/>
                <w:color w:val="000000"/>
                <w:szCs w:val="22"/>
              </w:rPr>
              <w:t>sc</w:t>
            </w:r>
            <w:proofErr w:type="spellEnd"/>
            <w:r w:rsidRPr="00406AEC">
              <w:rPr>
                <w:rFonts w:ascii="Times New Roman" w:eastAsia="Times New Roman" w:hAnsi="Times New Roman" w:cs="Times New Roman"/>
                <w:color w:val="000000"/>
                <w:szCs w:val="22"/>
              </w:rPr>
              <w:t xml:space="preserve"> IFN beta-1a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in patients with relapsing MS appearing to transition to secondary progressive MS: post hoc analyses of PRISMS and SPECTRIMS. Journal of Neurology 267 (1): 64-75.</w:t>
            </w:r>
          </w:p>
        </w:tc>
      </w:tr>
      <w:tr w:rsidR="00406AEC" w:rsidRPr="00406AEC" w14:paraId="3174BF25" w14:textId="77777777" w:rsidTr="00406AEC">
        <w:trPr>
          <w:trHeight w:val="300"/>
        </w:trPr>
        <w:tc>
          <w:tcPr>
            <w:tcW w:w="9360" w:type="dxa"/>
            <w:tcBorders>
              <w:top w:val="nil"/>
              <w:left w:val="nil"/>
              <w:bottom w:val="nil"/>
              <w:right w:val="nil"/>
            </w:tcBorders>
            <w:shd w:val="clear" w:color="auto" w:fill="auto"/>
            <w:noWrap/>
            <w:vAlign w:val="bottom"/>
            <w:hideMark/>
          </w:tcPr>
          <w:p w14:paraId="28787D8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Forrestal FG (2008) Canadian treatment optimization recommendations (TOR) as a predictor of disease breakthrough in patients with multiple sclerosis treated with interferon beta-1a: Analysis of the PRISMS study. Multiple Sclerosis 14 (9): 1234-1241.</w:t>
            </w:r>
          </w:p>
        </w:tc>
      </w:tr>
      <w:tr w:rsidR="00406AEC" w:rsidRPr="00406AEC" w14:paraId="326B8417" w14:textId="77777777" w:rsidTr="00406AEC">
        <w:trPr>
          <w:trHeight w:val="300"/>
        </w:trPr>
        <w:tc>
          <w:tcPr>
            <w:tcW w:w="9360" w:type="dxa"/>
            <w:tcBorders>
              <w:top w:val="nil"/>
              <w:left w:val="nil"/>
              <w:bottom w:val="nil"/>
              <w:right w:val="nil"/>
            </w:tcBorders>
            <w:shd w:val="clear" w:color="auto" w:fill="auto"/>
            <w:noWrap/>
            <w:vAlign w:val="bottom"/>
            <w:hideMark/>
          </w:tcPr>
          <w:p w14:paraId="66D5C82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Hughes B, Mikol DD, Bennett R, Cuffel B et al. (2008) Efficacy of disease-modifying therapies in relapsing remitting multiple sclerosis: A systematic comparison. European Neurology 60 (1): 1-11.</w:t>
            </w:r>
          </w:p>
        </w:tc>
      </w:tr>
      <w:tr w:rsidR="00406AEC" w:rsidRPr="00406AEC" w14:paraId="4991C49A" w14:textId="77777777" w:rsidTr="00406AEC">
        <w:trPr>
          <w:trHeight w:val="300"/>
        </w:trPr>
        <w:tc>
          <w:tcPr>
            <w:tcW w:w="9360" w:type="dxa"/>
            <w:tcBorders>
              <w:top w:val="nil"/>
              <w:left w:val="nil"/>
              <w:bottom w:val="nil"/>
              <w:right w:val="nil"/>
            </w:tcBorders>
            <w:shd w:val="clear" w:color="auto" w:fill="auto"/>
            <w:noWrap/>
            <w:vAlign w:val="bottom"/>
            <w:hideMark/>
          </w:tcPr>
          <w:p w14:paraId="61B7219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Montalban X, Miller AE, Dive-</w:t>
            </w:r>
            <w:proofErr w:type="spellStart"/>
            <w:r w:rsidRPr="00406AEC">
              <w:rPr>
                <w:rFonts w:ascii="Times New Roman" w:eastAsia="Times New Roman" w:hAnsi="Times New Roman" w:cs="Times New Roman"/>
                <w:color w:val="000000"/>
                <w:szCs w:val="22"/>
              </w:rPr>
              <w:t>Pouletty</w:t>
            </w:r>
            <w:proofErr w:type="spellEnd"/>
            <w:r w:rsidRPr="00406AEC">
              <w:rPr>
                <w:rFonts w:ascii="Times New Roman" w:eastAsia="Times New Roman" w:hAnsi="Times New Roman" w:cs="Times New Roman"/>
                <w:color w:val="000000"/>
                <w:szCs w:val="22"/>
              </w:rPr>
              <w:t xml:space="preserve"> C, Hass S et al. (2016) Comparing outcomes from clinical studies of oral disease-modifying therapies (dimethyl fumarate, fingolimod, and teriflunomide) in relapsing MS: Assessing absolute differences using a number needed to treat analysis. Multiple Sclerosis and Related Disorders 10 204-212.</w:t>
            </w:r>
          </w:p>
        </w:tc>
      </w:tr>
      <w:tr w:rsidR="00406AEC" w:rsidRPr="00406AEC" w14:paraId="687EB9D9" w14:textId="77777777" w:rsidTr="00406AEC">
        <w:trPr>
          <w:trHeight w:val="300"/>
        </w:trPr>
        <w:tc>
          <w:tcPr>
            <w:tcW w:w="9360" w:type="dxa"/>
            <w:tcBorders>
              <w:top w:val="nil"/>
              <w:left w:val="nil"/>
              <w:bottom w:val="nil"/>
              <w:right w:val="nil"/>
            </w:tcBorders>
            <w:shd w:val="clear" w:color="auto" w:fill="auto"/>
            <w:noWrap/>
            <w:vAlign w:val="bottom"/>
            <w:hideMark/>
          </w:tcPr>
          <w:p w14:paraId="78301AB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Morawski J, Thangavelu K (2018) Clinical efficacy of teriflunomide over a fixed 2-year duration in the TOWER study. Multiple Sclerosis Journal Experimental, Translational and Clinical 4 (2): </w:t>
            </w:r>
          </w:p>
        </w:tc>
      </w:tr>
      <w:tr w:rsidR="00406AEC" w:rsidRPr="00406AEC" w14:paraId="58287977" w14:textId="77777777" w:rsidTr="00406AEC">
        <w:trPr>
          <w:trHeight w:val="300"/>
        </w:trPr>
        <w:tc>
          <w:tcPr>
            <w:tcW w:w="9360" w:type="dxa"/>
            <w:tcBorders>
              <w:top w:val="nil"/>
              <w:left w:val="nil"/>
              <w:bottom w:val="nil"/>
              <w:right w:val="nil"/>
            </w:tcBorders>
            <w:shd w:val="clear" w:color="auto" w:fill="auto"/>
            <w:noWrap/>
            <w:vAlign w:val="bottom"/>
            <w:hideMark/>
          </w:tcPr>
          <w:p w14:paraId="60AC96F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Frohman EM,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Lublin F,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Achiron A et al. (2006) Most patients with multiple sclerosis or a clinically isolated demyelinating syndrome should be treated at the time of diagnosis. Archives of neurology 63 (4): 614-619.</w:t>
            </w:r>
          </w:p>
        </w:tc>
      </w:tr>
      <w:tr w:rsidR="00406AEC" w:rsidRPr="00406AEC" w14:paraId="64CC46E1" w14:textId="77777777" w:rsidTr="00406AEC">
        <w:trPr>
          <w:trHeight w:val="300"/>
        </w:trPr>
        <w:tc>
          <w:tcPr>
            <w:tcW w:w="9360" w:type="dxa"/>
            <w:tcBorders>
              <w:top w:val="nil"/>
              <w:left w:val="nil"/>
              <w:bottom w:val="nil"/>
              <w:right w:val="nil"/>
            </w:tcBorders>
            <w:shd w:val="clear" w:color="auto" w:fill="auto"/>
            <w:noWrap/>
            <w:vAlign w:val="bottom"/>
            <w:hideMark/>
          </w:tcPr>
          <w:p w14:paraId="23C8AE1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Gaetano L, Magnusson B, Kindalova P, Tomic D, Silva D et al. </w:t>
            </w:r>
            <w:r w:rsidRPr="00406AEC">
              <w:rPr>
                <w:rFonts w:ascii="Times New Roman" w:eastAsia="Times New Roman" w:hAnsi="Times New Roman" w:cs="Times New Roman"/>
                <w:color w:val="000000"/>
                <w:szCs w:val="22"/>
              </w:rPr>
              <w:t xml:space="preserve">(2020) White matter lesion location correlates with disability in relapsing multiple sclerosis. Multiple Sclerosis Journal Experimental, Translational and Clinical 6 (1): </w:t>
            </w:r>
          </w:p>
        </w:tc>
      </w:tr>
      <w:tr w:rsidR="00406AEC" w:rsidRPr="00406AEC" w14:paraId="160E7B20" w14:textId="77777777" w:rsidTr="00406AEC">
        <w:trPr>
          <w:trHeight w:val="300"/>
        </w:trPr>
        <w:tc>
          <w:tcPr>
            <w:tcW w:w="9360" w:type="dxa"/>
            <w:tcBorders>
              <w:top w:val="nil"/>
              <w:left w:val="nil"/>
              <w:bottom w:val="nil"/>
              <w:right w:val="nil"/>
            </w:tcBorders>
            <w:shd w:val="clear" w:color="auto" w:fill="auto"/>
            <w:noWrap/>
            <w:vAlign w:val="bottom"/>
            <w:hideMark/>
          </w:tcPr>
          <w:p w14:paraId="0BC8165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Gartner J, Chitnis T, Ghezzi A, Pohl D, Bruck W et al. (2018) Relapse Rate and MRI Activity in Young Adult Patients With Multiple Sclerosis: a Post Hoc Analysis of Phase 3 Fingolimod Trials. Multiple Sclerosis Journal Experimental, Translational and Clinical 4 (2): </w:t>
            </w:r>
          </w:p>
        </w:tc>
      </w:tr>
      <w:tr w:rsidR="00406AEC" w:rsidRPr="00406AEC" w14:paraId="525C1722" w14:textId="77777777" w:rsidTr="00406AEC">
        <w:trPr>
          <w:trHeight w:val="300"/>
        </w:trPr>
        <w:tc>
          <w:tcPr>
            <w:tcW w:w="9360" w:type="dxa"/>
            <w:tcBorders>
              <w:top w:val="nil"/>
              <w:left w:val="nil"/>
              <w:bottom w:val="nil"/>
              <w:right w:val="nil"/>
            </w:tcBorders>
            <w:shd w:val="clear" w:color="auto" w:fill="auto"/>
            <w:noWrap/>
            <w:vAlign w:val="bottom"/>
            <w:hideMark/>
          </w:tcPr>
          <w:p w14:paraId="44963AD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Gartner J, Pohl D, Ghezzi A, Bruck W, Haring D et al. (2015) Disease activity on individual components of "no evidence of disease activity" (NEDA-4) in young adult patients with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591.</w:t>
            </w:r>
          </w:p>
        </w:tc>
      </w:tr>
      <w:tr w:rsidR="00406AEC" w:rsidRPr="00406AEC" w14:paraId="693BB493" w14:textId="77777777" w:rsidTr="00406AEC">
        <w:trPr>
          <w:trHeight w:val="300"/>
        </w:trPr>
        <w:tc>
          <w:tcPr>
            <w:tcW w:w="9360" w:type="dxa"/>
            <w:tcBorders>
              <w:top w:val="nil"/>
              <w:left w:val="nil"/>
              <w:bottom w:val="nil"/>
              <w:right w:val="nil"/>
            </w:tcBorders>
            <w:shd w:val="clear" w:color="auto" w:fill="auto"/>
            <w:noWrap/>
            <w:vAlign w:val="bottom"/>
            <w:hideMark/>
          </w:tcPr>
          <w:p w14:paraId="31F042B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Geissbuhler</w:t>
            </w:r>
            <w:proofErr w:type="spellEnd"/>
            <w:r w:rsidRPr="00713F1E">
              <w:rPr>
                <w:rFonts w:ascii="Times New Roman" w:eastAsia="Times New Roman" w:hAnsi="Times New Roman" w:cs="Times New Roman"/>
                <w:color w:val="000000"/>
                <w:szCs w:val="22"/>
                <w:lang w:val="fr-FR"/>
              </w:rPr>
              <w:t xml:space="preserve"> Y, Vile J, </w:t>
            </w:r>
            <w:proofErr w:type="spellStart"/>
            <w:r w:rsidRPr="00713F1E">
              <w:rPr>
                <w:rFonts w:ascii="Times New Roman" w:eastAsia="Times New Roman" w:hAnsi="Times New Roman" w:cs="Times New Roman"/>
                <w:color w:val="000000"/>
                <w:szCs w:val="22"/>
                <w:lang w:val="fr-FR"/>
              </w:rPr>
              <w:t>Koren</w:t>
            </w:r>
            <w:proofErr w:type="spellEnd"/>
            <w:r w:rsidRPr="00713F1E">
              <w:rPr>
                <w:rFonts w:ascii="Times New Roman" w:eastAsia="Times New Roman" w:hAnsi="Times New Roman" w:cs="Times New Roman"/>
                <w:color w:val="000000"/>
                <w:szCs w:val="22"/>
                <w:lang w:val="fr-FR"/>
              </w:rPr>
              <w:t xml:space="preserve"> G, Guennec M, </w:t>
            </w:r>
            <w:proofErr w:type="spellStart"/>
            <w:r w:rsidRPr="00713F1E">
              <w:rPr>
                <w:rFonts w:ascii="Times New Roman" w:eastAsia="Times New Roman" w:hAnsi="Times New Roman" w:cs="Times New Roman"/>
                <w:color w:val="000000"/>
                <w:szCs w:val="22"/>
                <w:lang w:val="fr-FR"/>
              </w:rPr>
              <w:t>Butzkueven</w:t>
            </w:r>
            <w:proofErr w:type="spellEnd"/>
            <w:r w:rsidRPr="00713F1E">
              <w:rPr>
                <w:rFonts w:ascii="Times New Roman" w:eastAsia="Times New Roman" w:hAnsi="Times New Roman" w:cs="Times New Roman"/>
                <w:color w:val="000000"/>
                <w:szCs w:val="22"/>
                <w:lang w:val="fr-FR"/>
              </w:rPr>
              <w:t xml:space="preserve"> H et al. </w:t>
            </w:r>
            <w:r w:rsidRPr="00406AEC">
              <w:rPr>
                <w:rFonts w:ascii="Times New Roman" w:eastAsia="Times New Roman" w:hAnsi="Times New Roman" w:cs="Times New Roman"/>
                <w:color w:val="000000"/>
                <w:szCs w:val="22"/>
              </w:rPr>
              <w:t xml:space="preserve">(2018) Evaluation of pregnancy outcomes in patients with multiple sclerosis after fingolimod exposure. Therapeutic Advances in Neurological Disorders 11 (no pagination): </w:t>
            </w:r>
          </w:p>
        </w:tc>
      </w:tr>
      <w:tr w:rsidR="00406AEC" w:rsidRPr="00406AEC" w14:paraId="29D4292C" w14:textId="77777777" w:rsidTr="00406AEC">
        <w:trPr>
          <w:trHeight w:val="300"/>
        </w:trPr>
        <w:tc>
          <w:tcPr>
            <w:tcW w:w="9360" w:type="dxa"/>
            <w:tcBorders>
              <w:top w:val="nil"/>
              <w:left w:val="nil"/>
              <w:bottom w:val="nil"/>
              <w:right w:val="nil"/>
            </w:tcBorders>
            <w:shd w:val="clear" w:color="auto" w:fill="auto"/>
            <w:noWrap/>
            <w:vAlign w:val="bottom"/>
            <w:hideMark/>
          </w:tcPr>
          <w:p w14:paraId="328B6CA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Ghezzi A, Chitnis T, A KL, Meinert R, Haring DA et al. (2019) Long-Term Effect of Immediate Versus Delayed Fingolimod Treatment in Young Adult Patients with Relapsing-Remitting Multiple Sclerosis: Pooled Analysis from the FREEDOMS/FREEDOMS II Trials. Neurology and Therapy 8 (2): 461-475.</w:t>
            </w:r>
          </w:p>
        </w:tc>
      </w:tr>
      <w:tr w:rsidR="00406AEC" w:rsidRPr="00406AEC" w14:paraId="61E4D077" w14:textId="77777777" w:rsidTr="00406AEC">
        <w:trPr>
          <w:trHeight w:val="300"/>
        </w:trPr>
        <w:tc>
          <w:tcPr>
            <w:tcW w:w="9360" w:type="dxa"/>
            <w:tcBorders>
              <w:top w:val="nil"/>
              <w:left w:val="nil"/>
              <w:bottom w:val="nil"/>
              <w:right w:val="nil"/>
            </w:tcBorders>
            <w:shd w:val="clear" w:color="auto" w:fill="auto"/>
            <w:noWrap/>
            <w:vAlign w:val="bottom"/>
            <w:hideMark/>
          </w:tcPr>
          <w:p w14:paraId="4B3C430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Ghezzi A, Karlsson G, </w:t>
            </w:r>
            <w:proofErr w:type="spellStart"/>
            <w:r w:rsidRPr="00406AEC">
              <w:rPr>
                <w:rFonts w:ascii="Times New Roman" w:eastAsia="Times New Roman" w:hAnsi="Times New Roman" w:cs="Times New Roman"/>
                <w:color w:val="000000"/>
                <w:szCs w:val="22"/>
              </w:rPr>
              <w:t>Haering</w:t>
            </w:r>
            <w:proofErr w:type="spellEnd"/>
            <w:r w:rsidRPr="00406AEC">
              <w:rPr>
                <w:rFonts w:ascii="Times New Roman" w:eastAsia="Times New Roman" w:hAnsi="Times New Roman" w:cs="Times New Roman"/>
                <w:color w:val="000000"/>
                <w:szCs w:val="22"/>
              </w:rPr>
              <w:t xml:space="preserve"> D, Gartner J, Chitnis T et al. (2015) Effect of fingolimod on no evidence of disease activity (NEDA-4) and safety in young adult patients with relapsing-remitting multiple sclerosis. Neurology 84 (18): </w:t>
            </w:r>
          </w:p>
        </w:tc>
      </w:tr>
      <w:tr w:rsidR="00406AEC" w:rsidRPr="00406AEC" w14:paraId="7F661030" w14:textId="77777777" w:rsidTr="00406AEC">
        <w:trPr>
          <w:trHeight w:val="300"/>
        </w:trPr>
        <w:tc>
          <w:tcPr>
            <w:tcW w:w="9360" w:type="dxa"/>
            <w:tcBorders>
              <w:top w:val="nil"/>
              <w:left w:val="nil"/>
              <w:bottom w:val="nil"/>
              <w:right w:val="nil"/>
            </w:tcBorders>
            <w:shd w:val="clear" w:color="auto" w:fill="auto"/>
            <w:noWrap/>
            <w:vAlign w:val="bottom"/>
            <w:hideMark/>
          </w:tcPr>
          <w:p w14:paraId="221E4C6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Ghezzi A, Karlsson G, </w:t>
            </w:r>
            <w:proofErr w:type="spellStart"/>
            <w:r w:rsidRPr="00406AEC">
              <w:rPr>
                <w:rFonts w:ascii="Times New Roman" w:eastAsia="Times New Roman" w:hAnsi="Times New Roman" w:cs="Times New Roman"/>
                <w:color w:val="000000"/>
                <w:szCs w:val="22"/>
              </w:rPr>
              <w:t>Haering</w:t>
            </w:r>
            <w:proofErr w:type="spellEnd"/>
            <w:r w:rsidRPr="00406AEC">
              <w:rPr>
                <w:rFonts w:ascii="Times New Roman" w:eastAsia="Times New Roman" w:hAnsi="Times New Roman" w:cs="Times New Roman"/>
                <w:color w:val="000000"/>
                <w:szCs w:val="22"/>
              </w:rPr>
              <w:t xml:space="preserve"> D, Gartner J, Chitnis T et al. (2015) Safety and effect of fingolimod on no evidence of disease activity (NEDA-4) in young adult patients with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European journal of neurology 22 (824): </w:t>
            </w:r>
          </w:p>
        </w:tc>
      </w:tr>
      <w:tr w:rsidR="00406AEC" w:rsidRPr="00406AEC" w14:paraId="40F04B1F" w14:textId="77777777" w:rsidTr="00406AEC">
        <w:trPr>
          <w:trHeight w:val="300"/>
        </w:trPr>
        <w:tc>
          <w:tcPr>
            <w:tcW w:w="9360" w:type="dxa"/>
            <w:tcBorders>
              <w:top w:val="nil"/>
              <w:left w:val="nil"/>
              <w:bottom w:val="nil"/>
              <w:right w:val="nil"/>
            </w:tcBorders>
            <w:shd w:val="clear" w:color="auto" w:fill="auto"/>
            <w:noWrap/>
            <w:vAlign w:val="bottom"/>
            <w:hideMark/>
          </w:tcPr>
          <w:p w14:paraId="0987FC8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Comi G, Cook S, Rieckmann P, Rammohan K et al. (2016) Clinical efficacy of cladribine tablets in patients with relapsing-remitting multiple sclerosis (RRMS): final results from the 120-week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extension trial to the CLARITY study. Swiss medical weekly 146 </w:t>
            </w:r>
          </w:p>
        </w:tc>
      </w:tr>
      <w:tr w:rsidR="00406AEC" w:rsidRPr="00406AEC" w14:paraId="5F4A7FE7" w14:textId="77777777" w:rsidTr="00406AEC">
        <w:trPr>
          <w:trHeight w:val="300"/>
        </w:trPr>
        <w:tc>
          <w:tcPr>
            <w:tcW w:w="9360" w:type="dxa"/>
            <w:tcBorders>
              <w:top w:val="nil"/>
              <w:left w:val="nil"/>
              <w:bottom w:val="nil"/>
              <w:right w:val="nil"/>
            </w:tcBorders>
            <w:shd w:val="clear" w:color="auto" w:fill="auto"/>
            <w:noWrap/>
            <w:vAlign w:val="bottom"/>
            <w:hideMark/>
          </w:tcPr>
          <w:p w14:paraId="5D7EA9F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Phillips JT, Fox RJ, Lewin JB et al. Efficacy of delayed-release dimethyl fumarate in early multiple sclerosis: Post-hoc analysis of the phase 3 DEFINE and CONFIRM studies according to baseline cognitive function.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252-253.</w:t>
            </w:r>
          </w:p>
        </w:tc>
      </w:tr>
      <w:tr w:rsidR="00406AEC" w:rsidRPr="00406AEC" w14:paraId="1E68FB91" w14:textId="77777777" w:rsidTr="00406AEC">
        <w:trPr>
          <w:trHeight w:val="300"/>
        </w:trPr>
        <w:tc>
          <w:tcPr>
            <w:tcW w:w="9360" w:type="dxa"/>
            <w:tcBorders>
              <w:top w:val="nil"/>
              <w:left w:val="nil"/>
              <w:bottom w:val="nil"/>
              <w:right w:val="nil"/>
            </w:tcBorders>
            <w:shd w:val="clear" w:color="auto" w:fill="auto"/>
            <w:noWrap/>
            <w:vAlign w:val="bottom"/>
            <w:hideMark/>
          </w:tcPr>
          <w:p w14:paraId="4819BCB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Rammohan K, Cook S, Comi G, Rieckmann P et al. (2018) Efficacy of cladribine tablets 3.5 mg/kg in patients &lt;=50 and &gt;50 years of age with relapsing-remitting multiple sclerosis (RRMS): a post hoc analysis from CLARITY. European journal of neurology 25 (331): </w:t>
            </w:r>
          </w:p>
        </w:tc>
      </w:tr>
      <w:tr w:rsidR="00406AEC" w:rsidRPr="00406AEC" w14:paraId="3B84BD3E" w14:textId="77777777" w:rsidTr="00406AEC">
        <w:trPr>
          <w:trHeight w:val="300"/>
        </w:trPr>
        <w:tc>
          <w:tcPr>
            <w:tcW w:w="9360" w:type="dxa"/>
            <w:tcBorders>
              <w:top w:val="nil"/>
              <w:left w:val="nil"/>
              <w:bottom w:val="nil"/>
              <w:right w:val="nil"/>
            </w:tcBorders>
            <w:shd w:val="clear" w:color="auto" w:fill="auto"/>
            <w:noWrap/>
            <w:vAlign w:val="bottom"/>
            <w:hideMark/>
          </w:tcPr>
          <w:p w14:paraId="3C87A9A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Gisleskog</w:t>
            </w:r>
            <w:proofErr w:type="spellEnd"/>
            <w:r w:rsidRPr="00406AEC">
              <w:rPr>
                <w:rFonts w:ascii="Times New Roman" w:eastAsia="Times New Roman" w:hAnsi="Times New Roman" w:cs="Times New Roman"/>
                <w:color w:val="000000"/>
                <w:szCs w:val="22"/>
              </w:rPr>
              <w:t xml:space="preserve"> PO, Valenzuela B, Perez-</w:t>
            </w:r>
            <w:proofErr w:type="spellStart"/>
            <w:r w:rsidRPr="00406AEC">
              <w:rPr>
                <w:rFonts w:ascii="Times New Roman" w:eastAsia="Times New Roman" w:hAnsi="Times New Roman" w:cs="Times New Roman"/>
                <w:color w:val="000000"/>
                <w:szCs w:val="22"/>
              </w:rPr>
              <w:t>Ruixo</w:t>
            </w:r>
            <w:proofErr w:type="spellEnd"/>
            <w:r w:rsidRPr="00406AEC">
              <w:rPr>
                <w:rFonts w:ascii="Times New Roman" w:eastAsia="Times New Roman" w:hAnsi="Times New Roman" w:cs="Times New Roman"/>
                <w:color w:val="000000"/>
                <w:szCs w:val="22"/>
              </w:rPr>
              <w:t xml:space="preserve"> JJ, Scherz T, </w:t>
            </w:r>
            <w:proofErr w:type="spellStart"/>
            <w:r w:rsidRPr="00406AEC">
              <w:rPr>
                <w:rFonts w:ascii="Times New Roman" w:eastAsia="Times New Roman" w:hAnsi="Times New Roman" w:cs="Times New Roman"/>
                <w:color w:val="000000"/>
                <w:szCs w:val="22"/>
              </w:rPr>
              <w:t>Burcklen</w:t>
            </w:r>
            <w:proofErr w:type="spellEnd"/>
            <w:r w:rsidRPr="00406AEC">
              <w:rPr>
                <w:rFonts w:ascii="Times New Roman" w:eastAsia="Times New Roman" w:hAnsi="Times New Roman" w:cs="Times New Roman"/>
                <w:color w:val="000000"/>
                <w:szCs w:val="22"/>
              </w:rPr>
              <w:t xml:space="preserve"> M et al. (2021) An Exposure-Response Analysis of the Clinical Efficacy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in a Randomized Phase II Study in Patients with Multiple Sclerosis. Clinical Pharmacokinetics </w:t>
            </w:r>
          </w:p>
        </w:tc>
      </w:tr>
      <w:tr w:rsidR="00406AEC" w:rsidRPr="00406AEC" w14:paraId="79871738" w14:textId="77777777" w:rsidTr="00406AEC">
        <w:trPr>
          <w:trHeight w:val="300"/>
        </w:trPr>
        <w:tc>
          <w:tcPr>
            <w:tcW w:w="9360" w:type="dxa"/>
            <w:tcBorders>
              <w:top w:val="nil"/>
              <w:left w:val="nil"/>
              <w:bottom w:val="nil"/>
              <w:right w:val="nil"/>
            </w:tcBorders>
            <w:shd w:val="clear" w:color="auto" w:fill="auto"/>
            <w:noWrap/>
            <w:vAlign w:val="bottom"/>
            <w:hideMark/>
          </w:tcPr>
          <w:p w14:paraId="6E5CCF3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Giovannoni G, Phillips JT, Fox RJ, Lewin JB et al. Efficacy of delayed-release dimethyl fumarate in early multiple sclerosis: Post-hoc analysis of the phase 3 DEFINE and CONFIRM studies according to baseline disability.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263-264.</w:t>
            </w:r>
          </w:p>
        </w:tc>
      </w:tr>
      <w:tr w:rsidR="00406AEC" w:rsidRPr="00406AEC" w14:paraId="708B9B6E" w14:textId="77777777" w:rsidTr="00406AEC">
        <w:trPr>
          <w:trHeight w:val="300"/>
        </w:trPr>
        <w:tc>
          <w:tcPr>
            <w:tcW w:w="9360" w:type="dxa"/>
            <w:tcBorders>
              <w:top w:val="nil"/>
              <w:left w:val="nil"/>
              <w:bottom w:val="nil"/>
              <w:right w:val="nil"/>
            </w:tcBorders>
            <w:shd w:val="clear" w:color="auto" w:fill="auto"/>
            <w:noWrap/>
            <w:vAlign w:val="bottom"/>
            <w:hideMark/>
          </w:tcPr>
          <w:p w14:paraId="4E92CB3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Giovannoni G, Phillips JT, Fox RJ, Xiao J et al. (2016) Seven-year follow-up of the efficacy of delayed-release dimethyl fumarate in newly diagnosed patients with relapsing-remitting multiple sclerosis: integrated analysis of DEFINE, CONFIRM, and ENDORSE. Multiple Sclerosis 22 296-297.</w:t>
            </w:r>
          </w:p>
        </w:tc>
      </w:tr>
      <w:tr w:rsidR="00406AEC" w:rsidRPr="00406AEC" w14:paraId="65DBA301" w14:textId="77777777" w:rsidTr="00406AEC">
        <w:trPr>
          <w:trHeight w:val="300"/>
        </w:trPr>
        <w:tc>
          <w:tcPr>
            <w:tcW w:w="9360" w:type="dxa"/>
            <w:tcBorders>
              <w:top w:val="nil"/>
              <w:left w:val="nil"/>
              <w:bottom w:val="nil"/>
              <w:right w:val="nil"/>
            </w:tcBorders>
            <w:shd w:val="clear" w:color="auto" w:fill="auto"/>
            <w:noWrap/>
            <w:vAlign w:val="bottom"/>
            <w:hideMark/>
          </w:tcPr>
          <w:p w14:paraId="36D6B49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Gold R, Giovannoni G, Phillips JT, Fox RJ, Yang L et al. (2017) Efficacy of delayed-release dimethyl fumarate in newly diagnosed patients with relapsing-remitting multiple sclerosis: eight-year follow-up of an integrated analysis of DEFINE, CONFIRM, and ENDORSE. Multiple sclerosis journal 23 (3): 313-314.</w:t>
            </w:r>
          </w:p>
        </w:tc>
      </w:tr>
      <w:tr w:rsidR="00406AEC" w:rsidRPr="00406AEC" w14:paraId="1E888A2C" w14:textId="77777777" w:rsidTr="00406AEC">
        <w:trPr>
          <w:trHeight w:val="300"/>
        </w:trPr>
        <w:tc>
          <w:tcPr>
            <w:tcW w:w="9360" w:type="dxa"/>
            <w:tcBorders>
              <w:top w:val="nil"/>
              <w:left w:val="nil"/>
              <w:bottom w:val="nil"/>
              <w:right w:val="nil"/>
            </w:tcBorders>
            <w:shd w:val="clear" w:color="auto" w:fill="auto"/>
            <w:noWrap/>
            <w:vAlign w:val="bottom"/>
            <w:hideMark/>
          </w:tcPr>
          <w:p w14:paraId="3609518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Giovannoni G, Phillips JT, Fox RJ, Zhang A et al. (2016) Sustained Effect of Delayed-Release Dimethyl Fumarate in Newly Diagnosed Patients with Relapsing-Remitting Multiple Sclerosis: 6-Year Interim Results From an Extension of the DEFINE and CONFIRM Studies. Neurology and Therapy 5 (1): 45-57.</w:t>
            </w:r>
          </w:p>
        </w:tc>
      </w:tr>
      <w:tr w:rsidR="00406AEC" w:rsidRPr="00406AEC" w14:paraId="0CF9E6CA" w14:textId="77777777" w:rsidTr="00406AEC">
        <w:trPr>
          <w:trHeight w:val="300"/>
        </w:trPr>
        <w:tc>
          <w:tcPr>
            <w:tcW w:w="9360" w:type="dxa"/>
            <w:tcBorders>
              <w:top w:val="nil"/>
              <w:left w:val="nil"/>
              <w:bottom w:val="nil"/>
              <w:right w:val="nil"/>
            </w:tcBorders>
            <w:shd w:val="clear" w:color="auto" w:fill="auto"/>
            <w:noWrap/>
            <w:vAlign w:val="bottom"/>
            <w:hideMark/>
          </w:tcPr>
          <w:p w14:paraId="7729785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Giovannoni G, Phillips JT, Fox RJ, Zhang A et al. (2015) Efficacy and safety of delayed-release dimethyl fumarate in patients newly diagnosed with relapsing-remitting multiple sclerosis (RRMS). Multiple Sclerosis 21 (1): 57-66.</w:t>
            </w:r>
          </w:p>
        </w:tc>
      </w:tr>
      <w:tr w:rsidR="00406AEC" w:rsidRPr="00406AEC" w14:paraId="25FEDC2E" w14:textId="77777777" w:rsidTr="00406AEC">
        <w:trPr>
          <w:trHeight w:val="300"/>
        </w:trPr>
        <w:tc>
          <w:tcPr>
            <w:tcW w:w="9360" w:type="dxa"/>
            <w:tcBorders>
              <w:top w:val="nil"/>
              <w:left w:val="nil"/>
              <w:bottom w:val="nil"/>
              <w:right w:val="nil"/>
            </w:tcBorders>
            <w:shd w:val="clear" w:color="auto" w:fill="auto"/>
            <w:noWrap/>
            <w:vAlign w:val="bottom"/>
            <w:hideMark/>
          </w:tcPr>
          <w:p w14:paraId="6A1796B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 Reder A, Ebers G, Cutter G, </w:t>
            </w: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et al. (2011) Predictive value of baseline and short-term outcomes on mortality in multiple sclerosis: data from the Interferon Beta-1b 21-Year Long-Term Follow-Up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S423-S424.</w:t>
            </w:r>
          </w:p>
        </w:tc>
      </w:tr>
      <w:tr w:rsidR="00406AEC" w:rsidRPr="00406AEC" w14:paraId="7C8528E1" w14:textId="77777777" w:rsidTr="00406AEC">
        <w:trPr>
          <w:trHeight w:val="300"/>
        </w:trPr>
        <w:tc>
          <w:tcPr>
            <w:tcW w:w="9360" w:type="dxa"/>
            <w:tcBorders>
              <w:top w:val="nil"/>
              <w:left w:val="nil"/>
              <w:bottom w:val="nil"/>
              <w:right w:val="nil"/>
            </w:tcBorders>
            <w:shd w:val="clear" w:color="auto" w:fill="auto"/>
            <w:noWrap/>
            <w:vAlign w:val="bottom"/>
            <w:hideMark/>
          </w:tcPr>
          <w:p w14:paraId="3D518C6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Reder A, </w:t>
            </w:r>
            <w:proofErr w:type="spellStart"/>
            <w:r w:rsidRPr="00406AEC">
              <w:rPr>
                <w:rFonts w:ascii="Times New Roman" w:eastAsia="Times New Roman" w:hAnsi="Times New Roman" w:cs="Times New Roman"/>
                <w:color w:val="000000"/>
                <w:szCs w:val="22"/>
              </w:rPr>
              <w:t>Koelbach</w:t>
            </w:r>
            <w:proofErr w:type="spellEnd"/>
            <w:r w:rsidRPr="00406AEC">
              <w:rPr>
                <w:rFonts w:ascii="Times New Roman" w:eastAsia="Times New Roman" w:hAnsi="Times New Roman" w:cs="Times New Roman"/>
                <w:color w:val="000000"/>
                <w:szCs w:val="22"/>
              </w:rPr>
              <w:t xml:space="preserve"> R, Pohl C, Suarez G (2016) Evaluation of the NEDA (No Evidence of Disease Activity) measure for predicting long-term outcomes from the pivotal trial of interferon beta-1b in multiple sclerosis. Neurology 87 (2): e22-.</w:t>
            </w:r>
          </w:p>
        </w:tc>
      </w:tr>
      <w:tr w:rsidR="00406AEC" w:rsidRPr="00406AEC" w14:paraId="5664C6EA" w14:textId="77777777" w:rsidTr="00406AEC">
        <w:trPr>
          <w:trHeight w:val="300"/>
        </w:trPr>
        <w:tc>
          <w:tcPr>
            <w:tcW w:w="9360" w:type="dxa"/>
            <w:tcBorders>
              <w:top w:val="nil"/>
              <w:left w:val="nil"/>
              <w:bottom w:val="nil"/>
              <w:right w:val="nil"/>
            </w:tcBorders>
            <w:shd w:val="clear" w:color="auto" w:fill="auto"/>
            <w:noWrap/>
            <w:vAlign w:val="bottom"/>
            <w:hideMark/>
          </w:tcPr>
          <w:p w14:paraId="1B7E468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DS, Reder AT, </w:t>
            </w:r>
            <w:proofErr w:type="spellStart"/>
            <w:r w:rsidRPr="00406AEC">
              <w:rPr>
                <w:rFonts w:ascii="Times New Roman" w:eastAsia="Times New Roman" w:hAnsi="Times New Roman" w:cs="Times New Roman"/>
                <w:color w:val="000000"/>
                <w:szCs w:val="22"/>
              </w:rPr>
              <w:t>Koelbach</w:t>
            </w:r>
            <w:proofErr w:type="spellEnd"/>
            <w:r w:rsidRPr="00406AEC">
              <w:rPr>
                <w:rFonts w:ascii="Times New Roman" w:eastAsia="Times New Roman" w:hAnsi="Times New Roman" w:cs="Times New Roman"/>
                <w:color w:val="000000"/>
                <w:szCs w:val="22"/>
              </w:rPr>
              <w:t xml:space="preserve"> R, Pohl C, Wicklein EM (2016) Contribution of clinical and MRI to evaluation of NEDA (No Evidence of Disease Activity) from the pivotal trial of interferon beta-1b in multiple sclerosis. Multiple Sclerosis 22 (837): </w:t>
            </w:r>
          </w:p>
        </w:tc>
      </w:tr>
      <w:tr w:rsidR="00406AEC" w:rsidRPr="00406AEC" w14:paraId="11BDBF0B" w14:textId="77777777" w:rsidTr="00406AEC">
        <w:trPr>
          <w:trHeight w:val="300"/>
        </w:trPr>
        <w:tc>
          <w:tcPr>
            <w:tcW w:w="9360" w:type="dxa"/>
            <w:tcBorders>
              <w:top w:val="nil"/>
              <w:left w:val="nil"/>
              <w:bottom w:val="nil"/>
              <w:right w:val="nil"/>
            </w:tcBorders>
            <w:shd w:val="clear" w:color="auto" w:fill="auto"/>
            <w:noWrap/>
            <w:vAlign w:val="bottom"/>
            <w:hideMark/>
          </w:tcPr>
          <w:p w14:paraId="732FF45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Gopal S, Mikulskis A, Gold R, Fox RJ, Dawson KT et al. (2017) Evidence of activation of the Nrf2 pathway in multiple sclerosis patients treated with delayed-release dimethyl fumarate in the Phase 3 DEFINE and CONFIRM studies. Multiple Sclerosis 23 (14): 1875-1883.</w:t>
            </w:r>
          </w:p>
        </w:tc>
      </w:tr>
      <w:tr w:rsidR="00406AEC" w:rsidRPr="00406AEC" w14:paraId="18CADA21" w14:textId="77777777" w:rsidTr="00406AEC">
        <w:trPr>
          <w:trHeight w:val="300"/>
        </w:trPr>
        <w:tc>
          <w:tcPr>
            <w:tcW w:w="9360" w:type="dxa"/>
            <w:tcBorders>
              <w:top w:val="nil"/>
              <w:left w:val="nil"/>
              <w:bottom w:val="nil"/>
              <w:right w:val="nil"/>
            </w:tcBorders>
            <w:shd w:val="clear" w:color="auto" w:fill="auto"/>
            <w:noWrap/>
            <w:vAlign w:val="bottom"/>
            <w:hideMark/>
          </w:tcPr>
          <w:p w14:paraId="3756D23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Greenberg BM, Balcer L, Calabresi PA, Cree B, Cross A et al. (2013) Interferon beta use and disability prevention in relapsing-remitting multiple sclerosis. JAMA neurology 70 (2): 248-251.</w:t>
            </w:r>
          </w:p>
        </w:tc>
      </w:tr>
      <w:tr w:rsidR="00406AEC" w:rsidRPr="00406AEC" w14:paraId="6E4B4CC3" w14:textId="77777777" w:rsidTr="00406AEC">
        <w:trPr>
          <w:trHeight w:val="300"/>
        </w:trPr>
        <w:tc>
          <w:tcPr>
            <w:tcW w:w="9360" w:type="dxa"/>
            <w:tcBorders>
              <w:top w:val="nil"/>
              <w:left w:val="nil"/>
              <w:bottom w:val="nil"/>
              <w:right w:val="nil"/>
            </w:tcBorders>
            <w:shd w:val="clear" w:color="auto" w:fill="auto"/>
            <w:noWrap/>
            <w:vAlign w:val="bottom"/>
            <w:hideMark/>
          </w:tcPr>
          <w:p w14:paraId="391ED12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Haas J, Jeffery D, Silva D, Meier DP, Meinert R et al. (2019) Early initiation of fingolimod reduces the rate of severe relapses over the long term: post hoc analysis from the FREEDOMS, FREEDOMS II, and TRANSFORMS studies. Multiple sclerosis and related disorders 36 </w:t>
            </w:r>
          </w:p>
        </w:tc>
      </w:tr>
      <w:tr w:rsidR="00406AEC" w:rsidRPr="00406AEC" w14:paraId="222717F8" w14:textId="77777777" w:rsidTr="00406AEC">
        <w:trPr>
          <w:trHeight w:val="300"/>
        </w:trPr>
        <w:tc>
          <w:tcPr>
            <w:tcW w:w="9360" w:type="dxa"/>
            <w:tcBorders>
              <w:top w:val="nil"/>
              <w:left w:val="nil"/>
              <w:bottom w:val="nil"/>
              <w:right w:val="nil"/>
            </w:tcBorders>
            <w:shd w:val="clear" w:color="auto" w:fill="auto"/>
            <w:noWrap/>
            <w:vAlign w:val="bottom"/>
            <w:hideMark/>
          </w:tcPr>
          <w:p w14:paraId="59CCD57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Hale G, Phillips JM (1995) Clinical trials with CAMPATH-I and other monoclonal antibodies. Biochemical Society Transactions 23 (4): 1057-1063.</w:t>
            </w:r>
          </w:p>
        </w:tc>
      </w:tr>
      <w:tr w:rsidR="00406AEC" w:rsidRPr="00406AEC" w14:paraId="3BBF47EC" w14:textId="77777777" w:rsidTr="00406AEC">
        <w:trPr>
          <w:trHeight w:val="300"/>
        </w:trPr>
        <w:tc>
          <w:tcPr>
            <w:tcW w:w="9360" w:type="dxa"/>
            <w:tcBorders>
              <w:top w:val="nil"/>
              <w:left w:val="nil"/>
              <w:bottom w:val="nil"/>
              <w:right w:val="nil"/>
            </w:tcBorders>
            <w:shd w:val="clear" w:color="auto" w:fill="auto"/>
            <w:noWrap/>
            <w:vAlign w:val="bottom"/>
            <w:hideMark/>
          </w:tcPr>
          <w:p w14:paraId="50CF4CB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Harrer A, Pilz G, Oppermann K, </w:t>
            </w:r>
            <w:proofErr w:type="spellStart"/>
            <w:r w:rsidRPr="00406AEC">
              <w:rPr>
                <w:rFonts w:ascii="Times New Roman" w:eastAsia="Times New Roman" w:hAnsi="Times New Roman" w:cs="Times New Roman"/>
                <w:color w:val="000000"/>
                <w:szCs w:val="22"/>
              </w:rPr>
              <w:t>Sageder</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Afazel</w:t>
            </w:r>
            <w:proofErr w:type="spellEnd"/>
            <w:r w:rsidRPr="00406AEC">
              <w:rPr>
                <w:rFonts w:ascii="Times New Roman" w:eastAsia="Times New Roman" w:hAnsi="Times New Roman" w:cs="Times New Roman"/>
                <w:color w:val="000000"/>
                <w:szCs w:val="22"/>
              </w:rPr>
              <w:t xml:space="preserve"> S et al. (2017) From natalizumab to fingolimod in eight weeks - Immunological, clinical, and radiological data in quest of the optimal switch. Clinical Immunology 176 87-93.</w:t>
            </w:r>
          </w:p>
        </w:tc>
      </w:tr>
      <w:tr w:rsidR="00406AEC" w:rsidRPr="00406AEC" w14:paraId="3DF1ACFF" w14:textId="77777777" w:rsidTr="00406AEC">
        <w:trPr>
          <w:trHeight w:val="300"/>
        </w:trPr>
        <w:tc>
          <w:tcPr>
            <w:tcW w:w="9360" w:type="dxa"/>
            <w:tcBorders>
              <w:top w:val="nil"/>
              <w:left w:val="nil"/>
              <w:bottom w:val="nil"/>
              <w:right w:val="nil"/>
            </w:tcBorders>
            <w:shd w:val="clear" w:color="auto" w:fill="auto"/>
            <w:noWrap/>
            <w:vAlign w:val="bottom"/>
            <w:hideMark/>
          </w:tcPr>
          <w:p w14:paraId="3437061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Hartung HP (2005) Early treatment and dose </w:t>
            </w:r>
            <w:proofErr w:type="spellStart"/>
            <w:r w:rsidRPr="00406AEC">
              <w:rPr>
                <w:rFonts w:ascii="Times New Roman" w:eastAsia="Times New Roman" w:hAnsi="Times New Roman" w:cs="Times New Roman"/>
                <w:color w:val="000000"/>
                <w:szCs w:val="22"/>
              </w:rPr>
              <w:t>optimisation</w:t>
            </w:r>
            <w:proofErr w:type="spellEnd"/>
            <w:r w:rsidRPr="00406AEC">
              <w:rPr>
                <w:rFonts w:ascii="Times New Roman" w:eastAsia="Times New Roman" w:hAnsi="Times New Roman" w:cs="Times New Roman"/>
                <w:color w:val="000000"/>
                <w:szCs w:val="22"/>
              </w:rPr>
              <w:t>: BENEFIT and BEYOND. Journal of Neurology 252 (SUPPL. 3): iii44-iii50.</w:t>
            </w:r>
          </w:p>
        </w:tc>
      </w:tr>
      <w:tr w:rsidR="00406AEC" w:rsidRPr="00406AEC" w14:paraId="736EDA00" w14:textId="77777777" w:rsidTr="00406AEC">
        <w:trPr>
          <w:trHeight w:val="300"/>
        </w:trPr>
        <w:tc>
          <w:tcPr>
            <w:tcW w:w="9360" w:type="dxa"/>
            <w:tcBorders>
              <w:top w:val="nil"/>
              <w:left w:val="nil"/>
              <w:bottom w:val="nil"/>
              <w:right w:val="nil"/>
            </w:tcBorders>
            <w:shd w:val="clear" w:color="auto" w:fill="auto"/>
            <w:noWrap/>
            <w:vAlign w:val="bottom"/>
            <w:hideMark/>
          </w:tcPr>
          <w:p w14:paraId="7B868A2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Hartung HP, Arnold DL, Cohen JA, Coles AJ, Fox EJ et al. Reduction of disability with alemtuzumab in relapsing remitting multiple sclerosis patients who participated in CARE-MS II: Three year follow-up.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250.</w:t>
            </w:r>
          </w:p>
        </w:tc>
      </w:tr>
      <w:tr w:rsidR="00406AEC" w:rsidRPr="00406AEC" w14:paraId="77E073A4" w14:textId="77777777" w:rsidTr="00406AEC">
        <w:trPr>
          <w:trHeight w:val="300"/>
        </w:trPr>
        <w:tc>
          <w:tcPr>
            <w:tcW w:w="9360" w:type="dxa"/>
            <w:tcBorders>
              <w:top w:val="nil"/>
              <w:left w:val="nil"/>
              <w:bottom w:val="nil"/>
              <w:right w:val="nil"/>
            </w:tcBorders>
            <w:shd w:val="clear" w:color="auto" w:fill="auto"/>
            <w:noWrap/>
            <w:vAlign w:val="bottom"/>
            <w:hideMark/>
          </w:tcPr>
          <w:p w14:paraId="7EAE182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Hartung HP, </w:t>
            </w:r>
            <w:proofErr w:type="spellStart"/>
            <w:r w:rsidRPr="00406AEC">
              <w:rPr>
                <w:rFonts w:ascii="Times New Roman" w:eastAsia="Times New Roman" w:hAnsi="Times New Roman" w:cs="Times New Roman"/>
                <w:color w:val="000000"/>
                <w:szCs w:val="22"/>
              </w:rPr>
              <w:t>Pigeolet</w:t>
            </w:r>
            <w:proofErr w:type="spellEnd"/>
            <w:r w:rsidRPr="00406AEC">
              <w:rPr>
                <w:rFonts w:ascii="Times New Roman" w:eastAsia="Times New Roman" w:hAnsi="Times New Roman" w:cs="Times New Roman"/>
                <w:color w:val="000000"/>
                <w:szCs w:val="22"/>
              </w:rPr>
              <w:t xml:space="preserve"> E, Li D, Hemmer B, Kappos L et al. The selective sphingosine 1-phosphate receptor modulator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(BAF312): Magnetic resonance imaging lesion and lymphocyte relationship in a phase 2 study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426-427.</w:t>
            </w:r>
          </w:p>
        </w:tc>
      </w:tr>
      <w:tr w:rsidR="00406AEC" w:rsidRPr="00406AEC" w14:paraId="2A3519E4" w14:textId="77777777" w:rsidTr="00406AEC">
        <w:trPr>
          <w:trHeight w:val="300"/>
        </w:trPr>
        <w:tc>
          <w:tcPr>
            <w:tcW w:w="9360" w:type="dxa"/>
            <w:tcBorders>
              <w:top w:val="nil"/>
              <w:left w:val="nil"/>
              <w:bottom w:val="nil"/>
              <w:right w:val="nil"/>
            </w:tcBorders>
            <w:shd w:val="clear" w:color="auto" w:fill="auto"/>
            <w:noWrap/>
            <w:vAlign w:val="bottom"/>
            <w:hideMark/>
          </w:tcPr>
          <w:p w14:paraId="78C149B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Havrdova E, Fox RJ, Gold R, Li J, Zhang A et al. </w:t>
            </w:r>
            <w:r w:rsidRPr="00406AEC">
              <w:rPr>
                <w:rFonts w:ascii="Times New Roman" w:eastAsia="Times New Roman" w:hAnsi="Times New Roman" w:cs="Times New Roman"/>
                <w:color w:val="000000"/>
                <w:szCs w:val="22"/>
              </w:rPr>
              <w:t>(2015) Efficacy and safety of delayed-release dimethyl fumarate in relapsing-remitting multiple sclerosis patients with cardiovascular disease: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551-552.</w:t>
            </w:r>
          </w:p>
        </w:tc>
      </w:tr>
      <w:tr w:rsidR="00406AEC" w:rsidRPr="00406AEC" w14:paraId="720A1D09" w14:textId="77777777" w:rsidTr="00406AEC">
        <w:trPr>
          <w:trHeight w:val="300"/>
        </w:trPr>
        <w:tc>
          <w:tcPr>
            <w:tcW w:w="9360" w:type="dxa"/>
            <w:tcBorders>
              <w:top w:val="nil"/>
              <w:left w:val="nil"/>
              <w:bottom w:val="nil"/>
              <w:right w:val="nil"/>
            </w:tcBorders>
            <w:shd w:val="clear" w:color="auto" w:fill="auto"/>
            <w:noWrap/>
            <w:vAlign w:val="bottom"/>
            <w:hideMark/>
          </w:tcPr>
          <w:p w14:paraId="522F0CC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Fox RJ, Gold R, Xiao J, Zhang A et al. (2015) Effect of delayed-release dimethyl fumarate on total disability burden in relapsing-remitting multiple sclerosis: Area under the curve analysis of changes from baseline in EDSS scores. European journal of neurology 22 (752): </w:t>
            </w:r>
          </w:p>
        </w:tc>
      </w:tr>
      <w:tr w:rsidR="00406AEC" w:rsidRPr="00406AEC" w14:paraId="31D17124" w14:textId="77777777" w:rsidTr="00406AEC">
        <w:trPr>
          <w:trHeight w:val="300"/>
        </w:trPr>
        <w:tc>
          <w:tcPr>
            <w:tcW w:w="9360" w:type="dxa"/>
            <w:tcBorders>
              <w:top w:val="nil"/>
              <w:left w:val="nil"/>
              <w:bottom w:val="nil"/>
              <w:right w:val="nil"/>
            </w:tcBorders>
            <w:shd w:val="clear" w:color="auto" w:fill="auto"/>
            <w:noWrap/>
            <w:vAlign w:val="bottom"/>
            <w:hideMark/>
          </w:tcPr>
          <w:p w14:paraId="0908CDF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Havrdova E, Giovannoni G, Gold R, Fox R, Kappos L et al. </w:t>
            </w:r>
            <w:r w:rsidRPr="00406AEC">
              <w:rPr>
                <w:rFonts w:ascii="Times New Roman" w:eastAsia="Times New Roman" w:hAnsi="Times New Roman" w:cs="Times New Roman"/>
                <w:color w:val="000000"/>
                <w:szCs w:val="22"/>
              </w:rPr>
              <w:t xml:space="preserve">(2015) Effect of delayed-release dimethyl fumarate on no evident disease activity in newly diagnosed relapsing-remitting multiple sclerosis patients: An integrated analysis of the phase 3 DEFINE and CONFIRM studies. Neurology 84 (18): </w:t>
            </w:r>
          </w:p>
        </w:tc>
      </w:tr>
      <w:tr w:rsidR="00406AEC" w:rsidRPr="00406AEC" w14:paraId="309BC24C" w14:textId="77777777" w:rsidTr="00406AEC">
        <w:trPr>
          <w:trHeight w:val="300"/>
        </w:trPr>
        <w:tc>
          <w:tcPr>
            <w:tcW w:w="9360" w:type="dxa"/>
            <w:tcBorders>
              <w:top w:val="nil"/>
              <w:left w:val="nil"/>
              <w:bottom w:val="nil"/>
              <w:right w:val="nil"/>
            </w:tcBorders>
            <w:shd w:val="clear" w:color="auto" w:fill="auto"/>
            <w:noWrap/>
            <w:vAlign w:val="bottom"/>
            <w:hideMark/>
          </w:tcPr>
          <w:p w14:paraId="4AEE3CB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Hendin B, Huang D, Wray S, Naismith RT, Rosenblatt S et al. (2017) Subcutaneous peginterferon beta-1a injection-site reaction experience and mitigation: Delphi analysis of the ALLOW study. Neurodegenerative Disease Management 7 (1): 39-47.</w:t>
            </w:r>
          </w:p>
        </w:tc>
      </w:tr>
      <w:tr w:rsidR="00406AEC" w:rsidRPr="00406AEC" w14:paraId="7151B607" w14:textId="77777777" w:rsidTr="00406AEC">
        <w:trPr>
          <w:trHeight w:val="300"/>
        </w:trPr>
        <w:tc>
          <w:tcPr>
            <w:tcW w:w="9360" w:type="dxa"/>
            <w:tcBorders>
              <w:top w:val="nil"/>
              <w:left w:val="nil"/>
              <w:bottom w:val="nil"/>
              <w:right w:val="nil"/>
            </w:tcBorders>
            <w:shd w:val="clear" w:color="auto" w:fill="auto"/>
            <w:noWrap/>
            <w:vAlign w:val="bottom"/>
            <w:hideMark/>
          </w:tcPr>
          <w:p w14:paraId="6279AF9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Hernandez L, Fox RJ, Gold R, Phillips JT, </w:t>
            </w:r>
            <w:proofErr w:type="spellStart"/>
            <w:r w:rsidRPr="00406AEC">
              <w:rPr>
                <w:rFonts w:ascii="Times New Roman" w:eastAsia="Times New Roman" w:hAnsi="Times New Roman" w:cs="Times New Roman"/>
                <w:color w:val="000000"/>
                <w:szCs w:val="22"/>
              </w:rPr>
              <w:t>Okwuokeny</w:t>
            </w:r>
            <w:proofErr w:type="spellEnd"/>
            <w:r w:rsidRPr="00406AEC">
              <w:rPr>
                <w:rFonts w:ascii="Times New Roman" w:eastAsia="Times New Roman" w:hAnsi="Times New Roman" w:cs="Times New Roman"/>
                <w:color w:val="000000"/>
                <w:szCs w:val="22"/>
              </w:rPr>
              <w:t xml:space="preserve"> M et al. (2015) Clinical efficacy of delayed-release dimethyl fumarate in Hispanic patients with relapsing-remitting multiple sclerosis: Integrated analysis of define and confirm. Journal of the Neurological Sciences 357 (31): </w:t>
            </w:r>
          </w:p>
        </w:tc>
      </w:tr>
      <w:tr w:rsidR="00406AEC" w:rsidRPr="00406AEC" w14:paraId="175BC38F" w14:textId="77777777" w:rsidTr="00406AEC">
        <w:trPr>
          <w:trHeight w:val="300"/>
        </w:trPr>
        <w:tc>
          <w:tcPr>
            <w:tcW w:w="9360" w:type="dxa"/>
            <w:tcBorders>
              <w:top w:val="nil"/>
              <w:left w:val="nil"/>
              <w:bottom w:val="nil"/>
              <w:right w:val="nil"/>
            </w:tcBorders>
            <w:shd w:val="clear" w:color="auto" w:fill="auto"/>
            <w:noWrap/>
            <w:vAlign w:val="bottom"/>
            <w:hideMark/>
          </w:tcPr>
          <w:p w14:paraId="66C10EA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Herndon RM, Rudick RA, </w:t>
            </w:r>
            <w:proofErr w:type="spellStart"/>
            <w:r w:rsidRPr="00406AEC">
              <w:rPr>
                <w:rFonts w:ascii="Times New Roman" w:eastAsia="Times New Roman" w:hAnsi="Times New Roman" w:cs="Times New Roman"/>
                <w:color w:val="000000"/>
                <w:szCs w:val="22"/>
              </w:rPr>
              <w:t>Munschauer</w:t>
            </w:r>
            <w:proofErr w:type="spellEnd"/>
            <w:r w:rsidRPr="00406AEC">
              <w:rPr>
                <w:rFonts w:ascii="Times New Roman" w:eastAsia="Times New Roman" w:hAnsi="Times New Roman" w:cs="Times New Roman"/>
                <w:color w:val="000000"/>
                <w:szCs w:val="22"/>
              </w:rPr>
              <w:t xml:space="preserve"> IFE, Mass MK, Salazar AM et al. (2005) Eight-year immunogenicity and safety of interferon beta-1a-Avonex treatment in patients with multiple sclerosis. Multiple Sclerosis 11 (4): 409-419.</w:t>
            </w:r>
          </w:p>
        </w:tc>
      </w:tr>
      <w:tr w:rsidR="00406AEC" w:rsidRPr="00406AEC" w14:paraId="1BFBCD4C" w14:textId="77777777" w:rsidTr="00406AEC">
        <w:trPr>
          <w:trHeight w:val="300"/>
        </w:trPr>
        <w:tc>
          <w:tcPr>
            <w:tcW w:w="9360" w:type="dxa"/>
            <w:tcBorders>
              <w:top w:val="nil"/>
              <w:left w:val="nil"/>
              <w:bottom w:val="nil"/>
              <w:right w:val="nil"/>
            </w:tcBorders>
            <w:shd w:val="clear" w:color="auto" w:fill="auto"/>
            <w:noWrap/>
            <w:vAlign w:val="bottom"/>
            <w:hideMark/>
          </w:tcPr>
          <w:p w14:paraId="366A02D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Hochman S, Fox RJ, Gold R, Phillips JT, </w:t>
            </w:r>
            <w:proofErr w:type="spellStart"/>
            <w:r w:rsidRPr="00406AEC">
              <w:rPr>
                <w:rFonts w:ascii="Times New Roman" w:eastAsia="Times New Roman" w:hAnsi="Times New Roman" w:cs="Times New Roman"/>
                <w:color w:val="000000"/>
                <w:szCs w:val="22"/>
              </w:rPr>
              <w:t>Okwuokeny</w:t>
            </w:r>
            <w:proofErr w:type="spellEnd"/>
            <w:r w:rsidRPr="00406AEC">
              <w:rPr>
                <w:rFonts w:ascii="Times New Roman" w:eastAsia="Times New Roman" w:hAnsi="Times New Roman" w:cs="Times New Roman"/>
                <w:color w:val="000000"/>
                <w:szCs w:val="22"/>
              </w:rPr>
              <w:t xml:space="preserve"> M et al. (2015) Clinical efficacy of delayed-release dimethyl fumarate in Asian patients with relapsing-remitting multiple sclerosis: Integrated analysis of define and confirm. Journal of the Neurological Sciences 357 (31): </w:t>
            </w:r>
          </w:p>
        </w:tc>
      </w:tr>
      <w:tr w:rsidR="00406AEC" w:rsidRPr="00406AEC" w14:paraId="589AC9EA" w14:textId="77777777" w:rsidTr="00406AEC">
        <w:trPr>
          <w:trHeight w:val="300"/>
        </w:trPr>
        <w:tc>
          <w:tcPr>
            <w:tcW w:w="9360" w:type="dxa"/>
            <w:tcBorders>
              <w:top w:val="nil"/>
              <w:left w:val="nil"/>
              <w:bottom w:val="nil"/>
              <w:right w:val="nil"/>
            </w:tcBorders>
            <w:shd w:val="clear" w:color="auto" w:fill="auto"/>
            <w:noWrap/>
            <w:vAlign w:val="bottom"/>
            <w:hideMark/>
          </w:tcPr>
          <w:p w14:paraId="25FF924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Horowski</w:t>
            </w:r>
            <w:proofErr w:type="spellEnd"/>
            <w:r w:rsidRPr="00406AEC">
              <w:rPr>
                <w:rFonts w:ascii="Times New Roman" w:eastAsia="Times New Roman" w:hAnsi="Times New Roman" w:cs="Times New Roman"/>
                <w:color w:val="000000"/>
                <w:szCs w:val="22"/>
              </w:rPr>
              <w:t xml:space="preserve"> R, </w:t>
            </w:r>
            <w:proofErr w:type="spellStart"/>
            <w:r w:rsidRPr="00406AEC">
              <w:rPr>
                <w:rFonts w:ascii="Times New Roman" w:eastAsia="Times New Roman" w:hAnsi="Times New Roman" w:cs="Times New Roman"/>
                <w:color w:val="000000"/>
                <w:szCs w:val="22"/>
              </w:rPr>
              <w:t>Sturzebecher</w:t>
            </w:r>
            <w:proofErr w:type="spellEnd"/>
            <w:r w:rsidRPr="00406AEC">
              <w:rPr>
                <w:rFonts w:ascii="Times New Roman" w:eastAsia="Times New Roman" w:hAnsi="Times New Roman" w:cs="Times New Roman"/>
                <w:color w:val="000000"/>
                <w:szCs w:val="22"/>
              </w:rPr>
              <w:t xml:space="preserve"> CS, Kapp JF (2001) Neutralizing antibodies (NABS) and interferon beta-1B therapy of multiple sclerosis. Functional Neurology 16 (2): 117-128.</w:t>
            </w:r>
          </w:p>
        </w:tc>
      </w:tr>
      <w:tr w:rsidR="00406AEC" w:rsidRPr="00406AEC" w14:paraId="668351E8" w14:textId="77777777" w:rsidTr="00406AEC">
        <w:trPr>
          <w:trHeight w:val="300"/>
        </w:trPr>
        <w:tc>
          <w:tcPr>
            <w:tcW w:w="9360" w:type="dxa"/>
            <w:tcBorders>
              <w:top w:val="nil"/>
              <w:left w:val="nil"/>
              <w:bottom w:val="nil"/>
              <w:right w:val="nil"/>
            </w:tcBorders>
            <w:shd w:val="clear" w:color="auto" w:fill="auto"/>
            <w:noWrap/>
            <w:vAlign w:val="bottom"/>
            <w:hideMark/>
          </w:tcPr>
          <w:p w14:paraId="4540EAF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Huggins A, Sergott RC (2011) Background and rationale for mechanism of action, efficacy, and safety of fingolimod (</w:t>
            </w:r>
            <w:proofErr w:type="spellStart"/>
            <w:r w:rsidRPr="00406AEC">
              <w:rPr>
                <w:rFonts w:ascii="Times New Roman" w:eastAsia="Times New Roman" w:hAnsi="Times New Roman" w:cs="Times New Roman"/>
                <w:color w:val="000000"/>
                <w:szCs w:val="22"/>
              </w:rPr>
              <w:t>Gilenya</w:t>
            </w:r>
            <w:proofErr w:type="spellEnd"/>
            <w:r w:rsidRPr="00406AEC">
              <w:rPr>
                <w:rFonts w:ascii="Times New Roman" w:eastAsia="Times New Roman" w:hAnsi="Times New Roman" w:cs="Times New Roman"/>
                <w:color w:val="000000"/>
                <w:szCs w:val="22"/>
              </w:rPr>
              <w:t>), the first oral therapy for remitting-relapsing multiple sclerosis: With special emphasis upon visual safety. Current Opinion in Ophthalmology 22 (6): 445-450.</w:t>
            </w:r>
          </w:p>
        </w:tc>
      </w:tr>
      <w:tr w:rsidR="00406AEC" w:rsidRPr="00406AEC" w14:paraId="714E15A8" w14:textId="77777777" w:rsidTr="00406AEC">
        <w:trPr>
          <w:trHeight w:val="300"/>
        </w:trPr>
        <w:tc>
          <w:tcPr>
            <w:tcW w:w="9360" w:type="dxa"/>
            <w:tcBorders>
              <w:top w:val="nil"/>
              <w:left w:val="nil"/>
              <w:bottom w:val="nil"/>
              <w:right w:val="nil"/>
            </w:tcBorders>
            <w:shd w:val="clear" w:color="auto" w:fill="auto"/>
            <w:noWrap/>
            <w:vAlign w:val="bottom"/>
            <w:hideMark/>
          </w:tcPr>
          <w:p w14:paraId="56EA305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Fox R, Gold R, Zhang A, Yang M et al. (2015) Efficacy of delayed-release dimethyl fumarate in multiple sclerosis patients with moderate disability: An integrated analysis of the phase 3 define and confirm studies. Neurology 84 (18): </w:t>
            </w:r>
          </w:p>
        </w:tc>
      </w:tr>
      <w:tr w:rsidR="00406AEC" w:rsidRPr="00406AEC" w14:paraId="67246021" w14:textId="77777777" w:rsidTr="00406AEC">
        <w:trPr>
          <w:trHeight w:val="300"/>
        </w:trPr>
        <w:tc>
          <w:tcPr>
            <w:tcW w:w="9360" w:type="dxa"/>
            <w:tcBorders>
              <w:top w:val="nil"/>
              <w:left w:val="nil"/>
              <w:bottom w:val="nil"/>
              <w:right w:val="nil"/>
            </w:tcBorders>
            <w:shd w:val="clear" w:color="auto" w:fill="auto"/>
            <w:noWrap/>
            <w:vAlign w:val="bottom"/>
            <w:hideMark/>
          </w:tcPr>
          <w:p w14:paraId="5BA1BED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Fox RJ, Bar-Or A,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Yang M et al. Efficacy of BG-12 (dimethyl fumarate) in relapsing remitting multiple sclerosis in patients from Europe: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466.</w:t>
            </w:r>
          </w:p>
        </w:tc>
      </w:tr>
      <w:tr w:rsidR="00406AEC" w:rsidRPr="00406AEC" w14:paraId="0D59BCFD" w14:textId="77777777" w:rsidTr="00406AEC">
        <w:trPr>
          <w:trHeight w:val="300"/>
        </w:trPr>
        <w:tc>
          <w:tcPr>
            <w:tcW w:w="9360" w:type="dxa"/>
            <w:tcBorders>
              <w:top w:val="nil"/>
              <w:left w:val="nil"/>
              <w:bottom w:val="nil"/>
              <w:right w:val="nil"/>
            </w:tcBorders>
            <w:shd w:val="clear" w:color="auto" w:fill="auto"/>
            <w:noWrap/>
            <w:vAlign w:val="bottom"/>
            <w:hideMark/>
          </w:tcPr>
          <w:p w14:paraId="7988BA2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Hutchinson M, Phillips JT, </w:t>
            </w:r>
            <w:proofErr w:type="spellStart"/>
            <w:r w:rsidRPr="00406AEC">
              <w:rPr>
                <w:rFonts w:ascii="Times New Roman" w:eastAsia="Times New Roman" w:hAnsi="Times New Roman" w:cs="Times New Roman"/>
                <w:color w:val="000000"/>
                <w:szCs w:val="22"/>
              </w:rPr>
              <w:t>Okwuokenye</w:t>
            </w:r>
            <w:proofErr w:type="spellEnd"/>
            <w:r w:rsidRPr="00406AEC">
              <w:rPr>
                <w:rFonts w:ascii="Times New Roman" w:eastAsia="Times New Roman" w:hAnsi="Times New Roman" w:cs="Times New Roman"/>
                <w:color w:val="000000"/>
                <w:szCs w:val="22"/>
              </w:rPr>
              <w:t xml:space="preserve"> M, Kurukulasuriya N, Gold R et al. Clinical efficacy of delayed-release dimethyl fumarate in minority patients with relapsing-remitting multiple sclerosis (RRMS): An integrated analysis of the phase 3 define and confirm studies. Neurology 82 (10 SUPPL. 1): CONFERENCE START: 2014 Apr 2026 CONFERENCE END: 2014 May 2013.</w:t>
            </w:r>
          </w:p>
        </w:tc>
      </w:tr>
      <w:tr w:rsidR="00406AEC" w:rsidRPr="00406AEC" w14:paraId="01C4ED58" w14:textId="77777777" w:rsidTr="00406AEC">
        <w:trPr>
          <w:trHeight w:val="300"/>
        </w:trPr>
        <w:tc>
          <w:tcPr>
            <w:tcW w:w="9360" w:type="dxa"/>
            <w:tcBorders>
              <w:top w:val="nil"/>
              <w:left w:val="nil"/>
              <w:bottom w:val="nil"/>
              <w:right w:val="nil"/>
            </w:tcBorders>
            <w:shd w:val="clear" w:color="auto" w:fill="auto"/>
            <w:noWrap/>
            <w:vAlign w:val="bottom"/>
            <w:hideMark/>
          </w:tcPr>
          <w:p w14:paraId="46B3FB8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Zhang A, Yang M, </w:t>
            </w:r>
            <w:proofErr w:type="spellStart"/>
            <w:r w:rsidRPr="00406AEC">
              <w:rPr>
                <w:rFonts w:ascii="Times New Roman" w:eastAsia="Times New Roman" w:hAnsi="Times New Roman" w:cs="Times New Roman"/>
                <w:color w:val="000000"/>
                <w:szCs w:val="22"/>
              </w:rPr>
              <w:t>Okwuokenye</w:t>
            </w:r>
            <w:proofErr w:type="spellEnd"/>
            <w:r w:rsidRPr="00406AEC">
              <w:rPr>
                <w:rFonts w:ascii="Times New Roman" w:eastAsia="Times New Roman" w:hAnsi="Times New Roman" w:cs="Times New Roman"/>
                <w:color w:val="000000"/>
                <w:szCs w:val="22"/>
              </w:rPr>
              <w:t xml:space="preserve"> M, Kurukulasuriya NC et al. Efficacy of delayed-release dimethyl fumarate in multiple sclerosis patients with moderate disability: An integrated analysis of the phase 3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116.</w:t>
            </w:r>
          </w:p>
        </w:tc>
      </w:tr>
      <w:tr w:rsidR="00406AEC" w:rsidRPr="00406AEC" w14:paraId="64C2F39B" w14:textId="77777777" w:rsidTr="00406AEC">
        <w:trPr>
          <w:trHeight w:val="300"/>
        </w:trPr>
        <w:tc>
          <w:tcPr>
            <w:tcW w:w="9360" w:type="dxa"/>
            <w:tcBorders>
              <w:top w:val="nil"/>
              <w:left w:val="nil"/>
              <w:bottom w:val="nil"/>
              <w:right w:val="nil"/>
            </w:tcBorders>
            <w:shd w:val="clear" w:color="auto" w:fill="auto"/>
            <w:noWrap/>
            <w:vAlign w:val="bottom"/>
            <w:hideMark/>
          </w:tcPr>
          <w:p w14:paraId="7AD1FC2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Inglese M, Petracca M, Cocozza S, Freeman L, Kangarlu J et al. </w:t>
            </w:r>
            <w:r w:rsidRPr="00406AEC">
              <w:rPr>
                <w:rFonts w:ascii="Times New Roman" w:eastAsia="Times New Roman" w:hAnsi="Times New Roman" w:cs="Times New Roman"/>
                <w:color w:val="000000"/>
                <w:szCs w:val="22"/>
              </w:rPr>
              <w:t xml:space="preserve">(2019) Baseline cerebellar volume as predictor of clinical disability in multiple sclerosis: MRI findings from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journal 25 89-90.</w:t>
            </w:r>
          </w:p>
        </w:tc>
      </w:tr>
      <w:tr w:rsidR="00406AEC" w:rsidRPr="00406AEC" w14:paraId="29BA512F" w14:textId="77777777" w:rsidTr="00406AEC">
        <w:trPr>
          <w:trHeight w:val="300"/>
        </w:trPr>
        <w:tc>
          <w:tcPr>
            <w:tcW w:w="9360" w:type="dxa"/>
            <w:tcBorders>
              <w:top w:val="nil"/>
              <w:left w:val="nil"/>
              <w:bottom w:val="nil"/>
              <w:right w:val="nil"/>
            </w:tcBorders>
            <w:shd w:val="clear" w:color="auto" w:fill="auto"/>
            <w:noWrap/>
            <w:vAlign w:val="bottom"/>
            <w:hideMark/>
          </w:tcPr>
          <w:p w14:paraId="26085BE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Iwazu</w:t>
            </w:r>
            <w:proofErr w:type="spellEnd"/>
            <w:r w:rsidRPr="00406AEC">
              <w:rPr>
                <w:rFonts w:ascii="Times New Roman" w:eastAsia="Times New Roman" w:hAnsi="Times New Roman" w:cs="Times New Roman"/>
                <w:color w:val="000000"/>
                <w:szCs w:val="22"/>
              </w:rPr>
              <w:t xml:space="preserve"> Y, Muto S, Ioka T, Watanabe Y, </w:t>
            </w:r>
            <w:proofErr w:type="spellStart"/>
            <w:r w:rsidRPr="00406AEC">
              <w:rPr>
                <w:rFonts w:ascii="Times New Roman" w:eastAsia="Times New Roman" w:hAnsi="Times New Roman" w:cs="Times New Roman"/>
                <w:color w:val="000000"/>
                <w:szCs w:val="22"/>
              </w:rPr>
              <w:t>Iwazu</w:t>
            </w:r>
            <w:proofErr w:type="spellEnd"/>
            <w:r w:rsidRPr="00406AEC">
              <w:rPr>
                <w:rFonts w:ascii="Times New Roman" w:eastAsia="Times New Roman" w:hAnsi="Times New Roman" w:cs="Times New Roman"/>
                <w:color w:val="000000"/>
                <w:szCs w:val="22"/>
              </w:rPr>
              <w:t xml:space="preserve"> K et al. (2018) Multiple Sclerosis Drug Fingolimod Induces Thrombotic Microangiopathy in Deoxycorticosterone Acetate/Salt Hypertension. Hypertension 72 (3): 776-784.</w:t>
            </w:r>
          </w:p>
        </w:tc>
      </w:tr>
      <w:tr w:rsidR="00406AEC" w:rsidRPr="00406AEC" w14:paraId="24D9D55F" w14:textId="77777777" w:rsidTr="00406AEC">
        <w:trPr>
          <w:trHeight w:val="300"/>
        </w:trPr>
        <w:tc>
          <w:tcPr>
            <w:tcW w:w="9360" w:type="dxa"/>
            <w:tcBorders>
              <w:top w:val="nil"/>
              <w:left w:val="nil"/>
              <w:bottom w:val="nil"/>
              <w:right w:val="nil"/>
            </w:tcBorders>
            <w:shd w:val="clear" w:color="auto" w:fill="auto"/>
            <w:noWrap/>
            <w:vAlign w:val="bottom"/>
            <w:hideMark/>
          </w:tcPr>
          <w:p w14:paraId="6BC94E9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Rudick RA, Herndon RM, Richert JR et al. (1995) A phase III trial of intramuscular recombinant interferon beta as treatment for exacerbating-remitting multiple sclerosis: design and conduct of study and baseline characteristics of patients. Multiple Sclerosis Collaborative Research Group (MSCRG).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 (2): 118-135.</w:t>
            </w:r>
          </w:p>
        </w:tc>
      </w:tr>
      <w:tr w:rsidR="00406AEC" w:rsidRPr="00406AEC" w14:paraId="23E09BFE" w14:textId="77777777" w:rsidTr="00406AEC">
        <w:trPr>
          <w:trHeight w:val="300"/>
        </w:trPr>
        <w:tc>
          <w:tcPr>
            <w:tcW w:w="9360" w:type="dxa"/>
            <w:tcBorders>
              <w:top w:val="nil"/>
              <w:left w:val="nil"/>
              <w:bottom w:val="nil"/>
              <w:right w:val="nil"/>
            </w:tcBorders>
            <w:shd w:val="clear" w:color="auto" w:fill="auto"/>
            <w:noWrap/>
            <w:vAlign w:val="bottom"/>
            <w:hideMark/>
          </w:tcPr>
          <w:p w14:paraId="53DB6C8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Jamroz-Wisniewska A, </w:t>
            </w:r>
            <w:proofErr w:type="spellStart"/>
            <w:r w:rsidRPr="00406AEC">
              <w:rPr>
                <w:rFonts w:ascii="Times New Roman" w:eastAsia="Times New Roman" w:hAnsi="Times New Roman" w:cs="Times New Roman"/>
                <w:color w:val="000000"/>
                <w:szCs w:val="22"/>
              </w:rPr>
              <w:t>Rejdak</w:t>
            </w:r>
            <w:proofErr w:type="spellEnd"/>
            <w:r w:rsidRPr="00406AEC">
              <w:rPr>
                <w:rFonts w:ascii="Times New Roman" w:eastAsia="Times New Roman" w:hAnsi="Times New Roman" w:cs="Times New Roman"/>
                <w:color w:val="000000"/>
                <w:szCs w:val="22"/>
              </w:rPr>
              <w:t xml:space="preserve"> K, Zajdel R, Slowik A, Marona M et al. (2021) Modified </w:t>
            </w:r>
            <w:proofErr w:type="spellStart"/>
            <w:r w:rsidRPr="00406AEC">
              <w:rPr>
                <w:rFonts w:ascii="Times New Roman" w:eastAsia="Times New Roman" w:hAnsi="Times New Roman" w:cs="Times New Roman"/>
                <w:color w:val="000000"/>
                <w:szCs w:val="22"/>
              </w:rPr>
              <w:t>rio</w:t>
            </w:r>
            <w:proofErr w:type="spellEnd"/>
            <w:r w:rsidRPr="00406AEC">
              <w:rPr>
                <w:rFonts w:ascii="Times New Roman" w:eastAsia="Times New Roman" w:hAnsi="Times New Roman" w:cs="Times New Roman"/>
                <w:color w:val="000000"/>
                <w:szCs w:val="22"/>
              </w:rPr>
              <w:t xml:space="preserve"> score with platform therapy predicts treatment success with fingolimod and natalizumab in relapsing-remitting multiple sclerosis patients. Journal of Clinical Medicine 10 (9): 1830.</w:t>
            </w:r>
          </w:p>
        </w:tc>
      </w:tr>
      <w:tr w:rsidR="00406AEC" w:rsidRPr="00406AEC" w14:paraId="2AF5C329" w14:textId="77777777" w:rsidTr="00406AEC">
        <w:trPr>
          <w:trHeight w:val="300"/>
        </w:trPr>
        <w:tc>
          <w:tcPr>
            <w:tcW w:w="9360" w:type="dxa"/>
            <w:tcBorders>
              <w:top w:val="nil"/>
              <w:left w:val="nil"/>
              <w:bottom w:val="nil"/>
              <w:right w:val="nil"/>
            </w:tcBorders>
            <w:shd w:val="clear" w:color="auto" w:fill="auto"/>
            <w:noWrap/>
            <w:vAlign w:val="bottom"/>
            <w:hideMark/>
          </w:tcPr>
          <w:p w14:paraId="7ACD244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Jeffrey D, Radue EW, Karlsson G, Zheng H, Von Rosenstiel P et al. Efficacy benefits of fingolimod 0.5 mg once daily in patients previously treated with glatiramer acetate: Pooled analysis of the phase 3, placebo-controlled freedoms and freedoms ii studies in relapsing multiple sclerosis. Neurology 82 (10 SUPPL. 1): CONFERENCE START: 2014 Apr 2026 CONFERENCE END: 2014 May 2013.</w:t>
            </w:r>
          </w:p>
        </w:tc>
      </w:tr>
      <w:tr w:rsidR="00406AEC" w:rsidRPr="00406AEC" w14:paraId="6AD5E8CC" w14:textId="77777777" w:rsidTr="00406AEC">
        <w:trPr>
          <w:trHeight w:val="300"/>
        </w:trPr>
        <w:tc>
          <w:tcPr>
            <w:tcW w:w="9360" w:type="dxa"/>
            <w:tcBorders>
              <w:top w:val="nil"/>
              <w:left w:val="nil"/>
              <w:bottom w:val="nil"/>
              <w:right w:val="nil"/>
            </w:tcBorders>
            <w:shd w:val="clear" w:color="auto" w:fill="auto"/>
            <w:noWrap/>
            <w:vAlign w:val="bottom"/>
            <w:hideMark/>
          </w:tcPr>
          <w:p w14:paraId="314CD00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(1994) Experimental therapy of relapsing-remitting multiple sclerosis with copolymer-1. Annals of Neurology 36 Suppl S115-117.</w:t>
            </w:r>
          </w:p>
        </w:tc>
      </w:tr>
      <w:tr w:rsidR="00406AEC" w:rsidRPr="00406AEC" w14:paraId="52F478F0" w14:textId="77777777" w:rsidTr="00406AEC">
        <w:trPr>
          <w:trHeight w:val="300"/>
        </w:trPr>
        <w:tc>
          <w:tcPr>
            <w:tcW w:w="9360" w:type="dxa"/>
            <w:tcBorders>
              <w:top w:val="nil"/>
              <w:left w:val="nil"/>
              <w:bottom w:val="nil"/>
              <w:right w:val="nil"/>
            </w:tcBorders>
            <w:shd w:val="clear" w:color="auto" w:fill="auto"/>
            <w:noWrap/>
            <w:vAlign w:val="bottom"/>
            <w:hideMark/>
          </w:tcPr>
          <w:p w14:paraId="2B50B9C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(1996) Management of relapsing/remitting multiple sclerosis with copolymer 1 (Copaxone).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 (6): 325-326.</w:t>
            </w:r>
          </w:p>
        </w:tc>
      </w:tr>
      <w:tr w:rsidR="00406AEC" w:rsidRPr="00406AEC" w14:paraId="6026710D" w14:textId="77777777" w:rsidTr="00406AEC">
        <w:trPr>
          <w:trHeight w:val="300"/>
        </w:trPr>
        <w:tc>
          <w:tcPr>
            <w:tcW w:w="9360" w:type="dxa"/>
            <w:tcBorders>
              <w:top w:val="nil"/>
              <w:left w:val="nil"/>
              <w:bottom w:val="nil"/>
              <w:right w:val="nil"/>
            </w:tcBorders>
            <w:shd w:val="clear" w:color="auto" w:fill="auto"/>
            <w:noWrap/>
            <w:vAlign w:val="bottom"/>
            <w:hideMark/>
          </w:tcPr>
          <w:p w14:paraId="07D0610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Jongen PJ, Hengstman G, Hupperts R, Schrijver H, Gilhuis J et al. </w:t>
            </w:r>
            <w:r w:rsidRPr="00406AEC">
              <w:rPr>
                <w:rFonts w:ascii="Times New Roman" w:eastAsia="Times New Roman" w:hAnsi="Times New Roman" w:cs="Times New Roman"/>
                <w:color w:val="000000"/>
                <w:szCs w:val="22"/>
              </w:rPr>
              <w:t>(2011) Drug adherence and multidisciplinary care in patients with multiple sclerosis: Protocol of a prospective, web-based, patient-</w:t>
            </w:r>
            <w:proofErr w:type="spellStart"/>
            <w:r w:rsidRPr="00406AEC">
              <w:rPr>
                <w:rFonts w:ascii="Times New Roman" w:eastAsia="Times New Roman" w:hAnsi="Times New Roman" w:cs="Times New Roman"/>
                <w:color w:val="000000"/>
                <w:szCs w:val="22"/>
              </w:rPr>
              <w:t>centred</w:t>
            </w:r>
            <w:proofErr w:type="spellEnd"/>
            <w:r w:rsidRPr="00406AEC">
              <w:rPr>
                <w:rFonts w:ascii="Times New Roman" w:eastAsia="Times New Roman" w:hAnsi="Times New Roman" w:cs="Times New Roman"/>
                <w:color w:val="000000"/>
                <w:szCs w:val="22"/>
              </w:rPr>
              <w:t xml:space="preserve">, nation-wide, Dutch cohort study in glatiramer acetate treated patients (CAIR study). BMC Neurology 11 (no pagination) </w:t>
            </w:r>
          </w:p>
        </w:tc>
      </w:tr>
      <w:tr w:rsidR="00406AEC" w:rsidRPr="00406AEC" w14:paraId="532C3B0A" w14:textId="77777777" w:rsidTr="00406AEC">
        <w:trPr>
          <w:trHeight w:val="300"/>
        </w:trPr>
        <w:tc>
          <w:tcPr>
            <w:tcW w:w="9360" w:type="dxa"/>
            <w:tcBorders>
              <w:top w:val="nil"/>
              <w:left w:val="nil"/>
              <w:bottom w:val="nil"/>
              <w:right w:val="nil"/>
            </w:tcBorders>
            <w:shd w:val="clear" w:color="auto" w:fill="auto"/>
            <w:noWrap/>
            <w:vAlign w:val="bottom"/>
            <w:hideMark/>
          </w:tcPr>
          <w:p w14:paraId="3DCBEC1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Kandadi</w:t>
            </w:r>
            <w:proofErr w:type="spellEnd"/>
            <w:r w:rsidRPr="00406AEC">
              <w:rPr>
                <w:rFonts w:ascii="Times New Roman" w:eastAsia="Times New Roman" w:hAnsi="Times New Roman" w:cs="Times New Roman"/>
                <w:color w:val="000000"/>
                <w:szCs w:val="22"/>
              </w:rPr>
              <w:t xml:space="preserve"> Muralidharan K, Steiner D, Elkins J, Ho PR, Amarante D et al. (2016) Relationship of natalizumab exposure and MRI response in patients with relapsing-remitting multiple sclerosis (RRMS).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(811): </w:t>
            </w:r>
          </w:p>
        </w:tc>
      </w:tr>
      <w:tr w:rsidR="00406AEC" w:rsidRPr="00406AEC" w14:paraId="0D725D80" w14:textId="77777777" w:rsidTr="00406AEC">
        <w:trPr>
          <w:trHeight w:val="300"/>
        </w:trPr>
        <w:tc>
          <w:tcPr>
            <w:tcW w:w="9360" w:type="dxa"/>
            <w:tcBorders>
              <w:top w:val="nil"/>
              <w:left w:val="nil"/>
              <w:bottom w:val="nil"/>
              <w:right w:val="nil"/>
            </w:tcBorders>
            <w:shd w:val="clear" w:color="auto" w:fill="auto"/>
            <w:noWrap/>
            <w:vAlign w:val="bottom"/>
            <w:hideMark/>
          </w:tcPr>
          <w:p w14:paraId="62E1D9E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Kapoor R, Arnold D, Miller A, Freedman M, Goldman M et al. (2015) Gray matter volume correlates with information processing as measured by the symbol digit modalities test </w:t>
            </w:r>
            <w:r w:rsidRPr="00406AEC">
              <w:rPr>
                <w:rFonts w:ascii="Times New Roman" w:eastAsia="Times New Roman" w:hAnsi="Times New Roman" w:cs="Times New Roman"/>
                <w:color w:val="000000"/>
                <w:szCs w:val="22"/>
              </w:rPr>
              <w:lastRenderedPageBreak/>
              <w:t xml:space="preserve">(SDMT) but not with physical disability as measured by the expanded disability status scale (EDSS) in patients with secondary progressive multiple sclerosis (SPMS): Analysis of baseline correlations from the ascend natalizumab study. Neurology 84 (18): </w:t>
            </w:r>
          </w:p>
        </w:tc>
      </w:tr>
      <w:tr w:rsidR="00406AEC" w:rsidRPr="00406AEC" w14:paraId="1164AD36" w14:textId="77777777" w:rsidTr="00406AEC">
        <w:trPr>
          <w:trHeight w:val="300"/>
        </w:trPr>
        <w:tc>
          <w:tcPr>
            <w:tcW w:w="9360" w:type="dxa"/>
            <w:tcBorders>
              <w:top w:val="nil"/>
              <w:left w:val="nil"/>
              <w:bottom w:val="nil"/>
              <w:right w:val="nil"/>
            </w:tcBorders>
            <w:shd w:val="clear" w:color="auto" w:fill="auto"/>
            <w:noWrap/>
            <w:vAlign w:val="bottom"/>
            <w:hideMark/>
          </w:tcPr>
          <w:p w14:paraId="7779A96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Kapoor R, Steiner D, Miller A, Giovannoni G, Cohan S et al. </w:t>
            </w:r>
            <w:r w:rsidRPr="00406AEC">
              <w:rPr>
                <w:rFonts w:ascii="Times New Roman" w:eastAsia="Times New Roman" w:hAnsi="Times New Roman" w:cs="Times New Roman"/>
                <w:color w:val="000000"/>
                <w:szCs w:val="22"/>
              </w:rPr>
              <w:t>(2016) Subgroup analyses of natalizumab treatment response in ASCEND, a multicenter, double-blind, placebo-controlled, randomized phase 3 clinical trial in patients with secondary progressive multiple sclerosis (SPMS). Multiple Sclerosis 22 874-875.</w:t>
            </w:r>
          </w:p>
        </w:tc>
      </w:tr>
      <w:tr w:rsidR="00406AEC" w:rsidRPr="00406AEC" w14:paraId="17EF2E19" w14:textId="77777777" w:rsidTr="00406AEC">
        <w:trPr>
          <w:trHeight w:val="300"/>
        </w:trPr>
        <w:tc>
          <w:tcPr>
            <w:tcW w:w="9360" w:type="dxa"/>
            <w:tcBorders>
              <w:top w:val="nil"/>
              <w:left w:val="nil"/>
              <w:bottom w:val="nil"/>
              <w:right w:val="nil"/>
            </w:tcBorders>
            <w:shd w:val="clear" w:color="auto" w:fill="auto"/>
            <w:noWrap/>
            <w:vAlign w:val="bottom"/>
            <w:hideMark/>
          </w:tcPr>
          <w:p w14:paraId="5E55AD8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Bar-Or A, Cree B, Fox R, Giovannoni G et al. </w:t>
            </w:r>
            <w:r w:rsidRPr="00406AEC">
              <w:rPr>
                <w:rFonts w:ascii="Times New Roman" w:eastAsia="Times New Roman" w:hAnsi="Times New Roman" w:cs="Times New Roman"/>
                <w:color w:val="000000"/>
                <w:szCs w:val="22"/>
              </w:rPr>
              <w:t xml:space="preserve">(2013) Siponimod (BAF312) for the treatment of secondary progressive multiple sclerosis: Design of the phase 3 expand trial. </w:t>
            </w:r>
          </w:p>
        </w:tc>
      </w:tr>
      <w:tr w:rsidR="00406AEC" w:rsidRPr="00406AEC" w14:paraId="1563A99F" w14:textId="77777777" w:rsidTr="00406AEC">
        <w:trPr>
          <w:trHeight w:val="300"/>
        </w:trPr>
        <w:tc>
          <w:tcPr>
            <w:tcW w:w="9360" w:type="dxa"/>
            <w:tcBorders>
              <w:top w:val="nil"/>
              <w:left w:val="nil"/>
              <w:bottom w:val="nil"/>
              <w:right w:val="nil"/>
            </w:tcBorders>
            <w:shd w:val="clear" w:color="auto" w:fill="auto"/>
            <w:noWrap/>
            <w:vAlign w:val="bottom"/>
            <w:hideMark/>
          </w:tcPr>
          <w:p w14:paraId="4DC839F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Bar-Or A, Cree B, Fox R, Giovannoni G et al. </w:t>
            </w:r>
            <w:r w:rsidRPr="00406AEC">
              <w:rPr>
                <w:rFonts w:ascii="Times New Roman" w:eastAsia="Times New Roman" w:hAnsi="Times New Roman" w:cs="Times New Roman"/>
                <w:color w:val="000000"/>
                <w:szCs w:val="22"/>
              </w:rPr>
              <w:t>Siponimod (BAF312) for the treatment of secondary progressive multiple sclerosis (SPMS): Baseline characteristics of the EXPAND study population.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317-318.</w:t>
            </w:r>
          </w:p>
        </w:tc>
      </w:tr>
      <w:tr w:rsidR="00406AEC" w:rsidRPr="00406AEC" w14:paraId="59CB6D6F" w14:textId="77777777" w:rsidTr="00406AEC">
        <w:trPr>
          <w:trHeight w:val="300"/>
        </w:trPr>
        <w:tc>
          <w:tcPr>
            <w:tcW w:w="9360" w:type="dxa"/>
            <w:tcBorders>
              <w:top w:val="nil"/>
              <w:left w:val="nil"/>
              <w:bottom w:val="nil"/>
              <w:right w:val="nil"/>
            </w:tcBorders>
            <w:shd w:val="clear" w:color="auto" w:fill="auto"/>
            <w:noWrap/>
            <w:vAlign w:val="bottom"/>
            <w:hideMark/>
          </w:tcPr>
          <w:p w14:paraId="2B6EEEC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Bar-Or A, Cree B, Fox R, Giovannoni G et al. </w:t>
            </w:r>
            <w:r w:rsidRPr="00406AEC">
              <w:rPr>
                <w:rFonts w:ascii="Times New Roman" w:eastAsia="Times New Roman" w:hAnsi="Times New Roman" w:cs="Times New Roman"/>
                <w:color w:val="000000"/>
                <w:szCs w:val="22"/>
              </w:rPr>
              <w:t xml:space="preserve">Siponimod (BAF312) for the treatment of secondary progressive multiple sclerosis: Design of the phase 3 expand trial.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5A5127AF" w14:textId="77777777" w:rsidTr="00406AEC">
        <w:trPr>
          <w:trHeight w:val="300"/>
        </w:trPr>
        <w:tc>
          <w:tcPr>
            <w:tcW w:w="9360" w:type="dxa"/>
            <w:tcBorders>
              <w:top w:val="nil"/>
              <w:left w:val="nil"/>
              <w:bottom w:val="nil"/>
              <w:right w:val="nil"/>
            </w:tcBorders>
            <w:shd w:val="clear" w:color="auto" w:fill="auto"/>
            <w:noWrap/>
            <w:vAlign w:val="bottom"/>
            <w:hideMark/>
          </w:tcPr>
          <w:p w14:paraId="6C32220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Cohen J, Collins W, De Vera A, Zhang-</w:t>
            </w:r>
            <w:proofErr w:type="spellStart"/>
            <w:r w:rsidRPr="00713F1E">
              <w:rPr>
                <w:rFonts w:ascii="Times New Roman" w:eastAsia="Times New Roman" w:hAnsi="Times New Roman" w:cs="Times New Roman"/>
                <w:color w:val="000000"/>
                <w:szCs w:val="22"/>
                <w:lang w:val="fr-FR"/>
              </w:rPr>
              <w:t>Auberson</w:t>
            </w:r>
            <w:proofErr w:type="spellEnd"/>
            <w:r w:rsidRPr="00713F1E">
              <w:rPr>
                <w:rFonts w:ascii="Times New Roman" w:eastAsia="Times New Roman" w:hAnsi="Times New Roman" w:cs="Times New Roman"/>
                <w:color w:val="000000"/>
                <w:szCs w:val="22"/>
                <w:lang w:val="fr-FR"/>
              </w:rPr>
              <w:t xml:space="preserve"> L et al. </w:t>
            </w:r>
            <w:r w:rsidRPr="00406AEC">
              <w:rPr>
                <w:rFonts w:ascii="Times New Roman" w:eastAsia="Times New Roman" w:hAnsi="Times New Roman" w:cs="Times New Roman"/>
                <w:color w:val="000000"/>
                <w:szCs w:val="22"/>
              </w:rPr>
              <w:t>(2014) Fingolimod in relapsing multiple sclerosis: An integrated analysis of safety findings. Multiple Sclerosis and Related Disorders 3 (4): 494-504.</w:t>
            </w:r>
          </w:p>
        </w:tc>
      </w:tr>
      <w:tr w:rsidR="00406AEC" w:rsidRPr="00406AEC" w14:paraId="349A180A" w14:textId="77777777" w:rsidTr="00406AEC">
        <w:trPr>
          <w:trHeight w:val="300"/>
        </w:trPr>
        <w:tc>
          <w:tcPr>
            <w:tcW w:w="9360" w:type="dxa"/>
            <w:tcBorders>
              <w:top w:val="nil"/>
              <w:left w:val="nil"/>
              <w:bottom w:val="nil"/>
              <w:right w:val="nil"/>
            </w:tcBorders>
            <w:shd w:val="clear" w:color="auto" w:fill="auto"/>
            <w:noWrap/>
            <w:vAlign w:val="bottom"/>
            <w:hideMark/>
          </w:tcPr>
          <w:p w14:paraId="766C523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Comi G, Freedman MS, Miller AE, Olsson TP et al. Pooled efficacy data from two phase 3 placebo-controlled trials of oral, once-daily teriflunomide.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266-267.</w:t>
            </w:r>
          </w:p>
        </w:tc>
      </w:tr>
      <w:tr w:rsidR="00406AEC" w:rsidRPr="00406AEC" w14:paraId="0723B8F2" w14:textId="77777777" w:rsidTr="00406AEC">
        <w:trPr>
          <w:trHeight w:val="300"/>
        </w:trPr>
        <w:tc>
          <w:tcPr>
            <w:tcW w:w="9360" w:type="dxa"/>
            <w:tcBorders>
              <w:top w:val="nil"/>
              <w:left w:val="nil"/>
              <w:bottom w:val="nil"/>
              <w:right w:val="nil"/>
            </w:tcBorders>
            <w:shd w:val="clear" w:color="auto" w:fill="auto"/>
            <w:noWrap/>
            <w:vAlign w:val="bottom"/>
            <w:hideMark/>
          </w:tcPr>
          <w:p w14:paraId="1699036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De Stefano N, Freedman MS, Cree BACC, Radue EW et al. (2016) Inclusion of brain volume loss in a revised measure of 'no evidence of disease activity' (NEDA-4) in relapsing-remitting multiple sclerosis. Multiple Sclerosis 22 (10): 1297-1305.</w:t>
            </w:r>
          </w:p>
        </w:tc>
      </w:tr>
      <w:tr w:rsidR="00406AEC" w:rsidRPr="00406AEC" w14:paraId="038134D9" w14:textId="77777777" w:rsidTr="00406AEC">
        <w:trPr>
          <w:trHeight w:val="300"/>
        </w:trPr>
        <w:tc>
          <w:tcPr>
            <w:tcW w:w="9360" w:type="dxa"/>
            <w:tcBorders>
              <w:top w:val="nil"/>
              <w:left w:val="nil"/>
              <w:bottom w:val="nil"/>
              <w:right w:val="nil"/>
            </w:tcBorders>
            <w:shd w:val="clear" w:color="auto" w:fill="auto"/>
            <w:noWrap/>
            <w:vAlign w:val="bottom"/>
            <w:hideMark/>
          </w:tcPr>
          <w:p w14:paraId="007AD67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Radue EW, Freedman MS, Cree B, </w:t>
            </w: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et al. Inclusion of brain volume loss in a revised measure of multiple sclerosis disease-activity freedom: The effect of fingolimod.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40.</w:t>
            </w:r>
          </w:p>
        </w:tc>
      </w:tr>
      <w:tr w:rsidR="00406AEC" w:rsidRPr="00406AEC" w14:paraId="200AE71D" w14:textId="77777777" w:rsidTr="00406AEC">
        <w:trPr>
          <w:trHeight w:val="300"/>
        </w:trPr>
        <w:tc>
          <w:tcPr>
            <w:tcW w:w="9360" w:type="dxa"/>
            <w:tcBorders>
              <w:top w:val="nil"/>
              <w:left w:val="nil"/>
              <w:bottom w:val="nil"/>
              <w:right w:val="nil"/>
            </w:tcBorders>
            <w:shd w:val="clear" w:color="auto" w:fill="auto"/>
            <w:noWrap/>
            <w:vAlign w:val="bottom"/>
            <w:hideMark/>
          </w:tcPr>
          <w:p w14:paraId="0ED5181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Bar-Or A, Gold R, Fox R et al. (2017) Efficacy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on disability progression in SPMS patients with and without on-study relapses. Multiple sclerosis journal 23 (3): 397-398.</w:t>
            </w:r>
          </w:p>
        </w:tc>
      </w:tr>
      <w:tr w:rsidR="00406AEC" w:rsidRPr="00406AEC" w14:paraId="07343B67" w14:textId="77777777" w:rsidTr="00406AEC">
        <w:trPr>
          <w:trHeight w:val="300"/>
        </w:trPr>
        <w:tc>
          <w:tcPr>
            <w:tcW w:w="9360" w:type="dxa"/>
            <w:tcBorders>
              <w:top w:val="nil"/>
              <w:left w:val="nil"/>
              <w:bottom w:val="nil"/>
              <w:right w:val="nil"/>
            </w:tcBorders>
            <w:shd w:val="clear" w:color="auto" w:fill="auto"/>
            <w:noWrap/>
            <w:vAlign w:val="bottom"/>
            <w:hideMark/>
          </w:tcPr>
          <w:p w14:paraId="5D50FE2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w:t>
            </w:r>
            <w:proofErr w:type="spellStart"/>
            <w:r w:rsidRPr="00406AEC">
              <w:rPr>
                <w:rFonts w:ascii="Times New Roman" w:eastAsia="Times New Roman" w:hAnsi="Times New Roman" w:cs="Times New Roman"/>
                <w:color w:val="000000"/>
                <w:szCs w:val="22"/>
              </w:rPr>
              <w:t>Weinshenker</w:t>
            </w:r>
            <w:proofErr w:type="spellEnd"/>
            <w:r w:rsidRPr="00406AEC">
              <w:rPr>
                <w:rFonts w:ascii="Times New Roman" w:eastAsia="Times New Roman" w:hAnsi="Times New Roman" w:cs="Times New Roman"/>
                <w:color w:val="000000"/>
                <w:szCs w:val="22"/>
              </w:rPr>
              <w:t xml:space="preserve"> B,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Thompson AJ, Dahlke F et al. (2004) Interferon beta-1b in secondary progressive MS: A combined analysis of the two trials. Neurology 63 (10): 1779-1787.</w:t>
            </w:r>
          </w:p>
        </w:tc>
      </w:tr>
      <w:tr w:rsidR="00406AEC" w:rsidRPr="00406AEC" w14:paraId="5C92008B" w14:textId="77777777" w:rsidTr="00406AEC">
        <w:trPr>
          <w:trHeight w:val="300"/>
        </w:trPr>
        <w:tc>
          <w:tcPr>
            <w:tcW w:w="9360" w:type="dxa"/>
            <w:tcBorders>
              <w:top w:val="nil"/>
              <w:left w:val="nil"/>
              <w:bottom w:val="nil"/>
              <w:right w:val="nil"/>
            </w:tcBorders>
            <w:shd w:val="clear" w:color="auto" w:fill="auto"/>
            <w:noWrap/>
            <w:vAlign w:val="bottom"/>
            <w:hideMark/>
          </w:tcPr>
          <w:p w14:paraId="79D7883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es-ES"/>
              </w:rPr>
              <w:t xml:space="preserve">Khan O, Cree BAC, Cabre P, Inglese M, </w:t>
            </w:r>
            <w:proofErr w:type="spellStart"/>
            <w:r w:rsidRPr="00144F5E">
              <w:rPr>
                <w:rFonts w:ascii="Times New Roman" w:eastAsia="Times New Roman" w:hAnsi="Times New Roman" w:cs="Times New Roman"/>
                <w:color w:val="000000"/>
                <w:szCs w:val="22"/>
                <w:lang w:val="es-ES"/>
              </w:rPr>
              <w:t>Perumal</w:t>
            </w:r>
            <w:proofErr w:type="spellEnd"/>
            <w:r w:rsidRPr="00144F5E">
              <w:rPr>
                <w:rFonts w:ascii="Times New Roman" w:eastAsia="Times New Roman" w:hAnsi="Times New Roman" w:cs="Times New Roman"/>
                <w:color w:val="000000"/>
                <w:szCs w:val="22"/>
                <w:lang w:val="es-ES"/>
              </w:rPr>
              <w:t xml:space="preserve"> J et al. </w:t>
            </w:r>
            <w:r w:rsidRPr="00406AEC">
              <w:rPr>
                <w:rFonts w:ascii="Times New Roman" w:eastAsia="Times New Roman" w:hAnsi="Times New Roman" w:cs="Times New Roman"/>
                <w:color w:val="000000"/>
                <w:szCs w:val="22"/>
              </w:rPr>
              <w:t>(2013) The efficacy and safety of fingolimod in an African-American patient subgroup from FREEDOMS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212-.</w:t>
            </w:r>
          </w:p>
        </w:tc>
      </w:tr>
      <w:tr w:rsidR="00406AEC" w:rsidRPr="00406AEC" w14:paraId="73AB72C9" w14:textId="77777777" w:rsidTr="00406AEC">
        <w:trPr>
          <w:trHeight w:val="300"/>
        </w:trPr>
        <w:tc>
          <w:tcPr>
            <w:tcW w:w="9360" w:type="dxa"/>
            <w:tcBorders>
              <w:top w:val="nil"/>
              <w:left w:val="nil"/>
              <w:bottom w:val="nil"/>
              <w:right w:val="nil"/>
            </w:tcBorders>
            <w:shd w:val="clear" w:color="auto" w:fill="auto"/>
            <w:noWrap/>
            <w:vAlign w:val="bottom"/>
            <w:hideMark/>
          </w:tcPr>
          <w:p w14:paraId="682BCED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Newsome S, Shang S, Liu S, Hung S et al. (2015) The efficacy of peginterferon Beta-1a in early and later-stage patients with multiple sclerosis: A 1-year subgroup analysis based on disease duration from the advance study. Neurology 84 (18): </w:t>
            </w:r>
          </w:p>
        </w:tc>
      </w:tr>
      <w:tr w:rsidR="00406AEC" w:rsidRPr="00406AEC" w14:paraId="4F7CCB5B" w14:textId="77777777" w:rsidTr="00406AEC">
        <w:trPr>
          <w:trHeight w:val="300"/>
        </w:trPr>
        <w:tc>
          <w:tcPr>
            <w:tcW w:w="9360" w:type="dxa"/>
            <w:tcBorders>
              <w:top w:val="nil"/>
              <w:left w:val="nil"/>
              <w:bottom w:val="nil"/>
              <w:right w:val="nil"/>
            </w:tcBorders>
            <w:shd w:val="clear" w:color="auto" w:fill="auto"/>
            <w:noWrap/>
            <w:vAlign w:val="bottom"/>
            <w:hideMark/>
          </w:tcPr>
          <w:p w14:paraId="135F70F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Kinter ET,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Phillips G et al. Impact of peginterferon beta-1a treatment and disease factors on risk of physical deterioration in patients with multiple sclerosis: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100.</w:t>
            </w:r>
          </w:p>
        </w:tc>
      </w:tr>
      <w:tr w:rsidR="00406AEC" w:rsidRPr="00406AEC" w14:paraId="61EB59E8" w14:textId="77777777" w:rsidTr="00406AEC">
        <w:trPr>
          <w:trHeight w:val="300"/>
        </w:trPr>
        <w:tc>
          <w:tcPr>
            <w:tcW w:w="9360" w:type="dxa"/>
            <w:tcBorders>
              <w:top w:val="nil"/>
              <w:left w:val="nil"/>
              <w:bottom w:val="nil"/>
              <w:right w:val="nil"/>
            </w:tcBorders>
            <w:shd w:val="clear" w:color="auto" w:fill="auto"/>
            <w:noWrap/>
            <w:vAlign w:val="bottom"/>
            <w:hideMark/>
          </w:tcPr>
          <w:p w14:paraId="01923AE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Kita M, Fox R, Gold R, Sarda S, Iyer R et al. Health-related quality of life in us patients with relapsing-remitting multiple sclerosis (RRMS) treated with delayed-release dimethyl fumarate: An integrated analysis of the phase 3 define and confirm studies. Neurology 82 (10 SUPPL. 1): CONFERENCE START: 2014 Apr 2026 CONFERENCE END: 2014 May 2013.</w:t>
            </w:r>
          </w:p>
        </w:tc>
      </w:tr>
      <w:tr w:rsidR="00406AEC" w:rsidRPr="00406AEC" w14:paraId="18860FEC" w14:textId="77777777" w:rsidTr="00406AEC">
        <w:trPr>
          <w:trHeight w:val="300"/>
        </w:trPr>
        <w:tc>
          <w:tcPr>
            <w:tcW w:w="9360" w:type="dxa"/>
            <w:tcBorders>
              <w:top w:val="nil"/>
              <w:left w:val="nil"/>
              <w:bottom w:val="nil"/>
              <w:right w:val="nil"/>
            </w:tcBorders>
            <w:shd w:val="clear" w:color="auto" w:fill="auto"/>
            <w:noWrap/>
            <w:vAlign w:val="bottom"/>
            <w:hideMark/>
          </w:tcPr>
          <w:p w14:paraId="1CE501E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Kita M, Fox R, Phillips JT, Arnold D, Bar-Or A et al. Clinical and neuroradiologic efficacy of BG-12 (dimethyl fumarate) in us patients with relapsing-remitting multiple sclerosis (RRMS): An integrated analysis of the phase 3 define and confirm studies.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0CF2346D" w14:textId="77777777" w:rsidTr="00406AEC">
        <w:trPr>
          <w:trHeight w:val="300"/>
        </w:trPr>
        <w:tc>
          <w:tcPr>
            <w:tcW w:w="9360" w:type="dxa"/>
            <w:tcBorders>
              <w:top w:val="nil"/>
              <w:left w:val="nil"/>
              <w:bottom w:val="nil"/>
              <w:right w:val="nil"/>
            </w:tcBorders>
            <w:shd w:val="clear" w:color="auto" w:fill="auto"/>
            <w:noWrap/>
            <w:vAlign w:val="bottom"/>
            <w:hideMark/>
          </w:tcPr>
          <w:p w14:paraId="6A1D9BE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Kita M, Fox RJ, Gold R, Giovannoni G, Phillips JT et al. (2013) BG-12 effects on quality of life in relapsing-remitting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patients: Integrated analysis of the Phase 3 DEFINE and CONFIRM studies. Journal of the Neurological Sciences 333 (21): </w:t>
            </w:r>
          </w:p>
        </w:tc>
      </w:tr>
      <w:tr w:rsidR="00406AEC" w:rsidRPr="00406AEC" w14:paraId="0AC000BC" w14:textId="77777777" w:rsidTr="00406AEC">
        <w:trPr>
          <w:trHeight w:val="300"/>
        </w:trPr>
        <w:tc>
          <w:tcPr>
            <w:tcW w:w="9360" w:type="dxa"/>
            <w:tcBorders>
              <w:top w:val="nil"/>
              <w:left w:val="nil"/>
              <w:bottom w:val="nil"/>
              <w:right w:val="nil"/>
            </w:tcBorders>
            <w:shd w:val="clear" w:color="auto" w:fill="auto"/>
            <w:noWrap/>
            <w:vAlign w:val="bottom"/>
            <w:hideMark/>
          </w:tcPr>
          <w:p w14:paraId="42D1EEB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Kita M, Fox RJ, Gold R, Giovannoni G, Phillips JT et al. (2014) Effects of delayed-release dimethyl fumarate (DMF) on health-related quality of life in patients with relapsing-remitting multiple sclerosis: An integrated analysis of the phase 3 DEFINE and CONFIRM studies. Clinical Therapeutics 36 (12): 1958-1971.</w:t>
            </w:r>
          </w:p>
        </w:tc>
      </w:tr>
      <w:tr w:rsidR="00406AEC" w:rsidRPr="00406AEC" w14:paraId="38B5996F" w14:textId="77777777" w:rsidTr="00406AEC">
        <w:trPr>
          <w:trHeight w:val="300"/>
        </w:trPr>
        <w:tc>
          <w:tcPr>
            <w:tcW w:w="9360" w:type="dxa"/>
            <w:tcBorders>
              <w:top w:val="nil"/>
              <w:left w:val="nil"/>
              <w:bottom w:val="nil"/>
              <w:right w:val="nil"/>
            </w:tcBorders>
            <w:shd w:val="clear" w:color="auto" w:fill="auto"/>
            <w:noWrap/>
            <w:vAlign w:val="bottom"/>
            <w:hideMark/>
          </w:tcPr>
          <w:p w14:paraId="02E8D16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Kita M, Fox RJ, Phillips JT, Hutchinson M, </w:t>
            </w:r>
            <w:proofErr w:type="spellStart"/>
            <w:r w:rsidRPr="00713F1E">
              <w:rPr>
                <w:rFonts w:ascii="Times New Roman" w:eastAsia="Times New Roman" w:hAnsi="Times New Roman" w:cs="Times New Roman"/>
                <w:color w:val="000000"/>
                <w:szCs w:val="22"/>
                <w:lang w:val="fr-FR"/>
              </w:rPr>
              <w:t>Havrdova</w:t>
            </w:r>
            <w:proofErr w:type="spellEnd"/>
            <w:r w:rsidRPr="00713F1E">
              <w:rPr>
                <w:rFonts w:ascii="Times New Roman" w:eastAsia="Times New Roman" w:hAnsi="Times New Roman" w:cs="Times New Roman"/>
                <w:color w:val="000000"/>
                <w:szCs w:val="22"/>
                <w:lang w:val="fr-FR"/>
              </w:rPr>
              <w:t xml:space="preserve"> E et al. </w:t>
            </w:r>
            <w:r w:rsidRPr="00406AEC">
              <w:rPr>
                <w:rFonts w:ascii="Times New Roman" w:eastAsia="Times New Roman" w:hAnsi="Times New Roman" w:cs="Times New Roman"/>
                <w:color w:val="000000"/>
                <w:szCs w:val="22"/>
              </w:rPr>
              <w:t>(2014) Effects of BG-12 (dimethyl fumarate) on health-related quality of life in patients with relapsing-remitting multiple sclerosis: Findings from the CONFIRM study. Multiple Sclerosis 20 (2): 253-257.</w:t>
            </w:r>
          </w:p>
        </w:tc>
      </w:tr>
      <w:tr w:rsidR="00406AEC" w:rsidRPr="00406AEC" w14:paraId="12823A8B" w14:textId="77777777" w:rsidTr="00406AEC">
        <w:trPr>
          <w:trHeight w:val="300"/>
        </w:trPr>
        <w:tc>
          <w:tcPr>
            <w:tcW w:w="9360" w:type="dxa"/>
            <w:tcBorders>
              <w:top w:val="nil"/>
              <w:left w:val="nil"/>
              <w:bottom w:val="nil"/>
              <w:right w:val="nil"/>
            </w:tcBorders>
            <w:shd w:val="clear" w:color="auto" w:fill="auto"/>
            <w:noWrap/>
            <w:vAlign w:val="bottom"/>
            <w:hideMark/>
          </w:tcPr>
          <w:p w14:paraId="29CC025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Koch-Henriksen N, Magyari M, Sellebjerg F, Soelberg Sorensen P (2017) A comparison of multiple sclerosis clinical disease activity between patients treated with natalizumab and fingolimod. Multiple Sclerosis 23 (2): 234-241.</w:t>
            </w:r>
          </w:p>
        </w:tc>
      </w:tr>
      <w:tr w:rsidR="00406AEC" w:rsidRPr="00406AEC" w14:paraId="639B55B4" w14:textId="77777777" w:rsidTr="00406AEC">
        <w:trPr>
          <w:trHeight w:val="300"/>
        </w:trPr>
        <w:tc>
          <w:tcPr>
            <w:tcW w:w="9360" w:type="dxa"/>
            <w:tcBorders>
              <w:top w:val="nil"/>
              <w:left w:val="nil"/>
              <w:bottom w:val="nil"/>
              <w:right w:val="nil"/>
            </w:tcBorders>
            <w:shd w:val="clear" w:color="auto" w:fill="auto"/>
            <w:noWrap/>
            <w:vAlign w:val="bottom"/>
            <w:hideMark/>
          </w:tcPr>
          <w:p w14:paraId="290C9AC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Koch-Henriksen N, Suarez G, Reder A, Magyari M Comparison of survival of interferon beta-1b treated MS patients across two populations: The limitation of using propensity score matching.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197.</w:t>
            </w:r>
          </w:p>
        </w:tc>
      </w:tr>
      <w:tr w:rsidR="00406AEC" w:rsidRPr="00406AEC" w14:paraId="343937B2" w14:textId="77777777" w:rsidTr="00406AEC">
        <w:trPr>
          <w:trHeight w:val="300"/>
        </w:trPr>
        <w:tc>
          <w:tcPr>
            <w:tcW w:w="9360" w:type="dxa"/>
            <w:tcBorders>
              <w:top w:val="nil"/>
              <w:left w:val="nil"/>
              <w:bottom w:val="nil"/>
              <w:right w:val="nil"/>
            </w:tcBorders>
            <w:shd w:val="clear" w:color="auto" w:fill="auto"/>
            <w:noWrap/>
            <w:vAlign w:val="bottom"/>
            <w:hideMark/>
          </w:tcPr>
          <w:p w14:paraId="5933D32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Kondo T, Kawachi I, Onizuka Y, Hiramatsu K, Hase M et al. (2017) Efficacy of delayed-release dimethyl fumarate in Japanese patients with relapsing multiple sclerosis in the placebo-controlled phase 3 apex study. Journal of the Neurological Sciences 381 439-440.</w:t>
            </w:r>
          </w:p>
        </w:tc>
      </w:tr>
      <w:tr w:rsidR="00406AEC" w:rsidRPr="00406AEC" w14:paraId="1BBC3C7F" w14:textId="77777777" w:rsidTr="00406AEC">
        <w:trPr>
          <w:trHeight w:val="300"/>
        </w:trPr>
        <w:tc>
          <w:tcPr>
            <w:tcW w:w="9360" w:type="dxa"/>
            <w:tcBorders>
              <w:top w:val="nil"/>
              <w:left w:val="nil"/>
              <w:bottom w:val="nil"/>
              <w:right w:val="nil"/>
            </w:tcBorders>
            <w:shd w:val="clear" w:color="auto" w:fill="auto"/>
            <w:noWrap/>
            <w:vAlign w:val="bottom"/>
            <w:hideMark/>
          </w:tcPr>
          <w:p w14:paraId="121A730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Kondo T, Kawachi I, Onizuka Y, Hiramatsu K, Hase M et al. (2019) Efficacy of dimethyl fumarate in Japanese multiple sclerosis patients: interim analysis of randomized, double-blind APEX study and its open-label extension. Multiple Sclerosis Journal Experimental, Translational and Clinical 5 (3): </w:t>
            </w:r>
          </w:p>
        </w:tc>
      </w:tr>
      <w:tr w:rsidR="00406AEC" w:rsidRPr="00406AEC" w14:paraId="32A913FD" w14:textId="77777777" w:rsidTr="00406AEC">
        <w:trPr>
          <w:trHeight w:val="300"/>
        </w:trPr>
        <w:tc>
          <w:tcPr>
            <w:tcW w:w="9360" w:type="dxa"/>
            <w:tcBorders>
              <w:top w:val="nil"/>
              <w:left w:val="nil"/>
              <w:bottom w:val="nil"/>
              <w:right w:val="nil"/>
            </w:tcBorders>
            <w:shd w:val="clear" w:color="auto" w:fill="auto"/>
            <w:noWrap/>
            <w:vAlign w:val="bottom"/>
            <w:hideMark/>
          </w:tcPr>
          <w:p w14:paraId="1F69A34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Koziol JA, Lucero A, Sipe JC, Romine JS, Beutler E (1999) Responsiveness of the Scripps neurologic rating scale during a multiple sclerosis clinical trial. Canadian Journal of Neurological Sciences 26 (4): 283-289.</w:t>
            </w:r>
          </w:p>
        </w:tc>
      </w:tr>
      <w:tr w:rsidR="00406AEC" w:rsidRPr="00406AEC" w14:paraId="4896247D" w14:textId="77777777" w:rsidTr="00406AEC">
        <w:trPr>
          <w:trHeight w:val="300"/>
        </w:trPr>
        <w:tc>
          <w:tcPr>
            <w:tcW w:w="9360" w:type="dxa"/>
            <w:tcBorders>
              <w:top w:val="nil"/>
              <w:left w:val="nil"/>
              <w:bottom w:val="nil"/>
              <w:right w:val="nil"/>
            </w:tcBorders>
            <w:shd w:val="clear" w:color="auto" w:fill="auto"/>
            <w:noWrap/>
            <w:vAlign w:val="bottom"/>
            <w:hideMark/>
          </w:tcPr>
          <w:p w14:paraId="1B7091C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Kulkarni RV, Meena AK, Behari M, Nagpal A, Jha L (2014) Efficacy and safety of delayed-release Dimethyl Fumarate in patients with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from </w:t>
            </w:r>
            <w:r w:rsidRPr="00406AEC">
              <w:rPr>
                <w:rFonts w:ascii="Times New Roman" w:eastAsia="Times New Roman" w:hAnsi="Times New Roman" w:cs="Times New Roman"/>
                <w:color w:val="000000"/>
                <w:szCs w:val="22"/>
              </w:rPr>
              <w:lastRenderedPageBreak/>
              <w:t xml:space="preserve">India: An integrated analysis of the phase 3 define and confirm studies. Annals of Indian Academy of Neurology 17 (6): </w:t>
            </w:r>
          </w:p>
        </w:tc>
      </w:tr>
      <w:tr w:rsidR="00406AEC" w:rsidRPr="00406AEC" w14:paraId="56C23DD4" w14:textId="77777777" w:rsidTr="00406AEC">
        <w:trPr>
          <w:trHeight w:val="300"/>
        </w:trPr>
        <w:tc>
          <w:tcPr>
            <w:tcW w:w="9360" w:type="dxa"/>
            <w:tcBorders>
              <w:top w:val="nil"/>
              <w:left w:val="nil"/>
              <w:bottom w:val="nil"/>
              <w:right w:val="nil"/>
            </w:tcBorders>
            <w:shd w:val="clear" w:color="auto" w:fill="auto"/>
            <w:noWrap/>
            <w:vAlign w:val="bottom"/>
            <w:hideMark/>
          </w:tcPr>
          <w:p w14:paraId="4302A00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Lampl C, Nagl S, Arnason B, Comi G, Oconnor P et al. (2013) Efficacy and safety of interferon beta-1b </w:t>
            </w:r>
            <w:proofErr w:type="spellStart"/>
            <w:r w:rsidRPr="00406AEC">
              <w:rPr>
                <w:rFonts w:ascii="Times New Roman" w:eastAsia="Times New Roman" w:hAnsi="Times New Roman" w:cs="Times New Roman"/>
                <w:color w:val="000000"/>
                <w:szCs w:val="22"/>
              </w:rPr>
              <w:t>sc</w:t>
            </w:r>
            <w:proofErr w:type="spellEnd"/>
            <w:r w:rsidRPr="00406AEC">
              <w:rPr>
                <w:rFonts w:ascii="Times New Roman" w:eastAsia="Times New Roman" w:hAnsi="Times New Roman" w:cs="Times New Roman"/>
                <w:color w:val="000000"/>
                <w:szCs w:val="22"/>
              </w:rPr>
              <w:t xml:space="preserve"> in older RRMS patients - A </w:t>
            </w:r>
            <w:proofErr w:type="spellStart"/>
            <w:r w:rsidRPr="00406AEC">
              <w:rPr>
                <w:rFonts w:ascii="Times New Roman" w:eastAsia="Times New Roman" w:hAnsi="Times New Roman" w:cs="Times New Roman"/>
                <w:color w:val="000000"/>
                <w:szCs w:val="22"/>
              </w:rPr>
              <w:t>posthoc</w:t>
            </w:r>
            <w:proofErr w:type="spellEnd"/>
            <w:r w:rsidRPr="00406AEC">
              <w:rPr>
                <w:rFonts w:ascii="Times New Roman" w:eastAsia="Times New Roman" w:hAnsi="Times New Roman" w:cs="Times New Roman"/>
                <w:color w:val="000000"/>
                <w:szCs w:val="22"/>
              </w:rPr>
              <w:t xml:space="preserve"> analysis of the beyond study. Journal of Neurology 260 (7): 1838-1845.</w:t>
            </w:r>
          </w:p>
        </w:tc>
      </w:tr>
      <w:tr w:rsidR="00406AEC" w:rsidRPr="00406AEC" w14:paraId="238A00E9" w14:textId="77777777" w:rsidTr="00406AEC">
        <w:trPr>
          <w:trHeight w:val="300"/>
        </w:trPr>
        <w:tc>
          <w:tcPr>
            <w:tcW w:w="9360" w:type="dxa"/>
            <w:tcBorders>
              <w:top w:val="nil"/>
              <w:left w:val="nil"/>
              <w:bottom w:val="nil"/>
              <w:right w:val="nil"/>
            </w:tcBorders>
            <w:shd w:val="clear" w:color="auto" w:fill="auto"/>
            <w:noWrap/>
            <w:vAlign w:val="bottom"/>
            <w:hideMark/>
          </w:tcPr>
          <w:p w14:paraId="74CACF9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Lechner-Scott J, Bar-Or A, Fox RJ, Gold R, Xiao J et al. (2015) Long-term effect of delayed-release dimethyl fumarate on total disability burden in DEFINE, CONFIRM, and ENDORSE: area under the curve analysis of changes from baseline in expanded disability status scale scores.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247-248.</w:t>
            </w:r>
          </w:p>
        </w:tc>
      </w:tr>
      <w:tr w:rsidR="00406AEC" w:rsidRPr="00406AEC" w14:paraId="5B7E5FA2" w14:textId="77777777" w:rsidTr="00406AEC">
        <w:trPr>
          <w:trHeight w:val="300"/>
        </w:trPr>
        <w:tc>
          <w:tcPr>
            <w:tcW w:w="9360" w:type="dxa"/>
            <w:tcBorders>
              <w:top w:val="nil"/>
              <w:left w:val="nil"/>
              <w:bottom w:val="nil"/>
              <w:right w:val="nil"/>
            </w:tcBorders>
            <w:shd w:val="clear" w:color="auto" w:fill="auto"/>
            <w:noWrap/>
            <w:vAlign w:val="bottom"/>
            <w:hideMark/>
          </w:tcPr>
          <w:p w14:paraId="0051C1A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Leist T, Freedman M, Miller A, Dive-</w:t>
            </w:r>
            <w:proofErr w:type="spellStart"/>
            <w:r w:rsidRPr="00406AEC">
              <w:rPr>
                <w:rFonts w:ascii="Times New Roman" w:eastAsia="Times New Roman" w:hAnsi="Times New Roman" w:cs="Times New Roman"/>
                <w:color w:val="000000"/>
                <w:szCs w:val="22"/>
              </w:rPr>
              <w:t>Pouletty</w:t>
            </w:r>
            <w:proofErr w:type="spellEnd"/>
            <w:r w:rsidRPr="00406AEC">
              <w:rPr>
                <w:rFonts w:ascii="Times New Roman" w:eastAsia="Times New Roman" w:hAnsi="Times New Roman" w:cs="Times New Roman"/>
                <w:color w:val="000000"/>
                <w:szCs w:val="22"/>
              </w:rPr>
              <w:t xml:space="preserve"> C, Montalban X (2015) Assessing comparative outcomes from teriflunomide and dimethyl fumarate studies in relapsing MS: Use of "number needed to treat" analysis. Neurology 84 (18): </w:t>
            </w:r>
          </w:p>
        </w:tc>
      </w:tr>
      <w:tr w:rsidR="00406AEC" w:rsidRPr="00406AEC" w14:paraId="7E2718B3" w14:textId="77777777" w:rsidTr="00406AEC">
        <w:trPr>
          <w:trHeight w:val="300"/>
        </w:trPr>
        <w:tc>
          <w:tcPr>
            <w:tcW w:w="9360" w:type="dxa"/>
            <w:tcBorders>
              <w:top w:val="nil"/>
              <w:left w:val="nil"/>
              <w:bottom w:val="nil"/>
              <w:right w:val="nil"/>
            </w:tcBorders>
            <w:shd w:val="clear" w:color="auto" w:fill="auto"/>
            <w:noWrap/>
            <w:vAlign w:val="bottom"/>
            <w:hideMark/>
          </w:tcPr>
          <w:p w14:paraId="1A27A66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Li Z, Richards S, </w:t>
            </w:r>
            <w:proofErr w:type="spellStart"/>
            <w:r w:rsidRPr="00406AEC">
              <w:rPr>
                <w:rFonts w:ascii="Times New Roman" w:eastAsia="Times New Roman" w:hAnsi="Times New Roman" w:cs="Times New Roman"/>
                <w:color w:val="000000"/>
                <w:szCs w:val="22"/>
              </w:rPr>
              <w:t>Surks</w:t>
            </w:r>
            <w:proofErr w:type="spellEnd"/>
            <w:r w:rsidRPr="00406AEC">
              <w:rPr>
                <w:rFonts w:ascii="Times New Roman" w:eastAsia="Times New Roman" w:hAnsi="Times New Roman" w:cs="Times New Roman"/>
                <w:color w:val="000000"/>
                <w:szCs w:val="22"/>
              </w:rPr>
              <w:t xml:space="preserve"> HK, Jacobs A, </w:t>
            </w:r>
            <w:proofErr w:type="spellStart"/>
            <w:r w:rsidRPr="00406AEC">
              <w:rPr>
                <w:rFonts w:ascii="Times New Roman" w:eastAsia="Times New Roman" w:hAnsi="Times New Roman" w:cs="Times New Roman"/>
                <w:color w:val="000000"/>
                <w:szCs w:val="22"/>
              </w:rPr>
              <w:t>Panzara</w:t>
            </w:r>
            <w:proofErr w:type="spellEnd"/>
            <w:r w:rsidRPr="00406AEC">
              <w:rPr>
                <w:rFonts w:ascii="Times New Roman" w:eastAsia="Times New Roman" w:hAnsi="Times New Roman" w:cs="Times New Roman"/>
                <w:color w:val="000000"/>
                <w:szCs w:val="22"/>
              </w:rPr>
              <w:t xml:space="preserve"> MA (2018) Clinical pharmacology of alemtuzumab, an anti-CD52 immunomodulator, in multiple sclerosis. Clinical and Experimental Immunology 194 (3): 295-314.</w:t>
            </w:r>
          </w:p>
        </w:tc>
      </w:tr>
      <w:tr w:rsidR="00406AEC" w:rsidRPr="00406AEC" w14:paraId="33436871" w14:textId="77777777" w:rsidTr="00406AEC">
        <w:trPr>
          <w:trHeight w:val="300"/>
        </w:trPr>
        <w:tc>
          <w:tcPr>
            <w:tcW w:w="9360" w:type="dxa"/>
            <w:tcBorders>
              <w:top w:val="nil"/>
              <w:left w:val="nil"/>
              <w:bottom w:val="nil"/>
              <w:right w:val="nil"/>
            </w:tcBorders>
            <w:shd w:val="clear" w:color="auto" w:fill="auto"/>
            <w:noWrap/>
            <w:vAlign w:val="bottom"/>
            <w:hideMark/>
          </w:tcPr>
          <w:p w14:paraId="3CEB8B1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Liu C, Blumhardt LD (2000) Benefits of glatiramer acetate on disability in relapsing-remitting multiple sclerosis: An analysis by area under disability/time curves. Journal of the Neurological Sciences 181 (1-2): 33-37.</w:t>
            </w:r>
          </w:p>
        </w:tc>
      </w:tr>
      <w:tr w:rsidR="00406AEC" w:rsidRPr="00406AEC" w14:paraId="78DBD53C" w14:textId="77777777" w:rsidTr="00406AEC">
        <w:trPr>
          <w:trHeight w:val="300"/>
        </w:trPr>
        <w:tc>
          <w:tcPr>
            <w:tcW w:w="9360" w:type="dxa"/>
            <w:tcBorders>
              <w:top w:val="nil"/>
              <w:left w:val="nil"/>
              <w:bottom w:val="nil"/>
              <w:right w:val="nil"/>
            </w:tcBorders>
            <w:shd w:val="clear" w:color="auto" w:fill="auto"/>
            <w:noWrap/>
            <w:vAlign w:val="bottom"/>
            <w:hideMark/>
          </w:tcPr>
          <w:p w14:paraId="3C0A794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Lublin F, Freedman MS, Comi G, Miller AE, Thangavelu K et al. (2016) Benefit of long-term treatment with teriflunomide on disability outcomes: results from TEMSO and TOWER. Multiple Sclerosis 22 333-334.</w:t>
            </w:r>
          </w:p>
        </w:tc>
      </w:tr>
      <w:tr w:rsidR="00406AEC" w:rsidRPr="00406AEC" w14:paraId="50998055" w14:textId="77777777" w:rsidTr="00406AEC">
        <w:trPr>
          <w:trHeight w:val="300"/>
        </w:trPr>
        <w:tc>
          <w:tcPr>
            <w:tcW w:w="9360" w:type="dxa"/>
            <w:tcBorders>
              <w:top w:val="nil"/>
              <w:left w:val="nil"/>
              <w:bottom w:val="nil"/>
              <w:right w:val="nil"/>
            </w:tcBorders>
            <w:shd w:val="clear" w:color="auto" w:fill="auto"/>
            <w:noWrap/>
            <w:vAlign w:val="bottom"/>
            <w:hideMark/>
          </w:tcPr>
          <w:p w14:paraId="2490585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Macdonell R, Freedman M, Xu X, Vucic 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(2017) Efficacy and safety of teriflunomide in Chinese patients with relapsing forms of MS: a subgroup analysis of the phase 3 tower study. Journal of the Neurological Sciences 381 (135): </w:t>
            </w:r>
          </w:p>
        </w:tc>
      </w:tr>
      <w:tr w:rsidR="00406AEC" w:rsidRPr="00406AEC" w14:paraId="5B3C0855" w14:textId="77777777" w:rsidTr="00406AEC">
        <w:trPr>
          <w:trHeight w:val="300"/>
        </w:trPr>
        <w:tc>
          <w:tcPr>
            <w:tcW w:w="9360" w:type="dxa"/>
            <w:tcBorders>
              <w:top w:val="nil"/>
              <w:left w:val="nil"/>
              <w:bottom w:val="nil"/>
              <w:right w:val="nil"/>
            </w:tcBorders>
            <w:shd w:val="clear" w:color="auto" w:fill="auto"/>
            <w:noWrap/>
            <w:vAlign w:val="bottom"/>
            <w:hideMark/>
          </w:tcPr>
          <w:p w14:paraId="2BDD135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Macdonell R, Freedman MS, Xu X, Vucic 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(2018) A subgroup analysis of the phase 3 TOWER study assessing efficacy and safety of teriflunomide in Asian patients with relapsing forms of MS. Multiple sclerosis journal 24 (3): 402-.</w:t>
            </w:r>
          </w:p>
        </w:tc>
      </w:tr>
      <w:tr w:rsidR="00406AEC" w:rsidRPr="00406AEC" w14:paraId="307C5412" w14:textId="77777777" w:rsidTr="00406AEC">
        <w:trPr>
          <w:trHeight w:val="300"/>
        </w:trPr>
        <w:tc>
          <w:tcPr>
            <w:tcW w:w="9360" w:type="dxa"/>
            <w:tcBorders>
              <w:top w:val="nil"/>
              <w:left w:val="nil"/>
              <w:bottom w:val="nil"/>
              <w:right w:val="nil"/>
            </w:tcBorders>
            <w:shd w:val="clear" w:color="auto" w:fill="auto"/>
            <w:noWrap/>
            <w:vAlign w:val="bottom"/>
            <w:hideMark/>
          </w:tcPr>
          <w:p w14:paraId="29189E4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Macdonell R, Lublin F, Comi G, Freedman MS, Kappos L et al. Teriflunomide reduces relapse-related sequelae, severe relapses, </w:t>
            </w:r>
            <w:proofErr w:type="spellStart"/>
            <w:proofErr w:type="gramStart"/>
            <w:r w:rsidRPr="00406AEC">
              <w:rPr>
                <w:rFonts w:ascii="Times New Roman" w:eastAsia="Times New Roman" w:hAnsi="Times New Roman" w:cs="Times New Roman"/>
                <w:color w:val="000000"/>
                <w:szCs w:val="22"/>
              </w:rPr>
              <w:t>hospitalisations</w:t>
            </w:r>
            <w:proofErr w:type="spellEnd"/>
            <w:proofErr w:type="gramEnd"/>
            <w:r w:rsidRPr="00406AEC">
              <w:rPr>
                <w:rFonts w:ascii="Times New Roman" w:eastAsia="Times New Roman" w:hAnsi="Times New Roman" w:cs="Times New Roman"/>
                <w:color w:val="000000"/>
                <w:szCs w:val="22"/>
              </w:rPr>
              <w:t xml:space="preserve"> and corticosteroid use: Pooled data from the phase 3 TEMSO and TOWER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512-513.</w:t>
            </w:r>
          </w:p>
        </w:tc>
      </w:tr>
      <w:tr w:rsidR="00406AEC" w:rsidRPr="00406AEC" w14:paraId="44CF5A8F" w14:textId="77777777" w:rsidTr="00406AEC">
        <w:trPr>
          <w:trHeight w:val="300"/>
        </w:trPr>
        <w:tc>
          <w:tcPr>
            <w:tcW w:w="9360" w:type="dxa"/>
            <w:tcBorders>
              <w:top w:val="nil"/>
              <w:left w:val="nil"/>
              <w:bottom w:val="nil"/>
              <w:right w:val="nil"/>
            </w:tcBorders>
            <w:shd w:val="clear" w:color="auto" w:fill="auto"/>
            <w:noWrap/>
            <w:vAlign w:val="bottom"/>
            <w:hideMark/>
          </w:tcPr>
          <w:p w14:paraId="2CB2075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es-ES"/>
              </w:rPr>
              <w:t xml:space="preserve">Mansilla MJ, Navarro-Barriuso J, Presas-Rodriguez S, </w:t>
            </w:r>
            <w:proofErr w:type="gramStart"/>
            <w:r w:rsidRPr="00713F1E">
              <w:rPr>
                <w:rFonts w:ascii="Times New Roman" w:eastAsia="Times New Roman" w:hAnsi="Times New Roman" w:cs="Times New Roman"/>
                <w:color w:val="000000"/>
                <w:szCs w:val="22"/>
                <w:lang w:val="es-ES"/>
              </w:rPr>
              <w:t>Teniente</w:t>
            </w:r>
            <w:proofErr w:type="gramEnd"/>
            <w:r w:rsidRPr="00713F1E">
              <w:rPr>
                <w:rFonts w:ascii="Times New Roman" w:eastAsia="Times New Roman" w:hAnsi="Times New Roman" w:cs="Times New Roman"/>
                <w:color w:val="000000"/>
                <w:szCs w:val="22"/>
                <w:lang w:val="es-ES"/>
              </w:rPr>
              <w:t xml:space="preserve">-Serra A, </w:t>
            </w:r>
            <w:proofErr w:type="spellStart"/>
            <w:r w:rsidRPr="00713F1E">
              <w:rPr>
                <w:rFonts w:ascii="Times New Roman" w:eastAsia="Times New Roman" w:hAnsi="Times New Roman" w:cs="Times New Roman"/>
                <w:color w:val="000000"/>
                <w:szCs w:val="22"/>
                <w:lang w:val="es-ES"/>
              </w:rPr>
              <w:t>Quirant-Sanchez</w:t>
            </w:r>
            <w:proofErr w:type="spellEnd"/>
            <w:r w:rsidRPr="00713F1E">
              <w:rPr>
                <w:rFonts w:ascii="Times New Roman" w:eastAsia="Times New Roman" w:hAnsi="Times New Roman" w:cs="Times New Roman"/>
                <w:color w:val="000000"/>
                <w:szCs w:val="22"/>
                <w:lang w:val="es-ES"/>
              </w:rPr>
              <w:t xml:space="preserve"> B et al. </w:t>
            </w:r>
            <w:r w:rsidRPr="00406AEC">
              <w:rPr>
                <w:rFonts w:ascii="Times New Roman" w:eastAsia="Times New Roman" w:hAnsi="Times New Roman" w:cs="Times New Roman"/>
                <w:color w:val="000000"/>
                <w:szCs w:val="22"/>
              </w:rPr>
              <w:t>(2019) Optimal response to dimethyl fumarate is mediated by a reduction of Th1-like Th17 cells after 3 months of treatment. CNS Neuroscience and Therapeutics 25 (9): 995-1005.</w:t>
            </w:r>
          </w:p>
        </w:tc>
      </w:tr>
      <w:tr w:rsidR="00406AEC" w:rsidRPr="00406AEC" w14:paraId="4F546CF6" w14:textId="77777777" w:rsidTr="00406AEC">
        <w:trPr>
          <w:trHeight w:val="300"/>
        </w:trPr>
        <w:tc>
          <w:tcPr>
            <w:tcW w:w="9360" w:type="dxa"/>
            <w:tcBorders>
              <w:top w:val="nil"/>
              <w:left w:val="nil"/>
              <w:bottom w:val="nil"/>
              <w:right w:val="nil"/>
            </w:tcBorders>
            <w:shd w:val="clear" w:color="auto" w:fill="auto"/>
            <w:noWrap/>
            <w:vAlign w:val="bottom"/>
            <w:hideMark/>
          </w:tcPr>
          <w:p w14:paraId="61D1F94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Marantz J, Gold R, Giovannoni G, Phillips JT, Fox RJ et al. Longer-term follow-up of the efficacy of </w:t>
            </w:r>
            <w:proofErr w:type="spellStart"/>
            <w:r w:rsidRPr="00406AEC">
              <w:rPr>
                <w:rFonts w:ascii="Times New Roman" w:eastAsia="Times New Roman" w:hAnsi="Times New Roman" w:cs="Times New Roman"/>
                <w:color w:val="000000"/>
                <w:szCs w:val="22"/>
              </w:rPr>
              <w:t>delayedrelease</w:t>
            </w:r>
            <w:proofErr w:type="spellEnd"/>
            <w:r w:rsidRPr="00406AEC">
              <w:rPr>
                <w:rFonts w:ascii="Times New Roman" w:eastAsia="Times New Roman" w:hAnsi="Times New Roman" w:cs="Times New Roman"/>
                <w:color w:val="000000"/>
                <w:szCs w:val="22"/>
              </w:rPr>
              <w:t xml:space="preserve"> dimethyl fumarate in newly diagnosed patients with RRMS: An integrated analysis of DEFINE, CONFIRM, and ENDORSE.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263.</w:t>
            </w:r>
          </w:p>
        </w:tc>
      </w:tr>
      <w:tr w:rsidR="00406AEC" w:rsidRPr="00406AEC" w14:paraId="0CD4BB21" w14:textId="77777777" w:rsidTr="00406AEC">
        <w:trPr>
          <w:trHeight w:val="300"/>
        </w:trPr>
        <w:tc>
          <w:tcPr>
            <w:tcW w:w="9360" w:type="dxa"/>
            <w:tcBorders>
              <w:top w:val="nil"/>
              <w:left w:val="nil"/>
              <w:bottom w:val="nil"/>
              <w:right w:val="nil"/>
            </w:tcBorders>
            <w:shd w:val="clear" w:color="auto" w:fill="auto"/>
            <w:noWrap/>
            <w:vAlign w:val="bottom"/>
            <w:hideMark/>
          </w:tcPr>
          <w:p w14:paraId="74E4E93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Maurer M, Comi G, Freedman MS, Kappos L, Olsson TP et al. (2016) Multiple sclerosis relapses are associated with increased fatigue and reduced health-related quality of </w:t>
            </w:r>
            <w:r w:rsidRPr="00406AEC">
              <w:rPr>
                <w:rFonts w:ascii="Times New Roman" w:eastAsia="Times New Roman" w:hAnsi="Times New Roman" w:cs="Times New Roman"/>
                <w:color w:val="000000"/>
                <w:szCs w:val="22"/>
              </w:rPr>
              <w:lastRenderedPageBreak/>
              <w:t>life - A post hoc analysis of the TEMSO and TOWER studies. Multiple Sclerosis and Related Disorders 7 33-40.</w:t>
            </w:r>
          </w:p>
        </w:tc>
      </w:tr>
      <w:tr w:rsidR="00406AEC" w:rsidRPr="00406AEC" w14:paraId="36B3988A" w14:textId="77777777" w:rsidTr="00406AEC">
        <w:trPr>
          <w:trHeight w:val="300"/>
        </w:trPr>
        <w:tc>
          <w:tcPr>
            <w:tcW w:w="9360" w:type="dxa"/>
            <w:tcBorders>
              <w:top w:val="nil"/>
              <w:left w:val="nil"/>
              <w:bottom w:val="nil"/>
              <w:right w:val="nil"/>
            </w:tcBorders>
            <w:shd w:val="clear" w:color="auto" w:fill="auto"/>
            <w:noWrap/>
            <w:vAlign w:val="bottom"/>
            <w:hideMark/>
          </w:tcPr>
          <w:p w14:paraId="581B9F1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Merschhemke</w:t>
            </w:r>
            <w:proofErr w:type="spellEnd"/>
            <w:r w:rsidRPr="00406AEC">
              <w:rPr>
                <w:rFonts w:ascii="Times New Roman" w:eastAsia="Times New Roman" w:hAnsi="Times New Roman" w:cs="Times New Roman"/>
                <w:color w:val="000000"/>
                <w:szCs w:val="22"/>
              </w:rPr>
              <w:t xml:space="preserve"> M, Zhang Y, </w:t>
            </w:r>
            <w:proofErr w:type="spellStart"/>
            <w:r w:rsidRPr="00406AEC">
              <w:rPr>
                <w:rFonts w:ascii="Times New Roman" w:eastAsia="Times New Roman" w:hAnsi="Times New Roman" w:cs="Times New Roman"/>
                <w:color w:val="000000"/>
                <w:szCs w:val="22"/>
              </w:rPr>
              <w:t>Putzki</w:t>
            </w:r>
            <w:proofErr w:type="spellEnd"/>
            <w:r w:rsidRPr="00406AEC">
              <w:rPr>
                <w:rFonts w:ascii="Times New Roman" w:eastAsia="Times New Roman" w:hAnsi="Times New Roman" w:cs="Times New Roman"/>
                <w:color w:val="000000"/>
                <w:szCs w:val="22"/>
              </w:rPr>
              <w:t xml:space="preserve"> N (2015) Fingolimod efficacy in second-line treatment for RRMS: treatment outcome is independent from previous MRI or clinical activity.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319-320.</w:t>
            </w:r>
          </w:p>
        </w:tc>
      </w:tr>
      <w:tr w:rsidR="00406AEC" w:rsidRPr="00406AEC" w14:paraId="611D96B7" w14:textId="77777777" w:rsidTr="00406AEC">
        <w:trPr>
          <w:trHeight w:val="300"/>
        </w:trPr>
        <w:tc>
          <w:tcPr>
            <w:tcW w:w="9360" w:type="dxa"/>
            <w:tcBorders>
              <w:top w:val="nil"/>
              <w:left w:val="nil"/>
              <w:bottom w:val="nil"/>
              <w:right w:val="nil"/>
            </w:tcBorders>
            <w:shd w:val="clear" w:color="auto" w:fill="auto"/>
            <w:noWrap/>
            <w:vAlign w:val="bottom"/>
            <w:hideMark/>
          </w:tcPr>
          <w:p w14:paraId="22EFB5C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Mikol D, Freedman MS, Goldman MD, Hartung HP,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Correlations between patient-reported ambulatory function (MSWS-12) and objective disability measurements in SPMS: Analysis of ASCEND baseline data.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408.</w:t>
            </w:r>
          </w:p>
        </w:tc>
      </w:tr>
      <w:tr w:rsidR="00406AEC" w:rsidRPr="00406AEC" w14:paraId="7886E7E2" w14:textId="77777777" w:rsidTr="00406AEC">
        <w:trPr>
          <w:trHeight w:val="300"/>
        </w:trPr>
        <w:tc>
          <w:tcPr>
            <w:tcW w:w="9360" w:type="dxa"/>
            <w:tcBorders>
              <w:top w:val="nil"/>
              <w:left w:val="nil"/>
              <w:bottom w:val="nil"/>
              <w:right w:val="nil"/>
            </w:tcBorders>
            <w:shd w:val="clear" w:color="auto" w:fill="auto"/>
            <w:noWrap/>
            <w:vAlign w:val="bottom"/>
            <w:hideMark/>
          </w:tcPr>
          <w:p w14:paraId="472BDB3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Mikol D, Freedman MS, Goldman MD, Hartung HP,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ASCEND study of natalizumab efficacy on reducing disability in patients with secondary progressive multiple sclerosis: Baseline demographics and disease characteristics.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507-508.</w:t>
            </w:r>
          </w:p>
        </w:tc>
      </w:tr>
      <w:tr w:rsidR="00406AEC" w:rsidRPr="00406AEC" w14:paraId="0435FF54" w14:textId="77777777" w:rsidTr="00406AEC">
        <w:trPr>
          <w:trHeight w:val="300"/>
        </w:trPr>
        <w:tc>
          <w:tcPr>
            <w:tcW w:w="9360" w:type="dxa"/>
            <w:tcBorders>
              <w:top w:val="nil"/>
              <w:left w:val="nil"/>
              <w:bottom w:val="nil"/>
              <w:right w:val="nil"/>
            </w:tcBorders>
            <w:shd w:val="clear" w:color="auto" w:fill="auto"/>
            <w:noWrap/>
            <w:vAlign w:val="bottom"/>
            <w:hideMark/>
          </w:tcPr>
          <w:p w14:paraId="6A7ACDC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AE, Xu X, Macdonell R, Vucic S,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(2019) Efficacy and safety of teriflunomide in Asian patients with relapsing forms of multiple sclerosis: A subgroup analysis of the phase 3 TOWER study. Journal of Clinical Neuroscience 59 229-231.</w:t>
            </w:r>
          </w:p>
        </w:tc>
      </w:tr>
      <w:tr w:rsidR="00406AEC" w:rsidRPr="00406AEC" w14:paraId="1F4B502F" w14:textId="77777777" w:rsidTr="00406AEC">
        <w:trPr>
          <w:trHeight w:val="300"/>
        </w:trPr>
        <w:tc>
          <w:tcPr>
            <w:tcW w:w="9360" w:type="dxa"/>
            <w:tcBorders>
              <w:top w:val="nil"/>
              <w:left w:val="nil"/>
              <w:bottom w:val="nil"/>
              <w:right w:val="nil"/>
            </w:tcBorders>
            <w:shd w:val="clear" w:color="auto" w:fill="auto"/>
            <w:noWrap/>
            <w:vAlign w:val="bottom"/>
            <w:hideMark/>
          </w:tcPr>
          <w:p w14:paraId="2690E26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Mori M, Ohashi T, Onizuka Y, Hiramatsu K, Hase M et al. (2017) Efficacy and safety of delayed-release dimethyl fumarate in treatment-naive Japanese patients with relapsing-remitting multiple sclerosis: a post-hoc subgroup analysis of the apex study. Journal of the Neurological Sciences 381 795-796.</w:t>
            </w:r>
          </w:p>
        </w:tc>
      </w:tr>
      <w:tr w:rsidR="00406AEC" w:rsidRPr="00406AEC" w14:paraId="3C7A1FF9" w14:textId="77777777" w:rsidTr="00406AEC">
        <w:trPr>
          <w:trHeight w:val="300"/>
        </w:trPr>
        <w:tc>
          <w:tcPr>
            <w:tcW w:w="9360" w:type="dxa"/>
            <w:tcBorders>
              <w:top w:val="nil"/>
              <w:left w:val="nil"/>
              <w:bottom w:val="nil"/>
              <w:right w:val="nil"/>
            </w:tcBorders>
            <w:shd w:val="clear" w:color="auto" w:fill="auto"/>
            <w:noWrap/>
            <w:vAlign w:val="bottom"/>
            <w:hideMark/>
          </w:tcPr>
          <w:p w14:paraId="274FD3B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Mori M, Ohashi T, Onizuka Y, Hiramatsu K, Hase M et al. (2019) Efficacy and safety of dimethyl fumarate in treatment-naive Japanese patients with multiple sclerosis: Interim analysis of the randomized placebo-controlled study. Multiple Sclerosis Journal Experimental Translational &amp; Clinical 5 (2): 2055217319852727.</w:t>
            </w:r>
          </w:p>
        </w:tc>
      </w:tr>
      <w:tr w:rsidR="00406AEC" w:rsidRPr="00406AEC" w14:paraId="31E30A59" w14:textId="77777777" w:rsidTr="00406AEC">
        <w:trPr>
          <w:trHeight w:val="300"/>
        </w:trPr>
        <w:tc>
          <w:tcPr>
            <w:tcW w:w="9360" w:type="dxa"/>
            <w:tcBorders>
              <w:top w:val="nil"/>
              <w:left w:val="nil"/>
              <w:bottom w:val="nil"/>
              <w:right w:val="nil"/>
            </w:tcBorders>
            <w:shd w:val="clear" w:color="auto" w:fill="auto"/>
            <w:noWrap/>
            <w:vAlign w:val="bottom"/>
            <w:hideMark/>
          </w:tcPr>
          <w:p w14:paraId="34295D0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fr-FR"/>
              </w:rPr>
              <w:t xml:space="preserve">Moses H, </w:t>
            </w:r>
            <w:proofErr w:type="spellStart"/>
            <w:r w:rsidRPr="00144F5E">
              <w:rPr>
                <w:rFonts w:ascii="Times New Roman" w:eastAsia="Times New Roman" w:hAnsi="Times New Roman" w:cs="Times New Roman"/>
                <w:color w:val="000000"/>
                <w:szCs w:val="22"/>
                <w:lang w:val="fr-FR"/>
              </w:rPr>
              <w:t>Freedman</w:t>
            </w:r>
            <w:proofErr w:type="spellEnd"/>
            <w:r w:rsidRPr="00144F5E">
              <w:rPr>
                <w:rFonts w:ascii="Times New Roman" w:eastAsia="Times New Roman" w:hAnsi="Times New Roman" w:cs="Times New Roman"/>
                <w:color w:val="000000"/>
                <w:szCs w:val="22"/>
                <w:lang w:val="fr-FR"/>
              </w:rPr>
              <w:t xml:space="preserve"> M, </w:t>
            </w:r>
            <w:proofErr w:type="spellStart"/>
            <w:r w:rsidRPr="00144F5E">
              <w:rPr>
                <w:rFonts w:ascii="Times New Roman" w:eastAsia="Times New Roman" w:hAnsi="Times New Roman" w:cs="Times New Roman"/>
                <w:color w:val="000000"/>
                <w:szCs w:val="22"/>
                <w:lang w:val="fr-FR"/>
              </w:rPr>
              <w:t>Kappos</w:t>
            </w:r>
            <w:proofErr w:type="spellEnd"/>
            <w:r w:rsidRPr="00144F5E">
              <w:rPr>
                <w:rFonts w:ascii="Times New Roman" w:eastAsia="Times New Roman" w:hAnsi="Times New Roman" w:cs="Times New Roman"/>
                <w:color w:val="000000"/>
                <w:szCs w:val="22"/>
                <w:lang w:val="fr-FR"/>
              </w:rPr>
              <w:t xml:space="preserve"> L, Miller A, Olsson T et al. </w:t>
            </w:r>
            <w:r w:rsidRPr="00406AEC">
              <w:rPr>
                <w:rFonts w:ascii="Times New Roman" w:eastAsia="Times New Roman" w:hAnsi="Times New Roman" w:cs="Times New Roman"/>
                <w:color w:val="000000"/>
                <w:szCs w:val="22"/>
              </w:rPr>
              <w:t xml:space="preserve">(2013) Pre-defined subgroups analyses of tower, a placebo-controlled phase 3 trial of teriflunomide in patients with relapsing multiple sclerosis. </w:t>
            </w:r>
          </w:p>
        </w:tc>
      </w:tr>
      <w:tr w:rsidR="00406AEC" w:rsidRPr="00406AEC" w14:paraId="1253C216" w14:textId="77777777" w:rsidTr="00406AEC">
        <w:trPr>
          <w:trHeight w:val="300"/>
        </w:trPr>
        <w:tc>
          <w:tcPr>
            <w:tcW w:w="9360" w:type="dxa"/>
            <w:tcBorders>
              <w:top w:val="nil"/>
              <w:left w:val="nil"/>
              <w:bottom w:val="nil"/>
              <w:right w:val="nil"/>
            </w:tcBorders>
            <w:shd w:val="clear" w:color="auto" w:fill="auto"/>
            <w:noWrap/>
            <w:vAlign w:val="bottom"/>
            <w:hideMark/>
          </w:tcPr>
          <w:p w14:paraId="6E10B74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Naylor M, </w:t>
            </w:r>
            <w:proofErr w:type="spellStart"/>
            <w:r w:rsidRPr="00406AEC">
              <w:rPr>
                <w:rFonts w:ascii="Times New Roman" w:eastAsia="Times New Roman" w:hAnsi="Times New Roman" w:cs="Times New Roman"/>
                <w:color w:val="000000"/>
                <w:szCs w:val="22"/>
              </w:rPr>
              <w:t>Mokliatchouk</w:t>
            </w:r>
            <w:proofErr w:type="spellEnd"/>
            <w:r w:rsidRPr="00406AEC">
              <w:rPr>
                <w:rFonts w:ascii="Times New Roman" w:eastAsia="Times New Roman" w:hAnsi="Times New Roman" w:cs="Times New Roman"/>
                <w:color w:val="000000"/>
                <w:szCs w:val="22"/>
              </w:rPr>
              <w:t xml:space="preserve"> O, Arnold DL (2019) No evidence of disease activity achievement over 4 years of peginterferon beta-1A in newly diagnosed patients with relapsing multiple sclerosis. Multiple sclerosis journal 25 39-40.</w:t>
            </w:r>
          </w:p>
        </w:tc>
      </w:tr>
      <w:tr w:rsidR="00406AEC" w:rsidRPr="00406AEC" w14:paraId="4AF61D89" w14:textId="77777777" w:rsidTr="00406AEC">
        <w:trPr>
          <w:trHeight w:val="300"/>
        </w:trPr>
        <w:tc>
          <w:tcPr>
            <w:tcW w:w="9360" w:type="dxa"/>
            <w:tcBorders>
              <w:top w:val="nil"/>
              <w:left w:val="nil"/>
              <w:bottom w:val="nil"/>
              <w:right w:val="nil"/>
            </w:tcBorders>
            <w:shd w:val="clear" w:color="auto" w:fill="auto"/>
            <w:noWrap/>
            <w:vAlign w:val="bottom"/>
            <w:hideMark/>
          </w:tcPr>
          <w:p w14:paraId="32498EC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Naylor ML, Yun J, Arnold D (2018) No evidence of disease activity achievement over 4 years of peginterferon beta-1a treatment in newly diagnosed patients with relapsing Multiple Sclerosis: subgroup analyses of ADVANCE/ATTAIN. European journal of neurology 25 (442): </w:t>
            </w:r>
          </w:p>
        </w:tc>
      </w:tr>
      <w:tr w:rsidR="00406AEC" w:rsidRPr="00406AEC" w14:paraId="1F135488" w14:textId="77777777" w:rsidTr="00406AEC">
        <w:trPr>
          <w:trHeight w:val="300"/>
        </w:trPr>
        <w:tc>
          <w:tcPr>
            <w:tcW w:w="9360" w:type="dxa"/>
            <w:tcBorders>
              <w:top w:val="nil"/>
              <w:left w:val="nil"/>
              <w:bottom w:val="nil"/>
              <w:right w:val="nil"/>
            </w:tcBorders>
            <w:shd w:val="clear" w:color="auto" w:fill="auto"/>
            <w:noWrap/>
            <w:vAlign w:val="bottom"/>
            <w:hideMark/>
          </w:tcPr>
          <w:p w14:paraId="5ED7FD0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Nelson F, Lebrun-Frenay C, Camu W, Boyko A, Thangavelu K et al. (2017) Long-term outcomes in patients with progressive forms of relapsing MS treated with teriflunomide: patient-level data from the TEMSO and TOWER extension studies and the real-world setting. Multiple sclerosis journal 23 (3): 940-941.</w:t>
            </w:r>
          </w:p>
        </w:tc>
      </w:tr>
      <w:tr w:rsidR="00406AEC" w:rsidRPr="00406AEC" w14:paraId="3997C287" w14:textId="77777777" w:rsidTr="00406AEC">
        <w:trPr>
          <w:trHeight w:val="300"/>
        </w:trPr>
        <w:tc>
          <w:tcPr>
            <w:tcW w:w="9360" w:type="dxa"/>
            <w:tcBorders>
              <w:top w:val="nil"/>
              <w:left w:val="nil"/>
              <w:bottom w:val="nil"/>
              <w:right w:val="nil"/>
            </w:tcBorders>
            <w:shd w:val="clear" w:color="auto" w:fill="auto"/>
            <w:noWrap/>
            <w:vAlign w:val="bottom"/>
            <w:hideMark/>
          </w:tcPr>
          <w:p w14:paraId="439EAE7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Nelson F, Salter A, Narayana P, </w:t>
            </w:r>
            <w:proofErr w:type="spellStart"/>
            <w:r w:rsidRPr="00713F1E">
              <w:rPr>
                <w:rFonts w:ascii="Times New Roman" w:eastAsia="Times New Roman" w:hAnsi="Times New Roman" w:cs="Times New Roman"/>
                <w:color w:val="000000"/>
                <w:szCs w:val="22"/>
                <w:lang w:val="fr-FR"/>
              </w:rPr>
              <w:t>Gustafson</w:t>
            </w:r>
            <w:proofErr w:type="spellEnd"/>
            <w:r w:rsidRPr="00713F1E">
              <w:rPr>
                <w:rFonts w:ascii="Times New Roman" w:eastAsia="Times New Roman" w:hAnsi="Times New Roman" w:cs="Times New Roman"/>
                <w:color w:val="000000"/>
                <w:szCs w:val="22"/>
                <w:lang w:val="fr-FR"/>
              </w:rPr>
              <w:t xml:space="preserve"> T, </w:t>
            </w:r>
            <w:proofErr w:type="spellStart"/>
            <w:r w:rsidRPr="00713F1E">
              <w:rPr>
                <w:rFonts w:ascii="Times New Roman" w:eastAsia="Times New Roman" w:hAnsi="Times New Roman" w:cs="Times New Roman"/>
                <w:color w:val="000000"/>
                <w:szCs w:val="22"/>
                <w:lang w:val="fr-FR"/>
              </w:rPr>
              <w:t>Conwit</w:t>
            </w:r>
            <w:proofErr w:type="spellEnd"/>
            <w:r w:rsidRPr="00713F1E">
              <w:rPr>
                <w:rFonts w:ascii="Times New Roman" w:eastAsia="Times New Roman" w:hAnsi="Times New Roman" w:cs="Times New Roman"/>
                <w:color w:val="000000"/>
                <w:szCs w:val="22"/>
                <w:lang w:val="fr-FR"/>
              </w:rPr>
              <w:t xml:space="preserve"> R et al. </w:t>
            </w:r>
            <w:r w:rsidRPr="00406AEC">
              <w:rPr>
                <w:rFonts w:ascii="Times New Roman" w:eastAsia="Times New Roman" w:hAnsi="Times New Roman" w:cs="Times New Roman"/>
                <w:color w:val="000000"/>
                <w:szCs w:val="22"/>
              </w:rPr>
              <w:t xml:space="preserve">MRI outcomes and MS diagnosis criteria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(10): 1392-1393.</w:t>
            </w:r>
          </w:p>
        </w:tc>
      </w:tr>
      <w:tr w:rsidR="00406AEC" w:rsidRPr="00406AEC" w14:paraId="5FD70269" w14:textId="77777777" w:rsidTr="00406AEC">
        <w:trPr>
          <w:trHeight w:val="300"/>
        </w:trPr>
        <w:tc>
          <w:tcPr>
            <w:tcW w:w="9360" w:type="dxa"/>
            <w:tcBorders>
              <w:top w:val="nil"/>
              <w:left w:val="nil"/>
              <w:bottom w:val="nil"/>
              <w:right w:val="nil"/>
            </w:tcBorders>
            <w:shd w:val="clear" w:color="auto" w:fill="auto"/>
            <w:noWrap/>
            <w:vAlign w:val="bottom"/>
            <w:hideMark/>
          </w:tcPr>
          <w:p w14:paraId="0E0E90D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Newsome S,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Shang S, Liu S, Hung S et al. (2015) Peginterferon beta-1a is effective as early as twelve weeks following treatment initiation in patients with relapsing multiple sclerosis. Neurology 84 (18): </w:t>
            </w:r>
          </w:p>
        </w:tc>
      </w:tr>
      <w:tr w:rsidR="00406AEC" w:rsidRPr="00406AEC" w14:paraId="2E1CBB4A" w14:textId="77777777" w:rsidTr="00406AEC">
        <w:trPr>
          <w:trHeight w:val="300"/>
        </w:trPr>
        <w:tc>
          <w:tcPr>
            <w:tcW w:w="9360" w:type="dxa"/>
            <w:tcBorders>
              <w:top w:val="nil"/>
              <w:left w:val="nil"/>
              <w:bottom w:val="nil"/>
              <w:right w:val="nil"/>
            </w:tcBorders>
            <w:shd w:val="clear" w:color="auto" w:fill="auto"/>
            <w:noWrap/>
            <w:vAlign w:val="bottom"/>
            <w:hideMark/>
          </w:tcPr>
          <w:p w14:paraId="5684577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 Scott T, Arnold D, </w:t>
            </w:r>
            <w:proofErr w:type="spellStart"/>
            <w:r w:rsidRPr="00406AEC">
              <w:rPr>
                <w:rFonts w:ascii="Times New Roman" w:eastAsia="Times New Roman" w:hAnsi="Times New Roman" w:cs="Times New Roman"/>
                <w:color w:val="000000"/>
                <w:szCs w:val="22"/>
              </w:rPr>
              <w:t>Mokliatchouk</w:t>
            </w:r>
            <w:proofErr w:type="spellEnd"/>
            <w:r w:rsidRPr="00406AEC">
              <w:rPr>
                <w:rFonts w:ascii="Times New Roman" w:eastAsia="Times New Roman" w:hAnsi="Times New Roman" w:cs="Times New Roman"/>
                <w:color w:val="000000"/>
                <w:szCs w:val="22"/>
              </w:rPr>
              <w:t xml:space="preserve"> O, </w:t>
            </w:r>
            <w:proofErr w:type="spellStart"/>
            <w:r w:rsidRPr="00406AEC">
              <w:rPr>
                <w:rFonts w:ascii="Times New Roman" w:eastAsia="Times New Roman" w:hAnsi="Times New Roman" w:cs="Times New Roman"/>
                <w:color w:val="000000"/>
                <w:szCs w:val="22"/>
              </w:rPr>
              <w:t>Meergans</w:t>
            </w:r>
            <w:proofErr w:type="spellEnd"/>
            <w:r w:rsidRPr="00406AEC">
              <w:rPr>
                <w:rFonts w:ascii="Times New Roman" w:eastAsia="Times New Roman" w:hAnsi="Times New Roman" w:cs="Times New Roman"/>
                <w:color w:val="000000"/>
                <w:szCs w:val="22"/>
              </w:rPr>
              <w:t xml:space="preserve"> M et al. (2019) Sustained improvement in clinical and MRI outcomes in newly diagnosed relapsing-remitting multiple sclerosis (RRMS) patients treated for up to 4 years with peginterferon beta-1a: subgroup analysis of advance/attain. Neurology 92 (15): </w:t>
            </w:r>
          </w:p>
        </w:tc>
      </w:tr>
      <w:tr w:rsidR="00406AEC" w:rsidRPr="00406AEC" w14:paraId="6BC2FFCC" w14:textId="77777777" w:rsidTr="00406AEC">
        <w:trPr>
          <w:trHeight w:val="300"/>
        </w:trPr>
        <w:tc>
          <w:tcPr>
            <w:tcW w:w="9360" w:type="dxa"/>
            <w:tcBorders>
              <w:top w:val="nil"/>
              <w:left w:val="nil"/>
              <w:bottom w:val="nil"/>
              <w:right w:val="nil"/>
            </w:tcBorders>
            <w:shd w:val="clear" w:color="auto" w:fill="auto"/>
            <w:noWrap/>
            <w:vAlign w:val="bottom"/>
            <w:hideMark/>
          </w:tcPr>
          <w:p w14:paraId="1F49C2C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Arnold DL, Yun J, </w:t>
            </w:r>
            <w:proofErr w:type="spellStart"/>
            <w:r w:rsidRPr="00406AEC">
              <w:rPr>
                <w:rFonts w:ascii="Times New Roman" w:eastAsia="Times New Roman" w:hAnsi="Times New Roman" w:cs="Times New Roman"/>
                <w:color w:val="000000"/>
                <w:szCs w:val="22"/>
              </w:rPr>
              <w:t>Meergans</w:t>
            </w:r>
            <w:proofErr w:type="spellEnd"/>
            <w:r w:rsidRPr="00406AEC">
              <w:rPr>
                <w:rFonts w:ascii="Times New Roman" w:eastAsia="Times New Roman" w:hAnsi="Times New Roman" w:cs="Times New Roman"/>
                <w:color w:val="000000"/>
                <w:szCs w:val="22"/>
              </w:rPr>
              <w:t xml:space="preserve"> M, Naylor ML (2017) Peginterferon beta-1a improves clinical and radiological disease outcomes in patients who are newly diagnosed with relapsing multiple sclerosis: subgroup analysis of ADVANCE. Multiple sclerosis journal 23 (3): 314-.</w:t>
            </w:r>
          </w:p>
        </w:tc>
      </w:tr>
      <w:tr w:rsidR="00406AEC" w:rsidRPr="00406AEC" w14:paraId="41D13405" w14:textId="77777777" w:rsidTr="00406AEC">
        <w:trPr>
          <w:trHeight w:val="300"/>
        </w:trPr>
        <w:tc>
          <w:tcPr>
            <w:tcW w:w="9360" w:type="dxa"/>
            <w:tcBorders>
              <w:top w:val="nil"/>
              <w:left w:val="nil"/>
              <w:bottom w:val="nil"/>
              <w:right w:val="nil"/>
            </w:tcBorders>
            <w:shd w:val="clear" w:color="auto" w:fill="auto"/>
            <w:noWrap/>
            <w:vAlign w:val="bottom"/>
            <w:hideMark/>
          </w:tcPr>
          <w:p w14:paraId="32DC205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w:t>
            </w:r>
            <w:proofErr w:type="spellStart"/>
            <w:r w:rsidRPr="00406AEC">
              <w:rPr>
                <w:rFonts w:ascii="Times New Roman" w:eastAsia="Times New Roman" w:hAnsi="Times New Roman" w:cs="Times New Roman"/>
                <w:color w:val="000000"/>
                <w:szCs w:val="22"/>
              </w:rPr>
              <w:t>Mokliatchouk</w:t>
            </w:r>
            <w:proofErr w:type="spellEnd"/>
            <w:r w:rsidRPr="00406AEC">
              <w:rPr>
                <w:rFonts w:ascii="Times New Roman" w:eastAsia="Times New Roman" w:hAnsi="Times New Roman" w:cs="Times New Roman"/>
                <w:color w:val="000000"/>
                <w:szCs w:val="22"/>
              </w:rPr>
              <w:t xml:space="preserve"> O,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Naylor ML (2020) Matching-adjusted comparisons demonstrate better clinical outcomes in patients with relapsing multiple sclerosis treated with peginterferon beta-1a than with teriflunomide. Multiple Sclerosis and Related Disorders 40 101954.</w:t>
            </w:r>
          </w:p>
        </w:tc>
      </w:tr>
      <w:tr w:rsidR="00406AEC" w:rsidRPr="00406AEC" w14:paraId="61DF7747" w14:textId="77777777" w:rsidTr="00406AEC">
        <w:trPr>
          <w:trHeight w:val="300"/>
        </w:trPr>
        <w:tc>
          <w:tcPr>
            <w:tcW w:w="9360" w:type="dxa"/>
            <w:tcBorders>
              <w:top w:val="nil"/>
              <w:left w:val="nil"/>
              <w:bottom w:val="nil"/>
              <w:right w:val="nil"/>
            </w:tcBorders>
            <w:shd w:val="clear" w:color="auto" w:fill="auto"/>
            <w:noWrap/>
            <w:vAlign w:val="bottom"/>
            <w:hideMark/>
          </w:tcPr>
          <w:p w14:paraId="11C5872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Scott TF, Arnold DL, Nelles G, Hung S et al. (2018) Long-term outcomes of peginterferon beta-1a in multiple sclerosis: results from the ADVANCE extension study, ATTAIN. Therapeutic Advances in Neurological Disorders 11 (no pagination): </w:t>
            </w:r>
          </w:p>
        </w:tc>
      </w:tr>
      <w:tr w:rsidR="00406AEC" w:rsidRPr="00406AEC" w14:paraId="0D87B9A3" w14:textId="77777777" w:rsidTr="00406AEC">
        <w:trPr>
          <w:trHeight w:val="300"/>
        </w:trPr>
        <w:tc>
          <w:tcPr>
            <w:tcW w:w="9360" w:type="dxa"/>
            <w:tcBorders>
              <w:top w:val="nil"/>
              <w:left w:val="nil"/>
              <w:bottom w:val="nil"/>
              <w:right w:val="nil"/>
            </w:tcBorders>
            <w:shd w:val="clear" w:color="auto" w:fill="auto"/>
            <w:noWrap/>
            <w:vAlign w:val="bottom"/>
            <w:hideMark/>
          </w:tcPr>
          <w:p w14:paraId="54EFC5E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Nicholas J, Derfuss T, Ontaneda D, Meng X, Hawker K (2015) Relapse outcomes in patients with multiple sclerosis treated with fingolimod after previous treatment with injectable disease-modifying therapies. Neurology 84 (18): </w:t>
            </w:r>
          </w:p>
        </w:tc>
      </w:tr>
      <w:tr w:rsidR="00406AEC" w:rsidRPr="00406AEC" w14:paraId="5463DAA7" w14:textId="77777777" w:rsidTr="00406AEC">
        <w:trPr>
          <w:trHeight w:val="300"/>
        </w:trPr>
        <w:tc>
          <w:tcPr>
            <w:tcW w:w="9360" w:type="dxa"/>
            <w:tcBorders>
              <w:top w:val="nil"/>
              <w:left w:val="nil"/>
              <w:bottom w:val="nil"/>
              <w:right w:val="nil"/>
            </w:tcBorders>
            <w:shd w:val="clear" w:color="auto" w:fill="auto"/>
            <w:noWrap/>
            <w:vAlign w:val="bottom"/>
            <w:hideMark/>
          </w:tcPr>
          <w:p w14:paraId="2AE954B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O'Connor PW, Comi G, Thangavelu K,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Kappos L (2015) Effect of teriflunomide on relapses associated with disability worsening: results from the TEMSO and TOWER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526.</w:t>
            </w:r>
          </w:p>
        </w:tc>
      </w:tr>
      <w:tr w:rsidR="00406AEC" w:rsidRPr="00406AEC" w14:paraId="39B11D6C" w14:textId="77777777" w:rsidTr="00406AEC">
        <w:trPr>
          <w:trHeight w:val="300"/>
        </w:trPr>
        <w:tc>
          <w:tcPr>
            <w:tcW w:w="9360" w:type="dxa"/>
            <w:tcBorders>
              <w:top w:val="nil"/>
              <w:left w:val="nil"/>
              <w:bottom w:val="nil"/>
              <w:right w:val="nil"/>
            </w:tcBorders>
            <w:shd w:val="clear" w:color="auto" w:fill="auto"/>
            <w:noWrap/>
            <w:vAlign w:val="bottom"/>
            <w:hideMark/>
          </w:tcPr>
          <w:p w14:paraId="15C8214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O'Connor PW, Wolinsky JS, Thangavelu K,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Rufi P et al. Reduced risk of disability progression in patients with MS treated with early vs delayed teriflunomide 14 mg.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255.</w:t>
            </w:r>
          </w:p>
        </w:tc>
      </w:tr>
      <w:tr w:rsidR="00406AEC" w:rsidRPr="00406AEC" w14:paraId="746AE015" w14:textId="77777777" w:rsidTr="00406AEC">
        <w:trPr>
          <w:trHeight w:val="300"/>
        </w:trPr>
        <w:tc>
          <w:tcPr>
            <w:tcW w:w="9360" w:type="dxa"/>
            <w:tcBorders>
              <w:top w:val="nil"/>
              <w:left w:val="nil"/>
              <w:bottom w:val="nil"/>
              <w:right w:val="nil"/>
            </w:tcBorders>
            <w:shd w:val="clear" w:color="auto" w:fill="auto"/>
            <w:noWrap/>
            <w:vAlign w:val="bottom"/>
            <w:hideMark/>
          </w:tcPr>
          <w:p w14:paraId="5AC28B6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Ochi H, </w:t>
            </w:r>
            <w:proofErr w:type="spellStart"/>
            <w:r w:rsidRPr="00406AEC">
              <w:rPr>
                <w:rFonts w:ascii="Times New Roman" w:eastAsia="Times New Roman" w:hAnsi="Times New Roman" w:cs="Times New Roman"/>
                <w:color w:val="000000"/>
                <w:szCs w:val="22"/>
              </w:rPr>
              <w:t>Niino</w:t>
            </w:r>
            <w:proofErr w:type="spellEnd"/>
            <w:r w:rsidRPr="00406AEC">
              <w:rPr>
                <w:rFonts w:ascii="Times New Roman" w:eastAsia="Times New Roman" w:hAnsi="Times New Roman" w:cs="Times New Roman"/>
                <w:color w:val="000000"/>
                <w:szCs w:val="22"/>
              </w:rPr>
              <w:t xml:space="preserve"> M, Onizuka Y, Hiramatsu K, Hase M et al. (2017) Safety of delayed-release </w:t>
            </w:r>
            <w:proofErr w:type="spellStart"/>
            <w:r w:rsidRPr="00406AEC">
              <w:rPr>
                <w:rFonts w:ascii="Times New Roman" w:eastAsia="Times New Roman" w:hAnsi="Times New Roman" w:cs="Times New Roman"/>
                <w:color w:val="000000"/>
                <w:szCs w:val="22"/>
              </w:rPr>
              <w:t>dimetyl</w:t>
            </w:r>
            <w:proofErr w:type="spellEnd"/>
            <w:r w:rsidRPr="00406AEC">
              <w:rPr>
                <w:rFonts w:ascii="Times New Roman" w:eastAsia="Times New Roman" w:hAnsi="Times New Roman" w:cs="Times New Roman"/>
                <w:color w:val="000000"/>
                <w:szCs w:val="22"/>
              </w:rPr>
              <w:t xml:space="preserve"> fumarate in Japanese patients with relapsing multiple sclerosis: subgroup analysis of the apex Part 1 study. Journal of the Neurological Sciences 381 791-792.</w:t>
            </w:r>
          </w:p>
        </w:tc>
      </w:tr>
      <w:tr w:rsidR="00406AEC" w:rsidRPr="00406AEC" w14:paraId="423A0BED" w14:textId="77777777" w:rsidTr="00406AEC">
        <w:trPr>
          <w:trHeight w:val="300"/>
        </w:trPr>
        <w:tc>
          <w:tcPr>
            <w:tcW w:w="9360" w:type="dxa"/>
            <w:tcBorders>
              <w:top w:val="nil"/>
              <w:left w:val="nil"/>
              <w:bottom w:val="nil"/>
              <w:right w:val="nil"/>
            </w:tcBorders>
            <w:shd w:val="clear" w:color="auto" w:fill="auto"/>
            <w:noWrap/>
            <w:vAlign w:val="bottom"/>
            <w:hideMark/>
          </w:tcPr>
          <w:p w14:paraId="4323748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Ochi H, </w:t>
            </w:r>
            <w:proofErr w:type="spellStart"/>
            <w:r w:rsidRPr="00406AEC">
              <w:rPr>
                <w:rFonts w:ascii="Times New Roman" w:eastAsia="Times New Roman" w:hAnsi="Times New Roman" w:cs="Times New Roman"/>
                <w:color w:val="000000"/>
                <w:szCs w:val="22"/>
              </w:rPr>
              <w:t>Niino</w:t>
            </w:r>
            <w:proofErr w:type="spellEnd"/>
            <w:r w:rsidRPr="00406AEC">
              <w:rPr>
                <w:rFonts w:ascii="Times New Roman" w:eastAsia="Times New Roman" w:hAnsi="Times New Roman" w:cs="Times New Roman"/>
                <w:color w:val="000000"/>
                <w:szCs w:val="22"/>
              </w:rPr>
              <w:t xml:space="preserve"> M, Onizuka Y, Hiramatsu K, Hase M et al. (2018) 72-Week Safety and Tolerability of Dimethyl Fumarate in Japanese Patients with Relapsing-remitting Multiple Sclerosis: Analysis of the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 Blind, Placebo-Controlled, Phase III APEX Study and its Open-Label Extension. Advances in Therapy 35 (10): 1598-1611.</w:t>
            </w:r>
          </w:p>
        </w:tc>
      </w:tr>
      <w:tr w:rsidR="00406AEC" w:rsidRPr="00406AEC" w14:paraId="371FE1EC" w14:textId="77777777" w:rsidTr="00406AEC">
        <w:trPr>
          <w:trHeight w:val="300"/>
        </w:trPr>
        <w:tc>
          <w:tcPr>
            <w:tcW w:w="9360" w:type="dxa"/>
            <w:tcBorders>
              <w:top w:val="nil"/>
              <w:left w:val="nil"/>
              <w:bottom w:val="nil"/>
              <w:right w:val="nil"/>
            </w:tcBorders>
            <w:shd w:val="clear" w:color="auto" w:fill="auto"/>
            <w:noWrap/>
            <w:vAlign w:val="bottom"/>
            <w:hideMark/>
          </w:tcPr>
          <w:p w14:paraId="47E8555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Oh J, Freedman MS, Miller AE, Thangavelu K,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(2017) Long-term efficacy of teriflunomide in patients recently diagnosed with relapsing forms of MS. Neurology 88 (16): </w:t>
            </w:r>
          </w:p>
        </w:tc>
      </w:tr>
      <w:tr w:rsidR="00406AEC" w:rsidRPr="00406AEC" w14:paraId="5306E7CF" w14:textId="77777777" w:rsidTr="00406AEC">
        <w:trPr>
          <w:trHeight w:val="300"/>
        </w:trPr>
        <w:tc>
          <w:tcPr>
            <w:tcW w:w="9360" w:type="dxa"/>
            <w:tcBorders>
              <w:top w:val="nil"/>
              <w:left w:val="nil"/>
              <w:bottom w:val="nil"/>
              <w:right w:val="nil"/>
            </w:tcBorders>
            <w:shd w:val="clear" w:color="auto" w:fill="auto"/>
            <w:noWrap/>
            <w:vAlign w:val="bottom"/>
            <w:hideMark/>
          </w:tcPr>
          <w:p w14:paraId="5D2AEE5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Olsson T, Comi G, Freedman M, Miller A, Wolinsky J et al. Patients free of clinical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activity in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and tower: Pooled analyses of two phase 3 placebo-controlled trials. Neurology 82 (10 SUPPL. 1): CONFERENCE START: 2014 Apr 2026 CONFERENCE END: 2014 May 2013.</w:t>
            </w:r>
          </w:p>
        </w:tc>
      </w:tr>
      <w:tr w:rsidR="00406AEC" w:rsidRPr="00406AEC" w14:paraId="1E81D9A5" w14:textId="77777777" w:rsidTr="00406AEC">
        <w:trPr>
          <w:trHeight w:val="300"/>
        </w:trPr>
        <w:tc>
          <w:tcPr>
            <w:tcW w:w="9360" w:type="dxa"/>
            <w:tcBorders>
              <w:top w:val="nil"/>
              <w:left w:val="nil"/>
              <w:bottom w:val="nil"/>
              <w:right w:val="nil"/>
            </w:tcBorders>
            <w:shd w:val="clear" w:color="auto" w:fill="auto"/>
            <w:noWrap/>
            <w:vAlign w:val="bottom"/>
            <w:hideMark/>
          </w:tcPr>
          <w:p w14:paraId="4AF7C65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Papadopoulos D, </w:t>
            </w:r>
            <w:proofErr w:type="spellStart"/>
            <w:r w:rsidRPr="00406AEC">
              <w:rPr>
                <w:rFonts w:ascii="Times New Roman" w:eastAsia="Times New Roman" w:hAnsi="Times New Roman" w:cs="Times New Roman"/>
                <w:color w:val="000000"/>
                <w:szCs w:val="22"/>
              </w:rPr>
              <w:t>Mitsikostas</w:t>
            </w:r>
            <w:proofErr w:type="spellEnd"/>
            <w:r w:rsidRPr="00406AEC">
              <w:rPr>
                <w:rFonts w:ascii="Times New Roman" w:eastAsia="Times New Roman" w:hAnsi="Times New Roman" w:cs="Times New Roman"/>
                <w:color w:val="000000"/>
                <w:szCs w:val="22"/>
              </w:rPr>
              <w:t xml:space="preserve"> DDD (2018) Oral Disease-Modifying Treatments for Relapsing Multiple Sclerosis: A Likelihood to Achieve No Evidence of Disease Activity or Harm Analysis. CNS drugs 32 (11): 1069-1078.</w:t>
            </w:r>
          </w:p>
        </w:tc>
      </w:tr>
      <w:tr w:rsidR="00406AEC" w:rsidRPr="00406AEC" w14:paraId="3F7EA3DC" w14:textId="77777777" w:rsidTr="00406AEC">
        <w:trPr>
          <w:trHeight w:val="300"/>
        </w:trPr>
        <w:tc>
          <w:tcPr>
            <w:tcW w:w="9360" w:type="dxa"/>
            <w:tcBorders>
              <w:top w:val="nil"/>
              <w:left w:val="nil"/>
              <w:bottom w:val="nil"/>
              <w:right w:val="nil"/>
            </w:tcBorders>
            <w:shd w:val="clear" w:color="auto" w:fill="auto"/>
            <w:noWrap/>
            <w:vAlign w:val="bottom"/>
            <w:hideMark/>
          </w:tcPr>
          <w:p w14:paraId="76874C1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Patti F, Amato M, Bastianello S, Caniatti L, Di Monte E et al. </w:t>
            </w:r>
            <w:r w:rsidRPr="00406AEC">
              <w:rPr>
                <w:rFonts w:ascii="Times New Roman" w:eastAsia="Times New Roman" w:hAnsi="Times New Roman" w:cs="Times New Roman"/>
                <w:color w:val="000000"/>
                <w:szCs w:val="22"/>
              </w:rPr>
              <w:t xml:space="preserve">(2010) Effects of immunomodulatory treatment with subcutaneous interferon beta-1a </w:t>
            </w:r>
            <w:proofErr w:type="spellStart"/>
            <w:r w:rsidRPr="00406AEC">
              <w:rPr>
                <w:rFonts w:ascii="Times New Roman" w:eastAsia="Times New Roman" w:hAnsi="Times New Roman" w:cs="Times New Roman"/>
                <w:color w:val="000000"/>
                <w:szCs w:val="22"/>
              </w:rPr>
              <w:t>oncognitive</w:t>
            </w:r>
            <w:proofErr w:type="spellEnd"/>
            <w:r w:rsidRPr="00406AEC">
              <w:rPr>
                <w:rFonts w:ascii="Times New Roman" w:eastAsia="Times New Roman" w:hAnsi="Times New Roman" w:cs="Times New Roman"/>
                <w:color w:val="000000"/>
                <w:szCs w:val="22"/>
              </w:rPr>
              <w:t xml:space="preserve"> decline in mildly disabled patients with relapsing-remitting multiple sclerosis. Multiple Sclerosis 16 (1): 68-77.</w:t>
            </w:r>
          </w:p>
        </w:tc>
      </w:tr>
      <w:tr w:rsidR="00406AEC" w:rsidRPr="00406AEC" w14:paraId="3E5D69B8" w14:textId="77777777" w:rsidTr="00406AEC">
        <w:trPr>
          <w:trHeight w:val="300"/>
        </w:trPr>
        <w:tc>
          <w:tcPr>
            <w:tcW w:w="9360" w:type="dxa"/>
            <w:tcBorders>
              <w:top w:val="nil"/>
              <w:left w:val="nil"/>
              <w:bottom w:val="nil"/>
              <w:right w:val="nil"/>
            </w:tcBorders>
            <w:shd w:val="clear" w:color="auto" w:fill="auto"/>
            <w:noWrap/>
            <w:vAlign w:val="bottom"/>
            <w:hideMark/>
          </w:tcPr>
          <w:p w14:paraId="78610DD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Pawate</w:t>
            </w:r>
            <w:proofErr w:type="spellEnd"/>
            <w:r w:rsidRPr="00406AEC">
              <w:rPr>
                <w:rFonts w:ascii="Times New Roman" w:eastAsia="Times New Roman" w:hAnsi="Times New Roman" w:cs="Times New Roman"/>
                <w:color w:val="000000"/>
                <w:szCs w:val="22"/>
              </w:rPr>
              <w:t xml:space="preserve"> S, Wang L, Song Y, Sriram S Analysis of T2 Intensity by Magnetic Resonance Imaging of Deep Gray Matter Nuclei in Multiple Sclerosis Patients: Effect of Immunomodulatory Therapies. Journal of Neuroimaging </w:t>
            </w:r>
          </w:p>
        </w:tc>
      </w:tr>
      <w:tr w:rsidR="00406AEC" w:rsidRPr="00406AEC" w14:paraId="3BEECCF0" w14:textId="77777777" w:rsidTr="00406AEC">
        <w:trPr>
          <w:trHeight w:val="300"/>
        </w:trPr>
        <w:tc>
          <w:tcPr>
            <w:tcW w:w="9360" w:type="dxa"/>
            <w:tcBorders>
              <w:top w:val="nil"/>
              <w:left w:val="nil"/>
              <w:bottom w:val="nil"/>
              <w:right w:val="nil"/>
            </w:tcBorders>
            <w:shd w:val="clear" w:color="auto" w:fill="auto"/>
            <w:noWrap/>
            <w:vAlign w:val="bottom"/>
            <w:hideMark/>
          </w:tcPr>
          <w:p w14:paraId="20AD85B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Petracca M, Cocozza S, Freeman L, Kangarlu J, Droby A et al. </w:t>
            </w:r>
            <w:r w:rsidRPr="00406AEC">
              <w:rPr>
                <w:rFonts w:ascii="Times New Roman" w:eastAsia="Times New Roman" w:hAnsi="Times New Roman" w:cs="Times New Roman"/>
                <w:color w:val="000000"/>
                <w:szCs w:val="22"/>
              </w:rPr>
              <w:t xml:space="preserve">(2018) Baseline cerebellar volume as short-term predictor of clinical disability in multiple sclerosis: MRI findings from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Neurology 90 (15): </w:t>
            </w:r>
          </w:p>
        </w:tc>
      </w:tr>
      <w:tr w:rsidR="00406AEC" w:rsidRPr="00406AEC" w14:paraId="4AECAB93" w14:textId="77777777" w:rsidTr="00406AEC">
        <w:trPr>
          <w:trHeight w:val="300"/>
        </w:trPr>
        <w:tc>
          <w:tcPr>
            <w:tcW w:w="9360" w:type="dxa"/>
            <w:tcBorders>
              <w:top w:val="nil"/>
              <w:left w:val="nil"/>
              <w:bottom w:val="nil"/>
              <w:right w:val="nil"/>
            </w:tcBorders>
            <w:shd w:val="clear" w:color="auto" w:fill="auto"/>
            <w:noWrap/>
            <w:vAlign w:val="bottom"/>
            <w:hideMark/>
          </w:tcPr>
          <w:p w14:paraId="5338F3C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Petracca M, Cocozza S, Freeman L, Kangarlu J, Krieger S et al. </w:t>
            </w:r>
            <w:r w:rsidRPr="00406AEC">
              <w:rPr>
                <w:rFonts w:ascii="Times New Roman" w:eastAsia="Times New Roman" w:hAnsi="Times New Roman" w:cs="Times New Roman"/>
                <w:color w:val="000000"/>
                <w:szCs w:val="22"/>
              </w:rPr>
              <w:t xml:space="preserve">(2017) Baseline cerebellar volume predicts subsequent clinical disability in multiple sclerosis: MRI findings from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journal 23 (3): 300-301.</w:t>
            </w:r>
          </w:p>
        </w:tc>
      </w:tr>
      <w:tr w:rsidR="00406AEC" w:rsidRPr="00406AEC" w14:paraId="491086FC" w14:textId="77777777" w:rsidTr="00406AEC">
        <w:trPr>
          <w:trHeight w:val="300"/>
        </w:trPr>
        <w:tc>
          <w:tcPr>
            <w:tcW w:w="9360" w:type="dxa"/>
            <w:tcBorders>
              <w:top w:val="nil"/>
              <w:left w:val="nil"/>
              <w:bottom w:val="nil"/>
              <w:right w:val="nil"/>
            </w:tcBorders>
            <w:shd w:val="clear" w:color="auto" w:fill="auto"/>
            <w:noWrap/>
            <w:vAlign w:val="bottom"/>
            <w:hideMark/>
          </w:tcPr>
          <w:p w14:paraId="747F0C8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Petracca M, Cocozza S, Freeman L, Kangarlu J, Margoni M et al. </w:t>
            </w:r>
            <w:r w:rsidRPr="00406AEC">
              <w:rPr>
                <w:rFonts w:ascii="Times New Roman" w:eastAsia="Times New Roman" w:hAnsi="Times New Roman" w:cs="Times New Roman"/>
                <w:color w:val="000000"/>
                <w:szCs w:val="22"/>
              </w:rPr>
              <w:t xml:space="preserve">(2018) Baseline cerebellar volume as predictor of clinical disability in multiple sclerosis: MRI Findings from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journal 24 (2): 214-215.</w:t>
            </w:r>
          </w:p>
        </w:tc>
      </w:tr>
      <w:tr w:rsidR="00406AEC" w:rsidRPr="00406AEC" w14:paraId="0CDBCDCF" w14:textId="77777777" w:rsidTr="00406AEC">
        <w:trPr>
          <w:trHeight w:val="300"/>
        </w:trPr>
        <w:tc>
          <w:tcPr>
            <w:tcW w:w="9360" w:type="dxa"/>
            <w:tcBorders>
              <w:top w:val="nil"/>
              <w:left w:val="nil"/>
              <w:bottom w:val="nil"/>
              <w:right w:val="nil"/>
            </w:tcBorders>
            <w:shd w:val="clear" w:color="auto" w:fill="auto"/>
            <w:noWrap/>
            <w:vAlign w:val="bottom"/>
            <w:hideMark/>
          </w:tcPr>
          <w:p w14:paraId="1A1759C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Petri T, Weber-Diehl F (1995) Interferon beta-1b for the treatment of multiple sclerosis. Journal of biotechnology 43 (1): 74-75.</w:t>
            </w:r>
          </w:p>
        </w:tc>
      </w:tr>
      <w:tr w:rsidR="00406AEC" w:rsidRPr="00406AEC" w14:paraId="4B5C3377" w14:textId="77777777" w:rsidTr="00406AEC">
        <w:trPr>
          <w:trHeight w:val="300"/>
        </w:trPr>
        <w:tc>
          <w:tcPr>
            <w:tcW w:w="9360" w:type="dxa"/>
            <w:tcBorders>
              <w:top w:val="nil"/>
              <w:left w:val="nil"/>
              <w:bottom w:val="nil"/>
              <w:right w:val="nil"/>
            </w:tcBorders>
            <w:shd w:val="clear" w:color="auto" w:fill="auto"/>
            <w:noWrap/>
            <w:vAlign w:val="bottom"/>
            <w:hideMark/>
          </w:tcPr>
          <w:p w14:paraId="67733F9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 Gold R, Giovannoni G, Fox R, Zhang A et al. (2015) Clinical efficacy of delayed-release dimethyl fumarate in newly diagnosed relapsing-remitting multiple sclerosis patients with highly active disease: An integrated analysis of the phase 3 define and confirm studies. Neurology 84 (18): </w:t>
            </w:r>
          </w:p>
        </w:tc>
      </w:tr>
      <w:tr w:rsidR="00406AEC" w:rsidRPr="00406AEC" w14:paraId="4D45A1B1" w14:textId="77777777" w:rsidTr="00406AEC">
        <w:trPr>
          <w:trHeight w:val="300"/>
        </w:trPr>
        <w:tc>
          <w:tcPr>
            <w:tcW w:w="9360" w:type="dxa"/>
            <w:tcBorders>
              <w:top w:val="nil"/>
              <w:left w:val="nil"/>
              <w:bottom w:val="nil"/>
              <w:right w:val="nil"/>
            </w:tcBorders>
            <w:shd w:val="clear" w:color="auto" w:fill="auto"/>
            <w:noWrap/>
            <w:vAlign w:val="bottom"/>
            <w:hideMark/>
          </w:tcPr>
          <w:p w14:paraId="2B2F365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Bar-Or A, Gold R, Giovannoni G, Fox RJ et al. (2016) Efficacy of delayed-release dimethyl fumarate in newly diagnosed patients with relapsing- remitting multiple sclerosis using a composite measure of disability-Integrated analysis of the phase 3 define and confirm studies. Multiple Sclerosis 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NP3-NP4.</w:t>
            </w:r>
          </w:p>
        </w:tc>
      </w:tr>
      <w:tr w:rsidR="00406AEC" w:rsidRPr="00406AEC" w14:paraId="065E9AC4" w14:textId="77777777" w:rsidTr="00406AEC">
        <w:trPr>
          <w:trHeight w:val="300"/>
        </w:trPr>
        <w:tc>
          <w:tcPr>
            <w:tcW w:w="9360" w:type="dxa"/>
            <w:tcBorders>
              <w:top w:val="nil"/>
              <w:left w:val="nil"/>
              <w:bottom w:val="nil"/>
              <w:right w:val="nil"/>
            </w:tcBorders>
            <w:shd w:val="clear" w:color="auto" w:fill="auto"/>
            <w:noWrap/>
            <w:vAlign w:val="bottom"/>
            <w:hideMark/>
          </w:tcPr>
          <w:p w14:paraId="0358F29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Planche V, </w:t>
            </w:r>
            <w:proofErr w:type="spellStart"/>
            <w:r w:rsidRPr="00406AEC">
              <w:rPr>
                <w:rFonts w:ascii="Times New Roman" w:eastAsia="Times New Roman" w:hAnsi="Times New Roman" w:cs="Times New Roman"/>
                <w:color w:val="000000"/>
                <w:szCs w:val="22"/>
              </w:rPr>
              <w:t>Moisset</w:t>
            </w:r>
            <w:proofErr w:type="spellEnd"/>
            <w:r w:rsidRPr="00406AEC">
              <w:rPr>
                <w:rFonts w:ascii="Times New Roman" w:eastAsia="Times New Roman" w:hAnsi="Times New Roman" w:cs="Times New Roman"/>
                <w:color w:val="000000"/>
                <w:szCs w:val="22"/>
              </w:rPr>
              <w:t xml:space="preserve"> X, Morello R, Dumont E, </w:t>
            </w:r>
            <w:proofErr w:type="spellStart"/>
            <w:r w:rsidRPr="00406AEC">
              <w:rPr>
                <w:rFonts w:ascii="Times New Roman" w:eastAsia="Times New Roman" w:hAnsi="Times New Roman" w:cs="Times New Roman"/>
                <w:color w:val="000000"/>
                <w:szCs w:val="22"/>
              </w:rPr>
              <w:t>Gibelin</w:t>
            </w:r>
            <w:proofErr w:type="spellEnd"/>
            <w:r w:rsidRPr="00406AEC">
              <w:rPr>
                <w:rFonts w:ascii="Times New Roman" w:eastAsia="Times New Roman" w:hAnsi="Times New Roman" w:cs="Times New Roman"/>
                <w:color w:val="000000"/>
                <w:szCs w:val="22"/>
              </w:rPr>
              <w:t xml:space="preserve"> M et al. (2017) Improvement of quality of life and its relationship with neuropsychiatric outcomes in patients with multiple sclerosis starting treatment with natalizumab: A 3-year follow-up multicentric study. Journal of the Neurological Sciences 382 148-154.</w:t>
            </w:r>
          </w:p>
        </w:tc>
      </w:tr>
      <w:tr w:rsidR="00406AEC" w:rsidRPr="00406AEC" w14:paraId="779B474B" w14:textId="77777777" w:rsidTr="00406AEC">
        <w:trPr>
          <w:trHeight w:val="300"/>
        </w:trPr>
        <w:tc>
          <w:tcPr>
            <w:tcW w:w="9360" w:type="dxa"/>
            <w:tcBorders>
              <w:top w:val="nil"/>
              <w:left w:val="nil"/>
              <w:bottom w:val="nil"/>
              <w:right w:val="nil"/>
            </w:tcBorders>
            <w:shd w:val="clear" w:color="auto" w:fill="auto"/>
            <w:noWrap/>
            <w:vAlign w:val="bottom"/>
            <w:hideMark/>
          </w:tcPr>
          <w:p w14:paraId="76640ED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Preziosa P, Rocca MA, Riccitelli GC, Moiola L, Storelli L et al. </w:t>
            </w:r>
            <w:r w:rsidRPr="00406AEC">
              <w:rPr>
                <w:rFonts w:ascii="Times New Roman" w:eastAsia="Times New Roman" w:hAnsi="Times New Roman" w:cs="Times New Roman"/>
                <w:color w:val="000000"/>
                <w:szCs w:val="22"/>
              </w:rPr>
              <w:t>(2020) Effects of Natalizumab and Fingolimod on Clinical, Cognitive, and Magnetic Resonance Imaging Measures in Multiple Sclerosis. Neurotherapeutics 17 (1): 208-217.</w:t>
            </w:r>
          </w:p>
        </w:tc>
      </w:tr>
      <w:tr w:rsidR="00406AEC" w:rsidRPr="00406AEC" w14:paraId="0DC39E65" w14:textId="77777777" w:rsidTr="00406AEC">
        <w:trPr>
          <w:trHeight w:val="300"/>
        </w:trPr>
        <w:tc>
          <w:tcPr>
            <w:tcW w:w="9360" w:type="dxa"/>
            <w:tcBorders>
              <w:top w:val="nil"/>
              <w:left w:val="nil"/>
              <w:bottom w:val="nil"/>
              <w:right w:val="nil"/>
            </w:tcBorders>
            <w:shd w:val="clear" w:color="auto" w:fill="auto"/>
            <w:noWrap/>
            <w:vAlign w:val="bottom"/>
            <w:hideMark/>
          </w:tcPr>
          <w:p w14:paraId="1B0AF0C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Pucci E, Giuliani G, Solari A, Di Pietrantonj C, Simi S et al. </w:t>
            </w:r>
            <w:r w:rsidRPr="00406AEC">
              <w:rPr>
                <w:rFonts w:ascii="Times New Roman" w:eastAsia="Times New Roman" w:hAnsi="Times New Roman" w:cs="Times New Roman"/>
                <w:color w:val="000000"/>
                <w:szCs w:val="22"/>
              </w:rPr>
              <w:t xml:space="preserve">(2009) Natalizumab for relapsing remitting multiple sclerosis. Cochrane Database of Systematic Reviews (1) (no pagination) </w:t>
            </w:r>
          </w:p>
        </w:tc>
      </w:tr>
      <w:tr w:rsidR="00406AEC" w:rsidRPr="00406AEC" w14:paraId="32DAA7AA" w14:textId="77777777" w:rsidTr="00406AEC">
        <w:trPr>
          <w:trHeight w:val="300"/>
        </w:trPr>
        <w:tc>
          <w:tcPr>
            <w:tcW w:w="9360" w:type="dxa"/>
            <w:tcBorders>
              <w:top w:val="nil"/>
              <w:left w:val="nil"/>
              <w:bottom w:val="nil"/>
              <w:right w:val="nil"/>
            </w:tcBorders>
            <w:shd w:val="clear" w:color="auto" w:fill="auto"/>
            <w:noWrap/>
            <w:vAlign w:val="bottom"/>
            <w:hideMark/>
          </w:tcPr>
          <w:p w14:paraId="24A0409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Qiu W, Huang DH, Hou SF, Zhang MN, Jin T et al. (2018) Efficacy and Safety of Teriflunomide in Chinese Patients with Relapsing Forms of Multiple Sclerosis: A Subgroup Analysis of the Phase 3 TOWER Study. Chinese Medical Journal 131 (23): 2776-2784.</w:t>
            </w:r>
          </w:p>
        </w:tc>
      </w:tr>
      <w:tr w:rsidR="00406AEC" w:rsidRPr="00406AEC" w14:paraId="1A577C68" w14:textId="77777777" w:rsidTr="00406AEC">
        <w:trPr>
          <w:trHeight w:val="300"/>
        </w:trPr>
        <w:tc>
          <w:tcPr>
            <w:tcW w:w="9360" w:type="dxa"/>
            <w:tcBorders>
              <w:top w:val="nil"/>
              <w:left w:val="nil"/>
              <w:bottom w:val="nil"/>
              <w:right w:val="nil"/>
            </w:tcBorders>
            <w:shd w:val="clear" w:color="auto" w:fill="auto"/>
            <w:noWrap/>
            <w:vAlign w:val="bottom"/>
            <w:hideMark/>
          </w:tcPr>
          <w:p w14:paraId="095EF13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Repovic</w:t>
            </w:r>
            <w:proofErr w:type="spellEnd"/>
            <w:r w:rsidRPr="00713F1E">
              <w:rPr>
                <w:rFonts w:ascii="Times New Roman" w:eastAsia="Times New Roman" w:hAnsi="Times New Roman" w:cs="Times New Roman"/>
                <w:color w:val="000000"/>
                <w:szCs w:val="22"/>
                <w:lang w:val="fr-FR"/>
              </w:rPr>
              <w:t xml:space="preserve"> P, </w:t>
            </w:r>
            <w:proofErr w:type="spellStart"/>
            <w:r w:rsidRPr="00713F1E">
              <w:rPr>
                <w:rFonts w:ascii="Times New Roman" w:eastAsia="Times New Roman" w:hAnsi="Times New Roman" w:cs="Times New Roman"/>
                <w:color w:val="000000"/>
                <w:szCs w:val="22"/>
                <w:lang w:val="fr-FR"/>
              </w:rPr>
              <w:t>Boster</w:t>
            </w:r>
            <w:proofErr w:type="spellEnd"/>
            <w:r w:rsidRPr="00713F1E">
              <w:rPr>
                <w:rFonts w:ascii="Times New Roman" w:eastAsia="Times New Roman" w:hAnsi="Times New Roman" w:cs="Times New Roman"/>
                <w:color w:val="000000"/>
                <w:szCs w:val="22"/>
                <w:lang w:val="fr-FR"/>
              </w:rPr>
              <w:t xml:space="preserve"> A, Meng X, Meier DP, </w:t>
            </w:r>
            <w:proofErr w:type="spellStart"/>
            <w:r w:rsidRPr="00713F1E">
              <w:rPr>
                <w:rFonts w:ascii="Times New Roman" w:eastAsia="Times New Roman" w:hAnsi="Times New Roman" w:cs="Times New Roman"/>
                <w:color w:val="000000"/>
                <w:szCs w:val="22"/>
                <w:lang w:val="fr-FR"/>
              </w:rPr>
              <w:t>Boulos</w:t>
            </w:r>
            <w:proofErr w:type="spellEnd"/>
            <w:r w:rsidRPr="00713F1E">
              <w:rPr>
                <w:rFonts w:ascii="Times New Roman" w:eastAsia="Times New Roman" w:hAnsi="Times New Roman" w:cs="Times New Roman"/>
                <w:color w:val="000000"/>
                <w:szCs w:val="22"/>
                <w:lang w:val="fr-FR"/>
              </w:rPr>
              <w:t xml:space="preserve"> F et al. </w:t>
            </w:r>
            <w:r w:rsidRPr="00406AEC">
              <w:rPr>
                <w:rFonts w:ascii="Times New Roman" w:eastAsia="Times New Roman" w:hAnsi="Times New Roman" w:cs="Times New Roman"/>
                <w:color w:val="000000"/>
                <w:szCs w:val="22"/>
              </w:rPr>
              <w:t xml:space="preserve">(2017) Short and long-term predictors of relapses or disability worsening in patients with multiple sclerosis in the phase 3 TRANSFORMS study. Neurology 88 (16): </w:t>
            </w:r>
          </w:p>
        </w:tc>
      </w:tr>
      <w:tr w:rsidR="00406AEC" w:rsidRPr="00406AEC" w14:paraId="71AEA84A" w14:textId="77777777" w:rsidTr="00406AEC">
        <w:trPr>
          <w:trHeight w:val="300"/>
        </w:trPr>
        <w:tc>
          <w:tcPr>
            <w:tcW w:w="9360" w:type="dxa"/>
            <w:tcBorders>
              <w:top w:val="nil"/>
              <w:left w:val="nil"/>
              <w:bottom w:val="nil"/>
              <w:right w:val="nil"/>
            </w:tcBorders>
            <w:shd w:val="clear" w:color="auto" w:fill="auto"/>
            <w:noWrap/>
            <w:vAlign w:val="bottom"/>
            <w:hideMark/>
          </w:tcPr>
          <w:p w14:paraId="294C5D9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Rio J, Rovira A, </w:t>
            </w:r>
            <w:proofErr w:type="spellStart"/>
            <w:r w:rsidRPr="00406AEC">
              <w:rPr>
                <w:rFonts w:ascii="Times New Roman" w:eastAsia="Times New Roman" w:hAnsi="Times New Roman" w:cs="Times New Roman"/>
                <w:color w:val="000000"/>
                <w:szCs w:val="22"/>
              </w:rPr>
              <w:t>Tintore</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Huerga</w:t>
            </w:r>
            <w:proofErr w:type="spellEnd"/>
            <w:r w:rsidRPr="00406AEC">
              <w:rPr>
                <w:rFonts w:ascii="Times New Roman" w:eastAsia="Times New Roman" w:hAnsi="Times New Roman" w:cs="Times New Roman"/>
                <w:color w:val="000000"/>
                <w:szCs w:val="22"/>
              </w:rPr>
              <w:t xml:space="preserve"> E, Nos C et al. (2008) Relationship between MRI lesion activity and response to IFN-beta in relapsing-remitting multiple sclerosis patients. Multiple Sclerosis 14 (4): 479-484.</w:t>
            </w:r>
          </w:p>
        </w:tc>
      </w:tr>
      <w:tr w:rsidR="00406AEC" w:rsidRPr="00406AEC" w14:paraId="12C33C66" w14:textId="77777777" w:rsidTr="00406AEC">
        <w:trPr>
          <w:trHeight w:val="300"/>
        </w:trPr>
        <w:tc>
          <w:tcPr>
            <w:tcW w:w="9360" w:type="dxa"/>
            <w:tcBorders>
              <w:top w:val="nil"/>
              <w:left w:val="nil"/>
              <w:bottom w:val="nil"/>
              <w:right w:val="nil"/>
            </w:tcBorders>
            <w:shd w:val="clear" w:color="auto" w:fill="auto"/>
            <w:noWrap/>
            <w:vAlign w:val="bottom"/>
            <w:hideMark/>
          </w:tcPr>
          <w:p w14:paraId="547B218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Rio J, Rovira A, Tintore M, Sastre-Garriga J, Castillo J et al. </w:t>
            </w:r>
            <w:r w:rsidRPr="00406AEC">
              <w:rPr>
                <w:rFonts w:ascii="Times New Roman" w:eastAsia="Times New Roman" w:hAnsi="Times New Roman" w:cs="Times New Roman"/>
                <w:color w:val="000000"/>
                <w:szCs w:val="22"/>
              </w:rPr>
              <w:t>(2014) Evaluating the response to glatiramer acetate in relapsing-remitting multiple sclerosis (RRMS) patients. Multiple sclerosis journal 20 (12): 1602-1608.</w:t>
            </w:r>
          </w:p>
        </w:tc>
      </w:tr>
      <w:tr w:rsidR="00406AEC" w:rsidRPr="00406AEC" w14:paraId="40D65DB9" w14:textId="77777777" w:rsidTr="00406AEC">
        <w:trPr>
          <w:trHeight w:val="300"/>
        </w:trPr>
        <w:tc>
          <w:tcPr>
            <w:tcW w:w="9360" w:type="dxa"/>
            <w:tcBorders>
              <w:top w:val="nil"/>
              <w:left w:val="nil"/>
              <w:bottom w:val="nil"/>
              <w:right w:val="nil"/>
            </w:tcBorders>
            <w:shd w:val="clear" w:color="auto" w:fill="auto"/>
            <w:noWrap/>
            <w:vAlign w:val="bottom"/>
            <w:hideMark/>
          </w:tcPr>
          <w:p w14:paraId="66F0D98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Ross CJ, </w:t>
            </w:r>
            <w:proofErr w:type="spellStart"/>
            <w:r w:rsidRPr="00406AEC">
              <w:rPr>
                <w:rFonts w:ascii="Times New Roman" w:eastAsia="Times New Roman" w:hAnsi="Times New Roman" w:cs="Times New Roman"/>
                <w:color w:val="000000"/>
                <w:szCs w:val="22"/>
              </w:rPr>
              <w:t>Towfic</w:t>
            </w:r>
            <w:proofErr w:type="spellEnd"/>
            <w:r w:rsidRPr="00406AEC">
              <w:rPr>
                <w:rFonts w:ascii="Times New Roman" w:eastAsia="Times New Roman" w:hAnsi="Times New Roman" w:cs="Times New Roman"/>
                <w:color w:val="000000"/>
                <w:szCs w:val="22"/>
              </w:rPr>
              <w:t xml:space="preserve"> F, Shankar J, </w:t>
            </w:r>
            <w:proofErr w:type="spellStart"/>
            <w:r w:rsidRPr="00406AEC">
              <w:rPr>
                <w:rFonts w:ascii="Times New Roman" w:eastAsia="Times New Roman" w:hAnsi="Times New Roman" w:cs="Times New Roman"/>
                <w:color w:val="000000"/>
                <w:szCs w:val="22"/>
              </w:rPr>
              <w:t>Laifenfeld</w:t>
            </w:r>
            <w:proofErr w:type="spellEnd"/>
            <w:r w:rsidRPr="00406AEC">
              <w:rPr>
                <w:rFonts w:ascii="Times New Roman" w:eastAsia="Times New Roman" w:hAnsi="Times New Roman" w:cs="Times New Roman"/>
                <w:color w:val="000000"/>
                <w:szCs w:val="22"/>
              </w:rPr>
              <w:t xml:space="preserve"> D, </w:t>
            </w:r>
            <w:proofErr w:type="spellStart"/>
            <w:r w:rsidRPr="00406AEC">
              <w:rPr>
                <w:rFonts w:ascii="Times New Roman" w:eastAsia="Times New Roman" w:hAnsi="Times New Roman" w:cs="Times New Roman"/>
                <w:color w:val="000000"/>
                <w:szCs w:val="22"/>
              </w:rPr>
              <w:t>Thoma</w:t>
            </w:r>
            <w:proofErr w:type="spellEnd"/>
            <w:r w:rsidRPr="00406AEC">
              <w:rPr>
                <w:rFonts w:ascii="Times New Roman" w:eastAsia="Times New Roman" w:hAnsi="Times New Roman" w:cs="Times New Roman"/>
                <w:color w:val="000000"/>
                <w:szCs w:val="22"/>
              </w:rPr>
              <w:t xml:space="preserve"> M et al. (2017) A pharmacogenetic signature of high response to Copaxone in late-phase clinical-trial cohorts of multiple sclerosis. Genome Medicine 9 (1): </w:t>
            </w:r>
          </w:p>
        </w:tc>
      </w:tr>
      <w:tr w:rsidR="00406AEC" w:rsidRPr="00406AEC" w14:paraId="0A4E844A" w14:textId="77777777" w:rsidTr="00406AEC">
        <w:trPr>
          <w:trHeight w:val="300"/>
        </w:trPr>
        <w:tc>
          <w:tcPr>
            <w:tcW w:w="9360" w:type="dxa"/>
            <w:tcBorders>
              <w:top w:val="nil"/>
              <w:left w:val="nil"/>
              <w:bottom w:val="nil"/>
              <w:right w:val="nil"/>
            </w:tcBorders>
            <w:shd w:val="clear" w:color="auto" w:fill="auto"/>
            <w:noWrap/>
            <w:vAlign w:val="bottom"/>
            <w:hideMark/>
          </w:tcPr>
          <w:p w14:paraId="7AD64CD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Rovaris</w:t>
            </w:r>
            <w:proofErr w:type="spellEnd"/>
            <w:r w:rsidRPr="00406AEC">
              <w:rPr>
                <w:rFonts w:ascii="Times New Roman" w:eastAsia="Times New Roman" w:hAnsi="Times New Roman" w:cs="Times New Roman"/>
                <w:color w:val="000000"/>
                <w:szCs w:val="22"/>
              </w:rPr>
              <w:t xml:space="preserve"> M, Comi G, </w:t>
            </w:r>
            <w:proofErr w:type="spellStart"/>
            <w:r w:rsidRPr="00406AEC">
              <w:rPr>
                <w:rFonts w:ascii="Times New Roman" w:eastAsia="Times New Roman" w:hAnsi="Times New Roman" w:cs="Times New Roman"/>
                <w:color w:val="000000"/>
                <w:szCs w:val="22"/>
              </w:rPr>
              <w:t>Ladkani</w:t>
            </w:r>
            <w:proofErr w:type="spellEnd"/>
            <w:r w:rsidRPr="00406AEC">
              <w:rPr>
                <w:rFonts w:ascii="Times New Roman" w:eastAsia="Times New Roman" w:hAnsi="Times New Roman" w:cs="Times New Roman"/>
                <w:color w:val="000000"/>
                <w:szCs w:val="22"/>
              </w:rPr>
              <w:t xml:space="preserve"> D, Wolinsky JS, Filippi M et al. (2003) Short-term correlations between clinical and MR imaging findings in relapsing-remitting multiple sclerosis. American Journal of Neuroradiology 24 (1): 75-81.</w:t>
            </w:r>
          </w:p>
        </w:tc>
      </w:tr>
      <w:tr w:rsidR="00406AEC" w:rsidRPr="00406AEC" w14:paraId="04A9AE8C" w14:textId="77777777" w:rsidTr="00406AEC">
        <w:trPr>
          <w:trHeight w:val="300"/>
        </w:trPr>
        <w:tc>
          <w:tcPr>
            <w:tcW w:w="9360" w:type="dxa"/>
            <w:tcBorders>
              <w:top w:val="nil"/>
              <w:left w:val="nil"/>
              <w:bottom w:val="nil"/>
              <w:right w:val="nil"/>
            </w:tcBorders>
            <w:shd w:val="clear" w:color="auto" w:fill="auto"/>
            <w:noWrap/>
            <w:vAlign w:val="bottom"/>
            <w:hideMark/>
          </w:tcPr>
          <w:p w14:paraId="0135B69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Rudick RA, </w:t>
            </w:r>
            <w:proofErr w:type="spellStart"/>
            <w:r w:rsidRPr="00406AEC">
              <w:rPr>
                <w:rFonts w:ascii="Times New Roman" w:eastAsia="Times New Roman" w:hAnsi="Times New Roman" w:cs="Times New Roman"/>
                <w:color w:val="000000"/>
                <w:szCs w:val="22"/>
              </w:rPr>
              <w:t>Hashmonay</w:t>
            </w:r>
            <w:proofErr w:type="spellEnd"/>
            <w:r w:rsidRPr="00406AEC">
              <w:rPr>
                <w:rFonts w:ascii="Times New Roman" w:eastAsia="Times New Roman" w:hAnsi="Times New Roman" w:cs="Times New Roman"/>
                <w:color w:val="000000"/>
                <w:szCs w:val="22"/>
              </w:rPr>
              <w:t xml:space="preserve"> R, Meng X, Chin P, Cutter G Correlation between EDSS and MSFC in the FREEDOMS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416.</w:t>
            </w:r>
          </w:p>
        </w:tc>
      </w:tr>
      <w:tr w:rsidR="00406AEC" w:rsidRPr="00406AEC" w14:paraId="37C549CF" w14:textId="77777777" w:rsidTr="00406AEC">
        <w:trPr>
          <w:trHeight w:val="300"/>
        </w:trPr>
        <w:tc>
          <w:tcPr>
            <w:tcW w:w="9360" w:type="dxa"/>
            <w:tcBorders>
              <w:top w:val="nil"/>
              <w:left w:val="nil"/>
              <w:bottom w:val="nil"/>
              <w:right w:val="nil"/>
            </w:tcBorders>
            <w:shd w:val="clear" w:color="auto" w:fill="auto"/>
            <w:noWrap/>
            <w:vAlign w:val="bottom"/>
            <w:hideMark/>
          </w:tcPr>
          <w:p w14:paraId="7C99EA7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Rudick RA, Kappos L, Kinkel R, </w:t>
            </w:r>
            <w:proofErr w:type="spellStart"/>
            <w:r w:rsidRPr="00406AEC">
              <w:rPr>
                <w:rFonts w:ascii="Times New Roman" w:eastAsia="Times New Roman" w:hAnsi="Times New Roman" w:cs="Times New Roman"/>
                <w:color w:val="000000"/>
                <w:szCs w:val="22"/>
              </w:rPr>
              <w:t>Clanet</w:t>
            </w:r>
            <w:proofErr w:type="spellEnd"/>
            <w:r w:rsidRPr="00406AEC">
              <w:rPr>
                <w:rFonts w:ascii="Times New Roman" w:eastAsia="Times New Roman" w:hAnsi="Times New Roman" w:cs="Times New Roman"/>
                <w:color w:val="000000"/>
                <w:szCs w:val="22"/>
              </w:rPr>
              <w:t xml:space="preserve"> M, Phillips JT et al. (2011) Gender effects on intramuscular interferon beta-1a in relapsing-remitting multiple sclerosis: Analysis of 1406 patients. Multiple sclerosis journal 17 (3): 353-360.</w:t>
            </w:r>
          </w:p>
        </w:tc>
      </w:tr>
      <w:tr w:rsidR="00406AEC" w:rsidRPr="00406AEC" w14:paraId="613A8F77" w14:textId="77777777" w:rsidTr="00406AEC">
        <w:trPr>
          <w:trHeight w:val="300"/>
        </w:trPr>
        <w:tc>
          <w:tcPr>
            <w:tcW w:w="9360" w:type="dxa"/>
            <w:tcBorders>
              <w:top w:val="nil"/>
              <w:left w:val="nil"/>
              <w:bottom w:val="nil"/>
              <w:right w:val="nil"/>
            </w:tcBorders>
            <w:shd w:val="clear" w:color="auto" w:fill="auto"/>
            <w:noWrap/>
            <w:vAlign w:val="bottom"/>
            <w:hideMark/>
          </w:tcPr>
          <w:p w14:paraId="26AD4B9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Rudick RA, Shang S, Dong Q, Paes D, Mikol D et al. </w:t>
            </w:r>
            <w:r w:rsidRPr="00406AEC">
              <w:rPr>
                <w:rFonts w:ascii="Times New Roman" w:eastAsia="Times New Roman" w:hAnsi="Times New Roman" w:cs="Times New Roman"/>
                <w:color w:val="000000"/>
                <w:szCs w:val="22"/>
              </w:rPr>
              <w:t>Quantifying the effect of natalizumab on the total disability burden of MS patients in AFFIRM using an exploratory area under the curve analysis.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100.</w:t>
            </w:r>
          </w:p>
        </w:tc>
      </w:tr>
      <w:tr w:rsidR="00406AEC" w:rsidRPr="00406AEC" w14:paraId="46C7DDB2" w14:textId="77777777" w:rsidTr="00406AEC">
        <w:trPr>
          <w:trHeight w:val="300"/>
        </w:trPr>
        <w:tc>
          <w:tcPr>
            <w:tcW w:w="9360" w:type="dxa"/>
            <w:tcBorders>
              <w:top w:val="nil"/>
              <w:left w:val="nil"/>
              <w:bottom w:val="nil"/>
              <w:right w:val="nil"/>
            </w:tcBorders>
            <w:shd w:val="clear" w:color="auto" w:fill="auto"/>
            <w:noWrap/>
            <w:vAlign w:val="bottom"/>
            <w:hideMark/>
          </w:tcPr>
          <w:p w14:paraId="1E9EA25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Sabido M, Venkatesh S, Hayward B, Aldridge J, Gillett A (2018) Subcutaneous Interferon-beta1a Does Not Increase the Risk of Stroke in Patients with Multiple Sclerosis: Analysis of Pooled Clinical Trials and Post-Marketing Surveillance. Advances in Therapy 35 (11): 2041-2053.</w:t>
            </w:r>
          </w:p>
        </w:tc>
      </w:tr>
      <w:tr w:rsidR="00406AEC" w:rsidRPr="00406AEC" w14:paraId="57EBB6C3" w14:textId="77777777" w:rsidTr="00406AEC">
        <w:trPr>
          <w:trHeight w:val="300"/>
        </w:trPr>
        <w:tc>
          <w:tcPr>
            <w:tcW w:w="9360" w:type="dxa"/>
            <w:tcBorders>
              <w:top w:val="nil"/>
              <w:left w:val="nil"/>
              <w:bottom w:val="nil"/>
              <w:right w:val="nil"/>
            </w:tcBorders>
            <w:shd w:val="clear" w:color="auto" w:fill="auto"/>
            <w:noWrap/>
            <w:vAlign w:val="bottom"/>
            <w:hideMark/>
          </w:tcPr>
          <w:p w14:paraId="7C90BE9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Kira JI, Kishida S, Yamamura T, Ohtsuka N et al. (2017) Natalizumab for Achieving Relapse-Free, T1 Gadolinium-Enhancing-Lesion-Free, and T2 Lesion-Free Status in Japanese Multiple Sclerosis Patients: A Phase 2 Trial </w:t>
            </w:r>
            <w:proofErr w:type="spellStart"/>
            <w:r w:rsidRPr="00406AEC">
              <w:rPr>
                <w:rFonts w:ascii="Times New Roman" w:eastAsia="Times New Roman" w:hAnsi="Times New Roman" w:cs="Times New Roman"/>
                <w:color w:val="000000"/>
                <w:szCs w:val="22"/>
              </w:rPr>
              <w:t>Subanalysis</w:t>
            </w:r>
            <w:proofErr w:type="spellEnd"/>
            <w:r w:rsidRPr="00406AEC">
              <w:rPr>
                <w:rFonts w:ascii="Times New Roman" w:eastAsia="Times New Roman" w:hAnsi="Times New Roman" w:cs="Times New Roman"/>
                <w:color w:val="000000"/>
                <w:szCs w:val="22"/>
              </w:rPr>
              <w:t>. Neurology and Therapy 6 (1): 153-159.</w:t>
            </w:r>
          </w:p>
        </w:tc>
      </w:tr>
      <w:tr w:rsidR="00406AEC" w:rsidRPr="00406AEC" w14:paraId="1112434C" w14:textId="77777777" w:rsidTr="00406AEC">
        <w:trPr>
          <w:trHeight w:val="300"/>
        </w:trPr>
        <w:tc>
          <w:tcPr>
            <w:tcW w:w="9360" w:type="dxa"/>
            <w:tcBorders>
              <w:top w:val="nil"/>
              <w:left w:val="nil"/>
              <w:bottom w:val="nil"/>
              <w:right w:val="nil"/>
            </w:tcBorders>
            <w:shd w:val="clear" w:color="auto" w:fill="auto"/>
            <w:noWrap/>
            <w:vAlign w:val="bottom"/>
            <w:hideMark/>
          </w:tcPr>
          <w:p w14:paraId="08CF3AD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Sarda S, Phillips G, Gaebler JA, Kurukulasuriya NC Health-related quality of life in relapsing remitting multiple sclerosis (RRMS) patients treated with placebo or BG-12 (dimethyl fumarate): Comparison with other medical conditions.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290.</w:t>
            </w:r>
          </w:p>
        </w:tc>
      </w:tr>
      <w:tr w:rsidR="00406AEC" w:rsidRPr="00406AEC" w14:paraId="6835BA93" w14:textId="77777777" w:rsidTr="00406AEC">
        <w:trPr>
          <w:trHeight w:val="300"/>
        </w:trPr>
        <w:tc>
          <w:tcPr>
            <w:tcW w:w="9360" w:type="dxa"/>
            <w:tcBorders>
              <w:top w:val="nil"/>
              <w:left w:val="nil"/>
              <w:bottom w:val="nil"/>
              <w:right w:val="nil"/>
            </w:tcBorders>
            <w:shd w:val="clear" w:color="auto" w:fill="auto"/>
            <w:noWrap/>
            <w:vAlign w:val="bottom"/>
            <w:hideMark/>
          </w:tcPr>
          <w:p w14:paraId="04AC7CA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Savelieva M, Wallstrom E Modeling concentration-efficacy relationship for MRI lesion counts under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treatment and its dependence on the effect on lymphocyte reduction.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116.</w:t>
            </w:r>
          </w:p>
        </w:tc>
      </w:tr>
      <w:tr w:rsidR="00406AEC" w:rsidRPr="00406AEC" w14:paraId="6783595D" w14:textId="77777777" w:rsidTr="00406AEC">
        <w:trPr>
          <w:trHeight w:val="300"/>
        </w:trPr>
        <w:tc>
          <w:tcPr>
            <w:tcW w:w="9360" w:type="dxa"/>
            <w:tcBorders>
              <w:top w:val="nil"/>
              <w:left w:val="nil"/>
              <w:bottom w:val="nil"/>
              <w:right w:val="nil"/>
            </w:tcBorders>
            <w:shd w:val="clear" w:color="auto" w:fill="auto"/>
            <w:noWrap/>
            <w:vAlign w:val="bottom"/>
            <w:hideMark/>
          </w:tcPr>
          <w:p w14:paraId="704378E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Schippling</w:t>
            </w:r>
            <w:proofErr w:type="spellEnd"/>
            <w:r w:rsidRPr="00406AEC">
              <w:rPr>
                <w:rFonts w:ascii="Times New Roman" w:eastAsia="Times New Roman" w:hAnsi="Times New Roman" w:cs="Times New Roman"/>
                <w:color w:val="000000"/>
                <w:szCs w:val="22"/>
              </w:rPr>
              <w:t xml:space="preserve"> S, Cree BAC, Montalban X, Arnold DL, Kappos L et al. (2019) Gray matter volume loss is increased in younger patients with relapsing multiple sclerosis but minimized by ozanimod: experience from the ozanimod phase 3 </w:t>
            </w:r>
            <w:proofErr w:type="gramStart"/>
            <w:r w:rsidRPr="00406AEC">
              <w:rPr>
                <w:rFonts w:ascii="Times New Roman" w:eastAsia="Times New Roman" w:hAnsi="Times New Roman" w:cs="Times New Roman"/>
                <w:color w:val="000000"/>
                <w:szCs w:val="22"/>
              </w:rPr>
              <w:t>program</w:t>
            </w:r>
            <w:proofErr w:type="gramEnd"/>
            <w:r w:rsidRPr="00406AEC">
              <w:rPr>
                <w:rFonts w:ascii="Times New Roman" w:eastAsia="Times New Roman" w:hAnsi="Times New Roman" w:cs="Times New Roman"/>
                <w:color w:val="000000"/>
                <w:szCs w:val="22"/>
              </w:rPr>
              <w:t xml:space="preserve">. Neurology 92 (15): </w:t>
            </w:r>
          </w:p>
        </w:tc>
      </w:tr>
      <w:tr w:rsidR="00406AEC" w:rsidRPr="00406AEC" w14:paraId="184E7AF7" w14:textId="77777777" w:rsidTr="00406AEC">
        <w:trPr>
          <w:trHeight w:val="300"/>
        </w:trPr>
        <w:tc>
          <w:tcPr>
            <w:tcW w:w="9360" w:type="dxa"/>
            <w:tcBorders>
              <w:top w:val="nil"/>
              <w:left w:val="nil"/>
              <w:bottom w:val="nil"/>
              <w:right w:val="nil"/>
            </w:tcBorders>
            <w:shd w:val="clear" w:color="auto" w:fill="auto"/>
            <w:noWrap/>
            <w:vAlign w:val="bottom"/>
            <w:hideMark/>
          </w:tcPr>
          <w:p w14:paraId="35083E6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Schreiber K, Kant M, Pfleger C, Jensen HB, </w:t>
            </w:r>
            <w:proofErr w:type="spellStart"/>
            <w:r w:rsidRPr="00406AEC">
              <w:rPr>
                <w:rFonts w:ascii="Times New Roman" w:eastAsia="Times New Roman" w:hAnsi="Times New Roman" w:cs="Times New Roman"/>
                <w:color w:val="000000"/>
                <w:szCs w:val="22"/>
              </w:rPr>
              <w:t>Oesterberg</w:t>
            </w:r>
            <w:proofErr w:type="spellEnd"/>
            <w:r w:rsidRPr="00406AEC">
              <w:rPr>
                <w:rFonts w:ascii="Times New Roman" w:eastAsia="Times New Roman" w:hAnsi="Times New Roman" w:cs="Times New Roman"/>
                <w:color w:val="000000"/>
                <w:szCs w:val="22"/>
              </w:rPr>
              <w:t xml:space="preserve"> O et al. (2018) High treatment adherence, satisfaction, motivation, and health-related quality of life with fingolimod in patients with relapsing-remitting multiple sclerosis - results from a 24-month, multicenter, open-label </w:t>
            </w:r>
            <w:proofErr w:type="spellStart"/>
            <w:r w:rsidRPr="00406AEC">
              <w:rPr>
                <w:rFonts w:ascii="Times New Roman" w:eastAsia="Times New Roman" w:hAnsi="Times New Roman" w:cs="Times New Roman"/>
                <w:color w:val="000000"/>
                <w:szCs w:val="22"/>
              </w:rPr>
              <w:t>danish</w:t>
            </w:r>
            <w:proofErr w:type="spellEnd"/>
            <w:r w:rsidRPr="00406AEC">
              <w:rPr>
                <w:rFonts w:ascii="Times New Roman" w:eastAsia="Times New Roman" w:hAnsi="Times New Roman" w:cs="Times New Roman"/>
                <w:color w:val="000000"/>
                <w:szCs w:val="22"/>
              </w:rPr>
              <w:t xml:space="preserve"> study. Patient preference and adherence 12 1139-1150.</w:t>
            </w:r>
          </w:p>
        </w:tc>
      </w:tr>
      <w:tr w:rsidR="00406AEC" w:rsidRPr="00406AEC" w14:paraId="6B87AAB2" w14:textId="77777777" w:rsidTr="00406AEC">
        <w:trPr>
          <w:trHeight w:val="300"/>
        </w:trPr>
        <w:tc>
          <w:tcPr>
            <w:tcW w:w="9360" w:type="dxa"/>
            <w:tcBorders>
              <w:top w:val="nil"/>
              <w:left w:val="nil"/>
              <w:bottom w:val="nil"/>
              <w:right w:val="nil"/>
            </w:tcBorders>
            <w:shd w:val="clear" w:color="auto" w:fill="auto"/>
            <w:noWrap/>
            <w:vAlign w:val="bottom"/>
            <w:hideMark/>
          </w:tcPr>
          <w:p w14:paraId="15D01A2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Scott TF,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Newsome SD, Arnold DL, You X et al. (2016) Improvement in relapse recovery with peginterferon beta-1a in patients with multiple sclerosis. Multiple Sclerosis Journal Experimental, Translational and Clinical 2 (no pagination): </w:t>
            </w:r>
          </w:p>
        </w:tc>
      </w:tr>
      <w:tr w:rsidR="00406AEC" w:rsidRPr="00406AEC" w14:paraId="467C9F89" w14:textId="77777777" w:rsidTr="00406AEC">
        <w:trPr>
          <w:trHeight w:val="300"/>
        </w:trPr>
        <w:tc>
          <w:tcPr>
            <w:tcW w:w="9360" w:type="dxa"/>
            <w:tcBorders>
              <w:top w:val="nil"/>
              <w:left w:val="nil"/>
              <w:bottom w:val="nil"/>
              <w:right w:val="nil"/>
            </w:tcBorders>
            <w:shd w:val="clear" w:color="auto" w:fill="auto"/>
            <w:noWrap/>
            <w:vAlign w:val="bottom"/>
            <w:hideMark/>
          </w:tcPr>
          <w:p w14:paraId="4EAC63C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Scott TF, Laforet G, You X (2013) Aggressive relapsing multiple sclerosis characterized by rapid disability progression. Multiple Sclerosis and Related Disorders 2 (4): 370-376.</w:t>
            </w:r>
          </w:p>
        </w:tc>
      </w:tr>
      <w:tr w:rsidR="00406AEC" w:rsidRPr="00406AEC" w14:paraId="654AE1D1" w14:textId="77777777" w:rsidTr="00406AEC">
        <w:trPr>
          <w:trHeight w:val="300"/>
        </w:trPr>
        <w:tc>
          <w:tcPr>
            <w:tcW w:w="9360" w:type="dxa"/>
            <w:tcBorders>
              <w:top w:val="nil"/>
              <w:left w:val="nil"/>
              <w:bottom w:val="nil"/>
              <w:right w:val="nil"/>
            </w:tcBorders>
            <w:shd w:val="clear" w:color="auto" w:fill="auto"/>
            <w:noWrap/>
            <w:vAlign w:val="bottom"/>
            <w:hideMark/>
          </w:tcPr>
          <w:p w14:paraId="3601273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Safety and tolerability of BG-12 in patients with relapsing-remitting multiple sclerosis: An integrated analysis of the placebo-controlled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200-201.</w:t>
            </w:r>
          </w:p>
        </w:tc>
      </w:tr>
      <w:tr w:rsidR="00406AEC" w:rsidRPr="00406AEC" w14:paraId="38CFC9BF" w14:textId="77777777" w:rsidTr="00406AEC">
        <w:trPr>
          <w:trHeight w:val="300"/>
        </w:trPr>
        <w:tc>
          <w:tcPr>
            <w:tcW w:w="9360" w:type="dxa"/>
            <w:tcBorders>
              <w:top w:val="nil"/>
              <w:left w:val="nil"/>
              <w:bottom w:val="nil"/>
              <w:right w:val="nil"/>
            </w:tcBorders>
            <w:shd w:val="clear" w:color="auto" w:fill="auto"/>
            <w:noWrap/>
            <w:vAlign w:val="bottom"/>
            <w:hideMark/>
          </w:tcPr>
          <w:p w14:paraId="04C5F18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Sharma S, Mathur AG, Pradhan S, Singh DB, Gupta S (2011) Fingolimod (FTY720): First approved oral therapy for multiple sclerosis. Journal of Pharmacology and Pharmacotherapeutics 2 (1): 49-51.</w:t>
            </w:r>
          </w:p>
        </w:tc>
      </w:tr>
      <w:tr w:rsidR="00406AEC" w:rsidRPr="00406AEC" w14:paraId="17508F28" w14:textId="77777777" w:rsidTr="00406AEC">
        <w:trPr>
          <w:trHeight w:val="300"/>
        </w:trPr>
        <w:tc>
          <w:tcPr>
            <w:tcW w:w="9360" w:type="dxa"/>
            <w:tcBorders>
              <w:top w:val="nil"/>
              <w:left w:val="nil"/>
              <w:bottom w:val="nil"/>
              <w:right w:val="nil"/>
            </w:tcBorders>
            <w:shd w:val="clear" w:color="auto" w:fill="auto"/>
            <w:noWrap/>
            <w:vAlign w:val="bottom"/>
            <w:hideMark/>
          </w:tcPr>
          <w:p w14:paraId="167B67FA"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Simon JH, Jacobs LD, Campion MK, Rudick RA,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et al. (1999) A longitudinal study of brain atrophy in relapsing multiple sclerosis. The Multiple Sclerosis Collaborative Research Group (MSCRG). Neurology 53 (1): 139-148.</w:t>
            </w:r>
          </w:p>
        </w:tc>
      </w:tr>
      <w:tr w:rsidR="00406AEC" w:rsidRPr="00406AEC" w14:paraId="2F78F683" w14:textId="77777777" w:rsidTr="00406AEC">
        <w:trPr>
          <w:trHeight w:val="300"/>
        </w:trPr>
        <w:tc>
          <w:tcPr>
            <w:tcW w:w="9360" w:type="dxa"/>
            <w:tcBorders>
              <w:top w:val="nil"/>
              <w:left w:val="nil"/>
              <w:bottom w:val="nil"/>
              <w:right w:val="nil"/>
            </w:tcBorders>
            <w:shd w:val="clear" w:color="auto" w:fill="auto"/>
            <w:noWrap/>
            <w:vAlign w:val="bottom"/>
            <w:hideMark/>
          </w:tcPr>
          <w:p w14:paraId="0890A0E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Singer BA, Shafer SJ, Arnold DL, Bowen JD, LaGanke C et al. </w:t>
            </w:r>
            <w:r w:rsidRPr="00406AEC">
              <w:rPr>
                <w:rFonts w:ascii="Times New Roman" w:eastAsia="Times New Roman" w:hAnsi="Times New Roman" w:cs="Times New Roman"/>
                <w:color w:val="000000"/>
                <w:szCs w:val="22"/>
              </w:rPr>
              <w:t xml:space="preserve">(2020) Diroximel fumarate and dimethyl fumarate demonstrate early clinical and radiological efficacy in relapsing-remitting multiple sclerosis. Neurology 94 (15): </w:t>
            </w:r>
          </w:p>
        </w:tc>
      </w:tr>
      <w:tr w:rsidR="00406AEC" w:rsidRPr="00406AEC" w14:paraId="652AC97C" w14:textId="77777777" w:rsidTr="00406AEC">
        <w:trPr>
          <w:trHeight w:val="300"/>
        </w:trPr>
        <w:tc>
          <w:tcPr>
            <w:tcW w:w="9360" w:type="dxa"/>
            <w:tcBorders>
              <w:top w:val="nil"/>
              <w:left w:val="nil"/>
              <w:bottom w:val="nil"/>
              <w:right w:val="nil"/>
            </w:tcBorders>
            <w:shd w:val="clear" w:color="auto" w:fill="auto"/>
            <w:noWrap/>
            <w:vAlign w:val="bottom"/>
            <w:hideMark/>
          </w:tcPr>
          <w:p w14:paraId="4E95D57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Soelberg-Sorensen P,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Giovannoni G (2018) Long-term lymphocyte counts in patients with RRMS treated with cladribine tablets. Multiple sclerosis journal 24 (2): NP4-.</w:t>
            </w:r>
          </w:p>
        </w:tc>
      </w:tr>
      <w:tr w:rsidR="00406AEC" w:rsidRPr="00406AEC" w14:paraId="1FD5D001" w14:textId="77777777" w:rsidTr="00406AEC">
        <w:trPr>
          <w:trHeight w:val="300"/>
        </w:trPr>
        <w:tc>
          <w:tcPr>
            <w:tcW w:w="9360" w:type="dxa"/>
            <w:tcBorders>
              <w:top w:val="nil"/>
              <w:left w:val="nil"/>
              <w:bottom w:val="nil"/>
              <w:right w:val="nil"/>
            </w:tcBorders>
            <w:shd w:val="clear" w:color="auto" w:fill="auto"/>
            <w:noWrap/>
            <w:vAlign w:val="bottom"/>
            <w:hideMark/>
          </w:tcPr>
          <w:p w14:paraId="35808E0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Soman T, Ordonez CL,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Zhang A, Potts J et al. Efficacy of delayed-release dimethyl fumarate in young adults with RRMS: An integrated analysis of DEFINE and CONFIRM.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760-761.</w:t>
            </w:r>
          </w:p>
        </w:tc>
      </w:tr>
      <w:tr w:rsidR="00406AEC" w:rsidRPr="00406AEC" w14:paraId="635B2DCC" w14:textId="77777777" w:rsidTr="00406AEC">
        <w:trPr>
          <w:trHeight w:val="300"/>
        </w:trPr>
        <w:tc>
          <w:tcPr>
            <w:tcW w:w="9360" w:type="dxa"/>
            <w:tcBorders>
              <w:top w:val="nil"/>
              <w:left w:val="nil"/>
              <w:bottom w:val="nil"/>
              <w:right w:val="nil"/>
            </w:tcBorders>
            <w:shd w:val="clear" w:color="auto" w:fill="auto"/>
            <w:noWrap/>
            <w:vAlign w:val="bottom"/>
            <w:hideMark/>
          </w:tcPr>
          <w:p w14:paraId="68997CF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Sorensen PS (2014) Effects of fingolimod in relapsing-remitting multiple sclerosis. Lancet Neurology 13 (6): 526-527.</w:t>
            </w:r>
          </w:p>
        </w:tc>
      </w:tr>
      <w:tr w:rsidR="00406AEC" w:rsidRPr="00406AEC" w14:paraId="55152881" w14:textId="77777777" w:rsidTr="00406AEC">
        <w:trPr>
          <w:trHeight w:val="300"/>
        </w:trPr>
        <w:tc>
          <w:tcPr>
            <w:tcW w:w="9360" w:type="dxa"/>
            <w:tcBorders>
              <w:top w:val="nil"/>
              <w:left w:val="nil"/>
              <w:bottom w:val="nil"/>
              <w:right w:val="nil"/>
            </w:tcBorders>
            <w:shd w:val="clear" w:color="auto" w:fill="auto"/>
            <w:noWrap/>
            <w:vAlign w:val="bottom"/>
            <w:hideMark/>
          </w:tcPr>
          <w:p w14:paraId="3BF8DBC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Sorensen PS, Sellebjerg F (2008) Oral fumarate for relapsing-remitting multiple sclerosis. The Lancet 372 (9648): 1447-1448.</w:t>
            </w:r>
          </w:p>
        </w:tc>
      </w:tr>
      <w:tr w:rsidR="00406AEC" w:rsidRPr="00406AEC" w14:paraId="021B7A32" w14:textId="77777777" w:rsidTr="00406AEC">
        <w:trPr>
          <w:trHeight w:val="300"/>
        </w:trPr>
        <w:tc>
          <w:tcPr>
            <w:tcW w:w="9360" w:type="dxa"/>
            <w:tcBorders>
              <w:top w:val="nil"/>
              <w:left w:val="nil"/>
              <w:bottom w:val="nil"/>
              <w:right w:val="nil"/>
            </w:tcBorders>
            <w:shd w:val="clear" w:color="auto" w:fill="auto"/>
            <w:noWrap/>
            <w:vAlign w:val="bottom"/>
            <w:hideMark/>
          </w:tcPr>
          <w:p w14:paraId="27BFBF52"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Sormani MP, Bonzano L, Roccatagliata L, Mancardi GL, Uccelli A et al. </w:t>
            </w:r>
            <w:r w:rsidRPr="00406AEC">
              <w:rPr>
                <w:rFonts w:ascii="Times New Roman" w:eastAsia="Times New Roman" w:hAnsi="Times New Roman" w:cs="Times New Roman"/>
                <w:color w:val="000000"/>
                <w:szCs w:val="22"/>
              </w:rPr>
              <w:t>(2010) Surrogate endpoints for EDSS worsening in multiple sclerosis: A meta-analytic approach. Neurology 75 (4): 302-309.</w:t>
            </w:r>
          </w:p>
        </w:tc>
      </w:tr>
      <w:tr w:rsidR="00406AEC" w:rsidRPr="00406AEC" w14:paraId="654C746F" w14:textId="77777777" w:rsidTr="00406AEC">
        <w:trPr>
          <w:trHeight w:val="300"/>
        </w:trPr>
        <w:tc>
          <w:tcPr>
            <w:tcW w:w="9360" w:type="dxa"/>
            <w:tcBorders>
              <w:top w:val="nil"/>
              <w:left w:val="nil"/>
              <w:bottom w:val="nil"/>
              <w:right w:val="nil"/>
            </w:tcBorders>
            <w:shd w:val="clear" w:color="auto" w:fill="auto"/>
            <w:noWrap/>
            <w:vAlign w:val="bottom"/>
            <w:hideMark/>
          </w:tcPr>
          <w:p w14:paraId="732B75A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Sormani MP, De Stefano N, Giovannoni G, Langdon D, Piani-Meier D et al. </w:t>
            </w:r>
            <w:r w:rsidRPr="00406AEC">
              <w:rPr>
                <w:rFonts w:ascii="Times New Roman" w:eastAsia="Times New Roman" w:hAnsi="Times New Roman" w:cs="Times New Roman"/>
                <w:color w:val="000000"/>
                <w:szCs w:val="22"/>
              </w:rPr>
              <w:t>(2019) Learning ability correlates with brain atrophy and disability progression in RRMS. Journal of Neurology, Neurosurgery and Psychiatry 90 (1): 38-43.</w:t>
            </w:r>
          </w:p>
        </w:tc>
      </w:tr>
      <w:tr w:rsidR="00406AEC" w:rsidRPr="00406AEC" w14:paraId="5FBED02E" w14:textId="77777777" w:rsidTr="00406AEC">
        <w:trPr>
          <w:trHeight w:val="300"/>
        </w:trPr>
        <w:tc>
          <w:tcPr>
            <w:tcW w:w="9360" w:type="dxa"/>
            <w:tcBorders>
              <w:top w:val="nil"/>
              <w:left w:val="nil"/>
              <w:bottom w:val="nil"/>
              <w:right w:val="nil"/>
            </w:tcBorders>
            <w:shd w:val="clear" w:color="auto" w:fill="auto"/>
            <w:noWrap/>
            <w:vAlign w:val="bottom"/>
            <w:hideMark/>
          </w:tcPr>
          <w:p w14:paraId="411BBA17"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Freedman MS, Aldridge J, </w:t>
            </w:r>
            <w:proofErr w:type="spellStart"/>
            <w:r w:rsidRPr="00406AEC">
              <w:rPr>
                <w:rFonts w:ascii="Times New Roman" w:eastAsia="Times New Roman" w:hAnsi="Times New Roman" w:cs="Times New Roman"/>
                <w:color w:val="000000"/>
                <w:szCs w:val="22"/>
              </w:rPr>
              <w:t>Marhardt</w:t>
            </w:r>
            <w:proofErr w:type="spellEnd"/>
            <w:r w:rsidRPr="00406AEC">
              <w:rPr>
                <w:rFonts w:ascii="Times New Roman" w:eastAsia="Times New Roman" w:hAnsi="Times New Roman" w:cs="Times New Roman"/>
                <w:color w:val="000000"/>
                <w:szCs w:val="22"/>
              </w:rPr>
              <w:t xml:space="preserve"> K, De Stefano N (2017) Disease activity as assessed by the MAGNIMS Score predicts long-term clinical disease activity free status and disability progression in patients treated with subcutaneous interferon beta-1a. Multiple sclerosis journal 23 (3): 387-.</w:t>
            </w:r>
          </w:p>
        </w:tc>
      </w:tr>
      <w:tr w:rsidR="00406AEC" w:rsidRPr="00406AEC" w14:paraId="209A9294" w14:textId="77777777" w:rsidTr="00406AEC">
        <w:trPr>
          <w:trHeight w:val="300"/>
        </w:trPr>
        <w:tc>
          <w:tcPr>
            <w:tcW w:w="9360" w:type="dxa"/>
            <w:tcBorders>
              <w:top w:val="nil"/>
              <w:left w:val="nil"/>
              <w:bottom w:val="nil"/>
              <w:right w:val="nil"/>
            </w:tcBorders>
            <w:shd w:val="clear" w:color="auto" w:fill="auto"/>
            <w:noWrap/>
            <w:vAlign w:val="bottom"/>
            <w:hideMark/>
          </w:tcPr>
          <w:p w14:paraId="36456E0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Freedman MS, Aldridge J, </w:t>
            </w:r>
            <w:proofErr w:type="spellStart"/>
            <w:r w:rsidRPr="00406AEC">
              <w:rPr>
                <w:rFonts w:ascii="Times New Roman" w:eastAsia="Times New Roman" w:hAnsi="Times New Roman" w:cs="Times New Roman"/>
                <w:color w:val="000000"/>
                <w:szCs w:val="22"/>
              </w:rPr>
              <w:t>Marhardt</w:t>
            </w:r>
            <w:proofErr w:type="spellEnd"/>
            <w:r w:rsidRPr="00406AEC">
              <w:rPr>
                <w:rFonts w:ascii="Times New Roman" w:eastAsia="Times New Roman" w:hAnsi="Times New Roman" w:cs="Times New Roman"/>
                <w:color w:val="000000"/>
                <w:szCs w:val="22"/>
              </w:rPr>
              <w:t xml:space="preserve"> K, De Stefano N (2018) Disease activity as assessed by the MAGNIMS score predicts long-term clinical disease activity (CDA)-free status and disability progression in patients treated with subcutaneous interferon beta-1a. European journal of neurology 25 (318): </w:t>
            </w:r>
          </w:p>
        </w:tc>
      </w:tr>
      <w:tr w:rsidR="00406AEC" w:rsidRPr="00406AEC" w14:paraId="4E508184" w14:textId="77777777" w:rsidTr="00406AEC">
        <w:trPr>
          <w:trHeight w:val="300"/>
        </w:trPr>
        <w:tc>
          <w:tcPr>
            <w:tcW w:w="9360" w:type="dxa"/>
            <w:tcBorders>
              <w:top w:val="nil"/>
              <w:left w:val="nil"/>
              <w:bottom w:val="nil"/>
              <w:right w:val="nil"/>
            </w:tcBorders>
            <w:shd w:val="clear" w:color="auto" w:fill="auto"/>
            <w:noWrap/>
            <w:vAlign w:val="bottom"/>
            <w:hideMark/>
          </w:tcPr>
          <w:p w14:paraId="64F60CA8"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Freedman MS, Aldridge J, </w:t>
            </w:r>
            <w:proofErr w:type="spellStart"/>
            <w:r w:rsidRPr="00406AEC">
              <w:rPr>
                <w:rFonts w:ascii="Times New Roman" w:eastAsia="Times New Roman" w:hAnsi="Times New Roman" w:cs="Times New Roman"/>
                <w:color w:val="000000"/>
                <w:szCs w:val="22"/>
              </w:rPr>
              <w:t>Marhardt</w:t>
            </w:r>
            <w:proofErr w:type="spellEnd"/>
            <w:r w:rsidRPr="00406AEC">
              <w:rPr>
                <w:rFonts w:ascii="Times New Roman" w:eastAsia="Times New Roman" w:hAnsi="Times New Roman" w:cs="Times New Roman"/>
                <w:color w:val="000000"/>
                <w:szCs w:val="22"/>
              </w:rPr>
              <w:t xml:space="preserve"> K, De Stefano N (2019) Magnetic resonance imaging in multiple sclerosis (</w:t>
            </w:r>
            <w:proofErr w:type="spellStart"/>
            <w:r w:rsidRPr="00406AEC">
              <w:rPr>
                <w:rFonts w:ascii="Times New Roman" w:eastAsia="Times New Roman" w:hAnsi="Times New Roman" w:cs="Times New Roman"/>
                <w:color w:val="000000"/>
                <w:szCs w:val="22"/>
              </w:rPr>
              <w:t>magnims</w:t>
            </w:r>
            <w:proofErr w:type="spellEnd"/>
            <w:r w:rsidRPr="00406AEC">
              <w:rPr>
                <w:rFonts w:ascii="Times New Roman" w:eastAsia="Times New Roman" w:hAnsi="Times New Roman" w:cs="Times New Roman"/>
                <w:color w:val="000000"/>
                <w:szCs w:val="22"/>
              </w:rPr>
              <w:t xml:space="preserve">) score predicts long-term clinical disease activity (CDA)-free status and disability progression in subcutaneous interferon beta-1a (scifnb-1a)-treated patients. Neurology and Therapy 8 </w:t>
            </w:r>
          </w:p>
        </w:tc>
      </w:tr>
      <w:tr w:rsidR="00406AEC" w:rsidRPr="00406AEC" w14:paraId="79D0FE3E" w14:textId="77777777" w:rsidTr="00406AEC">
        <w:trPr>
          <w:trHeight w:val="300"/>
        </w:trPr>
        <w:tc>
          <w:tcPr>
            <w:tcW w:w="9360" w:type="dxa"/>
            <w:tcBorders>
              <w:top w:val="nil"/>
              <w:left w:val="nil"/>
              <w:bottom w:val="nil"/>
              <w:right w:val="nil"/>
            </w:tcBorders>
            <w:shd w:val="clear" w:color="auto" w:fill="auto"/>
            <w:noWrap/>
            <w:vAlign w:val="bottom"/>
            <w:hideMark/>
          </w:tcPr>
          <w:p w14:paraId="018581CB"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w:t>
            </w:r>
            <w:proofErr w:type="spellStart"/>
            <w:r w:rsidRPr="00406AEC">
              <w:rPr>
                <w:rFonts w:ascii="Times New Roman" w:eastAsia="Times New Roman" w:hAnsi="Times New Roman" w:cs="Times New Roman"/>
                <w:color w:val="000000"/>
                <w:szCs w:val="22"/>
              </w:rPr>
              <w:t>Haering</w:t>
            </w:r>
            <w:proofErr w:type="spellEnd"/>
            <w:r w:rsidRPr="00406AEC">
              <w:rPr>
                <w:rFonts w:ascii="Times New Roman" w:eastAsia="Times New Roman" w:hAnsi="Times New Roman" w:cs="Times New Roman"/>
                <w:color w:val="000000"/>
                <w:szCs w:val="22"/>
              </w:rPr>
              <w:t xml:space="preserve"> DA, </w:t>
            </w:r>
            <w:proofErr w:type="spellStart"/>
            <w:r w:rsidRPr="00406AEC">
              <w:rPr>
                <w:rFonts w:ascii="Times New Roman" w:eastAsia="Times New Roman" w:hAnsi="Times New Roman" w:cs="Times New Roman"/>
                <w:color w:val="000000"/>
                <w:szCs w:val="22"/>
              </w:rPr>
              <w:t>Kropshofer</w:t>
            </w:r>
            <w:proofErr w:type="spellEnd"/>
            <w:r w:rsidRPr="00406AEC">
              <w:rPr>
                <w:rFonts w:ascii="Times New Roman" w:eastAsia="Times New Roman" w:hAnsi="Times New Roman" w:cs="Times New Roman"/>
                <w:color w:val="000000"/>
                <w:szCs w:val="22"/>
              </w:rPr>
              <w:t xml:space="preserve"> H, Leppert D, Kundu U et al. (2019) Blood neurofilament light as a potential endpoint in Phase 2 studies in MS. Annals of Clinical and Translational Neurology 6 (6): 1081-1089.</w:t>
            </w:r>
          </w:p>
        </w:tc>
      </w:tr>
      <w:tr w:rsidR="00406AEC" w:rsidRPr="00406AEC" w14:paraId="3214E14A" w14:textId="77777777" w:rsidTr="00406AEC">
        <w:trPr>
          <w:trHeight w:val="300"/>
        </w:trPr>
        <w:tc>
          <w:tcPr>
            <w:tcW w:w="9360" w:type="dxa"/>
            <w:tcBorders>
              <w:top w:val="nil"/>
              <w:left w:val="nil"/>
              <w:bottom w:val="nil"/>
              <w:right w:val="nil"/>
            </w:tcBorders>
            <w:shd w:val="clear" w:color="auto" w:fill="auto"/>
            <w:noWrap/>
            <w:vAlign w:val="bottom"/>
            <w:hideMark/>
          </w:tcPr>
          <w:p w14:paraId="61B684E3"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Thangavelu K, Rufi P, DeStefano N Predicting treatment response to teriflunomide in the TEMSO study using the modified Rio score.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587-588.</w:t>
            </w:r>
          </w:p>
        </w:tc>
      </w:tr>
      <w:tr w:rsidR="00406AEC" w:rsidRPr="00406AEC" w14:paraId="1CA5FC40" w14:textId="77777777" w:rsidTr="00406AEC">
        <w:trPr>
          <w:trHeight w:val="300"/>
        </w:trPr>
        <w:tc>
          <w:tcPr>
            <w:tcW w:w="9360" w:type="dxa"/>
            <w:tcBorders>
              <w:top w:val="nil"/>
              <w:left w:val="nil"/>
              <w:bottom w:val="nil"/>
              <w:right w:val="nil"/>
            </w:tcBorders>
            <w:shd w:val="clear" w:color="auto" w:fill="auto"/>
            <w:noWrap/>
            <w:vAlign w:val="bottom"/>
            <w:hideMark/>
          </w:tcPr>
          <w:p w14:paraId="6613B22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Sprenger T, Kappos L, Radue EW, Gaetano L, Mueller-Lenke N et al. (2019) Association of brain volume loss and long-term disability outcomes in patients with multiple sclerosis treated with teriflunomide. Multiple Sclerosis Journal </w:t>
            </w:r>
          </w:p>
        </w:tc>
      </w:tr>
      <w:tr w:rsidR="00406AEC" w:rsidRPr="00406AEC" w14:paraId="5259A42D" w14:textId="77777777" w:rsidTr="00406AEC">
        <w:trPr>
          <w:trHeight w:val="300"/>
        </w:trPr>
        <w:tc>
          <w:tcPr>
            <w:tcW w:w="9360" w:type="dxa"/>
            <w:tcBorders>
              <w:top w:val="nil"/>
              <w:left w:val="nil"/>
              <w:bottom w:val="nil"/>
              <w:right w:val="nil"/>
            </w:tcBorders>
            <w:shd w:val="clear" w:color="auto" w:fill="auto"/>
            <w:noWrap/>
            <w:vAlign w:val="bottom"/>
            <w:hideMark/>
          </w:tcPr>
          <w:p w14:paraId="26CAEFAE"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Tenser RB, Jeffery DR, Meyer MA, Polman CH, Rudick RA et al. (2006) Natalizumab for relapsing multiple sclerosis... Polman CH, O'Connor PW,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A randomized, placebo-controlled trial of natalizumab for relapsing multiple sclerosis. N Engl J Med 2006;354: 899-910... Rudick RA, Stuart WH, Calabresi PA et al. Natalizumab plus interferon beta-1a for relapsing multiple sclerosis. N Engl J Med 2006;354: 911-23... Yousry TA, Major EO, </w:t>
            </w:r>
            <w:proofErr w:type="spellStart"/>
            <w:r w:rsidRPr="00406AEC">
              <w:rPr>
                <w:rFonts w:ascii="Times New Roman" w:eastAsia="Times New Roman" w:hAnsi="Times New Roman" w:cs="Times New Roman"/>
                <w:color w:val="000000"/>
                <w:szCs w:val="22"/>
              </w:rPr>
              <w:t>Ryschkewitsch</w:t>
            </w:r>
            <w:proofErr w:type="spellEnd"/>
            <w:r w:rsidRPr="00406AEC">
              <w:rPr>
                <w:rFonts w:ascii="Times New Roman" w:eastAsia="Times New Roman" w:hAnsi="Times New Roman" w:cs="Times New Roman"/>
                <w:color w:val="000000"/>
                <w:szCs w:val="22"/>
              </w:rPr>
              <w:t xml:space="preserve"> C et al. Evaluation of patients treated with natalizumab for progressive multifocal leukoencephalopathy. N Engl J Med 2006;354: 924-33. New England Journal of Medicine 354 (22): 2387-2389.</w:t>
            </w:r>
          </w:p>
        </w:tc>
      </w:tr>
      <w:tr w:rsidR="00406AEC" w:rsidRPr="00406AEC" w14:paraId="0D7710C2" w14:textId="77777777" w:rsidTr="00406AEC">
        <w:trPr>
          <w:trHeight w:val="300"/>
        </w:trPr>
        <w:tc>
          <w:tcPr>
            <w:tcW w:w="9360" w:type="dxa"/>
            <w:tcBorders>
              <w:top w:val="nil"/>
              <w:left w:val="nil"/>
              <w:bottom w:val="nil"/>
              <w:right w:val="nil"/>
            </w:tcBorders>
            <w:shd w:val="clear" w:color="auto" w:fill="auto"/>
            <w:noWrap/>
            <w:vAlign w:val="bottom"/>
            <w:hideMark/>
          </w:tcPr>
          <w:p w14:paraId="53FC3481"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Thangavelu K, Morawski J, Freedman MS (2016) Effect of teriflunomide on relapse and disability worsening: an analysis of the TOWER Study with 2 years of treatment. Multiple Sclerosis 22 360-361.</w:t>
            </w:r>
          </w:p>
        </w:tc>
      </w:tr>
      <w:tr w:rsidR="00406AEC" w:rsidRPr="00406AEC" w14:paraId="16465F0C" w14:textId="77777777" w:rsidTr="00406AEC">
        <w:trPr>
          <w:trHeight w:val="300"/>
        </w:trPr>
        <w:tc>
          <w:tcPr>
            <w:tcW w:w="9360" w:type="dxa"/>
            <w:tcBorders>
              <w:top w:val="nil"/>
              <w:left w:val="nil"/>
              <w:bottom w:val="nil"/>
              <w:right w:val="nil"/>
            </w:tcBorders>
            <w:shd w:val="clear" w:color="auto" w:fill="auto"/>
            <w:noWrap/>
            <w:vAlign w:val="bottom"/>
            <w:hideMark/>
          </w:tcPr>
          <w:p w14:paraId="2BCA986D"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The Multiple Sclerosis Collaborative Research G, Simon JH, Lull J, et a (2000) A longitudinal study of T1 hypointense lesions in relapsing MS: MSCRG trial of interferon beta-1a. Neurology 55 185-192.</w:t>
            </w:r>
          </w:p>
        </w:tc>
      </w:tr>
      <w:tr w:rsidR="00406AEC" w:rsidRPr="00406AEC" w14:paraId="6B3B200E" w14:textId="77777777" w:rsidTr="00406AEC">
        <w:trPr>
          <w:trHeight w:val="300"/>
        </w:trPr>
        <w:tc>
          <w:tcPr>
            <w:tcW w:w="9360" w:type="dxa"/>
            <w:tcBorders>
              <w:top w:val="nil"/>
              <w:left w:val="nil"/>
              <w:bottom w:val="nil"/>
              <w:right w:val="nil"/>
            </w:tcBorders>
            <w:shd w:val="clear" w:color="auto" w:fill="auto"/>
            <w:noWrap/>
            <w:vAlign w:val="bottom"/>
            <w:hideMark/>
          </w:tcPr>
          <w:p w14:paraId="24B913D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Tiwari H, Patki A, Cofield SS, Gustafson T, Duggan D et al. GWAS on relapse outcomes in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440-441.</w:t>
            </w:r>
          </w:p>
        </w:tc>
      </w:tr>
      <w:tr w:rsidR="00406AEC" w:rsidRPr="00406AEC" w14:paraId="630E97CE" w14:textId="77777777" w:rsidTr="00406AEC">
        <w:trPr>
          <w:trHeight w:val="300"/>
        </w:trPr>
        <w:tc>
          <w:tcPr>
            <w:tcW w:w="9360" w:type="dxa"/>
            <w:tcBorders>
              <w:top w:val="nil"/>
              <w:left w:val="nil"/>
              <w:bottom w:val="nil"/>
              <w:right w:val="nil"/>
            </w:tcBorders>
            <w:shd w:val="clear" w:color="auto" w:fill="auto"/>
            <w:noWrap/>
            <w:vAlign w:val="bottom"/>
            <w:hideMark/>
          </w:tcPr>
          <w:p w14:paraId="5649AA1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Traboulsee</w:t>
            </w:r>
            <w:proofErr w:type="spellEnd"/>
            <w:r w:rsidRPr="00406AEC">
              <w:rPr>
                <w:rFonts w:ascii="Times New Roman" w:eastAsia="Times New Roman" w:hAnsi="Times New Roman" w:cs="Times New Roman"/>
                <w:color w:val="000000"/>
                <w:szCs w:val="22"/>
              </w:rPr>
              <w:t xml:space="preserve"> A, Giovannoni G, Bar-Or A, Comi G, Hartung HP et al. (2017) NEDA analysis by epoch in patients with relapsing multiple sclerosis treated with ocrelizumab: results from the OPERA I and OPERA II phase III studies. Multiple Sclerosis 23 18-19.</w:t>
            </w:r>
          </w:p>
        </w:tc>
      </w:tr>
      <w:tr w:rsidR="00406AEC" w:rsidRPr="00406AEC" w14:paraId="30DA10E3" w14:textId="77777777" w:rsidTr="00406AEC">
        <w:trPr>
          <w:trHeight w:val="300"/>
        </w:trPr>
        <w:tc>
          <w:tcPr>
            <w:tcW w:w="9360" w:type="dxa"/>
            <w:tcBorders>
              <w:top w:val="nil"/>
              <w:left w:val="nil"/>
              <w:bottom w:val="nil"/>
              <w:right w:val="nil"/>
            </w:tcBorders>
            <w:shd w:val="clear" w:color="auto" w:fill="auto"/>
            <w:noWrap/>
            <w:vAlign w:val="bottom"/>
            <w:hideMark/>
          </w:tcPr>
          <w:p w14:paraId="41E2B22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Traboulsee A, Li DKB, Cascione M, Fang J, Dangond F et al. </w:t>
            </w:r>
            <w:r w:rsidRPr="00406AEC">
              <w:rPr>
                <w:rFonts w:ascii="Times New Roman" w:eastAsia="Times New Roman" w:hAnsi="Times New Roman" w:cs="Times New Roman"/>
                <w:color w:val="000000"/>
                <w:szCs w:val="22"/>
              </w:rPr>
              <w:t xml:space="preserve">(2018) Predictive value of early magnetic resonance imaging measures is differentially affected by the dose of interferon beta-1a given subcutaneously three times a week: An exploratory analysis of the PRISMS study. BMC Neurology 18 (1): </w:t>
            </w:r>
          </w:p>
        </w:tc>
      </w:tr>
      <w:tr w:rsidR="00406AEC" w:rsidRPr="00406AEC" w14:paraId="34E3C882" w14:textId="77777777" w:rsidTr="00406AEC">
        <w:trPr>
          <w:trHeight w:val="300"/>
        </w:trPr>
        <w:tc>
          <w:tcPr>
            <w:tcW w:w="9360" w:type="dxa"/>
            <w:tcBorders>
              <w:top w:val="nil"/>
              <w:left w:val="nil"/>
              <w:bottom w:val="nil"/>
              <w:right w:val="nil"/>
            </w:tcBorders>
            <w:shd w:val="clear" w:color="auto" w:fill="auto"/>
            <w:noWrap/>
            <w:vAlign w:val="bottom"/>
            <w:hideMark/>
          </w:tcPr>
          <w:p w14:paraId="38C6923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Tran JQ, Hartung JP, Olson AD, </w:t>
            </w:r>
            <w:proofErr w:type="spellStart"/>
            <w:r w:rsidRPr="00406AEC">
              <w:rPr>
                <w:rFonts w:ascii="Times New Roman" w:eastAsia="Times New Roman" w:hAnsi="Times New Roman" w:cs="Times New Roman"/>
                <w:color w:val="000000"/>
                <w:szCs w:val="22"/>
              </w:rPr>
              <w:t>Mendzelevski</w:t>
            </w:r>
            <w:proofErr w:type="spellEnd"/>
            <w:r w:rsidRPr="00406AEC">
              <w:rPr>
                <w:rFonts w:ascii="Times New Roman" w:eastAsia="Times New Roman" w:hAnsi="Times New Roman" w:cs="Times New Roman"/>
                <w:color w:val="000000"/>
                <w:szCs w:val="22"/>
              </w:rPr>
              <w:t xml:space="preserve"> B, Timony GA et al. (2018) Cardiac Safety of Ozanimod, a Novel Sphingosine-1-Phosphate Receptor Modulator: Results of a Thorough QT/QTc Study. Clinical Pharmacology in Drug Development 7 (3): 263-276.</w:t>
            </w:r>
          </w:p>
        </w:tc>
      </w:tr>
      <w:tr w:rsidR="00406AEC" w:rsidRPr="00406AEC" w14:paraId="27BC1717" w14:textId="77777777" w:rsidTr="00406AEC">
        <w:trPr>
          <w:trHeight w:val="300"/>
        </w:trPr>
        <w:tc>
          <w:tcPr>
            <w:tcW w:w="9360" w:type="dxa"/>
            <w:tcBorders>
              <w:top w:val="nil"/>
              <w:left w:val="nil"/>
              <w:bottom w:val="nil"/>
              <w:right w:val="nil"/>
            </w:tcBorders>
            <w:shd w:val="clear" w:color="auto" w:fill="auto"/>
            <w:noWrap/>
            <w:vAlign w:val="bottom"/>
            <w:hideMark/>
          </w:tcPr>
          <w:p w14:paraId="218FE11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nl-NL"/>
              </w:rPr>
              <w:t xml:space="preserve">Vermersch P, Radue EW, Putzki N, Ritter S, Merschhemke M et al. </w:t>
            </w:r>
            <w:r w:rsidRPr="00406AEC">
              <w:rPr>
                <w:rFonts w:ascii="Times New Roman" w:eastAsia="Times New Roman" w:hAnsi="Times New Roman" w:cs="Times New Roman"/>
                <w:color w:val="000000"/>
                <w:szCs w:val="22"/>
              </w:rPr>
              <w:t xml:space="preserve">(2017) A comparison of multiple sclerosis disease activity after discontinuation of fingolimod and placebo. Multiple Sclerosis Journal Experimental, Translational and Clinical 3 (3): </w:t>
            </w:r>
          </w:p>
        </w:tc>
      </w:tr>
      <w:tr w:rsidR="00406AEC" w:rsidRPr="00406AEC" w14:paraId="0E84994E" w14:textId="77777777" w:rsidTr="00406AEC">
        <w:trPr>
          <w:trHeight w:val="300"/>
        </w:trPr>
        <w:tc>
          <w:tcPr>
            <w:tcW w:w="9360" w:type="dxa"/>
            <w:tcBorders>
              <w:top w:val="nil"/>
              <w:left w:val="nil"/>
              <w:bottom w:val="nil"/>
              <w:right w:val="nil"/>
            </w:tcBorders>
            <w:shd w:val="clear" w:color="auto" w:fill="auto"/>
            <w:noWrap/>
            <w:vAlign w:val="bottom"/>
            <w:hideMark/>
          </w:tcPr>
          <w:p w14:paraId="75CE830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Wolinksy</w:t>
            </w:r>
            <w:proofErr w:type="spellEnd"/>
            <w:r w:rsidRPr="00406AEC">
              <w:rPr>
                <w:rFonts w:ascii="Times New Roman" w:eastAsia="Times New Roman" w:hAnsi="Times New Roman" w:cs="Times New Roman"/>
                <w:color w:val="000000"/>
                <w:szCs w:val="22"/>
              </w:rPr>
              <w:t xml:space="preserve"> JS, Wang L,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Narayana PA, Nelson F et al. Magnetic resonance imaging as a surrogate for clinical endpoints in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470-471.</w:t>
            </w:r>
          </w:p>
        </w:tc>
      </w:tr>
      <w:tr w:rsidR="00406AEC" w:rsidRPr="00406AEC" w14:paraId="03131D84" w14:textId="77777777" w:rsidTr="00406AEC">
        <w:trPr>
          <w:trHeight w:val="300"/>
        </w:trPr>
        <w:tc>
          <w:tcPr>
            <w:tcW w:w="9360" w:type="dxa"/>
            <w:tcBorders>
              <w:top w:val="nil"/>
              <w:left w:val="nil"/>
              <w:bottom w:val="nil"/>
              <w:right w:val="nil"/>
            </w:tcBorders>
            <w:shd w:val="clear" w:color="auto" w:fill="auto"/>
            <w:noWrap/>
            <w:vAlign w:val="bottom"/>
            <w:hideMark/>
          </w:tcPr>
          <w:p w14:paraId="0FF9F405"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Engmann NJ, Pei J, Pradhan A, Markowitz C et al. (2020) An exploratory analysis of the efficacy of ocrelizumab in patients with multiple sclerosis with increased disability. Multiple Sclerosis Journal Experimental, Translational and Clinical 6 (1): </w:t>
            </w:r>
          </w:p>
        </w:tc>
      </w:tr>
      <w:tr w:rsidR="00406AEC" w:rsidRPr="00406AEC" w14:paraId="70CD8AAF" w14:textId="77777777" w:rsidTr="00406AEC">
        <w:trPr>
          <w:trHeight w:val="300"/>
        </w:trPr>
        <w:tc>
          <w:tcPr>
            <w:tcW w:w="9360" w:type="dxa"/>
            <w:tcBorders>
              <w:top w:val="nil"/>
              <w:left w:val="nil"/>
              <w:bottom w:val="nil"/>
              <w:right w:val="nil"/>
            </w:tcBorders>
            <w:shd w:val="clear" w:color="auto" w:fill="auto"/>
            <w:noWrap/>
            <w:vAlign w:val="bottom"/>
            <w:hideMark/>
          </w:tcPr>
          <w:p w14:paraId="0F5FFF30"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Narayana PA (1999) MRI-clinical correlates in a cross-sectional analysis of the open-label extension of the US pivotal trial of glatiramer acetate (GA) in relapsing multiple sclerosis (MS). Multiple Sclerosis 5 </w:t>
            </w:r>
          </w:p>
        </w:tc>
      </w:tr>
      <w:tr w:rsidR="00406AEC" w:rsidRPr="00406AEC" w14:paraId="11C1CC01" w14:textId="77777777" w:rsidTr="00406AEC">
        <w:trPr>
          <w:trHeight w:val="300"/>
        </w:trPr>
        <w:tc>
          <w:tcPr>
            <w:tcW w:w="9360" w:type="dxa"/>
            <w:tcBorders>
              <w:top w:val="nil"/>
              <w:left w:val="nil"/>
              <w:bottom w:val="nil"/>
              <w:right w:val="nil"/>
            </w:tcBorders>
            <w:shd w:val="clear" w:color="auto" w:fill="auto"/>
            <w:noWrap/>
            <w:vAlign w:val="bottom"/>
            <w:hideMark/>
          </w:tcPr>
          <w:p w14:paraId="184E5FE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Wolinsky JS, Narayana PA, Johnson KP, Pruitt AA, Kolson D et al. (2001) United States open-label glatiramer acetate extension trial for relapsing multiple sclerosis: MRI and clinical correlates. Multiple Sclerosis 7 (1): 33-41.</w:t>
            </w:r>
          </w:p>
        </w:tc>
      </w:tr>
      <w:tr w:rsidR="00406AEC" w:rsidRPr="00406AEC" w14:paraId="125F8D6C" w14:textId="77777777" w:rsidTr="00406AEC">
        <w:trPr>
          <w:trHeight w:val="300"/>
        </w:trPr>
        <w:tc>
          <w:tcPr>
            <w:tcW w:w="9360" w:type="dxa"/>
            <w:tcBorders>
              <w:top w:val="nil"/>
              <w:left w:val="nil"/>
              <w:bottom w:val="nil"/>
              <w:right w:val="nil"/>
            </w:tcBorders>
            <w:shd w:val="clear" w:color="auto" w:fill="auto"/>
            <w:noWrap/>
            <w:vAlign w:val="bottom"/>
            <w:hideMark/>
          </w:tcPr>
          <w:p w14:paraId="52BC06D9"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Wray S, Singer B, </w:t>
            </w:r>
            <w:proofErr w:type="spellStart"/>
            <w:r w:rsidRPr="00406AEC">
              <w:rPr>
                <w:rFonts w:ascii="Times New Roman" w:eastAsia="Times New Roman" w:hAnsi="Times New Roman" w:cs="Times New Roman"/>
                <w:color w:val="000000"/>
                <w:szCs w:val="22"/>
              </w:rPr>
              <w:t>Drulovic</w:t>
            </w:r>
            <w:proofErr w:type="spellEnd"/>
            <w:r w:rsidRPr="00406AEC">
              <w:rPr>
                <w:rFonts w:ascii="Times New Roman" w:eastAsia="Times New Roman" w:hAnsi="Times New Roman" w:cs="Times New Roman"/>
                <w:color w:val="000000"/>
                <w:szCs w:val="22"/>
              </w:rPr>
              <w:t xml:space="preserve"> J, Chen H, Hanna J et al. (2020) Diroximel fumarate in patients with relapsing-remitting multiple sclerosis: interim safety and efficacy results from the phase 3 evolve-ms-1 study. Multiple sclerosis journal 26 (3 SUPPL): 214-215.</w:t>
            </w:r>
          </w:p>
        </w:tc>
      </w:tr>
      <w:tr w:rsidR="00406AEC" w:rsidRPr="00406AEC" w14:paraId="6CC91ED3" w14:textId="77777777" w:rsidTr="00406AEC">
        <w:trPr>
          <w:trHeight w:val="300"/>
        </w:trPr>
        <w:tc>
          <w:tcPr>
            <w:tcW w:w="9360" w:type="dxa"/>
            <w:tcBorders>
              <w:top w:val="nil"/>
              <w:left w:val="nil"/>
              <w:bottom w:val="nil"/>
              <w:right w:val="nil"/>
            </w:tcBorders>
            <w:shd w:val="clear" w:color="auto" w:fill="auto"/>
            <w:noWrap/>
            <w:vAlign w:val="bottom"/>
            <w:hideMark/>
          </w:tcPr>
          <w:p w14:paraId="76C132DC"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Wu X, Kuusisto H, </w:t>
            </w:r>
            <w:proofErr w:type="spellStart"/>
            <w:r w:rsidRPr="00406AEC">
              <w:rPr>
                <w:rFonts w:ascii="Times New Roman" w:eastAsia="Times New Roman" w:hAnsi="Times New Roman" w:cs="Times New Roman"/>
                <w:color w:val="000000"/>
                <w:szCs w:val="22"/>
              </w:rPr>
              <w:t>Dastidar</w:t>
            </w:r>
            <w:proofErr w:type="spellEnd"/>
            <w:r w:rsidRPr="00406AEC">
              <w:rPr>
                <w:rFonts w:ascii="Times New Roman" w:eastAsia="Times New Roman" w:hAnsi="Times New Roman" w:cs="Times New Roman"/>
                <w:color w:val="000000"/>
                <w:szCs w:val="22"/>
              </w:rPr>
              <w:t xml:space="preserve"> P, Huhtala H, </w:t>
            </w:r>
            <w:proofErr w:type="spellStart"/>
            <w:r w:rsidRPr="00406AEC">
              <w:rPr>
                <w:rFonts w:ascii="Times New Roman" w:eastAsia="Times New Roman" w:hAnsi="Times New Roman" w:cs="Times New Roman"/>
                <w:color w:val="000000"/>
                <w:szCs w:val="22"/>
              </w:rPr>
              <w:t>Nikkari</w:t>
            </w:r>
            <w:proofErr w:type="spellEnd"/>
            <w:r w:rsidRPr="00406AEC">
              <w:rPr>
                <w:rFonts w:ascii="Times New Roman" w:eastAsia="Times New Roman" w:hAnsi="Times New Roman" w:cs="Times New Roman"/>
                <w:color w:val="000000"/>
                <w:szCs w:val="22"/>
              </w:rPr>
              <w:t xml:space="preserve"> ST et al. (2007) Once-weekly 22mug subcutaneous IFN-beta-1a in secondary progressive MS: A 3-year follow-up study on brain MRI measurements and serum MMP-9 levels. Acta </w:t>
            </w:r>
            <w:proofErr w:type="spellStart"/>
            <w:r w:rsidRPr="00406AEC">
              <w:rPr>
                <w:rFonts w:ascii="Times New Roman" w:eastAsia="Times New Roman" w:hAnsi="Times New Roman" w:cs="Times New Roman"/>
                <w:color w:val="000000"/>
                <w:szCs w:val="22"/>
              </w:rPr>
              <w:t>Neurologica</w:t>
            </w:r>
            <w:proofErr w:type="spellEnd"/>
            <w:r w:rsidRPr="00406AEC">
              <w:rPr>
                <w:rFonts w:ascii="Times New Roman" w:eastAsia="Times New Roman" w:hAnsi="Times New Roman" w:cs="Times New Roman"/>
                <w:color w:val="000000"/>
                <w:szCs w:val="22"/>
              </w:rPr>
              <w:t xml:space="preserve"> Scandinavica 116 (1): 43-48.</w:t>
            </w:r>
          </w:p>
        </w:tc>
      </w:tr>
      <w:tr w:rsidR="00406AEC" w:rsidRPr="00406AEC" w14:paraId="5FBAA4C1" w14:textId="77777777" w:rsidTr="00406AEC">
        <w:trPr>
          <w:trHeight w:val="300"/>
        </w:trPr>
        <w:tc>
          <w:tcPr>
            <w:tcW w:w="9360" w:type="dxa"/>
            <w:tcBorders>
              <w:top w:val="nil"/>
              <w:left w:val="nil"/>
              <w:bottom w:val="nil"/>
              <w:right w:val="nil"/>
            </w:tcBorders>
            <w:shd w:val="clear" w:color="auto" w:fill="auto"/>
            <w:noWrap/>
            <w:vAlign w:val="bottom"/>
            <w:hideMark/>
          </w:tcPr>
          <w:p w14:paraId="7AB07D0F"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es-ES"/>
              </w:rPr>
              <w:t xml:space="preserve">Xu Y, Han J, Ma X, </w:t>
            </w:r>
            <w:proofErr w:type="spellStart"/>
            <w:r w:rsidRPr="00713F1E">
              <w:rPr>
                <w:rFonts w:ascii="Times New Roman" w:eastAsia="Times New Roman" w:hAnsi="Times New Roman" w:cs="Times New Roman"/>
                <w:color w:val="000000"/>
                <w:szCs w:val="22"/>
                <w:lang w:val="es-ES"/>
              </w:rPr>
              <w:t>Pei</w:t>
            </w:r>
            <w:proofErr w:type="spellEnd"/>
            <w:r w:rsidRPr="00713F1E">
              <w:rPr>
                <w:rFonts w:ascii="Times New Roman" w:eastAsia="Times New Roman" w:hAnsi="Times New Roman" w:cs="Times New Roman"/>
                <w:color w:val="000000"/>
                <w:szCs w:val="22"/>
                <w:lang w:val="es-ES"/>
              </w:rPr>
              <w:t xml:space="preserve"> J, </w:t>
            </w:r>
            <w:proofErr w:type="spellStart"/>
            <w:r w:rsidRPr="00713F1E">
              <w:rPr>
                <w:rFonts w:ascii="Times New Roman" w:eastAsia="Times New Roman" w:hAnsi="Times New Roman" w:cs="Times New Roman"/>
                <w:color w:val="000000"/>
                <w:szCs w:val="22"/>
                <w:lang w:val="es-ES"/>
              </w:rPr>
              <w:t>Engmann</w:t>
            </w:r>
            <w:proofErr w:type="spellEnd"/>
            <w:r w:rsidRPr="00713F1E">
              <w:rPr>
                <w:rFonts w:ascii="Times New Roman" w:eastAsia="Times New Roman" w:hAnsi="Times New Roman" w:cs="Times New Roman"/>
                <w:color w:val="000000"/>
                <w:szCs w:val="22"/>
                <w:lang w:val="es-ES"/>
              </w:rPr>
              <w:t xml:space="preserve"> NJ et al. </w:t>
            </w:r>
            <w:r w:rsidRPr="00406AEC">
              <w:rPr>
                <w:rFonts w:ascii="Times New Roman" w:eastAsia="Times New Roman" w:hAnsi="Times New Roman" w:cs="Times New Roman"/>
                <w:color w:val="000000"/>
                <w:szCs w:val="22"/>
              </w:rPr>
              <w:t xml:space="preserve">(2018) An Exploratory Analysis of Efficacy of Ocrelizumab for Multiple Sclerosis Patients with Increased Disability. Value in health 21 </w:t>
            </w:r>
          </w:p>
        </w:tc>
      </w:tr>
      <w:tr w:rsidR="00406AEC" w:rsidRPr="00406AEC" w14:paraId="7F34A08C" w14:textId="77777777" w:rsidTr="00406AEC">
        <w:trPr>
          <w:trHeight w:val="300"/>
        </w:trPr>
        <w:tc>
          <w:tcPr>
            <w:tcW w:w="9360" w:type="dxa"/>
            <w:tcBorders>
              <w:top w:val="nil"/>
              <w:left w:val="nil"/>
              <w:bottom w:val="nil"/>
              <w:right w:val="nil"/>
            </w:tcBorders>
            <w:shd w:val="clear" w:color="auto" w:fill="auto"/>
            <w:noWrap/>
            <w:vAlign w:val="bottom"/>
            <w:hideMark/>
          </w:tcPr>
          <w:p w14:paraId="164F6724"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You X, Scott T, Shang S, Sperling B (2015) Evaluation of relapses as a surrogate marker for confirmed disability progression in relapsing-remitting multiple sclerosis patients treated with peginterferon beta-1a using the Prentice criteria. European journal of neurology 22 (162): </w:t>
            </w:r>
          </w:p>
        </w:tc>
      </w:tr>
      <w:tr w:rsidR="00406AEC" w:rsidRPr="00406AEC" w14:paraId="1C93C121" w14:textId="77777777" w:rsidTr="00406AEC">
        <w:trPr>
          <w:trHeight w:val="300"/>
        </w:trPr>
        <w:tc>
          <w:tcPr>
            <w:tcW w:w="9360" w:type="dxa"/>
            <w:tcBorders>
              <w:top w:val="nil"/>
              <w:left w:val="nil"/>
              <w:bottom w:val="nil"/>
              <w:right w:val="nil"/>
            </w:tcBorders>
            <w:shd w:val="clear" w:color="auto" w:fill="auto"/>
            <w:noWrap/>
            <w:vAlign w:val="bottom"/>
            <w:hideMark/>
          </w:tcPr>
          <w:p w14:paraId="21001E36" w14:textId="77777777" w:rsidR="00406AEC" w:rsidRPr="00406AEC" w:rsidRDefault="00406AEC" w:rsidP="00223A29">
            <w:pPr>
              <w:pStyle w:val="ListParagraph"/>
              <w:numPr>
                <w:ilvl w:val="0"/>
                <w:numId w:val="31"/>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it-IT"/>
              </w:rPr>
              <w:t xml:space="preserve">Zecca C, Riccitelli GC, Calabrese P, Pravata E, Candrian U et al. </w:t>
            </w:r>
            <w:r w:rsidRPr="00406AEC">
              <w:rPr>
                <w:rFonts w:ascii="Times New Roman" w:eastAsia="Times New Roman" w:hAnsi="Times New Roman" w:cs="Times New Roman"/>
                <w:color w:val="000000"/>
                <w:szCs w:val="22"/>
              </w:rPr>
              <w:t xml:space="preserve">(2014) Treatment satisfaction, </w:t>
            </w:r>
            <w:proofErr w:type="gramStart"/>
            <w:r w:rsidRPr="00406AEC">
              <w:rPr>
                <w:rFonts w:ascii="Times New Roman" w:eastAsia="Times New Roman" w:hAnsi="Times New Roman" w:cs="Times New Roman"/>
                <w:color w:val="000000"/>
                <w:szCs w:val="22"/>
              </w:rPr>
              <w:t>adherence</w:t>
            </w:r>
            <w:proofErr w:type="gramEnd"/>
            <w:r w:rsidRPr="00406AEC">
              <w:rPr>
                <w:rFonts w:ascii="Times New Roman" w:eastAsia="Times New Roman" w:hAnsi="Times New Roman" w:cs="Times New Roman"/>
                <w:color w:val="000000"/>
                <w:szCs w:val="22"/>
              </w:rPr>
              <w:t xml:space="preserve"> and behavioral assessment in patients de - escalating from natalizumab to interferon beta. BMC Neurology 14 (1): </w:t>
            </w:r>
          </w:p>
        </w:tc>
      </w:tr>
      <w:tr w:rsidR="00406AEC" w:rsidRPr="00406AEC" w14:paraId="174DD553" w14:textId="77777777" w:rsidTr="00406AEC">
        <w:trPr>
          <w:trHeight w:val="300"/>
        </w:trPr>
        <w:tc>
          <w:tcPr>
            <w:tcW w:w="9360" w:type="dxa"/>
            <w:tcBorders>
              <w:top w:val="nil"/>
              <w:left w:val="nil"/>
              <w:bottom w:val="nil"/>
              <w:right w:val="nil"/>
            </w:tcBorders>
            <w:shd w:val="clear" w:color="auto" w:fill="auto"/>
            <w:noWrap/>
            <w:vAlign w:val="bottom"/>
            <w:hideMark/>
          </w:tcPr>
          <w:p w14:paraId="6B64DBB6"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5A9F7420" w14:textId="77777777" w:rsidTr="00406AEC">
        <w:trPr>
          <w:trHeight w:val="300"/>
        </w:trPr>
        <w:tc>
          <w:tcPr>
            <w:tcW w:w="9360" w:type="dxa"/>
            <w:tcBorders>
              <w:top w:val="nil"/>
              <w:left w:val="nil"/>
              <w:bottom w:val="nil"/>
              <w:right w:val="nil"/>
            </w:tcBorders>
            <w:shd w:val="clear" w:color="auto" w:fill="auto"/>
            <w:noWrap/>
            <w:vAlign w:val="bottom"/>
            <w:hideMark/>
          </w:tcPr>
          <w:p w14:paraId="1FFD7C8A"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Outcomes (n = 241)</w:t>
            </w:r>
          </w:p>
        </w:tc>
      </w:tr>
      <w:tr w:rsidR="00406AEC" w:rsidRPr="00406AEC" w14:paraId="7E3FC4D8" w14:textId="77777777" w:rsidTr="00406AEC">
        <w:trPr>
          <w:trHeight w:val="300"/>
        </w:trPr>
        <w:tc>
          <w:tcPr>
            <w:tcW w:w="9360" w:type="dxa"/>
            <w:tcBorders>
              <w:top w:val="nil"/>
              <w:left w:val="nil"/>
              <w:bottom w:val="nil"/>
              <w:right w:val="nil"/>
            </w:tcBorders>
            <w:shd w:val="clear" w:color="auto" w:fill="auto"/>
            <w:noWrap/>
            <w:vAlign w:val="bottom"/>
            <w:hideMark/>
          </w:tcPr>
          <w:p w14:paraId="3236E01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Safety and Efficacy of BG00012 in Relapsing Remitting Multiple Sclerosis. http://wwwwhoint/trialsearch/Trial2aspx?TrialID=ACTRN12607000124437 </w:t>
            </w:r>
          </w:p>
        </w:tc>
      </w:tr>
      <w:tr w:rsidR="00406AEC" w:rsidRPr="00406AEC" w14:paraId="23BFC03D" w14:textId="77777777" w:rsidTr="00406AEC">
        <w:trPr>
          <w:trHeight w:val="300"/>
        </w:trPr>
        <w:tc>
          <w:tcPr>
            <w:tcW w:w="9360" w:type="dxa"/>
            <w:tcBorders>
              <w:top w:val="nil"/>
              <w:left w:val="nil"/>
              <w:bottom w:val="nil"/>
              <w:right w:val="nil"/>
            </w:tcBorders>
            <w:shd w:val="clear" w:color="auto" w:fill="auto"/>
            <w:noWrap/>
            <w:vAlign w:val="bottom"/>
            <w:hideMark/>
          </w:tcPr>
          <w:p w14:paraId="6F6F814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(2013) An Efficacy and Safety Study of BG00012 (Dimethyl Fumarate) in Asian Subjects With Relapsing Remitting Multiple Sclerosis (RRMS). https://clinicaltrialsgov/show/NCT01838668 </w:t>
            </w:r>
          </w:p>
        </w:tc>
      </w:tr>
      <w:tr w:rsidR="00406AEC" w:rsidRPr="00406AEC" w14:paraId="12D613AF" w14:textId="77777777" w:rsidTr="00406AEC">
        <w:trPr>
          <w:trHeight w:val="300"/>
        </w:trPr>
        <w:tc>
          <w:tcPr>
            <w:tcW w:w="9360" w:type="dxa"/>
            <w:tcBorders>
              <w:top w:val="nil"/>
              <w:left w:val="nil"/>
              <w:bottom w:val="nil"/>
              <w:right w:val="nil"/>
            </w:tcBorders>
            <w:shd w:val="clear" w:color="auto" w:fill="auto"/>
            <w:noWrap/>
            <w:vAlign w:val="bottom"/>
            <w:hideMark/>
          </w:tcPr>
          <w:p w14:paraId="0E3E9B3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(2013) Safety and Efficacy of Fingolimod in MS Patients in China. https://clinicaltrialsgov/show/NCT01941004 </w:t>
            </w:r>
          </w:p>
        </w:tc>
      </w:tr>
      <w:tr w:rsidR="00406AEC" w:rsidRPr="00406AEC" w14:paraId="41859384" w14:textId="77777777" w:rsidTr="00406AEC">
        <w:trPr>
          <w:trHeight w:val="300"/>
        </w:trPr>
        <w:tc>
          <w:tcPr>
            <w:tcW w:w="9360" w:type="dxa"/>
            <w:tcBorders>
              <w:top w:val="nil"/>
              <w:left w:val="nil"/>
              <w:bottom w:val="nil"/>
              <w:right w:val="nil"/>
            </w:tcBorders>
            <w:shd w:val="clear" w:color="auto" w:fill="auto"/>
            <w:noWrap/>
            <w:vAlign w:val="bottom"/>
            <w:hideMark/>
          </w:tcPr>
          <w:p w14:paraId="39BDCD9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(2014) The therapeutic effect of Avonex, Rebif and </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 xml:space="preserve"> on disability and quality of life in multiple sclerosis: a Randomized Clinical Trial. http://wwwwhoint/trialsearch/Trial2aspx?TrialID=IRCT201404195280N16 </w:t>
            </w:r>
          </w:p>
        </w:tc>
      </w:tr>
      <w:tr w:rsidR="00406AEC" w:rsidRPr="00406AEC" w14:paraId="0BA0966B" w14:textId="77777777" w:rsidTr="00406AEC">
        <w:trPr>
          <w:trHeight w:val="300"/>
        </w:trPr>
        <w:tc>
          <w:tcPr>
            <w:tcW w:w="9360" w:type="dxa"/>
            <w:tcBorders>
              <w:top w:val="nil"/>
              <w:left w:val="nil"/>
              <w:bottom w:val="nil"/>
              <w:right w:val="nil"/>
            </w:tcBorders>
            <w:shd w:val="clear" w:color="auto" w:fill="auto"/>
            <w:noWrap/>
            <w:vAlign w:val="bottom"/>
            <w:hideMark/>
          </w:tcPr>
          <w:p w14:paraId="3C79117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Study of Efficacy and Safety of Drugs BCD-033 and Rebif for Treatment of Patients With Multiple Sclerosis. https://clinicaltrialsgov/show/NCT02727907 </w:t>
            </w:r>
          </w:p>
        </w:tc>
      </w:tr>
      <w:tr w:rsidR="00406AEC" w:rsidRPr="00406AEC" w14:paraId="554E5716" w14:textId="77777777" w:rsidTr="00406AEC">
        <w:trPr>
          <w:trHeight w:val="300"/>
        </w:trPr>
        <w:tc>
          <w:tcPr>
            <w:tcW w:w="9360" w:type="dxa"/>
            <w:tcBorders>
              <w:top w:val="nil"/>
              <w:left w:val="nil"/>
              <w:bottom w:val="nil"/>
              <w:right w:val="nil"/>
            </w:tcBorders>
            <w:shd w:val="clear" w:color="auto" w:fill="auto"/>
            <w:noWrap/>
            <w:vAlign w:val="bottom"/>
            <w:hideMark/>
          </w:tcPr>
          <w:p w14:paraId="2AB74E9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(2016) Comparative Clinical Trial to Evaluate Efficacy, Safety and Tolerance of BCD-054 and Avonex(R) for Treatment of Patients With Remitting-relapsing Multiple Sclerosis. https://clinicaltrialsgov/show/NCT02744222 </w:t>
            </w:r>
          </w:p>
        </w:tc>
      </w:tr>
      <w:tr w:rsidR="00406AEC" w:rsidRPr="00406AEC" w14:paraId="0F2E7E17" w14:textId="77777777" w:rsidTr="00406AEC">
        <w:trPr>
          <w:trHeight w:val="300"/>
        </w:trPr>
        <w:tc>
          <w:tcPr>
            <w:tcW w:w="9360" w:type="dxa"/>
            <w:tcBorders>
              <w:top w:val="nil"/>
              <w:left w:val="nil"/>
              <w:bottom w:val="nil"/>
              <w:right w:val="nil"/>
            </w:tcBorders>
            <w:shd w:val="clear" w:color="auto" w:fill="auto"/>
            <w:noWrap/>
            <w:vAlign w:val="bottom"/>
            <w:hideMark/>
          </w:tcPr>
          <w:p w14:paraId="396FC03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Durable efficacy of cladribine tablets in patients with multiple sclerosis: analysis of relapse rates and </w:t>
            </w:r>
            <w:proofErr w:type="spellStart"/>
            <w:r w:rsidRPr="00406AEC">
              <w:rPr>
                <w:rFonts w:ascii="Times New Roman" w:eastAsia="Times New Roman" w:hAnsi="Times New Roman" w:cs="Times New Roman"/>
                <w:color w:val="000000"/>
                <w:szCs w:val="22"/>
              </w:rPr>
              <w:t>relapsefree</w:t>
            </w:r>
            <w:proofErr w:type="spellEnd"/>
            <w:r w:rsidRPr="00406AEC">
              <w:rPr>
                <w:rFonts w:ascii="Times New Roman" w:eastAsia="Times New Roman" w:hAnsi="Times New Roman" w:cs="Times New Roman"/>
                <w:color w:val="000000"/>
                <w:szCs w:val="22"/>
              </w:rPr>
              <w:t xml:space="preserve"> patients in the CLARITY and CLARITY extension studies.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Conference: Neuro 2017. Portugal. 17 (1): 160.</w:t>
            </w:r>
          </w:p>
        </w:tc>
      </w:tr>
      <w:tr w:rsidR="00406AEC" w:rsidRPr="00406AEC" w14:paraId="152EE624" w14:textId="77777777" w:rsidTr="00406AEC">
        <w:trPr>
          <w:trHeight w:val="300"/>
        </w:trPr>
        <w:tc>
          <w:tcPr>
            <w:tcW w:w="9360" w:type="dxa"/>
            <w:tcBorders>
              <w:top w:val="nil"/>
              <w:left w:val="nil"/>
              <w:bottom w:val="nil"/>
              <w:right w:val="nil"/>
            </w:tcBorders>
            <w:shd w:val="clear" w:color="auto" w:fill="auto"/>
            <w:noWrap/>
            <w:vAlign w:val="bottom"/>
            <w:hideMark/>
          </w:tcPr>
          <w:p w14:paraId="05A7E5F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Early fingolimod treatment improves disease outcomes at 2 and 4 years in patients with relapsing-remitting multiple sclerosis. Neurology Conference: 69th American Academy of Neurology Annual Meeting, AAN 88 (16 Supplement 1): </w:t>
            </w:r>
          </w:p>
        </w:tc>
      </w:tr>
      <w:tr w:rsidR="00406AEC" w:rsidRPr="00406AEC" w14:paraId="7E01CEF1" w14:textId="77777777" w:rsidTr="00406AEC">
        <w:trPr>
          <w:trHeight w:val="300"/>
        </w:trPr>
        <w:tc>
          <w:tcPr>
            <w:tcW w:w="9360" w:type="dxa"/>
            <w:tcBorders>
              <w:top w:val="nil"/>
              <w:left w:val="nil"/>
              <w:bottom w:val="nil"/>
              <w:right w:val="nil"/>
            </w:tcBorders>
            <w:shd w:val="clear" w:color="auto" w:fill="auto"/>
            <w:noWrap/>
            <w:vAlign w:val="bottom"/>
            <w:hideMark/>
          </w:tcPr>
          <w:p w14:paraId="433FB4A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(2017) Effect of fingolimod 0.5 mg/day vs placebo on two newly developed expanded disability status scale (EDSS) subscales for relapsing-remitting MS patients: EDSS factor analysis. Multiple sclerosis journal Conference: 7th Joint ECTRIMS-ACTRIMS, MSPARIS2017. France. 23 (3 Supplement 1): 655-656.</w:t>
            </w:r>
          </w:p>
        </w:tc>
      </w:tr>
      <w:tr w:rsidR="00406AEC" w:rsidRPr="00406AEC" w14:paraId="3B9F5292" w14:textId="77777777" w:rsidTr="00406AEC">
        <w:trPr>
          <w:trHeight w:val="300"/>
        </w:trPr>
        <w:tc>
          <w:tcPr>
            <w:tcW w:w="9360" w:type="dxa"/>
            <w:tcBorders>
              <w:top w:val="nil"/>
              <w:left w:val="nil"/>
              <w:bottom w:val="nil"/>
              <w:right w:val="nil"/>
            </w:tcBorders>
            <w:shd w:val="clear" w:color="auto" w:fill="auto"/>
            <w:noWrap/>
            <w:vAlign w:val="bottom"/>
            <w:hideMark/>
          </w:tcPr>
          <w:p w14:paraId="266CEBD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(2017) Infusion-related reactions with ocrelizumab in phase III studies. Multiple sclerosis journal Conference: 7th Joint ECTRIMS-ACTRIMS, MSPARIS2017. France. 23 (3 Supplement 1): 878-879.</w:t>
            </w:r>
          </w:p>
        </w:tc>
      </w:tr>
      <w:tr w:rsidR="00406AEC" w:rsidRPr="00406AEC" w14:paraId="397CFAC5" w14:textId="77777777" w:rsidTr="00406AEC">
        <w:trPr>
          <w:trHeight w:val="300"/>
        </w:trPr>
        <w:tc>
          <w:tcPr>
            <w:tcW w:w="9360" w:type="dxa"/>
            <w:tcBorders>
              <w:top w:val="nil"/>
              <w:left w:val="nil"/>
              <w:bottom w:val="nil"/>
              <w:right w:val="nil"/>
            </w:tcBorders>
            <w:shd w:val="clear" w:color="auto" w:fill="auto"/>
            <w:noWrap/>
            <w:vAlign w:val="bottom"/>
            <w:hideMark/>
          </w:tcPr>
          <w:p w14:paraId="6A2F73D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Efficacy and Safety of Ofatumumab Compared to Placebo in Patients With Relapsing Multiple Sclerosis Followed by Extended Treatment With Open-label Ofatumumab. https://clinicaltrialsgov/show/NCT03249714 </w:t>
            </w:r>
          </w:p>
        </w:tc>
      </w:tr>
      <w:tr w:rsidR="00406AEC" w:rsidRPr="00406AEC" w14:paraId="2DB27DF8" w14:textId="77777777" w:rsidTr="00406AEC">
        <w:trPr>
          <w:trHeight w:val="300"/>
        </w:trPr>
        <w:tc>
          <w:tcPr>
            <w:tcW w:w="9360" w:type="dxa"/>
            <w:tcBorders>
              <w:top w:val="nil"/>
              <w:left w:val="nil"/>
              <w:bottom w:val="nil"/>
              <w:right w:val="nil"/>
            </w:tcBorders>
            <w:shd w:val="clear" w:color="auto" w:fill="auto"/>
            <w:noWrap/>
            <w:vAlign w:val="bottom"/>
            <w:hideMark/>
          </w:tcPr>
          <w:p w14:paraId="0AAD195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Dynamics of pseudo-atrophy in relapsing-remitting MS patients treated with interferon beta-1a as assessed by monthly brain MRI. Multiple sclerosis journal 24 (2): 416-417.</w:t>
            </w:r>
          </w:p>
        </w:tc>
      </w:tr>
      <w:tr w:rsidR="00406AEC" w:rsidRPr="00406AEC" w14:paraId="502FE18B" w14:textId="77777777" w:rsidTr="00406AEC">
        <w:trPr>
          <w:trHeight w:val="300"/>
        </w:trPr>
        <w:tc>
          <w:tcPr>
            <w:tcW w:w="9360" w:type="dxa"/>
            <w:tcBorders>
              <w:top w:val="nil"/>
              <w:left w:val="nil"/>
              <w:bottom w:val="nil"/>
              <w:right w:val="nil"/>
            </w:tcBorders>
            <w:shd w:val="clear" w:color="auto" w:fill="auto"/>
            <w:noWrap/>
            <w:vAlign w:val="bottom"/>
            <w:hideMark/>
          </w:tcPr>
          <w:p w14:paraId="339758A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Fingolimod effect on gray matter, thalamus, and white matter in patients with multiple sclerosis. Neurology 90 (15): e1324-e1332.</w:t>
            </w:r>
          </w:p>
        </w:tc>
      </w:tr>
      <w:tr w:rsidR="00406AEC" w:rsidRPr="00406AEC" w14:paraId="24712D52" w14:textId="77777777" w:rsidTr="00406AEC">
        <w:trPr>
          <w:trHeight w:val="300"/>
        </w:trPr>
        <w:tc>
          <w:tcPr>
            <w:tcW w:w="9360" w:type="dxa"/>
            <w:tcBorders>
              <w:top w:val="nil"/>
              <w:left w:val="nil"/>
              <w:bottom w:val="nil"/>
              <w:right w:val="nil"/>
            </w:tcBorders>
            <w:shd w:val="clear" w:color="auto" w:fill="auto"/>
            <w:noWrap/>
            <w:vAlign w:val="bottom"/>
            <w:hideMark/>
          </w:tcPr>
          <w:p w14:paraId="57EC6F2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Infection risk with alemtuzumab decreases over time: pooled analysis of 6-year data from the CAMMS223, CARE-MS I, and CARE-MS II studies and the CAMMS03409 extension study. Multiple sclerosis journal </w:t>
            </w:r>
          </w:p>
        </w:tc>
      </w:tr>
      <w:tr w:rsidR="00406AEC" w:rsidRPr="00406AEC" w14:paraId="69BC7E9E" w14:textId="77777777" w:rsidTr="00406AEC">
        <w:trPr>
          <w:trHeight w:val="300"/>
        </w:trPr>
        <w:tc>
          <w:tcPr>
            <w:tcW w:w="9360" w:type="dxa"/>
            <w:tcBorders>
              <w:top w:val="nil"/>
              <w:left w:val="nil"/>
              <w:bottom w:val="nil"/>
              <w:right w:val="nil"/>
            </w:tcBorders>
            <w:shd w:val="clear" w:color="auto" w:fill="auto"/>
            <w:noWrap/>
            <w:vAlign w:val="bottom"/>
            <w:hideMark/>
          </w:tcPr>
          <w:p w14:paraId="24E469D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Rapid onset of ocrelizumab suppression of brain MRI activity in relapsing-remitting multiple sclerosis. Multiple sclerosis journal Conference: 4th Middle East North Africa </w:t>
            </w:r>
            <w:r w:rsidRPr="00406AEC">
              <w:rPr>
                <w:rFonts w:ascii="Times New Roman" w:eastAsia="Times New Roman" w:hAnsi="Times New Roman" w:cs="Times New Roman"/>
                <w:color w:val="000000"/>
                <w:szCs w:val="22"/>
              </w:rPr>
              <w:lastRenderedPageBreak/>
              <w:t>Committee for Research and Treatment in Multiple Sclerosis, MENACTRIMS 2018. United Arab Emirates. 24 (2): NP14-NP15.</w:t>
            </w:r>
          </w:p>
        </w:tc>
      </w:tr>
      <w:tr w:rsidR="00406AEC" w:rsidRPr="00406AEC" w14:paraId="18E1CFDA" w14:textId="77777777" w:rsidTr="00406AEC">
        <w:trPr>
          <w:trHeight w:val="300"/>
        </w:trPr>
        <w:tc>
          <w:tcPr>
            <w:tcW w:w="9360" w:type="dxa"/>
            <w:tcBorders>
              <w:top w:val="nil"/>
              <w:left w:val="nil"/>
              <w:bottom w:val="nil"/>
              <w:right w:val="nil"/>
            </w:tcBorders>
            <w:shd w:val="clear" w:color="auto" w:fill="auto"/>
            <w:noWrap/>
            <w:vAlign w:val="bottom"/>
            <w:hideMark/>
          </w:tcPr>
          <w:p w14:paraId="7F5271B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(2018) Siponimod reduces neurofilament light chain blood levels in secondary progressive multiple sclerosis patients. Neurology Conference: 70th Annual Meeting of the American Academy of Neurology, AAN 90 (15 Supplement 1): </w:t>
            </w:r>
          </w:p>
        </w:tc>
      </w:tr>
      <w:tr w:rsidR="00406AEC" w:rsidRPr="00406AEC" w14:paraId="6A96D868" w14:textId="77777777" w:rsidTr="00406AEC">
        <w:trPr>
          <w:trHeight w:val="300"/>
        </w:trPr>
        <w:tc>
          <w:tcPr>
            <w:tcW w:w="9360" w:type="dxa"/>
            <w:tcBorders>
              <w:top w:val="nil"/>
              <w:left w:val="nil"/>
              <w:bottom w:val="nil"/>
              <w:right w:val="nil"/>
            </w:tcBorders>
            <w:shd w:val="clear" w:color="auto" w:fill="auto"/>
            <w:noWrap/>
            <w:vAlign w:val="bottom"/>
            <w:hideMark/>
          </w:tcPr>
          <w:p w14:paraId="29EFAB9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Dynamics of pseudo-atrophy in RRMS patients treated with interferon beta-1a as assessed by monthly brain MRI. European journal of neurology 26 486-487.</w:t>
            </w:r>
          </w:p>
        </w:tc>
      </w:tr>
      <w:tr w:rsidR="00406AEC" w:rsidRPr="00406AEC" w14:paraId="6791DA1D" w14:textId="77777777" w:rsidTr="00406AEC">
        <w:trPr>
          <w:trHeight w:val="300"/>
        </w:trPr>
        <w:tc>
          <w:tcPr>
            <w:tcW w:w="9360" w:type="dxa"/>
            <w:tcBorders>
              <w:top w:val="nil"/>
              <w:left w:val="nil"/>
              <w:bottom w:val="nil"/>
              <w:right w:val="nil"/>
            </w:tcBorders>
            <w:shd w:val="clear" w:color="auto" w:fill="auto"/>
            <w:noWrap/>
            <w:vAlign w:val="bottom"/>
            <w:hideMark/>
          </w:tcPr>
          <w:p w14:paraId="37F9071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Effects of cladribine tablets on heart rate, atrio-ventricular </w:t>
            </w:r>
            <w:proofErr w:type="gramStart"/>
            <w:r w:rsidRPr="00406AEC">
              <w:rPr>
                <w:rFonts w:ascii="Times New Roman" w:eastAsia="Times New Roman" w:hAnsi="Times New Roman" w:cs="Times New Roman"/>
                <w:color w:val="000000"/>
                <w:szCs w:val="22"/>
              </w:rPr>
              <w:t>conduction</w:t>
            </w:r>
            <w:proofErr w:type="gramEnd"/>
            <w:r w:rsidRPr="00406AEC">
              <w:rPr>
                <w:rFonts w:ascii="Times New Roman" w:eastAsia="Times New Roman" w:hAnsi="Times New Roman" w:cs="Times New Roman"/>
                <w:color w:val="000000"/>
                <w:szCs w:val="22"/>
              </w:rPr>
              <w:t xml:space="preserve"> and cardiac repolarization in patients with relapsing multiple sclerosis. British Journal of Clinical Pharmacology </w:t>
            </w:r>
          </w:p>
        </w:tc>
      </w:tr>
      <w:tr w:rsidR="00406AEC" w:rsidRPr="00406AEC" w14:paraId="283E8EDF" w14:textId="77777777" w:rsidTr="00406AEC">
        <w:trPr>
          <w:trHeight w:val="300"/>
        </w:trPr>
        <w:tc>
          <w:tcPr>
            <w:tcW w:w="9360" w:type="dxa"/>
            <w:tcBorders>
              <w:top w:val="nil"/>
              <w:left w:val="nil"/>
              <w:bottom w:val="nil"/>
              <w:right w:val="nil"/>
            </w:tcBorders>
            <w:shd w:val="clear" w:color="auto" w:fill="auto"/>
            <w:noWrap/>
            <w:vAlign w:val="bottom"/>
            <w:hideMark/>
          </w:tcPr>
          <w:p w14:paraId="616985C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Efficacy of dimethyl fumarate in Japanese MS patient in phase 3 apex study and the open label extension study: 72 weeks interim analysis. Multiple sclerosis journal 25 (3): 457-.</w:t>
            </w:r>
          </w:p>
        </w:tc>
      </w:tr>
      <w:tr w:rsidR="00406AEC" w:rsidRPr="00406AEC" w14:paraId="0DBAEBEA" w14:textId="77777777" w:rsidTr="00406AEC">
        <w:trPr>
          <w:trHeight w:val="300"/>
        </w:trPr>
        <w:tc>
          <w:tcPr>
            <w:tcW w:w="9360" w:type="dxa"/>
            <w:tcBorders>
              <w:top w:val="nil"/>
              <w:left w:val="nil"/>
              <w:bottom w:val="nil"/>
              <w:right w:val="nil"/>
            </w:tcBorders>
            <w:shd w:val="clear" w:color="auto" w:fill="auto"/>
            <w:noWrap/>
            <w:vAlign w:val="bottom"/>
            <w:hideMark/>
          </w:tcPr>
          <w:p w14:paraId="02FBB77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Long-term effect of fingolimod in reducing blood neurofilament light levels in patients with relapsing-remitting multiple sclerosis. Neurology 92 (15): </w:t>
            </w:r>
          </w:p>
        </w:tc>
      </w:tr>
      <w:tr w:rsidR="00406AEC" w:rsidRPr="00406AEC" w14:paraId="2D0D0928" w14:textId="77777777" w:rsidTr="00406AEC">
        <w:trPr>
          <w:trHeight w:val="300"/>
        </w:trPr>
        <w:tc>
          <w:tcPr>
            <w:tcW w:w="9360" w:type="dxa"/>
            <w:tcBorders>
              <w:top w:val="nil"/>
              <w:left w:val="nil"/>
              <w:bottom w:val="nil"/>
              <w:right w:val="nil"/>
            </w:tcBorders>
            <w:shd w:val="clear" w:color="auto" w:fill="auto"/>
            <w:noWrap/>
            <w:vAlign w:val="bottom"/>
            <w:hideMark/>
          </w:tcPr>
          <w:p w14:paraId="56F917A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Magnetic resonance spectroscopy evidence for declining gliosis in MS patients treated with ocrelizumab versus interferon beta-1a. Multiple Sclerosis Journal Experimental, Translational and Clinical 5 (4): </w:t>
            </w:r>
          </w:p>
        </w:tc>
      </w:tr>
      <w:tr w:rsidR="00406AEC" w:rsidRPr="00406AEC" w14:paraId="714F496A" w14:textId="77777777" w:rsidTr="00406AEC">
        <w:trPr>
          <w:trHeight w:val="300"/>
        </w:trPr>
        <w:tc>
          <w:tcPr>
            <w:tcW w:w="9360" w:type="dxa"/>
            <w:tcBorders>
              <w:top w:val="nil"/>
              <w:left w:val="nil"/>
              <w:bottom w:val="nil"/>
              <w:right w:val="nil"/>
            </w:tcBorders>
            <w:shd w:val="clear" w:color="auto" w:fill="auto"/>
            <w:noWrap/>
            <w:vAlign w:val="bottom"/>
            <w:hideMark/>
          </w:tcPr>
          <w:p w14:paraId="682512C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Natalizumab reduces serum concentrations of neurofilament light chain in secondary progressive multiple sclerosis patients from the phase 3 ascend study. Neurology 92 (15): </w:t>
            </w:r>
          </w:p>
        </w:tc>
      </w:tr>
      <w:tr w:rsidR="00406AEC" w:rsidRPr="00406AEC" w14:paraId="361DD9DE" w14:textId="77777777" w:rsidTr="00406AEC">
        <w:trPr>
          <w:trHeight w:val="300"/>
        </w:trPr>
        <w:tc>
          <w:tcPr>
            <w:tcW w:w="9360" w:type="dxa"/>
            <w:tcBorders>
              <w:top w:val="nil"/>
              <w:left w:val="nil"/>
              <w:bottom w:val="nil"/>
              <w:right w:val="nil"/>
            </w:tcBorders>
            <w:shd w:val="clear" w:color="auto" w:fill="auto"/>
            <w:noWrap/>
            <w:vAlign w:val="bottom"/>
            <w:hideMark/>
          </w:tcPr>
          <w:p w14:paraId="09C06CE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(2019) A Study to </w:t>
            </w:r>
            <w:proofErr w:type="gramStart"/>
            <w:r w:rsidRPr="00406AEC">
              <w:rPr>
                <w:rFonts w:ascii="Times New Roman" w:eastAsia="Times New Roman" w:hAnsi="Times New Roman" w:cs="Times New Roman"/>
                <w:color w:val="000000"/>
                <w:szCs w:val="22"/>
              </w:rPr>
              <w:t>Asses</w:t>
            </w:r>
            <w:proofErr w:type="gramEnd"/>
            <w:r w:rsidRPr="00406AEC">
              <w:rPr>
                <w:rFonts w:ascii="Times New Roman" w:eastAsia="Times New Roman" w:hAnsi="Times New Roman" w:cs="Times New Roman"/>
                <w:color w:val="000000"/>
                <w:szCs w:val="22"/>
              </w:rPr>
              <w:t xml:space="preserve"> Efficacy, Safety and Tolerability of Monthly Long-acting IM Injection of GA Depot in Subjects With RMS. https://clinicaltrialsgov/show/NCT04121221 </w:t>
            </w:r>
          </w:p>
        </w:tc>
      </w:tr>
      <w:tr w:rsidR="00406AEC" w:rsidRPr="00406AEC" w14:paraId="3E891025" w14:textId="77777777" w:rsidTr="00406AEC">
        <w:trPr>
          <w:trHeight w:val="300"/>
        </w:trPr>
        <w:tc>
          <w:tcPr>
            <w:tcW w:w="9360" w:type="dxa"/>
            <w:tcBorders>
              <w:top w:val="nil"/>
              <w:left w:val="nil"/>
              <w:bottom w:val="nil"/>
              <w:right w:val="nil"/>
            </w:tcBorders>
            <w:shd w:val="clear" w:color="auto" w:fill="auto"/>
            <w:noWrap/>
            <w:vAlign w:val="bottom"/>
            <w:hideMark/>
          </w:tcPr>
          <w:p w14:paraId="323BE33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(2021) A study to assess if </w:t>
            </w:r>
            <w:proofErr w:type="spellStart"/>
            <w:r w:rsidRPr="00406AEC">
              <w:rPr>
                <w:rFonts w:ascii="Times New Roman" w:eastAsia="Times New Roman" w:hAnsi="Times New Roman" w:cs="Times New Roman"/>
                <w:color w:val="000000"/>
                <w:szCs w:val="22"/>
              </w:rPr>
              <w:t>Fenebrutinib</w:t>
            </w:r>
            <w:proofErr w:type="spellEnd"/>
            <w:r w:rsidRPr="00406AEC">
              <w:rPr>
                <w:rFonts w:ascii="Times New Roman" w:eastAsia="Times New Roman" w:hAnsi="Times New Roman" w:cs="Times New Roman"/>
                <w:color w:val="000000"/>
                <w:szCs w:val="22"/>
              </w:rPr>
              <w:t xml:space="preserve"> compared with Teriflunomide is safe and effective in adult patients with relapsing multiple sclerosis. A phase III multicenter, </w:t>
            </w:r>
            <w:proofErr w:type="spellStart"/>
            <w:r w:rsidRPr="00406AEC">
              <w:rPr>
                <w:rFonts w:ascii="Times New Roman" w:eastAsia="Times New Roman" w:hAnsi="Times New Roman" w:cs="Times New Roman"/>
                <w:color w:val="000000"/>
                <w:szCs w:val="22"/>
              </w:rPr>
              <w:t>randomized,double</w:t>
            </w:r>
            <w:proofErr w:type="spellEnd"/>
            <w:r w:rsidRPr="00406AEC">
              <w:rPr>
                <w:rFonts w:ascii="Times New Roman" w:eastAsia="Times New Roman" w:hAnsi="Times New Roman" w:cs="Times New Roman"/>
                <w:color w:val="000000"/>
                <w:szCs w:val="22"/>
              </w:rPr>
              <w:t>-blind, double-</w:t>
            </w:r>
            <w:proofErr w:type="spellStart"/>
            <w:r w:rsidRPr="00406AEC">
              <w:rPr>
                <w:rFonts w:ascii="Times New Roman" w:eastAsia="Times New Roman" w:hAnsi="Times New Roman" w:cs="Times New Roman"/>
                <w:color w:val="000000"/>
                <w:szCs w:val="22"/>
              </w:rPr>
              <w:t>dummy,parallel</w:t>
            </w:r>
            <w:proofErr w:type="spellEnd"/>
            <w:r w:rsidRPr="00406AEC">
              <w:rPr>
                <w:rFonts w:ascii="Times New Roman" w:eastAsia="Times New Roman" w:hAnsi="Times New Roman" w:cs="Times New Roman"/>
                <w:color w:val="000000"/>
                <w:szCs w:val="22"/>
              </w:rPr>
              <w:t xml:space="preserve">-group study to evaluate the efficacy and safety of </w:t>
            </w:r>
            <w:proofErr w:type="spellStart"/>
            <w:r w:rsidRPr="00406AEC">
              <w:rPr>
                <w:rFonts w:ascii="Times New Roman" w:eastAsia="Times New Roman" w:hAnsi="Times New Roman" w:cs="Times New Roman"/>
                <w:color w:val="000000"/>
                <w:szCs w:val="22"/>
              </w:rPr>
              <w:t>fenebrutinib</w:t>
            </w:r>
            <w:proofErr w:type="spellEnd"/>
            <w:r w:rsidRPr="00406AEC">
              <w:rPr>
                <w:rFonts w:ascii="Times New Roman" w:eastAsia="Times New Roman" w:hAnsi="Times New Roman" w:cs="Times New Roman"/>
                <w:color w:val="000000"/>
                <w:szCs w:val="22"/>
              </w:rPr>
              <w:t xml:space="preserve"> compared with teriflunomide in adult patients with relapsing multiple sclerosis </w:t>
            </w:r>
          </w:p>
        </w:tc>
      </w:tr>
      <w:tr w:rsidR="00406AEC" w:rsidRPr="00406AEC" w14:paraId="67E9A90A" w14:textId="77777777" w:rsidTr="00406AEC">
        <w:trPr>
          <w:trHeight w:val="300"/>
        </w:trPr>
        <w:tc>
          <w:tcPr>
            <w:tcW w:w="9360" w:type="dxa"/>
            <w:tcBorders>
              <w:top w:val="nil"/>
              <w:left w:val="nil"/>
              <w:bottom w:val="nil"/>
              <w:right w:val="nil"/>
            </w:tcBorders>
            <w:shd w:val="clear" w:color="auto" w:fill="auto"/>
            <w:noWrap/>
            <w:vAlign w:val="bottom"/>
            <w:hideMark/>
          </w:tcPr>
          <w:p w14:paraId="2B3D40B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(2021) </w:t>
            </w:r>
            <w:proofErr w:type="spellStart"/>
            <w:r w:rsidRPr="00406AEC">
              <w:rPr>
                <w:rFonts w:ascii="Times New Roman" w:eastAsia="Times New Roman" w:hAnsi="Times New Roman" w:cs="Times New Roman"/>
                <w:color w:val="000000"/>
                <w:szCs w:val="22"/>
              </w:rPr>
              <w:t>ChariotMS</w:t>
            </w:r>
            <w:proofErr w:type="spellEnd"/>
            <w:r w:rsidRPr="00406AEC">
              <w:rPr>
                <w:rFonts w:ascii="Times New Roman" w:eastAsia="Times New Roman" w:hAnsi="Times New Roman" w:cs="Times New Roman"/>
                <w:color w:val="000000"/>
                <w:szCs w:val="22"/>
              </w:rPr>
              <w:t xml:space="preserve"> - Cladribine to Halt Deterioration in People With Advanced Multiple Sclerosis. </w:t>
            </w:r>
            <w:proofErr w:type="spellStart"/>
            <w:r w:rsidRPr="00406AEC">
              <w:rPr>
                <w:rFonts w:ascii="Times New Roman" w:eastAsia="Times New Roman" w:hAnsi="Times New Roman" w:cs="Times New Roman"/>
                <w:color w:val="000000"/>
                <w:szCs w:val="22"/>
              </w:rPr>
              <w:t>ChariotMS</w:t>
            </w:r>
            <w:proofErr w:type="spellEnd"/>
            <w:r w:rsidRPr="00406AEC">
              <w:rPr>
                <w:rFonts w:ascii="Times New Roman" w:eastAsia="Times New Roman" w:hAnsi="Times New Roman" w:cs="Times New Roman"/>
                <w:color w:val="000000"/>
                <w:szCs w:val="22"/>
              </w:rPr>
              <w:t xml:space="preserve"> - A National (UK) Phase IIb, Multi-</w:t>
            </w:r>
            <w:proofErr w:type="spellStart"/>
            <w:r w:rsidRPr="00406AEC">
              <w:rPr>
                <w:rFonts w:ascii="Times New Roman" w:eastAsia="Times New Roman" w:hAnsi="Times New Roman" w:cs="Times New Roman"/>
                <w:color w:val="000000"/>
                <w:szCs w:val="22"/>
              </w:rPr>
              <w:t>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 Controlled (1: 1) Efficacy Trial With Cost-utility Analysis of Cladribine Tablets (35mg/kg Over Two Years) in People With Advanced Multiple Sclerosis Is Cladribine Superior to Placebo in Protecting Upper Limb Function? </w:t>
            </w:r>
          </w:p>
        </w:tc>
      </w:tr>
      <w:tr w:rsidR="00406AEC" w:rsidRPr="00406AEC" w14:paraId="42F37508" w14:textId="77777777" w:rsidTr="00406AEC">
        <w:trPr>
          <w:trHeight w:val="300"/>
        </w:trPr>
        <w:tc>
          <w:tcPr>
            <w:tcW w:w="9360" w:type="dxa"/>
            <w:tcBorders>
              <w:top w:val="nil"/>
              <w:left w:val="nil"/>
              <w:bottom w:val="nil"/>
              <w:right w:val="nil"/>
            </w:tcBorders>
            <w:shd w:val="clear" w:color="auto" w:fill="auto"/>
            <w:noWrap/>
            <w:vAlign w:val="bottom"/>
            <w:hideMark/>
          </w:tcPr>
          <w:p w14:paraId="0A06D3A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Afolabi D, Albor C, Altmann DR, Zalewski L, Baker D et al. (2017) Cladribine tablets treating multiple sclerosis orally (CLARITY): an independent analysis of the quality of life data. Multiple sclerosis journal 23 (3): 423-.</w:t>
            </w:r>
          </w:p>
        </w:tc>
      </w:tr>
      <w:tr w:rsidR="00406AEC" w:rsidRPr="00406AEC" w14:paraId="1C352559" w14:textId="77777777" w:rsidTr="00406AEC">
        <w:trPr>
          <w:trHeight w:val="300"/>
        </w:trPr>
        <w:tc>
          <w:tcPr>
            <w:tcW w:w="9360" w:type="dxa"/>
            <w:tcBorders>
              <w:top w:val="nil"/>
              <w:left w:val="nil"/>
              <w:bottom w:val="nil"/>
              <w:right w:val="nil"/>
            </w:tcBorders>
            <w:shd w:val="clear" w:color="auto" w:fill="auto"/>
            <w:noWrap/>
            <w:vAlign w:val="bottom"/>
            <w:hideMark/>
          </w:tcPr>
          <w:p w14:paraId="10DD7DF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Arnason B, O'Connor P,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K, Pohl C, Bogumil T et al. (2009) Depression incidence and course in multiple sclerosis patients treated with interferon beta-1b and glatiramer acetate during the BEYOND trial. Journal of the Neurological Sciences 285 (Suppl 1): S211.</w:t>
            </w:r>
          </w:p>
        </w:tc>
      </w:tr>
      <w:tr w:rsidR="00406AEC" w:rsidRPr="00406AEC" w14:paraId="51C51D8C" w14:textId="77777777" w:rsidTr="00406AEC">
        <w:trPr>
          <w:trHeight w:val="300"/>
        </w:trPr>
        <w:tc>
          <w:tcPr>
            <w:tcW w:w="9360" w:type="dxa"/>
            <w:tcBorders>
              <w:top w:val="nil"/>
              <w:left w:val="nil"/>
              <w:bottom w:val="nil"/>
              <w:right w:val="nil"/>
            </w:tcBorders>
            <w:shd w:val="clear" w:color="auto" w:fill="auto"/>
            <w:noWrap/>
            <w:vAlign w:val="bottom"/>
            <w:hideMark/>
          </w:tcPr>
          <w:p w14:paraId="3DE693E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 Fox R,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4-year follow-up of delayed-release dimethyl fumarate treatment in relapsing-remitting multiple sclerosis (RRMS): Integrated magnetic resonance imaging (MRI) outcomes from define, confirm, and the endorse extension study. Neurology 82 (10 SUPPL. 1): CONFERENCE START: 2014 Apr 2026 CONFERENCE END: 2014 May 2013.</w:t>
            </w:r>
          </w:p>
        </w:tc>
      </w:tr>
      <w:tr w:rsidR="00406AEC" w:rsidRPr="00406AEC" w14:paraId="59194D92" w14:textId="77777777" w:rsidTr="00406AEC">
        <w:trPr>
          <w:trHeight w:val="300"/>
        </w:trPr>
        <w:tc>
          <w:tcPr>
            <w:tcW w:w="9360" w:type="dxa"/>
            <w:tcBorders>
              <w:top w:val="nil"/>
              <w:left w:val="nil"/>
              <w:bottom w:val="nil"/>
              <w:right w:val="nil"/>
            </w:tcBorders>
            <w:shd w:val="clear" w:color="auto" w:fill="auto"/>
            <w:noWrap/>
            <w:vAlign w:val="bottom"/>
            <w:hideMark/>
          </w:tcPr>
          <w:p w14:paraId="120B5DC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Arnold D, Gold R, Kappos L, Bar-Or A, Giovannoni G et al. Effects of BG-12 on magnetization transfer ratio in whole brain and normal-appearing brain tissue: Findings from the DEFINE study. Neurology 78 (1 Meeting Abstract): CONFERENCE START: 2012 Apr 2021 CONFERENCE END: 2012 Apr 2028.</w:t>
            </w:r>
          </w:p>
        </w:tc>
      </w:tr>
      <w:tr w:rsidR="00406AEC" w:rsidRPr="00406AEC" w14:paraId="336F384D" w14:textId="77777777" w:rsidTr="00406AEC">
        <w:trPr>
          <w:trHeight w:val="300"/>
        </w:trPr>
        <w:tc>
          <w:tcPr>
            <w:tcW w:w="9360" w:type="dxa"/>
            <w:tcBorders>
              <w:top w:val="nil"/>
              <w:left w:val="nil"/>
              <w:bottom w:val="nil"/>
              <w:right w:val="nil"/>
            </w:tcBorders>
            <w:shd w:val="clear" w:color="auto" w:fill="auto"/>
            <w:noWrap/>
            <w:vAlign w:val="bottom"/>
            <w:hideMark/>
          </w:tcPr>
          <w:p w14:paraId="3AC1AF4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Sheikh S,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Zhu Y et al. Peginterferon beta-1a significantly increases the proportion of patients with freedom from measured disease activity in relapsing-remitting multiple sclerosis: Findings from the advance study. Neurology 82 (10 SUPPL. 1): CONFERENCE START: 2014 Apr 2026 CONFERENCE END: 2014 May 2013.</w:t>
            </w:r>
          </w:p>
        </w:tc>
      </w:tr>
      <w:tr w:rsidR="00406AEC" w:rsidRPr="00406AEC" w14:paraId="55C16AA0" w14:textId="77777777" w:rsidTr="00406AEC">
        <w:trPr>
          <w:trHeight w:val="300"/>
        </w:trPr>
        <w:tc>
          <w:tcPr>
            <w:tcW w:w="9360" w:type="dxa"/>
            <w:tcBorders>
              <w:top w:val="nil"/>
              <w:left w:val="nil"/>
              <w:bottom w:val="nil"/>
              <w:right w:val="nil"/>
            </w:tcBorders>
            <w:shd w:val="clear" w:color="auto" w:fill="auto"/>
            <w:noWrap/>
            <w:vAlign w:val="bottom"/>
            <w:hideMark/>
          </w:tcPr>
          <w:p w14:paraId="4CCFAA3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 Traboulsee A, Coles A, Cohen J, Fox E et al. (2015) Durable effect of alemtuzumab on MRI activity in treatment-naive active relapsing-remitting multiple sclerosis patients: 4-year follow-up of CARE-MS I. Neurology 84 (18): </w:t>
            </w:r>
          </w:p>
        </w:tc>
      </w:tr>
      <w:tr w:rsidR="00406AEC" w:rsidRPr="00406AEC" w14:paraId="2658C704" w14:textId="77777777" w:rsidTr="00406AEC">
        <w:trPr>
          <w:trHeight w:val="300"/>
        </w:trPr>
        <w:tc>
          <w:tcPr>
            <w:tcW w:w="9360" w:type="dxa"/>
            <w:tcBorders>
              <w:top w:val="nil"/>
              <w:left w:val="nil"/>
              <w:bottom w:val="nil"/>
              <w:right w:val="nil"/>
            </w:tcBorders>
            <w:shd w:val="clear" w:color="auto" w:fill="auto"/>
            <w:noWrap/>
            <w:vAlign w:val="bottom"/>
            <w:hideMark/>
          </w:tcPr>
          <w:p w14:paraId="78245EE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(2014) 4-year follow-up of delayed-release dimethyl fumarate treatment in relapsing-remitting multiple sclerosis (RRMS): Integrated MRI outcomes from DEFINE, CONFIRM, and the ENDORSE extension study. Journal of Neurology 261 (31): </w:t>
            </w:r>
          </w:p>
        </w:tc>
      </w:tr>
      <w:tr w:rsidR="00406AEC" w:rsidRPr="00406AEC" w14:paraId="091D096E" w14:textId="77777777" w:rsidTr="00406AEC">
        <w:trPr>
          <w:trHeight w:val="300"/>
        </w:trPr>
        <w:tc>
          <w:tcPr>
            <w:tcW w:w="9360" w:type="dxa"/>
            <w:tcBorders>
              <w:top w:val="nil"/>
              <w:left w:val="nil"/>
              <w:bottom w:val="nil"/>
              <w:right w:val="nil"/>
            </w:tcBorders>
            <w:shd w:val="clear" w:color="auto" w:fill="auto"/>
            <w:noWrap/>
            <w:vAlign w:val="bottom"/>
            <w:hideMark/>
          </w:tcPr>
          <w:p w14:paraId="36D79FD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Gold R, Kappos L, Bar-Or A, Giovannoni G et al. Effects of BG-12 on magnetic resonance imaging and </w:t>
            </w:r>
            <w:proofErr w:type="spellStart"/>
            <w:r w:rsidRPr="00406AEC">
              <w:rPr>
                <w:rFonts w:ascii="Times New Roman" w:eastAsia="Times New Roman" w:hAnsi="Times New Roman" w:cs="Times New Roman"/>
                <w:color w:val="000000"/>
                <w:szCs w:val="22"/>
              </w:rPr>
              <w:t>magnetisation</w:t>
            </w:r>
            <w:proofErr w:type="spellEnd"/>
            <w:r w:rsidRPr="00406AEC">
              <w:rPr>
                <w:rFonts w:ascii="Times New Roman" w:eastAsia="Times New Roman" w:hAnsi="Times New Roman" w:cs="Times New Roman"/>
                <w:color w:val="000000"/>
                <w:szCs w:val="22"/>
              </w:rPr>
              <w:t xml:space="preserve"> transfer ratio outcomes in relapsing-remitting multiple sclerosis: Findings from the phase 3 DEFINE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214-215.</w:t>
            </w:r>
          </w:p>
        </w:tc>
      </w:tr>
      <w:tr w:rsidR="00406AEC" w:rsidRPr="00406AEC" w14:paraId="15D858BF" w14:textId="77777777" w:rsidTr="00406AEC">
        <w:trPr>
          <w:trHeight w:val="300"/>
        </w:trPr>
        <w:tc>
          <w:tcPr>
            <w:tcW w:w="9360" w:type="dxa"/>
            <w:tcBorders>
              <w:top w:val="nil"/>
              <w:left w:val="nil"/>
              <w:bottom w:val="nil"/>
              <w:right w:val="nil"/>
            </w:tcBorders>
            <w:shd w:val="clear" w:color="auto" w:fill="auto"/>
            <w:noWrap/>
            <w:vAlign w:val="bottom"/>
            <w:hideMark/>
          </w:tcPr>
          <w:p w14:paraId="39FF652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Arnold DL, Gold R, Kappos L, Bar-Or A, Giovannoni G et al. (2014) Magnetization transfer ratio in the delayed-release dimethyl fumarate DEFINE study. Journal of Neurology 261 (12): 2429-2437.</w:t>
            </w:r>
          </w:p>
        </w:tc>
      </w:tr>
      <w:tr w:rsidR="00406AEC" w:rsidRPr="00406AEC" w14:paraId="22A2186D" w14:textId="77777777" w:rsidTr="00406AEC">
        <w:trPr>
          <w:trHeight w:val="300"/>
        </w:trPr>
        <w:tc>
          <w:tcPr>
            <w:tcW w:w="9360" w:type="dxa"/>
            <w:tcBorders>
              <w:top w:val="nil"/>
              <w:left w:val="nil"/>
              <w:bottom w:val="nil"/>
              <w:right w:val="nil"/>
            </w:tcBorders>
            <w:shd w:val="clear" w:color="auto" w:fill="auto"/>
            <w:noWrap/>
            <w:vAlign w:val="bottom"/>
            <w:hideMark/>
          </w:tcPr>
          <w:p w14:paraId="27D1471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Arnold DL, You X, Castrillo-</w:t>
            </w:r>
            <w:proofErr w:type="spellStart"/>
            <w:r w:rsidRPr="00406AEC">
              <w:rPr>
                <w:rFonts w:ascii="Times New Roman" w:eastAsia="Times New Roman" w:hAnsi="Times New Roman" w:cs="Times New Roman"/>
                <w:color w:val="000000"/>
                <w:szCs w:val="22"/>
              </w:rPr>
              <w:t>Viguera</w:t>
            </w:r>
            <w:proofErr w:type="spellEnd"/>
            <w:r w:rsidRPr="00406AEC">
              <w:rPr>
                <w:rFonts w:ascii="Times New Roman" w:eastAsia="Times New Roman" w:hAnsi="Times New Roman" w:cs="Times New Roman"/>
                <w:color w:val="000000"/>
                <w:szCs w:val="22"/>
              </w:rPr>
              <w:t xml:space="preserve"> C (2017) Peginterferon beta-1a reduces the evolution of MRI lesions to black holes in patients with RRMS: a post hoc analysis from the ADVANCE study. Journal of Neurology 264 (8): 1728-1734.</w:t>
            </w:r>
          </w:p>
        </w:tc>
      </w:tr>
      <w:tr w:rsidR="00406AEC" w:rsidRPr="00406AEC" w14:paraId="0AFFAFC8" w14:textId="77777777" w:rsidTr="00406AEC">
        <w:trPr>
          <w:trHeight w:val="300"/>
        </w:trPr>
        <w:tc>
          <w:tcPr>
            <w:tcW w:w="9360" w:type="dxa"/>
            <w:tcBorders>
              <w:top w:val="nil"/>
              <w:left w:val="nil"/>
              <w:bottom w:val="nil"/>
              <w:right w:val="nil"/>
            </w:tcBorders>
            <w:shd w:val="clear" w:color="auto" w:fill="auto"/>
            <w:noWrap/>
            <w:vAlign w:val="bottom"/>
            <w:hideMark/>
          </w:tcPr>
          <w:p w14:paraId="3F8FCED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Arroyo R, Bury DP, Guo JD, Margolin DH, Melanson M et al. (2019) Impact of alemtuzumab on health-related quality of life over 6 years in CARE-MS II trial extension patients with relapsing-remitting multiple sclerosis. Multiple Sclerosis 1352458519849796.</w:t>
            </w:r>
          </w:p>
        </w:tc>
      </w:tr>
      <w:tr w:rsidR="00406AEC" w:rsidRPr="00406AEC" w14:paraId="48557E48" w14:textId="77777777" w:rsidTr="00406AEC">
        <w:trPr>
          <w:trHeight w:val="300"/>
        </w:trPr>
        <w:tc>
          <w:tcPr>
            <w:tcW w:w="9360" w:type="dxa"/>
            <w:tcBorders>
              <w:top w:val="nil"/>
              <w:left w:val="nil"/>
              <w:bottom w:val="nil"/>
              <w:right w:val="nil"/>
            </w:tcBorders>
            <w:shd w:val="clear" w:color="auto" w:fill="auto"/>
            <w:noWrap/>
            <w:vAlign w:val="bottom"/>
            <w:hideMark/>
          </w:tcPr>
          <w:p w14:paraId="0E0747A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Balcer LJ, Baier ML, Cohen JA, </w:t>
            </w:r>
            <w:proofErr w:type="spellStart"/>
            <w:r w:rsidRPr="00406AEC">
              <w:rPr>
                <w:rFonts w:ascii="Times New Roman" w:eastAsia="Times New Roman" w:hAnsi="Times New Roman" w:cs="Times New Roman"/>
                <w:color w:val="000000"/>
                <w:szCs w:val="22"/>
              </w:rPr>
              <w:t>Kooijmans</w:t>
            </w:r>
            <w:proofErr w:type="spellEnd"/>
            <w:r w:rsidRPr="00406AEC">
              <w:rPr>
                <w:rFonts w:ascii="Times New Roman" w:eastAsia="Times New Roman" w:hAnsi="Times New Roman" w:cs="Times New Roman"/>
                <w:color w:val="000000"/>
                <w:szCs w:val="22"/>
              </w:rPr>
              <w:t xml:space="preserve"> MF, Sandrock AW et al. (2003) Contrast letter acuity as a visual component for the Multiple Sclerosis Functional Composite. Neurology 61 (10): 1367-1373.</w:t>
            </w:r>
          </w:p>
        </w:tc>
      </w:tr>
      <w:tr w:rsidR="00406AEC" w:rsidRPr="00406AEC" w14:paraId="5EA5BE61" w14:textId="77777777" w:rsidTr="00406AEC">
        <w:trPr>
          <w:trHeight w:val="300"/>
        </w:trPr>
        <w:tc>
          <w:tcPr>
            <w:tcW w:w="9360" w:type="dxa"/>
            <w:tcBorders>
              <w:top w:val="nil"/>
              <w:left w:val="nil"/>
              <w:bottom w:val="nil"/>
              <w:right w:val="nil"/>
            </w:tcBorders>
            <w:shd w:val="clear" w:color="auto" w:fill="auto"/>
            <w:noWrap/>
            <w:vAlign w:val="bottom"/>
            <w:hideMark/>
          </w:tcPr>
          <w:p w14:paraId="12DA601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Balcer LJ, Hauser SL, Kappos L, Leocani L, </w:t>
            </w:r>
            <w:proofErr w:type="spellStart"/>
            <w:r w:rsidRPr="00406AEC">
              <w:rPr>
                <w:rFonts w:ascii="Times New Roman" w:eastAsia="Times New Roman" w:hAnsi="Times New Roman" w:cs="Times New Roman"/>
                <w:color w:val="000000"/>
                <w:szCs w:val="22"/>
              </w:rPr>
              <w:t>Saidha</w:t>
            </w:r>
            <w:proofErr w:type="spellEnd"/>
            <w:r w:rsidRPr="00406AEC">
              <w:rPr>
                <w:rFonts w:ascii="Times New Roman" w:eastAsia="Times New Roman" w:hAnsi="Times New Roman" w:cs="Times New Roman"/>
                <w:color w:val="000000"/>
                <w:szCs w:val="22"/>
              </w:rPr>
              <w:t xml:space="preserve"> S et al. (2018) Effect of ocrelizumab on visual outcomes in patients with baseline visual impairment in the opera studies in relapsing multiple sclerosis. Multiple sclerosis journal 24 (1): 16-17.</w:t>
            </w:r>
          </w:p>
        </w:tc>
      </w:tr>
      <w:tr w:rsidR="00406AEC" w:rsidRPr="00406AEC" w14:paraId="75142AD0" w14:textId="77777777" w:rsidTr="00406AEC">
        <w:trPr>
          <w:trHeight w:val="300"/>
        </w:trPr>
        <w:tc>
          <w:tcPr>
            <w:tcW w:w="9360" w:type="dxa"/>
            <w:tcBorders>
              <w:top w:val="nil"/>
              <w:left w:val="nil"/>
              <w:bottom w:val="nil"/>
              <w:right w:val="nil"/>
            </w:tcBorders>
            <w:shd w:val="clear" w:color="auto" w:fill="auto"/>
            <w:noWrap/>
            <w:vAlign w:val="bottom"/>
            <w:hideMark/>
          </w:tcPr>
          <w:p w14:paraId="17856F8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Bar-Or A, Arnold DL, Gold R, Fox RJ, MacManus DG et al. Effects of oral BG-12 (Dimethyl Fumarate) on magnetic resonance imaging (</w:t>
            </w:r>
            <w:proofErr w:type="spellStart"/>
            <w:r w:rsidRPr="00406AEC">
              <w:rPr>
                <w:rFonts w:ascii="Times New Roman" w:eastAsia="Times New Roman" w:hAnsi="Times New Roman" w:cs="Times New Roman"/>
                <w:color w:val="000000"/>
                <w:szCs w:val="22"/>
              </w:rPr>
              <w:t>Mri</w:t>
            </w:r>
            <w:proofErr w:type="spellEnd"/>
            <w:r w:rsidRPr="00406AEC">
              <w:rPr>
                <w:rFonts w:ascii="Times New Roman" w:eastAsia="Times New Roman" w:hAnsi="Times New Roman" w:cs="Times New Roman"/>
                <w:color w:val="000000"/>
                <w:szCs w:val="22"/>
              </w:rPr>
              <w:t>) outcomes in relapsing-remitting multiple sclerosis (RRMS):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(12): 1836.</w:t>
            </w:r>
          </w:p>
        </w:tc>
      </w:tr>
      <w:tr w:rsidR="00406AEC" w:rsidRPr="00406AEC" w14:paraId="2CFEDA81" w14:textId="77777777" w:rsidTr="00406AEC">
        <w:trPr>
          <w:trHeight w:val="300"/>
        </w:trPr>
        <w:tc>
          <w:tcPr>
            <w:tcW w:w="9360" w:type="dxa"/>
            <w:tcBorders>
              <w:top w:val="nil"/>
              <w:left w:val="nil"/>
              <w:bottom w:val="nil"/>
              <w:right w:val="nil"/>
            </w:tcBorders>
            <w:shd w:val="clear" w:color="auto" w:fill="auto"/>
            <w:noWrap/>
            <w:vAlign w:val="bottom"/>
            <w:hideMark/>
          </w:tcPr>
          <w:p w14:paraId="21BB642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Bar-Or A, Gold R, Fox RJ, Phillips JT, Giovannoni G et al. Efficacy of delayed-release dimethyl fumarate for relapsing-remitting multiple sclerosis using a composite measure of disability: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303-304.</w:t>
            </w:r>
          </w:p>
        </w:tc>
      </w:tr>
      <w:tr w:rsidR="00406AEC" w:rsidRPr="00406AEC" w14:paraId="5D41D05D" w14:textId="77777777" w:rsidTr="00406AEC">
        <w:trPr>
          <w:trHeight w:val="300"/>
        </w:trPr>
        <w:tc>
          <w:tcPr>
            <w:tcW w:w="9360" w:type="dxa"/>
            <w:tcBorders>
              <w:top w:val="nil"/>
              <w:left w:val="nil"/>
              <w:bottom w:val="nil"/>
              <w:right w:val="nil"/>
            </w:tcBorders>
            <w:shd w:val="clear" w:color="auto" w:fill="auto"/>
            <w:noWrap/>
            <w:vAlign w:val="bottom"/>
            <w:hideMark/>
          </w:tcPr>
          <w:p w14:paraId="48115DA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Bar-Or A, Gold R, Kappos L, Arnold D, Giovannoni G et al. Effect of BG-12 in subgroups of patients with relapsing-remitting multiple sclerosis: Findings from the define study. Neurology 78 (1 Meeting Abstract): CONFERENCE START: 2012 Apr 2021 CONFERENCE END: 2012 Apr 2028.</w:t>
            </w:r>
          </w:p>
        </w:tc>
      </w:tr>
      <w:tr w:rsidR="00406AEC" w:rsidRPr="00406AEC" w14:paraId="6F33E6CD" w14:textId="77777777" w:rsidTr="00406AEC">
        <w:trPr>
          <w:trHeight w:val="300"/>
        </w:trPr>
        <w:tc>
          <w:tcPr>
            <w:tcW w:w="9360" w:type="dxa"/>
            <w:tcBorders>
              <w:top w:val="nil"/>
              <w:left w:val="nil"/>
              <w:bottom w:val="nil"/>
              <w:right w:val="nil"/>
            </w:tcBorders>
            <w:shd w:val="clear" w:color="auto" w:fill="auto"/>
            <w:noWrap/>
            <w:vAlign w:val="bottom"/>
            <w:hideMark/>
          </w:tcPr>
          <w:p w14:paraId="40E368A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Bar-Or A, Gold R, Kappos L, Arnold DL, Giovannoni G et al. (2012) Effect of BG-12 on magnetic resonance imaging activity in subgroups of patients with relapsing-remitting multiple sclerosis: Findings from the DEFINE study. European journal of neurology 19 (356): </w:t>
            </w:r>
          </w:p>
        </w:tc>
      </w:tr>
      <w:tr w:rsidR="00406AEC" w:rsidRPr="00406AEC" w14:paraId="2E6DF4A2" w14:textId="77777777" w:rsidTr="00406AEC">
        <w:trPr>
          <w:trHeight w:val="300"/>
        </w:trPr>
        <w:tc>
          <w:tcPr>
            <w:tcW w:w="9360" w:type="dxa"/>
            <w:tcBorders>
              <w:top w:val="nil"/>
              <w:left w:val="nil"/>
              <w:bottom w:val="nil"/>
              <w:right w:val="nil"/>
            </w:tcBorders>
            <w:shd w:val="clear" w:color="auto" w:fill="auto"/>
            <w:noWrap/>
            <w:vAlign w:val="bottom"/>
            <w:hideMark/>
          </w:tcPr>
          <w:p w14:paraId="352A2F8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Barbero P, Bergui M, Versino E, Ricci A, Zhong JJ et al. </w:t>
            </w:r>
            <w:r w:rsidRPr="00406AEC">
              <w:rPr>
                <w:rFonts w:ascii="Times New Roman" w:eastAsia="Times New Roman" w:hAnsi="Times New Roman" w:cs="Times New Roman"/>
                <w:color w:val="000000"/>
                <w:szCs w:val="22"/>
              </w:rPr>
              <w:t xml:space="preserve">(2006) Every-other-day interferon beta-1b versus once-weekly interferon beta-1a for multiple sclerosis (INCOMIN Trial) II: Analysis of MRI responses to treatment and correlation with </w:t>
            </w:r>
            <w:proofErr w:type="spellStart"/>
            <w:r w:rsidRPr="00406AEC">
              <w:rPr>
                <w:rFonts w:ascii="Times New Roman" w:eastAsia="Times New Roman" w:hAnsi="Times New Roman" w:cs="Times New Roman"/>
                <w:color w:val="000000"/>
                <w:szCs w:val="22"/>
              </w:rPr>
              <w:t>NAb</w:t>
            </w:r>
            <w:proofErr w:type="spellEnd"/>
            <w:r w:rsidRPr="00406AEC">
              <w:rPr>
                <w:rFonts w:ascii="Times New Roman" w:eastAsia="Times New Roman" w:hAnsi="Times New Roman" w:cs="Times New Roman"/>
                <w:color w:val="000000"/>
                <w:szCs w:val="22"/>
              </w:rPr>
              <w:t>. Multiple Sclerosis 12 (1): 72-76.</w:t>
            </w:r>
          </w:p>
        </w:tc>
      </w:tr>
      <w:tr w:rsidR="00406AEC" w:rsidRPr="00406AEC" w14:paraId="253ECA1C" w14:textId="77777777" w:rsidTr="00406AEC">
        <w:trPr>
          <w:trHeight w:val="300"/>
        </w:trPr>
        <w:tc>
          <w:tcPr>
            <w:tcW w:w="9360" w:type="dxa"/>
            <w:tcBorders>
              <w:top w:val="nil"/>
              <w:left w:val="nil"/>
              <w:bottom w:val="nil"/>
              <w:right w:val="nil"/>
            </w:tcBorders>
            <w:shd w:val="clear" w:color="auto" w:fill="auto"/>
            <w:noWrap/>
            <w:vAlign w:val="bottom"/>
            <w:hideMark/>
          </w:tcPr>
          <w:p w14:paraId="4B4EB33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Kappos L, Wolinsky JS, Li DKB, Bar-Or A et al. (2019) Onset of clinical and MRI efficacy of ocrelizumab in relapsing multiple sclerosis. Neurology 93 (19): e1778-e1786.</w:t>
            </w:r>
          </w:p>
        </w:tc>
      </w:tr>
      <w:tr w:rsidR="00406AEC" w:rsidRPr="00406AEC" w14:paraId="41CF5BD0" w14:textId="77777777" w:rsidTr="00406AEC">
        <w:trPr>
          <w:trHeight w:val="300"/>
        </w:trPr>
        <w:tc>
          <w:tcPr>
            <w:tcW w:w="9360" w:type="dxa"/>
            <w:tcBorders>
              <w:top w:val="nil"/>
              <w:left w:val="nil"/>
              <w:bottom w:val="nil"/>
              <w:right w:val="nil"/>
            </w:tcBorders>
            <w:shd w:val="clear" w:color="auto" w:fill="auto"/>
            <w:noWrap/>
            <w:vAlign w:val="bottom"/>
            <w:hideMark/>
          </w:tcPr>
          <w:p w14:paraId="74DC485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van </w:t>
            </w:r>
            <w:proofErr w:type="spellStart"/>
            <w:r w:rsidRPr="00406AEC">
              <w:rPr>
                <w:rFonts w:ascii="Times New Roman" w:eastAsia="Times New Roman" w:hAnsi="Times New Roman" w:cs="Times New Roman"/>
                <w:color w:val="000000"/>
                <w:szCs w:val="22"/>
              </w:rPr>
              <w:t>Waesberghe</w:t>
            </w:r>
            <w:proofErr w:type="spellEnd"/>
            <w:r w:rsidRPr="00406AEC">
              <w:rPr>
                <w:rFonts w:ascii="Times New Roman" w:eastAsia="Times New Roman" w:hAnsi="Times New Roman" w:cs="Times New Roman"/>
                <w:color w:val="000000"/>
                <w:szCs w:val="22"/>
              </w:rPr>
              <w:t xml:space="preserve"> JH, Filippi M, Yousry T, Miller DH et al. (2001) T(1) hypointense lesions in secondary progressive multiple sclerosis: effect of interferon beta-1b treatment. Brain 124 (Pt 7): 1396-1402.</w:t>
            </w:r>
          </w:p>
        </w:tc>
      </w:tr>
      <w:tr w:rsidR="00406AEC" w:rsidRPr="00406AEC" w14:paraId="29F8038A" w14:textId="77777777" w:rsidTr="00406AEC">
        <w:trPr>
          <w:trHeight w:val="300"/>
        </w:trPr>
        <w:tc>
          <w:tcPr>
            <w:tcW w:w="9360" w:type="dxa"/>
            <w:tcBorders>
              <w:top w:val="nil"/>
              <w:left w:val="nil"/>
              <w:bottom w:val="nil"/>
              <w:right w:val="nil"/>
            </w:tcBorders>
            <w:shd w:val="clear" w:color="auto" w:fill="auto"/>
            <w:noWrap/>
            <w:vAlign w:val="bottom"/>
            <w:hideMark/>
          </w:tcPr>
          <w:p w14:paraId="4B02154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Bates D, Bartholome E (2012) Treatment effect of natalizumab on relapse outcomes in multiple sclerosis patients despite ongoing MRI activity. Journal of Neurology, Neurosurgery and Psychiatry 83 (1): 55-60.</w:t>
            </w:r>
          </w:p>
        </w:tc>
      </w:tr>
      <w:tr w:rsidR="00406AEC" w:rsidRPr="00406AEC" w14:paraId="39A0DC0C" w14:textId="77777777" w:rsidTr="00406AEC">
        <w:trPr>
          <w:trHeight w:val="300"/>
        </w:trPr>
        <w:tc>
          <w:tcPr>
            <w:tcW w:w="9360" w:type="dxa"/>
            <w:tcBorders>
              <w:top w:val="nil"/>
              <w:left w:val="nil"/>
              <w:bottom w:val="nil"/>
              <w:right w:val="nil"/>
            </w:tcBorders>
            <w:shd w:val="clear" w:color="auto" w:fill="auto"/>
            <w:noWrap/>
            <w:vAlign w:val="bottom"/>
            <w:hideMark/>
          </w:tcPr>
          <w:p w14:paraId="2AAC936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Bertolotto A, Malucchi S, Sala A, Orefice G, Carrieri PB et al. </w:t>
            </w:r>
            <w:r w:rsidRPr="00406AEC">
              <w:rPr>
                <w:rFonts w:ascii="Times New Roman" w:eastAsia="Times New Roman" w:hAnsi="Times New Roman" w:cs="Times New Roman"/>
                <w:color w:val="000000"/>
                <w:szCs w:val="22"/>
              </w:rPr>
              <w:t xml:space="preserve">(2002) Differential effects of three interferon betas on </w:t>
            </w:r>
            <w:proofErr w:type="spellStart"/>
            <w:r w:rsidRPr="00406AEC">
              <w:rPr>
                <w:rFonts w:ascii="Times New Roman" w:eastAsia="Times New Roman" w:hAnsi="Times New Roman" w:cs="Times New Roman"/>
                <w:color w:val="000000"/>
                <w:szCs w:val="22"/>
              </w:rPr>
              <w:t>neutralising</w:t>
            </w:r>
            <w:proofErr w:type="spellEnd"/>
            <w:r w:rsidRPr="00406AEC">
              <w:rPr>
                <w:rFonts w:ascii="Times New Roman" w:eastAsia="Times New Roman" w:hAnsi="Times New Roman" w:cs="Times New Roman"/>
                <w:color w:val="000000"/>
                <w:szCs w:val="22"/>
              </w:rPr>
              <w:t xml:space="preserve"> antibodies in patients with multiple sclerosis: A follow up study in an independent laboratory. Journal of Neurology Neurosurgery and Psychiatry 73 (2): 148-153.</w:t>
            </w:r>
          </w:p>
        </w:tc>
      </w:tr>
      <w:tr w:rsidR="00406AEC" w:rsidRPr="00406AEC" w14:paraId="3F119F3D" w14:textId="77777777" w:rsidTr="00406AEC">
        <w:trPr>
          <w:trHeight w:val="300"/>
        </w:trPr>
        <w:tc>
          <w:tcPr>
            <w:tcW w:w="9360" w:type="dxa"/>
            <w:tcBorders>
              <w:top w:val="nil"/>
              <w:left w:val="nil"/>
              <w:bottom w:val="nil"/>
              <w:right w:val="nil"/>
            </w:tcBorders>
            <w:shd w:val="clear" w:color="auto" w:fill="auto"/>
            <w:noWrap/>
            <w:vAlign w:val="bottom"/>
            <w:hideMark/>
          </w:tcPr>
          <w:p w14:paraId="6B26803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Bischof D, Hartung HP, Reder AT, Levin MJ, </w:t>
            </w:r>
            <w:proofErr w:type="spellStart"/>
            <w:r w:rsidRPr="00406AEC">
              <w:rPr>
                <w:rFonts w:ascii="Times New Roman" w:eastAsia="Times New Roman" w:hAnsi="Times New Roman" w:cs="Times New Roman"/>
                <w:color w:val="000000"/>
                <w:szCs w:val="22"/>
              </w:rPr>
              <w:t>Mukhopadyay</w:t>
            </w:r>
            <w:proofErr w:type="spellEnd"/>
            <w:r w:rsidRPr="00406AEC">
              <w:rPr>
                <w:rFonts w:ascii="Times New Roman" w:eastAsia="Times New Roman" w:hAnsi="Times New Roman" w:cs="Times New Roman"/>
                <w:color w:val="000000"/>
                <w:szCs w:val="22"/>
              </w:rPr>
              <w:t xml:space="preserve"> S et al. Varicella-zoster virus (VZV) experience in fingolimod clinical studies and the post-marketing setting.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445.</w:t>
            </w:r>
          </w:p>
        </w:tc>
      </w:tr>
      <w:tr w:rsidR="00406AEC" w:rsidRPr="00406AEC" w14:paraId="5CA97DAC" w14:textId="77777777" w:rsidTr="00406AEC">
        <w:trPr>
          <w:trHeight w:val="300"/>
        </w:trPr>
        <w:tc>
          <w:tcPr>
            <w:tcW w:w="9360" w:type="dxa"/>
            <w:tcBorders>
              <w:top w:val="nil"/>
              <w:left w:val="nil"/>
              <w:bottom w:val="nil"/>
              <w:right w:val="nil"/>
            </w:tcBorders>
            <w:shd w:val="clear" w:color="auto" w:fill="auto"/>
            <w:noWrap/>
            <w:vAlign w:val="bottom"/>
            <w:hideMark/>
          </w:tcPr>
          <w:p w14:paraId="2216B84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Boyko</w:t>
            </w:r>
            <w:proofErr w:type="spellEnd"/>
            <w:r w:rsidRPr="00713F1E">
              <w:rPr>
                <w:rFonts w:ascii="Times New Roman" w:eastAsia="Times New Roman" w:hAnsi="Times New Roman" w:cs="Times New Roman"/>
                <w:color w:val="000000"/>
                <w:szCs w:val="22"/>
                <w:lang w:val="fr-FR"/>
              </w:rPr>
              <w:t xml:space="preserve"> AN, Arnold D, Cohen J, Coles AJ,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et al. </w:t>
            </w:r>
            <w:r w:rsidRPr="00406AEC">
              <w:rPr>
                <w:rFonts w:ascii="Times New Roman" w:eastAsia="Times New Roman" w:hAnsi="Times New Roman" w:cs="Times New Roman"/>
                <w:color w:val="000000"/>
                <w:szCs w:val="22"/>
              </w:rPr>
              <w:t xml:space="preserve">(2012) Alemtuzumab-associated infusion reactions in CARE-MS II. European journal of neurology 19 (715): </w:t>
            </w:r>
          </w:p>
        </w:tc>
      </w:tr>
      <w:tr w:rsidR="00406AEC" w:rsidRPr="00406AEC" w14:paraId="5BD2A914" w14:textId="77777777" w:rsidTr="00406AEC">
        <w:trPr>
          <w:trHeight w:val="300"/>
        </w:trPr>
        <w:tc>
          <w:tcPr>
            <w:tcW w:w="9360" w:type="dxa"/>
            <w:tcBorders>
              <w:top w:val="nil"/>
              <w:left w:val="nil"/>
              <w:bottom w:val="nil"/>
              <w:right w:val="nil"/>
            </w:tcBorders>
            <w:shd w:val="clear" w:color="auto" w:fill="auto"/>
            <w:noWrap/>
            <w:vAlign w:val="bottom"/>
            <w:hideMark/>
          </w:tcPr>
          <w:p w14:paraId="6D471A8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Brex PA, Molyneux PD, Smiddy P,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Filippi M et al. (2001) The effect of IFNbeta-1b on the evolution of enhancing lesions in secondary progressive MS. Neurology 57 (12): 2185-2190.</w:t>
            </w:r>
          </w:p>
        </w:tc>
      </w:tr>
      <w:tr w:rsidR="00406AEC" w:rsidRPr="00406AEC" w14:paraId="01D250DD" w14:textId="77777777" w:rsidTr="00406AEC">
        <w:trPr>
          <w:trHeight w:val="300"/>
        </w:trPr>
        <w:tc>
          <w:tcPr>
            <w:tcW w:w="9360" w:type="dxa"/>
            <w:tcBorders>
              <w:top w:val="nil"/>
              <w:left w:val="nil"/>
              <w:bottom w:val="nil"/>
              <w:right w:val="nil"/>
            </w:tcBorders>
            <w:shd w:val="clear" w:color="auto" w:fill="auto"/>
            <w:noWrap/>
            <w:vAlign w:val="bottom"/>
            <w:hideMark/>
          </w:tcPr>
          <w:p w14:paraId="3BAD48E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Brinar V, Arnold DL, Cohen J, Coles AJ, Fox EJ et al. Alemtuzumab improves expanded disability status scale (EDSS) via effects on functional systems: CARE-MS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283-284.</w:t>
            </w:r>
          </w:p>
        </w:tc>
      </w:tr>
      <w:tr w:rsidR="00406AEC" w:rsidRPr="00406AEC" w14:paraId="2842A754" w14:textId="77777777" w:rsidTr="00406AEC">
        <w:trPr>
          <w:trHeight w:val="300"/>
        </w:trPr>
        <w:tc>
          <w:tcPr>
            <w:tcW w:w="9360" w:type="dxa"/>
            <w:tcBorders>
              <w:top w:val="nil"/>
              <w:left w:val="nil"/>
              <w:bottom w:val="nil"/>
              <w:right w:val="nil"/>
            </w:tcBorders>
            <w:shd w:val="clear" w:color="auto" w:fill="auto"/>
            <w:noWrap/>
            <w:vAlign w:val="bottom"/>
            <w:hideMark/>
          </w:tcPr>
          <w:p w14:paraId="7C74CF5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Brown R, Cook S, Cadavid D, Wolansky L, Narayanan S et al. Effect of interferon beta-1B and glatiramer acetate on new MTR brain lesions in MS.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24AF42B3" w14:textId="77777777" w:rsidTr="00406AEC">
        <w:trPr>
          <w:trHeight w:val="300"/>
        </w:trPr>
        <w:tc>
          <w:tcPr>
            <w:tcW w:w="9360" w:type="dxa"/>
            <w:tcBorders>
              <w:top w:val="nil"/>
              <w:left w:val="nil"/>
              <w:bottom w:val="nil"/>
              <w:right w:val="nil"/>
            </w:tcBorders>
            <w:shd w:val="clear" w:color="auto" w:fill="auto"/>
            <w:noWrap/>
            <w:vAlign w:val="bottom"/>
            <w:hideMark/>
          </w:tcPr>
          <w:p w14:paraId="201A1BF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Cadavid D, Cheriyan J, Skurnick J, Lincoln JA, Wolansky LJ et al. (2009) New acute and chronic black holes in patients with multiple sclerosis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to interferon beta-1b or glatiramer acetate. Journal of Neurology, Neurosurgery and Psychiatry 80 (12): 1337-1343.</w:t>
            </w:r>
          </w:p>
        </w:tc>
      </w:tr>
      <w:tr w:rsidR="00406AEC" w:rsidRPr="00406AEC" w14:paraId="46725E00" w14:textId="77777777" w:rsidTr="00406AEC">
        <w:trPr>
          <w:trHeight w:val="300"/>
        </w:trPr>
        <w:tc>
          <w:tcPr>
            <w:tcW w:w="9360" w:type="dxa"/>
            <w:tcBorders>
              <w:top w:val="nil"/>
              <w:left w:val="nil"/>
              <w:bottom w:val="nil"/>
              <w:right w:val="nil"/>
            </w:tcBorders>
            <w:shd w:val="clear" w:color="auto" w:fill="auto"/>
            <w:noWrap/>
            <w:vAlign w:val="bottom"/>
            <w:hideMark/>
          </w:tcPr>
          <w:p w14:paraId="729E857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Calabrese M, Bernardi V, Atzori M, Mattisi I, Favaretto A et al. </w:t>
            </w:r>
            <w:r w:rsidRPr="00406AEC">
              <w:rPr>
                <w:rFonts w:ascii="Times New Roman" w:eastAsia="Times New Roman" w:hAnsi="Times New Roman" w:cs="Times New Roman"/>
                <w:color w:val="000000"/>
                <w:szCs w:val="22"/>
              </w:rPr>
              <w:t xml:space="preserve">(2011) Effect of disease-modifying drugs on cortical lesions and atrophy in relapsing-remitting multiple sclerosis. Multiple Sclerosis </w:t>
            </w:r>
          </w:p>
        </w:tc>
      </w:tr>
      <w:tr w:rsidR="00406AEC" w:rsidRPr="00406AEC" w14:paraId="37AA3381" w14:textId="77777777" w:rsidTr="00406AEC">
        <w:trPr>
          <w:trHeight w:val="300"/>
        </w:trPr>
        <w:tc>
          <w:tcPr>
            <w:tcW w:w="9360" w:type="dxa"/>
            <w:tcBorders>
              <w:top w:val="nil"/>
              <w:left w:val="nil"/>
              <w:bottom w:val="nil"/>
              <w:right w:val="nil"/>
            </w:tcBorders>
            <w:shd w:val="clear" w:color="auto" w:fill="auto"/>
            <w:noWrap/>
            <w:vAlign w:val="bottom"/>
            <w:hideMark/>
          </w:tcPr>
          <w:p w14:paraId="2C8CFBF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Calabresi P,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Arnold D, Balcer L, Boyko A et al. Clinical efficacy and safety of peginterferon beta-1a in relapsing multiple sclerosis: Data from the pivotal phase 3 advance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2382E842" w14:textId="77777777" w:rsidTr="00406AEC">
        <w:trPr>
          <w:trHeight w:val="300"/>
        </w:trPr>
        <w:tc>
          <w:tcPr>
            <w:tcW w:w="9360" w:type="dxa"/>
            <w:tcBorders>
              <w:top w:val="nil"/>
              <w:left w:val="nil"/>
              <w:bottom w:val="nil"/>
              <w:right w:val="nil"/>
            </w:tcBorders>
            <w:shd w:val="clear" w:color="auto" w:fill="auto"/>
            <w:noWrap/>
            <w:vAlign w:val="bottom"/>
            <w:hideMark/>
          </w:tcPr>
          <w:p w14:paraId="1786A55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Cano S, </w:t>
            </w:r>
            <w:proofErr w:type="spellStart"/>
            <w:r w:rsidRPr="00406AEC">
              <w:rPr>
                <w:rFonts w:ascii="Times New Roman" w:eastAsia="Times New Roman" w:hAnsi="Times New Roman" w:cs="Times New Roman"/>
                <w:color w:val="000000"/>
                <w:szCs w:val="22"/>
              </w:rPr>
              <w:t>Cleanthous</w:t>
            </w:r>
            <w:proofErr w:type="spellEnd"/>
            <w:r w:rsidRPr="00406AEC">
              <w:rPr>
                <w:rFonts w:ascii="Times New Roman" w:eastAsia="Times New Roman" w:hAnsi="Times New Roman" w:cs="Times New Roman"/>
                <w:color w:val="000000"/>
                <w:szCs w:val="22"/>
              </w:rPr>
              <w:t xml:space="preserve"> S, Kinter E, Hobart J, Marquis P et al. (2015) Measuring the impact of multiple sclerosis: enhancing the MSIS-29's performance.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622.</w:t>
            </w:r>
          </w:p>
        </w:tc>
      </w:tr>
      <w:tr w:rsidR="00406AEC" w:rsidRPr="00406AEC" w14:paraId="6E231BE9" w14:textId="77777777" w:rsidTr="00406AEC">
        <w:trPr>
          <w:trHeight w:val="300"/>
        </w:trPr>
        <w:tc>
          <w:tcPr>
            <w:tcW w:w="9360" w:type="dxa"/>
            <w:tcBorders>
              <w:top w:val="nil"/>
              <w:left w:val="nil"/>
              <w:bottom w:val="nil"/>
              <w:right w:val="nil"/>
            </w:tcBorders>
            <w:shd w:val="clear" w:color="auto" w:fill="auto"/>
            <w:noWrap/>
            <w:vAlign w:val="bottom"/>
            <w:hideMark/>
          </w:tcPr>
          <w:p w14:paraId="7014EF0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Cano S, </w:t>
            </w:r>
            <w:proofErr w:type="spellStart"/>
            <w:r w:rsidRPr="00406AEC">
              <w:rPr>
                <w:rFonts w:ascii="Times New Roman" w:eastAsia="Times New Roman" w:hAnsi="Times New Roman" w:cs="Times New Roman"/>
                <w:color w:val="000000"/>
                <w:szCs w:val="22"/>
              </w:rPr>
              <w:t>Cleanthous</w:t>
            </w:r>
            <w:proofErr w:type="spellEnd"/>
            <w:r w:rsidRPr="00406AEC">
              <w:rPr>
                <w:rFonts w:ascii="Times New Roman" w:eastAsia="Times New Roman" w:hAnsi="Times New Roman" w:cs="Times New Roman"/>
                <w:color w:val="000000"/>
                <w:szCs w:val="22"/>
              </w:rPr>
              <w:t xml:space="preserve"> S, Marquis P, Hobart J, </w:t>
            </w:r>
            <w:proofErr w:type="spellStart"/>
            <w:r w:rsidRPr="00406AEC">
              <w:rPr>
                <w:rFonts w:ascii="Times New Roman" w:eastAsia="Times New Roman" w:hAnsi="Times New Roman" w:cs="Times New Roman"/>
                <w:color w:val="000000"/>
                <w:szCs w:val="22"/>
              </w:rPr>
              <w:t>Naoshy</w:t>
            </w:r>
            <w:proofErr w:type="spellEnd"/>
            <w:r w:rsidRPr="00406AEC">
              <w:rPr>
                <w:rFonts w:ascii="Times New Roman" w:eastAsia="Times New Roman" w:hAnsi="Times New Roman" w:cs="Times New Roman"/>
                <w:color w:val="000000"/>
                <w:szCs w:val="22"/>
              </w:rPr>
              <w:t xml:space="preserve"> S et al. Measuring the impact of multiple sclerosis: Enhancing the performance of the MSIS-29 and MSWS-12. Value in health 18 (7): A709-A710.</w:t>
            </w:r>
          </w:p>
        </w:tc>
      </w:tr>
      <w:tr w:rsidR="00406AEC" w:rsidRPr="00406AEC" w14:paraId="1FCB22DC" w14:textId="77777777" w:rsidTr="00406AEC">
        <w:trPr>
          <w:trHeight w:val="300"/>
        </w:trPr>
        <w:tc>
          <w:tcPr>
            <w:tcW w:w="9360" w:type="dxa"/>
            <w:tcBorders>
              <w:top w:val="nil"/>
              <w:left w:val="nil"/>
              <w:bottom w:val="nil"/>
              <w:right w:val="nil"/>
            </w:tcBorders>
            <w:shd w:val="clear" w:color="auto" w:fill="auto"/>
            <w:noWrap/>
            <w:vAlign w:val="bottom"/>
            <w:hideMark/>
          </w:tcPr>
          <w:p w14:paraId="53F2AC5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Carroll CA, Oleen-Burkey MA Assessing variations in transitions in employment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patients treated with either </w:t>
            </w:r>
            <w:proofErr w:type="spellStart"/>
            <w:r w:rsidRPr="00406AEC">
              <w:rPr>
                <w:rFonts w:ascii="Times New Roman" w:eastAsia="Times New Roman" w:hAnsi="Times New Roman" w:cs="Times New Roman"/>
                <w:color w:val="000000"/>
                <w:szCs w:val="22"/>
              </w:rPr>
              <w:t>laquinimod</w:t>
            </w:r>
            <w:proofErr w:type="spellEnd"/>
            <w:r w:rsidRPr="00406AEC">
              <w:rPr>
                <w:rFonts w:ascii="Times New Roman" w:eastAsia="Times New Roman" w:hAnsi="Times New Roman" w:cs="Times New Roman"/>
                <w:color w:val="000000"/>
                <w:szCs w:val="22"/>
              </w:rPr>
              <w:t xml:space="preserve">, interferon beta 1-a or placebo: </w:t>
            </w:r>
            <w:proofErr w:type="spellStart"/>
            <w:r w:rsidRPr="00406AEC">
              <w:rPr>
                <w:rFonts w:ascii="Times New Roman" w:eastAsia="Times New Roman" w:hAnsi="Times New Roman" w:cs="Times New Roman"/>
                <w:color w:val="000000"/>
                <w:szCs w:val="22"/>
              </w:rPr>
              <w:t>Expoloratory</w:t>
            </w:r>
            <w:proofErr w:type="spellEnd"/>
            <w:r w:rsidRPr="00406AEC">
              <w:rPr>
                <w:rFonts w:ascii="Times New Roman" w:eastAsia="Times New Roman" w:hAnsi="Times New Roman" w:cs="Times New Roman"/>
                <w:color w:val="000000"/>
                <w:szCs w:val="22"/>
              </w:rPr>
              <w:t xml:space="preserve"> evidence from the United States </w:t>
            </w:r>
            <w:proofErr w:type="spellStart"/>
            <w:r w:rsidRPr="00406AEC">
              <w:rPr>
                <w:rFonts w:ascii="Times New Roman" w:eastAsia="Times New Roman" w:hAnsi="Times New Roman" w:cs="Times New Roman"/>
                <w:color w:val="000000"/>
                <w:szCs w:val="22"/>
              </w:rPr>
              <w:t>substudy</w:t>
            </w:r>
            <w:proofErr w:type="spellEnd"/>
            <w:r w:rsidRPr="00406AEC">
              <w:rPr>
                <w:rFonts w:ascii="Times New Roman" w:eastAsia="Times New Roman" w:hAnsi="Times New Roman" w:cs="Times New Roman"/>
                <w:color w:val="000000"/>
                <w:szCs w:val="22"/>
              </w:rPr>
              <w:t xml:space="preserve"> of bravo. Value in health 15 (4): A149.</w:t>
            </w:r>
          </w:p>
        </w:tc>
      </w:tr>
      <w:tr w:rsidR="00406AEC" w:rsidRPr="00406AEC" w14:paraId="11956A3C" w14:textId="77777777" w:rsidTr="00406AEC">
        <w:trPr>
          <w:trHeight w:val="300"/>
        </w:trPr>
        <w:tc>
          <w:tcPr>
            <w:tcW w:w="9360" w:type="dxa"/>
            <w:tcBorders>
              <w:top w:val="nil"/>
              <w:left w:val="nil"/>
              <w:bottom w:val="nil"/>
              <w:right w:val="nil"/>
            </w:tcBorders>
            <w:shd w:val="clear" w:color="auto" w:fill="auto"/>
            <w:noWrap/>
            <w:vAlign w:val="bottom"/>
            <w:hideMark/>
          </w:tcPr>
          <w:p w14:paraId="4F0518C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Cascione M,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Fang J, Miller A, Ross AP (2015) 1-Year efficacy and tolerability results for IFN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treatment and predictive value of 6-month MRI: Exploratory analysis of PRISMS data in patients with RRMS. Neurology 84 (18): </w:t>
            </w:r>
          </w:p>
        </w:tc>
      </w:tr>
      <w:tr w:rsidR="00406AEC" w:rsidRPr="00406AEC" w14:paraId="5EC52B1B" w14:textId="77777777" w:rsidTr="00406AEC">
        <w:trPr>
          <w:trHeight w:val="300"/>
        </w:trPr>
        <w:tc>
          <w:tcPr>
            <w:tcW w:w="9360" w:type="dxa"/>
            <w:tcBorders>
              <w:top w:val="nil"/>
              <w:left w:val="nil"/>
              <w:bottom w:val="nil"/>
              <w:right w:val="nil"/>
            </w:tcBorders>
            <w:shd w:val="clear" w:color="auto" w:fill="auto"/>
            <w:noWrap/>
            <w:vAlign w:val="bottom"/>
            <w:hideMark/>
          </w:tcPr>
          <w:p w14:paraId="2C1939A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Cascione M, Gaines C, Fang J,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Miller </w:t>
            </w:r>
            <w:proofErr w:type="spellStart"/>
            <w:proofErr w:type="gramStart"/>
            <w:r w:rsidRPr="00406AEC">
              <w:rPr>
                <w:rFonts w:ascii="Times New Roman" w:eastAsia="Times New Roman" w:hAnsi="Times New Roman" w:cs="Times New Roman"/>
                <w:color w:val="000000"/>
                <w:szCs w:val="22"/>
              </w:rPr>
              <w:t>A</w:t>
            </w:r>
            <w:proofErr w:type="spellEnd"/>
            <w:proofErr w:type="gramEnd"/>
            <w:r w:rsidRPr="00406AEC">
              <w:rPr>
                <w:rFonts w:ascii="Times New Roman" w:eastAsia="Times New Roman" w:hAnsi="Times New Roman" w:cs="Times New Roman"/>
                <w:color w:val="000000"/>
                <w:szCs w:val="22"/>
              </w:rPr>
              <w:t xml:space="preserve"> Early and consistent reduction in relapses among patients with relapsing-remitting multiple sclerosis receiving subcutaneous interferon beta-1a: A post-hoc analysis of prisms data. Neurology 82 (10 SUPPL. 1): CONFERENCE START: 2014 Apr 2026 CONFERENCE END: 2014 May 2013.</w:t>
            </w:r>
          </w:p>
        </w:tc>
      </w:tr>
      <w:tr w:rsidR="00406AEC" w:rsidRPr="00406AEC" w14:paraId="05C28D35" w14:textId="77777777" w:rsidTr="00406AEC">
        <w:trPr>
          <w:trHeight w:val="300"/>
        </w:trPr>
        <w:tc>
          <w:tcPr>
            <w:tcW w:w="9360" w:type="dxa"/>
            <w:tcBorders>
              <w:top w:val="nil"/>
              <w:left w:val="nil"/>
              <w:bottom w:val="nil"/>
              <w:right w:val="nil"/>
            </w:tcBorders>
            <w:shd w:val="clear" w:color="auto" w:fill="auto"/>
            <w:noWrap/>
            <w:vAlign w:val="bottom"/>
            <w:hideMark/>
          </w:tcPr>
          <w:p w14:paraId="4D13A58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Chan A,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Thangavelu K, Rufi P et al. Efficacy of teriflunomide treatment in achieving no evidence of disease activity over a period of 6 months to 2 years in the TEMSO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529.</w:t>
            </w:r>
          </w:p>
        </w:tc>
      </w:tr>
      <w:tr w:rsidR="00406AEC" w:rsidRPr="00406AEC" w14:paraId="5BE00BDB" w14:textId="77777777" w:rsidTr="00406AEC">
        <w:trPr>
          <w:trHeight w:val="300"/>
        </w:trPr>
        <w:tc>
          <w:tcPr>
            <w:tcW w:w="9360" w:type="dxa"/>
            <w:tcBorders>
              <w:top w:val="nil"/>
              <w:left w:val="nil"/>
              <w:bottom w:val="nil"/>
              <w:right w:val="nil"/>
            </w:tcBorders>
            <w:shd w:val="clear" w:color="auto" w:fill="auto"/>
            <w:noWrap/>
            <w:vAlign w:val="bottom"/>
            <w:hideMark/>
          </w:tcPr>
          <w:p w14:paraId="13AFD73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Chan A, Phillips JT, Fox R, Zhang A, Potts J et al. (2015) Differential recovery from relapse between treatment groups in the confirm study of delayed-release dimethyl fumarate. Neurology 84 (18): </w:t>
            </w:r>
          </w:p>
        </w:tc>
      </w:tr>
      <w:tr w:rsidR="00406AEC" w:rsidRPr="00406AEC" w14:paraId="0408669E" w14:textId="77777777" w:rsidTr="00406AEC">
        <w:trPr>
          <w:trHeight w:val="300"/>
        </w:trPr>
        <w:tc>
          <w:tcPr>
            <w:tcW w:w="9360" w:type="dxa"/>
            <w:tcBorders>
              <w:top w:val="nil"/>
              <w:left w:val="nil"/>
              <w:bottom w:val="nil"/>
              <w:right w:val="nil"/>
            </w:tcBorders>
            <w:shd w:val="clear" w:color="auto" w:fill="auto"/>
            <w:noWrap/>
            <w:vAlign w:val="bottom"/>
            <w:hideMark/>
          </w:tcPr>
          <w:p w14:paraId="3D33B73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Cleanthous</w:t>
            </w:r>
            <w:proofErr w:type="spellEnd"/>
            <w:r w:rsidRPr="00406AEC">
              <w:rPr>
                <w:rFonts w:ascii="Times New Roman" w:eastAsia="Times New Roman" w:hAnsi="Times New Roman" w:cs="Times New Roman"/>
                <w:color w:val="000000"/>
                <w:szCs w:val="22"/>
              </w:rPr>
              <w:t xml:space="preserve"> S, Cano S, Kinter E, Marquis P, Petrillo J et al. (2017) Measuring the impact of multiple sclerosis: Enhancing the measurement performance of the Multiple Sclerosis Impact Scale (MSIS-29) using Rasch Measurement Theory (RMT). Multiple Sclerosis Journal Experimental, Translational and Clinical 3 (3): </w:t>
            </w:r>
          </w:p>
        </w:tc>
      </w:tr>
      <w:tr w:rsidR="00406AEC" w:rsidRPr="00406AEC" w14:paraId="535AD244" w14:textId="77777777" w:rsidTr="00406AEC">
        <w:trPr>
          <w:trHeight w:val="300"/>
        </w:trPr>
        <w:tc>
          <w:tcPr>
            <w:tcW w:w="9360" w:type="dxa"/>
            <w:tcBorders>
              <w:top w:val="nil"/>
              <w:left w:val="nil"/>
              <w:bottom w:val="nil"/>
              <w:right w:val="nil"/>
            </w:tcBorders>
            <w:shd w:val="clear" w:color="auto" w:fill="auto"/>
            <w:noWrap/>
            <w:vAlign w:val="bottom"/>
            <w:hideMark/>
          </w:tcPr>
          <w:p w14:paraId="5155604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Cofield SS, Krieger S, Salter AR, Gustafson T, Wolinsky JS et al. Recovery from first relapse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391-392.</w:t>
            </w:r>
          </w:p>
        </w:tc>
      </w:tr>
      <w:tr w:rsidR="00406AEC" w:rsidRPr="00406AEC" w14:paraId="0AF64E70" w14:textId="77777777" w:rsidTr="00406AEC">
        <w:trPr>
          <w:trHeight w:val="300"/>
        </w:trPr>
        <w:tc>
          <w:tcPr>
            <w:tcW w:w="9360" w:type="dxa"/>
            <w:tcBorders>
              <w:top w:val="nil"/>
              <w:left w:val="nil"/>
              <w:bottom w:val="nil"/>
              <w:right w:val="nil"/>
            </w:tcBorders>
            <w:shd w:val="clear" w:color="auto" w:fill="auto"/>
            <w:noWrap/>
            <w:vAlign w:val="bottom"/>
            <w:hideMark/>
          </w:tcPr>
          <w:p w14:paraId="5E41521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Cofield SS, Lublin F, Gustafson T, Krieger S, Cutter G et al. (2017) Self-reported smoking status associated with clinical disease worsening in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Multiple sclerosis journal 23 (3): 164-165.</w:t>
            </w:r>
          </w:p>
        </w:tc>
      </w:tr>
      <w:tr w:rsidR="00406AEC" w:rsidRPr="00406AEC" w14:paraId="7D3B239F" w14:textId="77777777" w:rsidTr="00406AEC">
        <w:trPr>
          <w:trHeight w:val="300"/>
        </w:trPr>
        <w:tc>
          <w:tcPr>
            <w:tcW w:w="9360" w:type="dxa"/>
            <w:tcBorders>
              <w:top w:val="nil"/>
              <w:left w:val="nil"/>
              <w:bottom w:val="nil"/>
              <w:right w:val="nil"/>
            </w:tcBorders>
            <w:shd w:val="clear" w:color="auto" w:fill="auto"/>
            <w:noWrap/>
            <w:vAlign w:val="bottom"/>
            <w:hideMark/>
          </w:tcPr>
          <w:p w14:paraId="262BE69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Cofield SS, Lublin FD, Gustafson T, Krieger S, Cutter GR et al. Functional system involvement and confirmation of EDSS progression in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414-415.</w:t>
            </w:r>
          </w:p>
        </w:tc>
      </w:tr>
      <w:tr w:rsidR="00406AEC" w:rsidRPr="00406AEC" w14:paraId="0638ADEE" w14:textId="77777777" w:rsidTr="00406AEC">
        <w:trPr>
          <w:trHeight w:val="300"/>
        </w:trPr>
        <w:tc>
          <w:tcPr>
            <w:tcW w:w="9360" w:type="dxa"/>
            <w:tcBorders>
              <w:top w:val="nil"/>
              <w:left w:val="nil"/>
              <w:bottom w:val="nil"/>
              <w:right w:val="nil"/>
            </w:tcBorders>
            <w:shd w:val="clear" w:color="auto" w:fill="auto"/>
            <w:noWrap/>
            <w:vAlign w:val="bottom"/>
            <w:hideMark/>
          </w:tcPr>
          <w:p w14:paraId="60D27E0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Cohen J, Pelletier J, Chin P, Sfikas N, Karlsson G et al. Efficacy of fingolimod in relapsing remitting multiple sclerosis (RRMS) as measured by multiple sclerosis functional composite: Results from the TRANSFORMS, FREEDOMS, and FREEDOMS II phase 3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268.</w:t>
            </w:r>
          </w:p>
        </w:tc>
      </w:tr>
      <w:tr w:rsidR="00406AEC" w:rsidRPr="00406AEC" w14:paraId="766A8B20" w14:textId="77777777" w:rsidTr="00406AEC">
        <w:trPr>
          <w:trHeight w:val="300"/>
        </w:trPr>
        <w:tc>
          <w:tcPr>
            <w:tcW w:w="9360" w:type="dxa"/>
            <w:tcBorders>
              <w:top w:val="nil"/>
              <w:left w:val="nil"/>
              <w:bottom w:val="nil"/>
              <w:right w:val="nil"/>
            </w:tcBorders>
            <w:shd w:val="clear" w:color="auto" w:fill="auto"/>
            <w:noWrap/>
            <w:vAlign w:val="bottom"/>
            <w:hideMark/>
          </w:tcPr>
          <w:p w14:paraId="4775347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Cohen J, </w:t>
            </w:r>
            <w:proofErr w:type="spellStart"/>
            <w:r w:rsidRPr="00713F1E">
              <w:rPr>
                <w:rFonts w:ascii="Times New Roman" w:eastAsia="Times New Roman" w:hAnsi="Times New Roman" w:cs="Times New Roman"/>
                <w:color w:val="000000"/>
                <w:szCs w:val="22"/>
                <w:lang w:val="fr-FR"/>
              </w:rPr>
              <w:t>Twyman</w:t>
            </w:r>
            <w:proofErr w:type="spellEnd"/>
            <w:r w:rsidRPr="00713F1E">
              <w:rPr>
                <w:rFonts w:ascii="Times New Roman" w:eastAsia="Times New Roman" w:hAnsi="Times New Roman" w:cs="Times New Roman"/>
                <w:color w:val="000000"/>
                <w:szCs w:val="22"/>
                <w:lang w:val="fr-FR"/>
              </w:rPr>
              <w:t xml:space="preserve"> C, Arnold D, Coles A,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et al. </w:t>
            </w:r>
            <w:r w:rsidRPr="00406AEC">
              <w:rPr>
                <w:rFonts w:ascii="Times New Roman" w:eastAsia="Times New Roman" w:hAnsi="Times New Roman" w:cs="Times New Roman"/>
                <w:color w:val="000000"/>
                <w:szCs w:val="22"/>
              </w:rPr>
              <w:t>Efficacy and safety results from comparison of alemtuzumab and Rebif efficacy in multiple sclerosis II (CARE-MS II): A phase 3 study in relapsing-remitting multiple sclerosis patients who relapsed on prior therapy. Neurology 78 (1 Meeting Abstract): CONFERENCE START: 2012 Apr 2021 CONFERENCE END: 2012 Apr 2028.</w:t>
            </w:r>
          </w:p>
        </w:tc>
      </w:tr>
      <w:tr w:rsidR="00406AEC" w:rsidRPr="00406AEC" w14:paraId="695C7798" w14:textId="77777777" w:rsidTr="00406AEC">
        <w:trPr>
          <w:trHeight w:val="300"/>
        </w:trPr>
        <w:tc>
          <w:tcPr>
            <w:tcW w:w="9360" w:type="dxa"/>
            <w:tcBorders>
              <w:top w:val="nil"/>
              <w:left w:val="nil"/>
              <w:bottom w:val="nil"/>
              <w:right w:val="nil"/>
            </w:tcBorders>
            <w:shd w:val="clear" w:color="auto" w:fill="auto"/>
            <w:noWrap/>
            <w:vAlign w:val="bottom"/>
            <w:hideMark/>
          </w:tcPr>
          <w:p w14:paraId="706838E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Cohen JA, Cutter GR, Fischer JS, Goodman AD, Heidenreich FR et al. </w:t>
            </w:r>
            <w:r w:rsidRPr="00406AEC">
              <w:rPr>
                <w:rFonts w:ascii="Times New Roman" w:eastAsia="Times New Roman" w:hAnsi="Times New Roman" w:cs="Times New Roman"/>
                <w:color w:val="000000"/>
                <w:szCs w:val="22"/>
              </w:rPr>
              <w:t>(2001) Use of the multiple sclerosis functional composite as an outcome measure in a phase 3 clinical trial. Archives of neurology 58 (6): 961-967.</w:t>
            </w:r>
          </w:p>
        </w:tc>
      </w:tr>
      <w:tr w:rsidR="00406AEC" w:rsidRPr="00406AEC" w14:paraId="0B2C5127" w14:textId="77777777" w:rsidTr="00406AEC">
        <w:trPr>
          <w:trHeight w:val="300"/>
        </w:trPr>
        <w:tc>
          <w:tcPr>
            <w:tcW w:w="9360" w:type="dxa"/>
            <w:tcBorders>
              <w:top w:val="nil"/>
              <w:left w:val="nil"/>
              <w:bottom w:val="nil"/>
              <w:right w:val="nil"/>
            </w:tcBorders>
            <w:shd w:val="clear" w:color="auto" w:fill="auto"/>
            <w:noWrap/>
            <w:vAlign w:val="bottom"/>
            <w:hideMark/>
          </w:tcPr>
          <w:p w14:paraId="1B64F58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w:t>
            </w:r>
            <w:proofErr w:type="spellStart"/>
            <w:r w:rsidRPr="00406AEC">
              <w:rPr>
                <w:rFonts w:ascii="Times New Roman" w:eastAsia="Times New Roman" w:hAnsi="Times New Roman" w:cs="Times New Roman"/>
                <w:color w:val="000000"/>
                <w:szCs w:val="22"/>
              </w:rPr>
              <w:t>Benzerdjeb</w:t>
            </w:r>
            <w:proofErr w:type="spellEnd"/>
            <w:r w:rsidRPr="00406AEC">
              <w:rPr>
                <w:rFonts w:ascii="Times New Roman" w:eastAsia="Times New Roman" w:hAnsi="Times New Roman" w:cs="Times New Roman"/>
                <w:color w:val="000000"/>
                <w:szCs w:val="22"/>
              </w:rPr>
              <w:t xml:space="preserve"> H, Wang L,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O'Connor P Effect of teriflunomide on lymphocyte and neutrophil levels in patients with relapsing multiple sclerosis: Results from the TEMSO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460.</w:t>
            </w:r>
          </w:p>
        </w:tc>
      </w:tr>
      <w:tr w:rsidR="00406AEC" w:rsidRPr="00406AEC" w14:paraId="20C8C4D6" w14:textId="77777777" w:rsidTr="00406AEC">
        <w:trPr>
          <w:trHeight w:val="300"/>
        </w:trPr>
        <w:tc>
          <w:tcPr>
            <w:tcW w:w="9360" w:type="dxa"/>
            <w:tcBorders>
              <w:top w:val="nil"/>
              <w:left w:val="nil"/>
              <w:bottom w:val="nil"/>
              <w:right w:val="nil"/>
            </w:tcBorders>
            <w:shd w:val="clear" w:color="auto" w:fill="auto"/>
            <w:noWrap/>
            <w:vAlign w:val="bottom"/>
            <w:hideMark/>
          </w:tcPr>
          <w:p w14:paraId="3E320A7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Comi G, Cook S, Giovannoni G, Rieckmann P, Sorensen PS et al. (2019) Effect of cladribine tablets on lymphocyte reduction and repopulation dynamics in patients with relapsing multiple sclerosis. Multiple Sclerosis and Related Disorders 29 168-174.</w:t>
            </w:r>
          </w:p>
        </w:tc>
      </w:tr>
      <w:tr w:rsidR="00406AEC" w:rsidRPr="00406AEC" w14:paraId="54598F15" w14:textId="77777777" w:rsidTr="00406AEC">
        <w:trPr>
          <w:trHeight w:val="300"/>
        </w:trPr>
        <w:tc>
          <w:tcPr>
            <w:tcW w:w="9360" w:type="dxa"/>
            <w:tcBorders>
              <w:top w:val="nil"/>
              <w:left w:val="nil"/>
              <w:bottom w:val="nil"/>
              <w:right w:val="nil"/>
            </w:tcBorders>
            <w:shd w:val="clear" w:color="auto" w:fill="auto"/>
            <w:noWrap/>
            <w:vAlign w:val="bottom"/>
            <w:hideMark/>
          </w:tcPr>
          <w:p w14:paraId="5134096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Cook S, Leist T, Comi G, Montalban X, Sylvester E et al. (2016) Cladribine tablets in the treatment of patients with multiple sclerosis: An integrated analysis of infections in association with severe lymphopenia.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22 299-300.</w:t>
            </w:r>
          </w:p>
        </w:tc>
      </w:tr>
      <w:tr w:rsidR="00406AEC" w:rsidRPr="00406AEC" w14:paraId="5870857E" w14:textId="77777777" w:rsidTr="00406AEC">
        <w:trPr>
          <w:trHeight w:val="300"/>
        </w:trPr>
        <w:tc>
          <w:tcPr>
            <w:tcW w:w="9360" w:type="dxa"/>
            <w:tcBorders>
              <w:top w:val="nil"/>
              <w:left w:val="nil"/>
              <w:bottom w:val="nil"/>
              <w:right w:val="nil"/>
            </w:tcBorders>
            <w:shd w:val="clear" w:color="auto" w:fill="auto"/>
            <w:noWrap/>
            <w:vAlign w:val="bottom"/>
            <w:hideMark/>
          </w:tcPr>
          <w:p w14:paraId="0AD2EA3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 Cohen J, Silva D, Ritter S, </w:t>
            </w:r>
            <w:proofErr w:type="spellStart"/>
            <w:r w:rsidRPr="00406AEC">
              <w:rPr>
                <w:rFonts w:ascii="Times New Roman" w:eastAsia="Times New Roman" w:hAnsi="Times New Roman" w:cs="Times New Roman"/>
                <w:color w:val="000000"/>
                <w:szCs w:val="22"/>
              </w:rPr>
              <w:t>Piani</w:t>
            </w:r>
            <w:proofErr w:type="spellEnd"/>
            <w:r w:rsidRPr="00406AEC">
              <w:rPr>
                <w:rFonts w:ascii="Times New Roman" w:eastAsia="Times New Roman" w:hAnsi="Times New Roman" w:cs="Times New Roman"/>
                <w:color w:val="000000"/>
                <w:szCs w:val="22"/>
              </w:rPr>
              <w:t xml:space="preserve"> Meier D et al. (2017) Confirmed disability improvement in patients treated with fingolimod in phase 3 and extension trial </w:t>
            </w:r>
            <w:proofErr w:type="spellStart"/>
            <w:r w:rsidRPr="00406AEC">
              <w:rPr>
                <w:rFonts w:ascii="Times New Roman" w:eastAsia="Times New Roman" w:hAnsi="Times New Roman" w:cs="Times New Roman"/>
                <w:color w:val="000000"/>
                <w:szCs w:val="22"/>
              </w:rPr>
              <w:t>programmes</w:t>
            </w:r>
            <w:proofErr w:type="spellEnd"/>
            <w:r w:rsidRPr="00406AEC">
              <w:rPr>
                <w:rFonts w:ascii="Times New Roman" w:eastAsia="Times New Roman" w:hAnsi="Times New Roman" w:cs="Times New Roman"/>
                <w:color w:val="000000"/>
                <w:szCs w:val="22"/>
              </w:rPr>
              <w:t xml:space="preserve"> for up to 96 months. Multiple sclerosis journal 23 (3): 322-.</w:t>
            </w:r>
          </w:p>
        </w:tc>
      </w:tr>
      <w:tr w:rsidR="00406AEC" w:rsidRPr="00406AEC" w14:paraId="67D741A3" w14:textId="77777777" w:rsidTr="00406AEC">
        <w:trPr>
          <w:trHeight w:val="300"/>
        </w:trPr>
        <w:tc>
          <w:tcPr>
            <w:tcW w:w="9360" w:type="dxa"/>
            <w:tcBorders>
              <w:top w:val="nil"/>
              <w:left w:val="nil"/>
              <w:bottom w:val="nil"/>
              <w:right w:val="nil"/>
            </w:tcBorders>
            <w:shd w:val="clear" w:color="auto" w:fill="auto"/>
            <w:noWrap/>
            <w:vAlign w:val="bottom"/>
            <w:hideMark/>
          </w:tcPr>
          <w:p w14:paraId="6FBE051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Cuker</w:t>
            </w:r>
            <w:proofErr w:type="spellEnd"/>
            <w:r w:rsidRPr="00406AEC">
              <w:rPr>
                <w:rFonts w:ascii="Times New Roman" w:eastAsia="Times New Roman" w:hAnsi="Times New Roman" w:cs="Times New Roman"/>
                <w:color w:val="000000"/>
                <w:szCs w:val="22"/>
              </w:rPr>
              <w:t xml:space="preserve"> A, Coles AJ, Sullivan H, Fox E, Goldberg M et al. (2011) A distinctive form of immune thrombocytopenia in a phase 2 study of alemtuzumab for the treatment of relapsing-remitting multiple sclerosis. Blood 118 (24): 6299-6305.</w:t>
            </w:r>
          </w:p>
        </w:tc>
      </w:tr>
      <w:tr w:rsidR="00406AEC" w:rsidRPr="00406AEC" w14:paraId="765B8E21" w14:textId="77777777" w:rsidTr="00406AEC">
        <w:trPr>
          <w:trHeight w:val="300"/>
        </w:trPr>
        <w:tc>
          <w:tcPr>
            <w:tcW w:w="9360" w:type="dxa"/>
            <w:tcBorders>
              <w:top w:val="nil"/>
              <w:left w:val="nil"/>
              <w:bottom w:val="nil"/>
              <w:right w:val="nil"/>
            </w:tcBorders>
            <w:shd w:val="clear" w:color="auto" w:fill="auto"/>
            <w:noWrap/>
            <w:vAlign w:val="bottom"/>
            <w:hideMark/>
          </w:tcPr>
          <w:p w14:paraId="47FE003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Cutter G, Cofield S, Gustafson T, </w:t>
            </w:r>
            <w:proofErr w:type="spellStart"/>
            <w:r w:rsidRPr="00406AEC">
              <w:rPr>
                <w:rFonts w:ascii="Times New Roman" w:eastAsia="Times New Roman" w:hAnsi="Times New Roman" w:cs="Times New Roman"/>
                <w:color w:val="000000"/>
                <w:szCs w:val="22"/>
              </w:rPr>
              <w:t>Conwit</w:t>
            </w:r>
            <w:proofErr w:type="spellEnd"/>
            <w:r w:rsidRPr="00406AEC">
              <w:rPr>
                <w:rFonts w:ascii="Times New Roman" w:eastAsia="Times New Roman" w:hAnsi="Times New Roman" w:cs="Times New Roman"/>
                <w:color w:val="000000"/>
                <w:szCs w:val="22"/>
              </w:rPr>
              <w:t xml:space="preserve"> R, Wolinsky J et al. EDSS changes and progression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clinical trial: 3-year results.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28-29.</w:t>
            </w:r>
          </w:p>
        </w:tc>
      </w:tr>
      <w:tr w:rsidR="00406AEC" w:rsidRPr="00406AEC" w14:paraId="0FED6C31" w14:textId="77777777" w:rsidTr="00406AEC">
        <w:trPr>
          <w:trHeight w:val="300"/>
        </w:trPr>
        <w:tc>
          <w:tcPr>
            <w:tcW w:w="9360" w:type="dxa"/>
            <w:tcBorders>
              <w:top w:val="nil"/>
              <w:left w:val="nil"/>
              <w:bottom w:val="nil"/>
              <w:right w:val="nil"/>
            </w:tcBorders>
            <w:shd w:val="clear" w:color="auto" w:fill="auto"/>
            <w:noWrap/>
            <w:vAlign w:val="bottom"/>
            <w:hideMark/>
          </w:tcPr>
          <w:p w14:paraId="316878C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Daigl</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Jhuti</w:t>
            </w:r>
            <w:proofErr w:type="spellEnd"/>
            <w:r w:rsidRPr="00406AEC">
              <w:rPr>
                <w:rFonts w:ascii="Times New Roman" w:eastAsia="Times New Roman" w:hAnsi="Times New Roman" w:cs="Times New Roman"/>
                <w:color w:val="000000"/>
                <w:szCs w:val="22"/>
              </w:rPr>
              <w:t xml:space="preserve"> GS, McDougall F, Bennett I (2016) EDSS state and health utility measured by EQ5D in relapsing-remitting multiple sclerosis (RRMS). Value in health 19 (7): A435-.</w:t>
            </w:r>
          </w:p>
        </w:tc>
      </w:tr>
      <w:tr w:rsidR="00406AEC" w:rsidRPr="00406AEC" w14:paraId="4ADF0CAD" w14:textId="77777777" w:rsidTr="00406AEC">
        <w:trPr>
          <w:trHeight w:val="300"/>
        </w:trPr>
        <w:tc>
          <w:tcPr>
            <w:tcW w:w="9360" w:type="dxa"/>
            <w:tcBorders>
              <w:top w:val="nil"/>
              <w:left w:val="nil"/>
              <w:bottom w:val="nil"/>
              <w:right w:val="nil"/>
            </w:tcBorders>
            <w:shd w:val="clear" w:color="auto" w:fill="auto"/>
            <w:noWrap/>
            <w:vAlign w:val="bottom"/>
            <w:hideMark/>
          </w:tcPr>
          <w:p w14:paraId="225C52B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Dalton CM, </w:t>
            </w:r>
            <w:proofErr w:type="spellStart"/>
            <w:r w:rsidRPr="00406AEC">
              <w:rPr>
                <w:rFonts w:ascii="Times New Roman" w:eastAsia="Times New Roman" w:hAnsi="Times New Roman" w:cs="Times New Roman"/>
                <w:color w:val="000000"/>
                <w:szCs w:val="22"/>
              </w:rPr>
              <w:t>Miszkiel</w:t>
            </w:r>
            <w:proofErr w:type="spellEnd"/>
            <w:r w:rsidRPr="00406AEC">
              <w:rPr>
                <w:rFonts w:ascii="Times New Roman" w:eastAsia="Times New Roman" w:hAnsi="Times New Roman" w:cs="Times New Roman"/>
                <w:color w:val="000000"/>
                <w:szCs w:val="22"/>
              </w:rPr>
              <w:t xml:space="preserve"> KA, Barker GJ, MacManus DG, Pepple TI et al. (2004) Effect of natalizumab on conversion of gadolinium enhancing lesions to T1 hypointense lesions in relapsing multiple sclerosis. Journal of Neurology 251 (4): 407-413.</w:t>
            </w:r>
          </w:p>
        </w:tc>
      </w:tr>
      <w:tr w:rsidR="00406AEC" w:rsidRPr="00406AEC" w14:paraId="25CB0703" w14:textId="77777777" w:rsidTr="00406AEC">
        <w:trPr>
          <w:trHeight w:val="300"/>
        </w:trPr>
        <w:tc>
          <w:tcPr>
            <w:tcW w:w="9360" w:type="dxa"/>
            <w:tcBorders>
              <w:top w:val="nil"/>
              <w:left w:val="nil"/>
              <w:bottom w:val="nil"/>
              <w:right w:val="nil"/>
            </w:tcBorders>
            <w:shd w:val="clear" w:color="auto" w:fill="auto"/>
            <w:noWrap/>
            <w:vAlign w:val="bottom"/>
            <w:hideMark/>
          </w:tcPr>
          <w:p w14:paraId="69F637E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Daniels GH, Vladic A, Brinar V, </w:t>
            </w:r>
            <w:proofErr w:type="spellStart"/>
            <w:r w:rsidRPr="00406AEC">
              <w:rPr>
                <w:rFonts w:ascii="Times New Roman" w:eastAsia="Times New Roman" w:hAnsi="Times New Roman" w:cs="Times New Roman"/>
                <w:color w:val="000000"/>
                <w:szCs w:val="22"/>
              </w:rPr>
              <w:t>Zavalishin</w:t>
            </w:r>
            <w:proofErr w:type="spellEnd"/>
            <w:r w:rsidRPr="00406AEC">
              <w:rPr>
                <w:rFonts w:ascii="Times New Roman" w:eastAsia="Times New Roman" w:hAnsi="Times New Roman" w:cs="Times New Roman"/>
                <w:color w:val="000000"/>
                <w:szCs w:val="22"/>
              </w:rPr>
              <w:t xml:space="preserve"> I, Valente W et al. (2013) Alemtuzumab-Related Thyroid Dysfunction in a Phase 2 Trial of Patients with Relapsing-Remitting Multiple Sclerosis. </w:t>
            </w:r>
          </w:p>
        </w:tc>
      </w:tr>
      <w:tr w:rsidR="00406AEC" w:rsidRPr="00406AEC" w14:paraId="2F82126C" w14:textId="77777777" w:rsidTr="00406AEC">
        <w:trPr>
          <w:trHeight w:val="300"/>
        </w:trPr>
        <w:tc>
          <w:tcPr>
            <w:tcW w:w="9360" w:type="dxa"/>
            <w:tcBorders>
              <w:top w:val="nil"/>
              <w:left w:val="nil"/>
              <w:bottom w:val="nil"/>
              <w:right w:val="nil"/>
            </w:tcBorders>
            <w:shd w:val="clear" w:color="auto" w:fill="auto"/>
            <w:noWrap/>
            <w:vAlign w:val="bottom"/>
            <w:hideMark/>
          </w:tcPr>
          <w:p w14:paraId="78D8C81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Davis MD,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w:t>
            </w:r>
            <w:proofErr w:type="spellStart"/>
            <w:r w:rsidRPr="00406AEC">
              <w:rPr>
                <w:rFonts w:ascii="Times New Roman" w:eastAsia="Times New Roman" w:hAnsi="Times New Roman" w:cs="Times New Roman"/>
                <w:color w:val="000000"/>
                <w:szCs w:val="22"/>
              </w:rPr>
              <w:t>Steinerman</w:t>
            </w:r>
            <w:proofErr w:type="spellEnd"/>
            <w:r w:rsidRPr="00406AEC">
              <w:rPr>
                <w:rFonts w:ascii="Times New Roman" w:eastAsia="Times New Roman" w:hAnsi="Times New Roman" w:cs="Times New Roman"/>
                <w:color w:val="000000"/>
                <w:szCs w:val="22"/>
              </w:rPr>
              <w:t xml:space="preserve"> JR,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V (2017) Time course of glatiramer acetate efficacy in patients with RRMS in the GALA study. Neurology: neuroimmunology and neuroinflammation 4 (2): </w:t>
            </w:r>
          </w:p>
        </w:tc>
      </w:tr>
      <w:tr w:rsidR="00406AEC" w:rsidRPr="00406AEC" w14:paraId="04622857" w14:textId="77777777" w:rsidTr="00406AEC">
        <w:trPr>
          <w:trHeight w:val="300"/>
        </w:trPr>
        <w:tc>
          <w:tcPr>
            <w:tcW w:w="9360" w:type="dxa"/>
            <w:tcBorders>
              <w:top w:val="nil"/>
              <w:left w:val="nil"/>
              <w:bottom w:val="nil"/>
              <w:right w:val="nil"/>
            </w:tcBorders>
            <w:shd w:val="clear" w:color="auto" w:fill="auto"/>
            <w:noWrap/>
            <w:vAlign w:val="bottom"/>
            <w:hideMark/>
          </w:tcPr>
          <w:p w14:paraId="2C0985E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Arnold DL, Bar-Or A, Giovannoni G, Hartung HP et al. (2016) Infusion-related reactions with ocrelizumab in relapsing multiple sclerosis and primary progressive multiple sclerosis. Multiple Sclerosis 22 351-352.</w:t>
            </w:r>
          </w:p>
        </w:tc>
      </w:tr>
      <w:tr w:rsidR="00406AEC" w:rsidRPr="00406AEC" w14:paraId="0575CF4A" w14:textId="77777777" w:rsidTr="00406AEC">
        <w:trPr>
          <w:trHeight w:val="300"/>
        </w:trPr>
        <w:tc>
          <w:tcPr>
            <w:tcW w:w="9360" w:type="dxa"/>
            <w:tcBorders>
              <w:top w:val="nil"/>
              <w:left w:val="nil"/>
              <w:bottom w:val="nil"/>
              <w:right w:val="nil"/>
            </w:tcBorders>
            <w:shd w:val="clear" w:color="auto" w:fill="auto"/>
            <w:noWrap/>
            <w:vAlign w:val="bottom"/>
            <w:hideMark/>
          </w:tcPr>
          <w:p w14:paraId="44B2410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 Stefano N, Tomic D, </w:t>
            </w:r>
            <w:proofErr w:type="spellStart"/>
            <w:r w:rsidRPr="00406AEC">
              <w:rPr>
                <w:rFonts w:ascii="Times New Roman" w:eastAsia="Times New Roman" w:hAnsi="Times New Roman" w:cs="Times New Roman"/>
                <w:color w:val="000000"/>
                <w:szCs w:val="22"/>
              </w:rPr>
              <w:t>Haering</w:t>
            </w:r>
            <w:proofErr w:type="spellEnd"/>
            <w:r w:rsidRPr="00406AEC">
              <w:rPr>
                <w:rFonts w:ascii="Times New Roman" w:eastAsia="Times New Roman" w:hAnsi="Times New Roman" w:cs="Times New Roman"/>
                <w:color w:val="000000"/>
                <w:szCs w:val="22"/>
              </w:rPr>
              <w:t xml:space="preserve"> D, Dibernardo A, Francis G et al. Proportion of patients with brain volume loss comparable to healthy adults in fingolimod phase 3 multiple sclerosis studies. Neurology 82 (10 SUPPL. 1): CONFERENCE START: 2014 Apr 2026 CONFERENCE END: 2014 May 2013.</w:t>
            </w:r>
          </w:p>
        </w:tc>
      </w:tr>
      <w:tr w:rsidR="00406AEC" w:rsidRPr="00406AEC" w14:paraId="2DD71210" w14:textId="77777777" w:rsidTr="00406AEC">
        <w:trPr>
          <w:trHeight w:val="300"/>
        </w:trPr>
        <w:tc>
          <w:tcPr>
            <w:tcW w:w="9360" w:type="dxa"/>
            <w:tcBorders>
              <w:top w:val="nil"/>
              <w:left w:val="nil"/>
              <w:bottom w:val="nil"/>
              <w:right w:val="nil"/>
            </w:tcBorders>
            <w:shd w:val="clear" w:color="auto" w:fill="auto"/>
            <w:noWrap/>
            <w:vAlign w:val="bottom"/>
            <w:hideMark/>
          </w:tcPr>
          <w:p w14:paraId="139DF54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DiMarco 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Kappos L, Jordaan P, </w:t>
            </w:r>
            <w:proofErr w:type="spellStart"/>
            <w:r w:rsidRPr="00406AEC">
              <w:rPr>
                <w:rFonts w:ascii="Times New Roman" w:eastAsia="Times New Roman" w:hAnsi="Times New Roman" w:cs="Times New Roman"/>
                <w:color w:val="000000"/>
                <w:szCs w:val="22"/>
              </w:rPr>
              <w:t>Mendzelevski</w:t>
            </w:r>
            <w:proofErr w:type="spellEnd"/>
            <w:r w:rsidRPr="00406AEC">
              <w:rPr>
                <w:rFonts w:ascii="Times New Roman" w:eastAsia="Times New Roman" w:hAnsi="Times New Roman" w:cs="Times New Roman"/>
                <w:color w:val="000000"/>
                <w:szCs w:val="22"/>
              </w:rPr>
              <w:t xml:space="preserve"> B et al. Dose titration regimen attenuates </w:t>
            </w:r>
            <w:proofErr w:type="spellStart"/>
            <w:r w:rsidRPr="00406AEC">
              <w:rPr>
                <w:rFonts w:ascii="Times New Roman" w:eastAsia="Times New Roman" w:hAnsi="Times New Roman" w:cs="Times New Roman"/>
                <w:color w:val="000000"/>
                <w:szCs w:val="22"/>
              </w:rPr>
              <w:t>bradyarrhythymic</w:t>
            </w:r>
            <w:proofErr w:type="spellEnd"/>
            <w:r w:rsidRPr="00406AEC">
              <w:rPr>
                <w:rFonts w:ascii="Times New Roman" w:eastAsia="Times New Roman" w:hAnsi="Times New Roman" w:cs="Times New Roman"/>
                <w:color w:val="000000"/>
                <w:szCs w:val="22"/>
              </w:rPr>
              <w:t xml:space="preserve"> events with BAF312 during treatment initiation. Neurology 78 (1 Meeting Abstract): CONFERENCE START: 2012 Apr 2021 CONFERENCE END: 2012 Apr 2028.</w:t>
            </w:r>
          </w:p>
        </w:tc>
      </w:tr>
      <w:tr w:rsidR="00406AEC" w:rsidRPr="00406AEC" w14:paraId="64D5387F" w14:textId="77777777" w:rsidTr="00406AEC">
        <w:trPr>
          <w:trHeight w:val="300"/>
        </w:trPr>
        <w:tc>
          <w:tcPr>
            <w:tcW w:w="9360" w:type="dxa"/>
            <w:tcBorders>
              <w:top w:val="nil"/>
              <w:left w:val="nil"/>
              <w:bottom w:val="nil"/>
              <w:right w:val="nil"/>
            </w:tcBorders>
            <w:shd w:val="clear" w:color="auto" w:fill="auto"/>
            <w:noWrap/>
            <w:vAlign w:val="bottom"/>
            <w:hideMark/>
          </w:tcPr>
          <w:p w14:paraId="2EDCB9E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Dimarco</w:t>
            </w:r>
            <w:proofErr w:type="spellEnd"/>
            <w:r w:rsidRPr="00406AEC">
              <w:rPr>
                <w:rFonts w:ascii="Times New Roman" w:eastAsia="Times New Roman" w:hAnsi="Times New Roman" w:cs="Times New Roman"/>
                <w:color w:val="000000"/>
                <w:szCs w:val="22"/>
              </w:rPr>
              <w:t xml:space="preserve"> JP, O'Connor P, Cohen JA, Reder AT, Zhang-Auberson L et al. (2014) First-dose effects of fingolimod: Pooled safety data from three phase 3 studies. Multiple Sclerosis and Related Disorders 3 (5): 629-638.</w:t>
            </w:r>
          </w:p>
        </w:tc>
      </w:tr>
      <w:tr w:rsidR="00406AEC" w:rsidRPr="00406AEC" w14:paraId="1212D949" w14:textId="77777777" w:rsidTr="00406AEC">
        <w:trPr>
          <w:trHeight w:val="300"/>
        </w:trPr>
        <w:tc>
          <w:tcPr>
            <w:tcW w:w="9360" w:type="dxa"/>
            <w:tcBorders>
              <w:top w:val="nil"/>
              <w:left w:val="nil"/>
              <w:bottom w:val="nil"/>
              <w:right w:val="nil"/>
            </w:tcBorders>
            <w:shd w:val="clear" w:color="auto" w:fill="auto"/>
            <w:noWrap/>
            <w:vAlign w:val="bottom"/>
            <w:hideMark/>
          </w:tcPr>
          <w:p w14:paraId="62E54EF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Dong Q, Rudick RA, Paes D, Mikol D, Belachew S Natalizumab decreases progression of disability in RRMS patients as measured by the composite </w:t>
            </w:r>
            <w:proofErr w:type="spellStart"/>
            <w:r w:rsidRPr="00406AEC">
              <w:rPr>
                <w:rFonts w:ascii="Times New Roman" w:eastAsia="Times New Roman" w:hAnsi="Times New Roman" w:cs="Times New Roman"/>
                <w:color w:val="000000"/>
                <w:szCs w:val="22"/>
              </w:rPr>
              <w:t>EDSSPlus</w:t>
            </w:r>
            <w:proofErr w:type="spellEnd"/>
            <w:r w:rsidRPr="00406AEC">
              <w:rPr>
                <w:rFonts w:ascii="Times New Roman" w:eastAsia="Times New Roman" w:hAnsi="Times New Roman" w:cs="Times New Roman"/>
                <w:color w:val="000000"/>
                <w:szCs w:val="22"/>
              </w:rPr>
              <w:t xml:space="preserve"> in AFFIRM.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118.</w:t>
            </w:r>
          </w:p>
        </w:tc>
      </w:tr>
      <w:tr w:rsidR="00406AEC" w:rsidRPr="00406AEC" w14:paraId="76786641" w14:textId="77777777" w:rsidTr="00406AEC">
        <w:trPr>
          <w:trHeight w:val="300"/>
        </w:trPr>
        <w:tc>
          <w:tcPr>
            <w:tcW w:w="9360" w:type="dxa"/>
            <w:tcBorders>
              <w:top w:val="nil"/>
              <w:left w:val="nil"/>
              <w:bottom w:val="nil"/>
              <w:right w:val="nil"/>
            </w:tcBorders>
            <w:shd w:val="clear" w:color="auto" w:fill="auto"/>
            <w:noWrap/>
            <w:vAlign w:val="bottom"/>
            <w:hideMark/>
          </w:tcPr>
          <w:p w14:paraId="7826758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Durastanti V, Lugaresi A, Bramanti P, Amato M, Bellantonio P et al. </w:t>
            </w:r>
            <w:r w:rsidRPr="00406AEC">
              <w:rPr>
                <w:rFonts w:ascii="Times New Roman" w:eastAsia="Times New Roman" w:hAnsi="Times New Roman" w:cs="Times New Roman"/>
                <w:color w:val="000000"/>
                <w:szCs w:val="22"/>
              </w:rPr>
              <w:t xml:space="preserve">(2011) Neopterin production and tryptophan degradation during 24-months therapy with interferon beta-1a in multiple sclerosis patients. Journal of translational medicine 9 (no pagination) </w:t>
            </w:r>
          </w:p>
        </w:tc>
      </w:tr>
      <w:tr w:rsidR="00406AEC" w:rsidRPr="00406AEC" w14:paraId="53EB6754" w14:textId="77777777" w:rsidTr="00406AEC">
        <w:trPr>
          <w:trHeight w:val="300"/>
        </w:trPr>
        <w:tc>
          <w:tcPr>
            <w:tcW w:w="9360" w:type="dxa"/>
            <w:tcBorders>
              <w:top w:val="nil"/>
              <w:left w:val="nil"/>
              <w:bottom w:val="nil"/>
              <w:right w:val="nil"/>
            </w:tcBorders>
            <w:shd w:val="clear" w:color="auto" w:fill="auto"/>
            <w:noWrap/>
            <w:vAlign w:val="bottom"/>
            <w:hideMark/>
          </w:tcPr>
          <w:p w14:paraId="03F7C91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AT (2004) A multicenter, randomized, rater-blind study to compare the efficacy and safety of natalizumab (300 mg IV every four weeks) with Interferon beta-1a (44 mcg SC three times a week) in subjects with relapsing multiple sclerosis previously treated with Interferon beta-1a (22 or 44 mcg SC three times a week). http://wwwwhoint/trialsearch/Trial2aspx?TrialID=EUCTR2004 </w:t>
            </w:r>
          </w:p>
        </w:tc>
      </w:tr>
      <w:tr w:rsidR="00406AEC" w:rsidRPr="00406AEC" w14:paraId="420DA146" w14:textId="77777777" w:rsidTr="00406AEC">
        <w:trPr>
          <w:trHeight w:val="300"/>
        </w:trPr>
        <w:tc>
          <w:tcPr>
            <w:tcW w:w="9360" w:type="dxa"/>
            <w:tcBorders>
              <w:top w:val="nil"/>
              <w:left w:val="nil"/>
              <w:bottom w:val="nil"/>
              <w:right w:val="nil"/>
            </w:tcBorders>
            <w:shd w:val="clear" w:color="auto" w:fill="auto"/>
            <w:noWrap/>
            <w:vAlign w:val="bottom"/>
            <w:hideMark/>
          </w:tcPr>
          <w:p w14:paraId="08E7DCC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BG (2018) A multinational, multicenter, randomized, Phase III, double blind, parallel group, placebo controlled study in subjects with Relapsing forms of Multiple Sclerosis (RMS) to assess the efficacy, safety and tolerability of GA Depot, a long acting IM injection of glatiramer acetate, administered once every four weeks. http://wwwwhoint/trialsearch/Trial2aspx?TrialID=EUCTR2018 </w:t>
            </w:r>
          </w:p>
        </w:tc>
      </w:tr>
      <w:tr w:rsidR="00406AEC" w:rsidRPr="00406AEC" w14:paraId="74BE903A" w14:textId="77777777" w:rsidTr="00406AEC">
        <w:trPr>
          <w:trHeight w:val="300"/>
        </w:trPr>
        <w:tc>
          <w:tcPr>
            <w:tcW w:w="9360" w:type="dxa"/>
            <w:tcBorders>
              <w:top w:val="nil"/>
              <w:left w:val="nil"/>
              <w:bottom w:val="nil"/>
              <w:right w:val="nil"/>
            </w:tcBorders>
            <w:shd w:val="clear" w:color="auto" w:fill="auto"/>
            <w:noWrap/>
            <w:vAlign w:val="bottom"/>
            <w:hideMark/>
          </w:tcPr>
          <w:p w14:paraId="1FF0D23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ES (2016) A Study of Efficacy and Safety of M2951 in Relapsing Multiple Sclerosis. http://wwwwhoint/trialsearch/Trial2aspx?TrialID=EUCTR2016 </w:t>
            </w:r>
          </w:p>
        </w:tc>
      </w:tr>
      <w:tr w:rsidR="00406AEC" w:rsidRPr="00406AEC" w14:paraId="7389D39F" w14:textId="77777777" w:rsidTr="00406AEC">
        <w:trPr>
          <w:trHeight w:val="300"/>
        </w:trPr>
        <w:tc>
          <w:tcPr>
            <w:tcW w:w="9360" w:type="dxa"/>
            <w:tcBorders>
              <w:top w:val="nil"/>
              <w:left w:val="nil"/>
              <w:bottom w:val="nil"/>
              <w:right w:val="nil"/>
            </w:tcBorders>
            <w:shd w:val="clear" w:color="auto" w:fill="auto"/>
            <w:noWrap/>
            <w:vAlign w:val="bottom"/>
            <w:hideMark/>
          </w:tcPr>
          <w:p w14:paraId="4DAFFD0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SE (2004) Double-Blind, Placebo-Controlled, Dose-Ranging Study to Determine the Efficacy and Safety of BG00012 in Subjects with Relapsing-Remitting Multiple Sclerosis. http://wwwwhoint/trialsearch/Trial2aspx?TrialID=EUCTR2004 </w:t>
            </w:r>
          </w:p>
        </w:tc>
      </w:tr>
      <w:tr w:rsidR="00406AEC" w:rsidRPr="00406AEC" w14:paraId="50DCEA57" w14:textId="77777777" w:rsidTr="00406AEC">
        <w:trPr>
          <w:trHeight w:val="300"/>
        </w:trPr>
        <w:tc>
          <w:tcPr>
            <w:tcW w:w="9360" w:type="dxa"/>
            <w:tcBorders>
              <w:top w:val="nil"/>
              <w:left w:val="nil"/>
              <w:bottom w:val="nil"/>
              <w:right w:val="nil"/>
            </w:tcBorders>
            <w:shd w:val="clear" w:color="auto" w:fill="auto"/>
            <w:noWrap/>
            <w:vAlign w:val="bottom"/>
            <w:hideMark/>
          </w:tcPr>
          <w:p w14:paraId="098866D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SK (2012) Study of efficacy, </w:t>
            </w:r>
            <w:proofErr w:type="gramStart"/>
            <w:r w:rsidRPr="00406AEC">
              <w:rPr>
                <w:rFonts w:ascii="Times New Roman" w:eastAsia="Times New Roman" w:hAnsi="Times New Roman" w:cs="Times New Roman"/>
                <w:color w:val="000000"/>
                <w:szCs w:val="22"/>
              </w:rPr>
              <w:t>safety</w:t>
            </w:r>
            <w:proofErr w:type="gramEnd"/>
            <w:r w:rsidRPr="00406AEC">
              <w:rPr>
                <w:rFonts w:ascii="Times New Roman" w:eastAsia="Times New Roman" w:hAnsi="Times New Roman" w:cs="Times New Roman"/>
                <w:color w:val="000000"/>
                <w:szCs w:val="22"/>
              </w:rPr>
              <w:t xml:space="preserve"> and tolerability data for BAF312 compared to placebo in patients with secondary progressive multiple sclerosis followed by extended treatment with BAF312. http://wwwwhoint/trialsearch/Trial2aspx?TrialID=EUCTR2012 </w:t>
            </w:r>
          </w:p>
        </w:tc>
      </w:tr>
      <w:tr w:rsidR="00406AEC" w:rsidRPr="00406AEC" w14:paraId="78DA27A9" w14:textId="77777777" w:rsidTr="00406AEC">
        <w:trPr>
          <w:trHeight w:val="300"/>
        </w:trPr>
        <w:tc>
          <w:tcPr>
            <w:tcW w:w="9360" w:type="dxa"/>
            <w:tcBorders>
              <w:top w:val="nil"/>
              <w:left w:val="nil"/>
              <w:bottom w:val="nil"/>
              <w:right w:val="nil"/>
            </w:tcBorders>
            <w:shd w:val="clear" w:color="auto" w:fill="auto"/>
            <w:noWrap/>
            <w:vAlign w:val="bottom"/>
            <w:hideMark/>
          </w:tcPr>
          <w:p w14:paraId="4616EEF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Fernandez O, Giovannoni G, Fox RJ, Gold R, Phillips JT et al. (2015) Efficacy of delayed-release dimethyl fumarate for relapsing-remitting multiple sclerosis in prior interferon users </w:t>
            </w:r>
            <w:r w:rsidRPr="00406AEC">
              <w:rPr>
                <w:rFonts w:ascii="Times New Roman" w:eastAsia="Times New Roman" w:hAnsi="Times New Roman" w:cs="Times New Roman"/>
                <w:color w:val="000000"/>
                <w:szCs w:val="22"/>
              </w:rPr>
              <w:lastRenderedPageBreak/>
              <w:t>with low clinical disease activity: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687.</w:t>
            </w:r>
          </w:p>
        </w:tc>
      </w:tr>
      <w:tr w:rsidR="00406AEC" w:rsidRPr="00406AEC" w14:paraId="2FB29094" w14:textId="77777777" w:rsidTr="00406AEC">
        <w:trPr>
          <w:trHeight w:val="300"/>
        </w:trPr>
        <w:tc>
          <w:tcPr>
            <w:tcW w:w="9360" w:type="dxa"/>
            <w:tcBorders>
              <w:top w:val="nil"/>
              <w:left w:val="nil"/>
              <w:bottom w:val="nil"/>
              <w:right w:val="nil"/>
            </w:tcBorders>
            <w:shd w:val="clear" w:color="auto" w:fill="auto"/>
            <w:noWrap/>
            <w:vAlign w:val="bottom"/>
            <w:hideMark/>
          </w:tcPr>
          <w:p w14:paraId="6430657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fr-FR"/>
              </w:rPr>
              <w:lastRenderedPageBreak/>
              <w:t xml:space="preserve">Fernandez O, </w:t>
            </w:r>
            <w:proofErr w:type="spellStart"/>
            <w:r w:rsidRPr="00144F5E">
              <w:rPr>
                <w:rFonts w:ascii="Times New Roman" w:eastAsia="Times New Roman" w:hAnsi="Times New Roman" w:cs="Times New Roman"/>
                <w:color w:val="000000"/>
                <w:szCs w:val="22"/>
                <w:lang w:val="fr-FR"/>
              </w:rPr>
              <w:t>Pozzilli</w:t>
            </w:r>
            <w:proofErr w:type="spellEnd"/>
            <w:r w:rsidRPr="00144F5E">
              <w:rPr>
                <w:rFonts w:ascii="Times New Roman" w:eastAsia="Times New Roman" w:hAnsi="Times New Roman" w:cs="Times New Roman"/>
                <w:color w:val="000000"/>
                <w:szCs w:val="22"/>
                <w:lang w:val="fr-FR"/>
              </w:rPr>
              <w:t xml:space="preserve"> C, </w:t>
            </w:r>
            <w:proofErr w:type="spellStart"/>
            <w:r w:rsidRPr="00144F5E">
              <w:rPr>
                <w:rFonts w:ascii="Times New Roman" w:eastAsia="Times New Roman" w:hAnsi="Times New Roman" w:cs="Times New Roman"/>
                <w:color w:val="000000"/>
                <w:szCs w:val="22"/>
                <w:lang w:val="fr-FR"/>
              </w:rPr>
              <w:t>Freedman</w:t>
            </w:r>
            <w:proofErr w:type="spellEnd"/>
            <w:r w:rsidRPr="00144F5E">
              <w:rPr>
                <w:rFonts w:ascii="Times New Roman" w:eastAsia="Times New Roman" w:hAnsi="Times New Roman" w:cs="Times New Roman"/>
                <w:color w:val="000000"/>
                <w:szCs w:val="22"/>
                <w:lang w:val="fr-FR"/>
              </w:rPr>
              <w:t xml:space="preserve"> MS, Olsson T, </w:t>
            </w:r>
            <w:proofErr w:type="spellStart"/>
            <w:r w:rsidRPr="00144F5E">
              <w:rPr>
                <w:rFonts w:ascii="Times New Roman" w:eastAsia="Times New Roman" w:hAnsi="Times New Roman" w:cs="Times New Roman"/>
                <w:color w:val="000000"/>
                <w:szCs w:val="22"/>
                <w:lang w:val="fr-FR"/>
              </w:rPr>
              <w:t>Melanson</w:t>
            </w:r>
            <w:proofErr w:type="spellEnd"/>
            <w:r w:rsidRPr="00144F5E">
              <w:rPr>
                <w:rFonts w:ascii="Times New Roman" w:eastAsia="Times New Roman" w:hAnsi="Times New Roman" w:cs="Times New Roman"/>
                <w:color w:val="000000"/>
                <w:szCs w:val="22"/>
                <w:lang w:val="fr-FR"/>
              </w:rPr>
              <w:t xml:space="preserve"> M et al. </w:t>
            </w:r>
            <w:r w:rsidRPr="00406AEC">
              <w:rPr>
                <w:rFonts w:ascii="Times New Roman" w:eastAsia="Times New Roman" w:hAnsi="Times New Roman" w:cs="Times New Roman"/>
                <w:color w:val="000000"/>
                <w:szCs w:val="22"/>
              </w:rPr>
              <w:t xml:space="preserve">Pharmacodynamic effect, </w:t>
            </w:r>
            <w:proofErr w:type="gramStart"/>
            <w:r w:rsidRPr="00406AEC">
              <w:rPr>
                <w:rFonts w:ascii="Times New Roman" w:eastAsia="Times New Roman" w:hAnsi="Times New Roman" w:cs="Times New Roman"/>
                <w:color w:val="000000"/>
                <w:szCs w:val="22"/>
              </w:rPr>
              <w:t>safety</w:t>
            </w:r>
            <w:proofErr w:type="gramEnd"/>
            <w:r w:rsidRPr="00406AEC">
              <w:rPr>
                <w:rFonts w:ascii="Times New Roman" w:eastAsia="Times New Roman" w:hAnsi="Times New Roman" w:cs="Times New Roman"/>
                <w:color w:val="000000"/>
                <w:szCs w:val="22"/>
              </w:rPr>
              <w:t xml:space="preserve"> and tolerability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a selective sphingosine 1-phosphate receptor-1 modulator, in patients with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417-418.</w:t>
            </w:r>
          </w:p>
        </w:tc>
      </w:tr>
      <w:tr w:rsidR="00406AEC" w:rsidRPr="00406AEC" w14:paraId="614548A9" w14:textId="77777777" w:rsidTr="00406AEC">
        <w:trPr>
          <w:trHeight w:val="300"/>
        </w:trPr>
        <w:tc>
          <w:tcPr>
            <w:tcW w:w="9360" w:type="dxa"/>
            <w:tcBorders>
              <w:top w:val="nil"/>
              <w:left w:val="nil"/>
              <w:bottom w:val="nil"/>
              <w:right w:val="nil"/>
            </w:tcBorders>
            <w:shd w:val="clear" w:color="auto" w:fill="auto"/>
            <w:noWrap/>
            <w:vAlign w:val="bottom"/>
            <w:hideMark/>
          </w:tcPr>
          <w:p w14:paraId="706156A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Filippi M, Rocca MA, Camesasca F, Cook S, O'Connor P et al. </w:t>
            </w:r>
            <w:r w:rsidRPr="00406AEC">
              <w:rPr>
                <w:rFonts w:ascii="Times New Roman" w:eastAsia="Times New Roman" w:hAnsi="Times New Roman" w:cs="Times New Roman"/>
                <w:color w:val="000000"/>
                <w:szCs w:val="22"/>
              </w:rPr>
              <w:t>(2011) Interferon beta-1b and glatiramer acetate effects on permanent black hole evolution. Neurology 76 (14): 1222-1228.</w:t>
            </w:r>
          </w:p>
        </w:tc>
      </w:tr>
      <w:tr w:rsidR="00406AEC" w:rsidRPr="00406AEC" w14:paraId="6268D6DC" w14:textId="77777777" w:rsidTr="00406AEC">
        <w:trPr>
          <w:trHeight w:val="300"/>
        </w:trPr>
        <w:tc>
          <w:tcPr>
            <w:tcW w:w="9360" w:type="dxa"/>
            <w:tcBorders>
              <w:top w:val="nil"/>
              <w:left w:val="nil"/>
              <w:bottom w:val="nil"/>
              <w:right w:val="nil"/>
            </w:tcBorders>
            <w:shd w:val="clear" w:color="auto" w:fill="auto"/>
            <w:noWrap/>
            <w:vAlign w:val="bottom"/>
            <w:hideMark/>
          </w:tcPr>
          <w:p w14:paraId="3A01641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Filippi M, Rovaris M, Rocca MA, Sormani MP, Wolinsky JS et al. </w:t>
            </w:r>
            <w:r w:rsidRPr="00406AEC">
              <w:rPr>
                <w:rFonts w:ascii="Times New Roman" w:eastAsia="Times New Roman" w:hAnsi="Times New Roman" w:cs="Times New Roman"/>
                <w:color w:val="000000"/>
                <w:szCs w:val="22"/>
              </w:rPr>
              <w:t>(2001) Glatiramer acetate reduces the proportion of new MS lesions evolving into "black holes". Neurology 57 (4): 731-733.</w:t>
            </w:r>
          </w:p>
        </w:tc>
      </w:tr>
      <w:tr w:rsidR="00406AEC" w:rsidRPr="00406AEC" w14:paraId="2044CDEC" w14:textId="77777777" w:rsidTr="00406AEC">
        <w:trPr>
          <w:trHeight w:val="300"/>
        </w:trPr>
        <w:tc>
          <w:tcPr>
            <w:tcW w:w="9360" w:type="dxa"/>
            <w:tcBorders>
              <w:top w:val="nil"/>
              <w:left w:val="nil"/>
              <w:bottom w:val="nil"/>
              <w:right w:val="nil"/>
            </w:tcBorders>
            <w:shd w:val="clear" w:color="auto" w:fill="auto"/>
            <w:noWrap/>
            <w:vAlign w:val="bottom"/>
            <w:hideMark/>
          </w:tcPr>
          <w:p w14:paraId="6B07AB5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Fox EJ (1396) Alemtuzumab improves Expanded Disability Status Scale functional system scores better than interferon beta-1a in patients with relapsing-remitting multiple sclerosis. Multiple Sclerosis 15 1396-1395.</w:t>
            </w:r>
          </w:p>
        </w:tc>
      </w:tr>
      <w:tr w:rsidR="00406AEC" w:rsidRPr="00406AEC" w14:paraId="35156CC5" w14:textId="77777777" w:rsidTr="00406AEC">
        <w:trPr>
          <w:trHeight w:val="300"/>
        </w:trPr>
        <w:tc>
          <w:tcPr>
            <w:tcW w:w="9360" w:type="dxa"/>
            <w:tcBorders>
              <w:top w:val="nil"/>
              <w:left w:val="nil"/>
              <w:bottom w:val="nil"/>
              <w:right w:val="nil"/>
            </w:tcBorders>
            <w:shd w:val="clear" w:color="auto" w:fill="auto"/>
            <w:noWrap/>
            <w:vAlign w:val="bottom"/>
            <w:hideMark/>
          </w:tcPr>
          <w:p w14:paraId="0A9C9BE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Fox EJ, Wynn D, Coles AJ, Palmer J, Margolin DH et al. (2016) Alemtuzumab improves neurological functional systems in treatment-naive relapsing-remitting multiple sclerosis patients. Journal of the Neurological Sciences 363 188-194.</w:t>
            </w:r>
          </w:p>
        </w:tc>
      </w:tr>
      <w:tr w:rsidR="00406AEC" w:rsidRPr="00406AEC" w14:paraId="54120E82" w14:textId="77777777" w:rsidTr="00406AEC">
        <w:trPr>
          <w:trHeight w:val="300"/>
        </w:trPr>
        <w:tc>
          <w:tcPr>
            <w:tcW w:w="9360" w:type="dxa"/>
            <w:tcBorders>
              <w:top w:val="nil"/>
              <w:left w:val="nil"/>
              <w:bottom w:val="nil"/>
              <w:right w:val="nil"/>
            </w:tcBorders>
            <w:shd w:val="clear" w:color="auto" w:fill="auto"/>
            <w:noWrap/>
            <w:vAlign w:val="bottom"/>
            <w:hideMark/>
          </w:tcPr>
          <w:p w14:paraId="11FA8D7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Miller DH, Gold R, </w:t>
            </w:r>
            <w:proofErr w:type="spellStart"/>
            <w:r w:rsidRPr="00406AEC">
              <w:rPr>
                <w:rFonts w:ascii="Times New Roman" w:eastAsia="Times New Roman" w:hAnsi="Times New Roman" w:cs="Times New Roman"/>
                <w:color w:val="000000"/>
                <w:szCs w:val="22"/>
              </w:rPr>
              <w:t>Macmanus</w:t>
            </w:r>
            <w:proofErr w:type="spellEnd"/>
            <w:r w:rsidRPr="00406AEC">
              <w:rPr>
                <w:rFonts w:ascii="Times New Roman" w:eastAsia="Times New Roman" w:hAnsi="Times New Roman" w:cs="Times New Roman"/>
                <w:color w:val="000000"/>
                <w:szCs w:val="22"/>
              </w:rPr>
              <w:t xml:space="preserve"> D, Yousry T et al. (2013) Neuroradiological efficacy of oral BG-12 for relapsing-remitting multiple sclerosis (RRMS): Integrated analysis of the Phase 3 DEFINE and CONFIRM studies. Journal of the Neurological Sciences 333 (21): </w:t>
            </w:r>
          </w:p>
        </w:tc>
      </w:tr>
      <w:tr w:rsidR="00406AEC" w:rsidRPr="00406AEC" w14:paraId="0AC13EEC" w14:textId="77777777" w:rsidTr="00406AEC">
        <w:trPr>
          <w:trHeight w:val="300"/>
        </w:trPr>
        <w:tc>
          <w:tcPr>
            <w:tcW w:w="9360" w:type="dxa"/>
            <w:tcBorders>
              <w:top w:val="nil"/>
              <w:left w:val="nil"/>
              <w:bottom w:val="nil"/>
              <w:right w:val="nil"/>
            </w:tcBorders>
            <w:shd w:val="clear" w:color="auto" w:fill="auto"/>
            <w:noWrap/>
            <w:vAlign w:val="bottom"/>
            <w:hideMark/>
          </w:tcPr>
          <w:p w14:paraId="53C369D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Francis GS, </w:t>
            </w:r>
            <w:proofErr w:type="spellStart"/>
            <w:r w:rsidRPr="00406AEC">
              <w:rPr>
                <w:rFonts w:ascii="Times New Roman" w:eastAsia="Times New Roman" w:hAnsi="Times New Roman" w:cs="Times New Roman"/>
                <w:color w:val="000000"/>
                <w:szCs w:val="22"/>
              </w:rPr>
              <w:t>Grumser</w:t>
            </w:r>
            <w:proofErr w:type="spellEnd"/>
            <w:r w:rsidRPr="00406AEC">
              <w:rPr>
                <w:rFonts w:ascii="Times New Roman" w:eastAsia="Times New Roman" w:hAnsi="Times New Roman" w:cs="Times New Roman"/>
                <w:color w:val="000000"/>
                <w:szCs w:val="22"/>
              </w:rPr>
              <w:t xml:space="preserve"> Y, Alteri E, </w:t>
            </w:r>
            <w:proofErr w:type="spellStart"/>
            <w:r w:rsidRPr="00406AEC">
              <w:rPr>
                <w:rFonts w:ascii="Times New Roman" w:eastAsia="Times New Roman" w:hAnsi="Times New Roman" w:cs="Times New Roman"/>
                <w:color w:val="000000"/>
                <w:szCs w:val="22"/>
              </w:rPr>
              <w:t>Micaleff</w:t>
            </w:r>
            <w:proofErr w:type="spellEnd"/>
            <w:r w:rsidRPr="00406AEC">
              <w:rPr>
                <w:rFonts w:ascii="Times New Roman" w:eastAsia="Times New Roman" w:hAnsi="Times New Roman" w:cs="Times New Roman"/>
                <w:color w:val="000000"/>
                <w:szCs w:val="22"/>
              </w:rPr>
              <w:t xml:space="preserve"> A, O'Brien F et al. (2003) Hepatic reactions during treatment of multiple sclerosis with interferon-beta-1a: Incidence and clinical significance. Drug Safety 26 (11): 815-827.</w:t>
            </w:r>
          </w:p>
        </w:tc>
      </w:tr>
      <w:tr w:rsidR="00406AEC" w:rsidRPr="00406AEC" w14:paraId="7AE197AF" w14:textId="77777777" w:rsidTr="00406AEC">
        <w:trPr>
          <w:trHeight w:val="300"/>
        </w:trPr>
        <w:tc>
          <w:tcPr>
            <w:tcW w:w="9360" w:type="dxa"/>
            <w:tcBorders>
              <w:top w:val="nil"/>
              <w:left w:val="nil"/>
              <w:bottom w:val="nil"/>
              <w:right w:val="nil"/>
            </w:tcBorders>
            <w:shd w:val="clear" w:color="auto" w:fill="auto"/>
            <w:noWrap/>
            <w:vAlign w:val="bottom"/>
            <w:hideMark/>
          </w:tcPr>
          <w:p w14:paraId="32978BF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Francis GS, Rice GPA, Alsop JC (2005) Interferon beta-1a in MS: Results following development of neutralizing antibodies in PRISMS. Neurology 65 (1): 48-55.</w:t>
            </w:r>
          </w:p>
        </w:tc>
      </w:tr>
      <w:tr w:rsidR="00406AEC" w:rsidRPr="00406AEC" w14:paraId="7C106150" w14:textId="77777777" w:rsidTr="00406AEC">
        <w:trPr>
          <w:trHeight w:val="300"/>
        </w:trPr>
        <w:tc>
          <w:tcPr>
            <w:tcW w:w="9360" w:type="dxa"/>
            <w:tcBorders>
              <w:top w:val="nil"/>
              <w:left w:val="nil"/>
              <w:bottom w:val="nil"/>
              <w:right w:val="nil"/>
            </w:tcBorders>
            <w:shd w:val="clear" w:color="auto" w:fill="auto"/>
            <w:noWrap/>
            <w:vAlign w:val="bottom"/>
            <w:hideMark/>
          </w:tcPr>
          <w:p w14:paraId="3B8518A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Freedman</w:t>
            </w:r>
            <w:proofErr w:type="spellEnd"/>
            <w:r w:rsidRPr="00713F1E">
              <w:rPr>
                <w:rFonts w:ascii="Times New Roman" w:eastAsia="Times New Roman" w:hAnsi="Times New Roman" w:cs="Times New Roman"/>
                <w:color w:val="000000"/>
                <w:szCs w:val="22"/>
                <w:lang w:val="fr-FR"/>
              </w:rPr>
              <w:t xml:space="preserve"> M,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Olsson T, </w:t>
            </w:r>
            <w:proofErr w:type="spellStart"/>
            <w:r w:rsidRPr="00713F1E">
              <w:rPr>
                <w:rFonts w:ascii="Times New Roman" w:eastAsia="Times New Roman" w:hAnsi="Times New Roman" w:cs="Times New Roman"/>
                <w:color w:val="000000"/>
                <w:szCs w:val="22"/>
                <w:lang w:val="fr-FR"/>
              </w:rPr>
              <w:t>Comi</w:t>
            </w:r>
            <w:proofErr w:type="spellEnd"/>
            <w:r w:rsidRPr="00713F1E">
              <w:rPr>
                <w:rFonts w:ascii="Times New Roman" w:eastAsia="Times New Roman" w:hAnsi="Times New Roman" w:cs="Times New Roman"/>
                <w:color w:val="000000"/>
                <w:szCs w:val="22"/>
                <w:lang w:val="fr-FR"/>
              </w:rPr>
              <w:t xml:space="preserve"> G, Miller A et al. </w:t>
            </w:r>
            <w:r w:rsidRPr="00406AEC">
              <w:rPr>
                <w:rFonts w:ascii="Times New Roman" w:eastAsia="Times New Roman" w:hAnsi="Times New Roman" w:cs="Times New Roman"/>
                <w:color w:val="000000"/>
                <w:szCs w:val="22"/>
              </w:rPr>
              <w:t>Teriflunomide efficacy and safety analyses: Results from TEMSO and tower.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(10): 1399-1400.</w:t>
            </w:r>
          </w:p>
        </w:tc>
      </w:tr>
      <w:tr w:rsidR="00406AEC" w:rsidRPr="00406AEC" w14:paraId="05CDD013" w14:textId="77777777" w:rsidTr="00406AEC">
        <w:trPr>
          <w:trHeight w:val="300"/>
        </w:trPr>
        <w:tc>
          <w:tcPr>
            <w:tcW w:w="9360" w:type="dxa"/>
            <w:tcBorders>
              <w:top w:val="nil"/>
              <w:left w:val="nil"/>
              <w:bottom w:val="nil"/>
              <w:right w:val="nil"/>
            </w:tcBorders>
            <w:shd w:val="clear" w:color="auto" w:fill="auto"/>
            <w:noWrap/>
            <w:vAlign w:val="bottom"/>
            <w:hideMark/>
          </w:tcPr>
          <w:p w14:paraId="1B722A4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Kappos L, Olsson TP et al. Hair thinning associated with teriflunomide therapy is manageable.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(9): S12-S13.</w:t>
            </w:r>
          </w:p>
        </w:tc>
      </w:tr>
      <w:tr w:rsidR="00406AEC" w:rsidRPr="00406AEC" w14:paraId="71079785" w14:textId="77777777" w:rsidTr="00406AEC">
        <w:trPr>
          <w:trHeight w:val="300"/>
        </w:trPr>
        <w:tc>
          <w:tcPr>
            <w:tcW w:w="9360" w:type="dxa"/>
            <w:tcBorders>
              <w:top w:val="nil"/>
              <w:left w:val="nil"/>
              <w:bottom w:val="nil"/>
              <w:right w:val="nil"/>
            </w:tcBorders>
            <w:shd w:val="clear" w:color="auto" w:fill="auto"/>
            <w:noWrap/>
            <w:vAlign w:val="bottom"/>
            <w:hideMark/>
          </w:tcPr>
          <w:p w14:paraId="43B4254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w:t>
            </w:r>
            <w:proofErr w:type="spellStart"/>
            <w:r w:rsidRPr="00406AEC">
              <w:rPr>
                <w:rFonts w:ascii="Times New Roman" w:eastAsia="Times New Roman" w:hAnsi="Times New Roman" w:cs="Times New Roman"/>
                <w:color w:val="000000"/>
                <w:szCs w:val="22"/>
              </w:rPr>
              <w:t>Delhay</w:t>
            </w:r>
            <w:proofErr w:type="spellEnd"/>
            <w:r w:rsidRPr="00406AEC">
              <w:rPr>
                <w:rFonts w:ascii="Times New Roman" w:eastAsia="Times New Roman" w:hAnsi="Times New Roman" w:cs="Times New Roman"/>
                <w:color w:val="000000"/>
                <w:szCs w:val="22"/>
              </w:rPr>
              <w:t xml:space="preserve"> JL, Benamor M Gastrointestinal symptoms infrequently lead to discontinuation of teriflunomide therapy.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(9): S13.</w:t>
            </w:r>
          </w:p>
        </w:tc>
      </w:tr>
      <w:tr w:rsidR="00406AEC" w:rsidRPr="00406AEC" w14:paraId="5749D99F" w14:textId="77777777" w:rsidTr="00406AEC">
        <w:trPr>
          <w:trHeight w:val="300"/>
        </w:trPr>
        <w:tc>
          <w:tcPr>
            <w:tcW w:w="9360" w:type="dxa"/>
            <w:tcBorders>
              <w:top w:val="nil"/>
              <w:left w:val="nil"/>
              <w:bottom w:val="nil"/>
              <w:right w:val="nil"/>
            </w:tcBorders>
            <w:shd w:val="clear" w:color="auto" w:fill="auto"/>
            <w:noWrap/>
            <w:vAlign w:val="bottom"/>
            <w:hideMark/>
          </w:tcPr>
          <w:p w14:paraId="4B4CAB0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Gaetano L, Haring DA, Radue EW, Mueller-Lenke N, Thakur A et al. </w:t>
            </w:r>
            <w:r w:rsidRPr="00406AEC">
              <w:rPr>
                <w:rFonts w:ascii="Times New Roman" w:eastAsia="Times New Roman" w:hAnsi="Times New Roman" w:cs="Times New Roman"/>
                <w:color w:val="000000"/>
                <w:szCs w:val="22"/>
              </w:rPr>
              <w:t>(2018) Fingolimod effect on gray matter, thalamus, and white matter in patients with multiple sclerosis. Neurology 90 (15): e1324-e1332.</w:t>
            </w:r>
          </w:p>
        </w:tc>
      </w:tr>
      <w:tr w:rsidR="00406AEC" w:rsidRPr="00406AEC" w14:paraId="626890AC" w14:textId="77777777" w:rsidTr="00406AEC">
        <w:trPr>
          <w:trHeight w:val="300"/>
        </w:trPr>
        <w:tc>
          <w:tcPr>
            <w:tcW w:w="9360" w:type="dxa"/>
            <w:tcBorders>
              <w:top w:val="nil"/>
              <w:left w:val="nil"/>
              <w:bottom w:val="nil"/>
              <w:right w:val="nil"/>
            </w:tcBorders>
            <w:shd w:val="clear" w:color="auto" w:fill="auto"/>
            <w:noWrap/>
            <w:vAlign w:val="bottom"/>
            <w:hideMark/>
          </w:tcPr>
          <w:p w14:paraId="472E9DC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Gaetano L, Magon S, </w:t>
            </w:r>
            <w:proofErr w:type="spellStart"/>
            <w:r w:rsidRPr="00713F1E">
              <w:rPr>
                <w:rFonts w:ascii="Times New Roman" w:eastAsia="Times New Roman" w:hAnsi="Times New Roman" w:cs="Times New Roman"/>
                <w:color w:val="000000"/>
                <w:szCs w:val="22"/>
                <w:lang w:val="fr-FR"/>
              </w:rPr>
              <w:t>Chakravarty</w:t>
            </w:r>
            <w:proofErr w:type="spellEnd"/>
            <w:r w:rsidRPr="00713F1E">
              <w:rPr>
                <w:rFonts w:ascii="Times New Roman" w:eastAsia="Times New Roman" w:hAnsi="Times New Roman" w:cs="Times New Roman"/>
                <w:color w:val="000000"/>
                <w:szCs w:val="22"/>
                <w:lang w:val="fr-FR"/>
              </w:rPr>
              <w:t xml:space="preserve"> M, </w:t>
            </w:r>
            <w:proofErr w:type="spellStart"/>
            <w:r w:rsidRPr="00713F1E">
              <w:rPr>
                <w:rFonts w:ascii="Times New Roman" w:eastAsia="Times New Roman" w:hAnsi="Times New Roman" w:cs="Times New Roman"/>
                <w:color w:val="000000"/>
                <w:szCs w:val="22"/>
                <w:lang w:val="fr-FR"/>
              </w:rPr>
              <w:t>Kappos</w:t>
            </w:r>
            <w:proofErr w:type="spellEnd"/>
            <w:r w:rsidRPr="00713F1E">
              <w:rPr>
                <w:rFonts w:ascii="Times New Roman" w:eastAsia="Times New Roman" w:hAnsi="Times New Roman" w:cs="Times New Roman"/>
                <w:color w:val="000000"/>
                <w:szCs w:val="22"/>
                <w:lang w:val="fr-FR"/>
              </w:rPr>
              <w:t xml:space="preserve"> L,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et al. </w:t>
            </w:r>
            <w:r w:rsidRPr="00406AEC">
              <w:rPr>
                <w:rFonts w:ascii="Times New Roman" w:eastAsia="Times New Roman" w:hAnsi="Times New Roman" w:cs="Times New Roman"/>
                <w:color w:val="000000"/>
                <w:szCs w:val="22"/>
              </w:rPr>
              <w:t xml:space="preserve">(2019) Volume loss in deep gray matter and thalamic sub-nuclei in placebo-treated patients with multiple sclerosis in the phase 3 TEMSO study. Neurology 92 (15): </w:t>
            </w:r>
          </w:p>
        </w:tc>
      </w:tr>
      <w:tr w:rsidR="00406AEC" w:rsidRPr="00406AEC" w14:paraId="1A41D237" w14:textId="77777777" w:rsidTr="00406AEC">
        <w:trPr>
          <w:trHeight w:val="300"/>
        </w:trPr>
        <w:tc>
          <w:tcPr>
            <w:tcW w:w="9360" w:type="dxa"/>
            <w:tcBorders>
              <w:top w:val="nil"/>
              <w:left w:val="nil"/>
              <w:bottom w:val="nil"/>
              <w:right w:val="nil"/>
            </w:tcBorders>
            <w:shd w:val="clear" w:color="auto" w:fill="auto"/>
            <w:noWrap/>
            <w:vAlign w:val="bottom"/>
            <w:hideMark/>
          </w:tcPr>
          <w:p w14:paraId="6082F01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Giorgio A, Battaglini M, Gentile G, Stromillo ML, Gasperini C et al. </w:t>
            </w:r>
            <w:r w:rsidRPr="00406AEC">
              <w:rPr>
                <w:rFonts w:ascii="Times New Roman" w:eastAsia="Times New Roman" w:hAnsi="Times New Roman" w:cs="Times New Roman"/>
                <w:color w:val="000000"/>
                <w:szCs w:val="22"/>
              </w:rPr>
              <w:t>(2020) Mapping the Progressive Treatment-Related Reduction of Active MRI Lesions in Multiple Sclerosis. Frontiers in neurology 11 585296.</w:t>
            </w:r>
          </w:p>
        </w:tc>
      </w:tr>
      <w:tr w:rsidR="00406AEC" w:rsidRPr="00406AEC" w14:paraId="7300D49C" w14:textId="77777777" w:rsidTr="00406AEC">
        <w:trPr>
          <w:trHeight w:val="300"/>
        </w:trPr>
        <w:tc>
          <w:tcPr>
            <w:tcW w:w="9360" w:type="dxa"/>
            <w:tcBorders>
              <w:top w:val="nil"/>
              <w:left w:val="nil"/>
              <w:bottom w:val="nil"/>
              <w:right w:val="nil"/>
            </w:tcBorders>
            <w:shd w:val="clear" w:color="auto" w:fill="auto"/>
            <w:noWrap/>
            <w:vAlign w:val="bottom"/>
            <w:hideMark/>
          </w:tcPr>
          <w:p w14:paraId="6A2A475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Disability improvement with alemtuzumab vs. interferon beta-1a in relapsing-remitting multiple sclerosis patients who experienced disease activity while on prior therapy (CARE-MS II).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71489D1F" w14:textId="77777777" w:rsidTr="00406AEC">
        <w:trPr>
          <w:trHeight w:val="300"/>
        </w:trPr>
        <w:tc>
          <w:tcPr>
            <w:tcW w:w="9360" w:type="dxa"/>
            <w:tcBorders>
              <w:top w:val="nil"/>
              <w:left w:val="nil"/>
              <w:bottom w:val="nil"/>
              <w:right w:val="nil"/>
            </w:tcBorders>
            <w:shd w:val="clear" w:color="auto" w:fill="auto"/>
            <w:noWrap/>
            <w:vAlign w:val="bottom"/>
            <w:hideMark/>
          </w:tcPr>
          <w:p w14:paraId="01E9615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Belachew S, Dong Q, Rudick R, Mikol D et al. (2015) Natalizumab reduces total disability burden relative to placebo in patients with relapsing-remitting multiple sclerosis regardless of the occurrence of relapses or confirmed disability progression or improvement over 2 years in the AFFIRM study. Neurology 84 (18): </w:t>
            </w:r>
          </w:p>
        </w:tc>
      </w:tr>
      <w:tr w:rsidR="00406AEC" w:rsidRPr="00406AEC" w14:paraId="40289186" w14:textId="77777777" w:rsidTr="00406AEC">
        <w:trPr>
          <w:trHeight w:val="300"/>
        </w:trPr>
        <w:tc>
          <w:tcPr>
            <w:tcW w:w="9360" w:type="dxa"/>
            <w:tcBorders>
              <w:top w:val="nil"/>
              <w:left w:val="nil"/>
              <w:bottom w:val="nil"/>
              <w:right w:val="nil"/>
            </w:tcBorders>
            <w:shd w:val="clear" w:color="auto" w:fill="auto"/>
            <w:noWrap/>
            <w:vAlign w:val="bottom"/>
            <w:hideMark/>
          </w:tcPr>
          <w:p w14:paraId="09C0AFE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Cohen JA, Coles AJ, Hartung HP,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(2016) Alemtuzumab improves preexisting disability in active relapsing-remitting MS patients. Neurology 87 (19): 1985-1992.</w:t>
            </w:r>
          </w:p>
        </w:tc>
      </w:tr>
      <w:tr w:rsidR="00406AEC" w:rsidRPr="00406AEC" w14:paraId="5AB3F61A" w14:textId="77777777" w:rsidTr="00406AEC">
        <w:trPr>
          <w:trHeight w:val="300"/>
        </w:trPr>
        <w:tc>
          <w:tcPr>
            <w:tcW w:w="9360" w:type="dxa"/>
            <w:tcBorders>
              <w:top w:val="nil"/>
              <w:left w:val="nil"/>
              <w:bottom w:val="nil"/>
              <w:right w:val="nil"/>
            </w:tcBorders>
            <w:shd w:val="clear" w:color="auto" w:fill="auto"/>
            <w:noWrap/>
            <w:vAlign w:val="bottom"/>
            <w:hideMark/>
          </w:tcPr>
          <w:p w14:paraId="6F63976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Kappos L, Arnold DL, Bar-Or A et al. Delayed-release dimethyl fumarate and disability assessed by the multiple sclerosis functional composite: Integrated analysis of DEFINE and CONFIRM.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92.</w:t>
            </w:r>
          </w:p>
        </w:tc>
      </w:tr>
      <w:tr w:rsidR="00406AEC" w:rsidRPr="00406AEC" w14:paraId="09DBD1EC" w14:textId="77777777" w:rsidTr="00406AEC">
        <w:trPr>
          <w:trHeight w:val="300"/>
        </w:trPr>
        <w:tc>
          <w:tcPr>
            <w:tcW w:w="9360" w:type="dxa"/>
            <w:tcBorders>
              <w:top w:val="nil"/>
              <w:left w:val="nil"/>
              <w:bottom w:val="nil"/>
              <w:right w:val="nil"/>
            </w:tcBorders>
            <w:shd w:val="clear" w:color="auto" w:fill="auto"/>
            <w:noWrap/>
            <w:vAlign w:val="bottom"/>
            <w:hideMark/>
          </w:tcPr>
          <w:p w14:paraId="44F5196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Giovannoni G, Kappos L, e Seze J, Hauser SL, Overell J et al. </w:t>
            </w:r>
            <w:r w:rsidRPr="00406AEC">
              <w:rPr>
                <w:rFonts w:ascii="Times New Roman" w:eastAsia="Times New Roman" w:hAnsi="Times New Roman" w:cs="Times New Roman"/>
                <w:color w:val="000000"/>
                <w:szCs w:val="22"/>
              </w:rPr>
              <w:t xml:space="preserve">(2021) Risk of requiring a walking aid after 6.5 years of ocrelizumab treatment in patients with relapsing multiple sclerosis: Data from the OPERA I and OPERA II trials. European journal of neurology </w:t>
            </w:r>
          </w:p>
        </w:tc>
      </w:tr>
      <w:tr w:rsidR="00406AEC" w:rsidRPr="00406AEC" w14:paraId="11828B7C" w14:textId="77777777" w:rsidTr="00406AEC">
        <w:trPr>
          <w:trHeight w:val="300"/>
        </w:trPr>
        <w:tc>
          <w:tcPr>
            <w:tcW w:w="9360" w:type="dxa"/>
            <w:tcBorders>
              <w:top w:val="nil"/>
              <w:left w:val="nil"/>
              <w:bottom w:val="nil"/>
              <w:right w:val="nil"/>
            </w:tcBorders>
            <w:shd w:val="clear" w:color="auto" w:fill="auto"/>
            <w:noWrap/>
            <w:vAlign w:val="bottom"/>
            <w:hideMark/>
          </w:tcPr>
          <w:p w14:paraId="5110EDE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Soelberg Sorensen P,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Comi G, Cook S et al. Mitigating severe lymphopenia: Post hoc analysis of data from the 96-week CLARITY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S454-S455.</w:t>
            </w:r>
          </w:p>
        </w:tc>
      </w:tr>
      <w:tr w:rsidR="00406AEC" w:rsidRPr="00406AEC" w14:paraId="71A21673" w14:textId="77777777" w:rsidTr="00406AEC">
        <w:trPr>
          <w:trHeight w:val="300"/>
        </w:trPr>
        <w:tc>
          <w:tcPr>
            <w:tcW w:w="9360" w:type="dxa"/>
            <w:tcBorders>
              <w:top w:val="nil"/>
              <w:left w:val="nil"/>
              <w:bottom w:val="nil"/>
              <w:right w:val="nil"/>
            </w:tcBorders>
            <w:shd w:val="clear" w:color="auto" w:fill="auto"/>
            <w:noWrap/>
            <w:vAlign w:val="bottom"/>
            <w:hideMark/>
          </w:tcPr>
          <w:p w14:paraId="582DD71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Steiner D, Sellebjerg F, Cohan S, Jeffery D et al. (2016) Sustained disability improvement in patients with secondary progressive multiple sclerosis (SPMS) assessed by a multicomponent endpoint: A post hoc analysis from the ASCEND study.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22 671-672.</w:t>
            </w:r>
          </w:p>
        </w:tc>
      </w:tr>
      <w:tr w:rsidR="00406AEC" w:rsidRPr="00406AEC" w14:paraId="3C65FB78" w14:textId="77777777" w:rsidTr="00406AEC">
        <w:trPr>
          <w:trHeight w:val="300"/>
        </w:trPr>
        <w:tc>
          <w:tcPr>
            <w:tcW w:w="9360" w:type="dxa"/>
            <w:tcBorders>
              <w:top w:val="nil"/>
              <w:left w:val="nil"/>
              <w:bottom w:val="nil"/>
              <w:right w:val="nil"/>
            </w:tcBorders>
            <w:shd w:val="clear" w:color="auto" w:fill="auto"/>
            <w:noWrap/>
            <w:vAlign w:val="bottom"/>
            <w:hideMark/>
          </w:tcPr>
          <w:p w14:paraId="72442C5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Miller DH, Phillips JT, Arnold DL,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Clinical efficacy of BG-12 in relapsing-remitting multiple sclerosis: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48-49.</w:t>
            </w:r>
          </w:p>
        </w:tc>
      </w:tr>
      <w:tr w:rsidR="00406AEC" w:rsidRPr="00406AEC" w14:paraId="02B7BA5D" w14:textId="77777777" w:rsidTr="00406AEC">
        <w:trPr>
          <w:trHeight w:val="300"/>
        </w:trPr>
        <w:tc>
          <w:tcPr>
            <w:tcW w:w="9360" w:type="dxa"/>
            <w:tcBorders>
              <w:top w:val="nil"/>
              <w:left w:val="nil"/>
              <w:bottom w:val="nil"/>
              <w:right w:val="nil"/>
            </w:tcBorders>
            <w:shd w:val="clear" w:color="auto" w:fill="auto"/>
            <w:noWrap/>
            <w:vAlign w:val="bottom"/>
            <w:hideMark/>
          </w:tcPr>
          <w:p w14:paraId="2F6CF9C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Goodkin DE (2352) Interferon Beta-1b in secondary progressive MS: clinical and MRI results of a 3-Year randomized controlled trial. Neurology 54 </w:t>
            </w:r>
          </w:p>
        </w:tc>
      </w:tr>
      <w:tr w:rsidR="00406AEC" w:rsidRPr="00406AEC" w14:paraId="75ED8CFA" w14:textId="77777777" w:rsidTr="00406AEC">
        <w:trPr>
          <w:trHeight w:val="300"/>
        </w:trPr>
        <w:tc>
          <w:tcPr>
            <w:tcW w:w="9360" w:type="dxa"/>
            <w:tcBorders>
              <w:top w:val="nil"/>
              <w:left w:val="nil"/>
              <w:bottom w:val="nil"/>
              <w:right w:val="nil"/>
            </w:tcBorders>
            <w:shd w:val="clear" w:color="auto" w:fill="auto"/>
            <w:noWrap/>
            <w:vAlign w:val="bottom"/>
            <w:hideMark/>
          </w:tcPr>
          <w:p w14:paraId="5D753E8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Graber JJ, Ford D, Zhan M, Francis G, Panitch H et al. (2007) Cytokine changes during interferon-beta therapy in multiple sclerosis: Correlations with interferon dose and MRI response. Journal of Neuroimmunology 185 (1-2): 168-174.</w:t>
            </w:r>
          </w:p>
        </w:tc>
      </w:tr>
      <w:tr w:rsidR="00406AEC" w:rsidRPr="00406AEC" w14:paraId="61B5EF59" w14:textId="77777777" w:rsidTr="00406AEC">
        <w:trPr>
          <w:trHeight w:val="300"/>
        </w:trPr>
        <w:tc>
          <w:tcPr>
            <w:tcW w:w="9360" w:type="dxa"/>
            <w:tcBorders>
              <w:top w:val="nil"/>
              <w:left w:val="nil"/>
              <w:bottom w:val="nil"/>
              <w:right w:val="nil"/>
            </w:tcBorders>
            <w:shd w:val="clear" w:color="auto" w:fill="auto"/>
            <w:noWrap/>
            <w:vAlign w:val="bottom"/>
            <w:hideMark/>
          </w:tcPr>
          <w:p w14:paraId="354636E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Granger CV, Wende K, </w:t>
            </w:r>
            <w:proofErr w:type="spellStart"/>
            <w:r w:rsidRPr="00406AEC">
              <w:rPr>
                <w:rFonts w:ascii="Times New Roman" w:eastAsia="Times New Roman" w:hAnsi="Times New Roman" w:cs="Times New Roman"/>
                <w:color w:val="000000"/>
                <w:szCs w:val="22"/>
              </w:rPr>
              <w:t>Brownscheidle</w:t>
            </w:r>
            <w:proofErr w:type="spellEnd"/>
            <w:r w:rsidRPr="00406AEC">
              <w:rPr>
                <w:rFonts w:ascii="Times New Roman" w:eastAsia="Times New Roman" w:hAnsi="Times New Roman" w:cs="Times New Roman"/>
                <w:color w:val="000000"/>
                <w:szCs w:val="22"/>
              </w:rPr>
              <w:t xml:space="preserve"> CM (2003) Use of the FIM instrument in a trial of intramuscular interferon beta-1a for disease progression in relapsing-remitting multiple sclerosis. American journal of physical medicine &amp; rehabilitation 82 (6): 427-436.</w:t>
            </w:r>
          </w:p>
        </w:tc>
      </w:tr>
      <w:tr w:rsidR="00406AEC" w:rsidRPr="00406AEC" w14:paraId="32920EAE" w14:textId="77777777" w:rsidTr="00406AEC">
        <w:trPr>
          <w:trHeight w:val="300"/>
        </w:trPr>
        <w:tc>
          <w:tcPr>
            <w:tcW w:w="9360" w:type="dxa"/>
            <w:tcBorders>
              <w:top w:val="nil"/>
              <w:left w:val="nil"/>
              <w:bottom w:val="nil"/>
              <w:right w:val="nil"/>
            </w:tcBorders>
            <w:shd w:val="clear" w:color="auto" w:fill="auto"/>
            <w:noWrap/>
            <w:vAlign w:val="bottom"/>
            <w:hideMark/>
          </w:tcPr>
          <w:p w14:paraId="1BAC0D9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Hang Y, Hu X, Zhang J, Liu S,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et al. (2016) Analysis of peginterferon beta-1a exposure and Gd-enhanced lesion or T2 lesion response in relapsing-remitting multiple sclerosis patients. Journal of Pharmacokinetics and Pharmacodynamics 43 (4): 371-383.</w:t>
            </w:r>
          </w:p>
        </w:tc>
      </w:tr>
      <w:tr w:rsidR="00406AEC" w:rsidRPr="00406AEC" w14:paraId="3AB737A5" w14:textId="77777777" w:rsidTr="00406AEC">
        <w:trPr>
          <w:trHeight w:val="300"/>
        </w:trPr>
        <w:tc>
          <w:tcPr>
            <w:tcW w:w="9360" w:type="dxa"/>
            <w:tcBorders>
              <w:top w:val="nil"/>
              <w:left w:val="nil"/>
              <w:bottom w:val="nil"/>
              <w:right w:val="nil"/>
            </w:tcBorders>
            <w:shd w:val="clear" w:color="auto" w:fill="auto"/>
            <w:noWrap/>
            <w:vAlign w:val="bottom"/>
            <w:hideMark/>
          </w:tcPr>
          <w:p w14:paraId="284A053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Harris S, Sheffield JK, Comi G, Cree BAC, Arnold DL et al. (2021) Plasma neurofilament light chain concentrations as a biomarker of clinical and radiologic outcomes in relapsing multiple sclerosis: Post hoc analysis of phase 3 ozanimod trials. European journal of neurology </w:t>
            </w:r>
          </w:p>
        </w:tc>
      </w:tr>
      <w:tr w:rsidR="00406AEC" w:rsidRPr="00406AEC" w14:paraId="715D88BB" w14:textId="77777777" w:rsidTr="00406AEC">
        <w:trPr>
          <w:trHeight w:val="300"/>
        </w:trPr>
        <w:tc>
          <w:tcPr>
            <w:tcW w:w="9360" w:type="dxa"/>
            <w:tcBorders>
              <w:top w:val="nil"/>
              <w:left w:val="nil"/>
              <w:bottom w:val="nil"/>
              <w:right w:val="nil"/>
            </w:tcBorders>
            <w:shd w:val="clear" w:color="auto" w:fill="auto"/>
            <w:noWrap/>
            <w:vAlign w:val="bottom"/>
            <w:hideMark/>
          </w:tcPr>
          <w:p w14:paraId="21DE89E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Hartung HP, Arnold DL, Bar-Or A, Comi G,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et al. (2016) Infections and serious infections with ocrelizumab in relapsing multiple sclerosis and primary progressive multiple sclerosis. Multiple Sclerosis 22 658-659.</w:t>
            </w:r>
          </w:p>
        </w:tc>
      </w:tr>
      <w:tr w:rsidR="00406AEC" w:rsidRPr="00406AEC" w14:paraId="1789E854" w14:textId="77777777" w:rsidTr="00406AEC">
        <w:trPr>
          <w:trHeight w:val="300"/>
        </w:trPr>
        <w:tc>
          <w:tcPr>
            <w:tcW w:w="9360" w:type="dxa"/>
            <w:tcBorders>
              <w:top w:val="nil"/>
              <w:left w:val="nil"/>
              <w:bottom w:val="nil"/>
              <w:right w:val="nil"/>
            </w:tcBorders>
            <w:shd w:val="clear" w:color="auto" w:fill="auto"/>
            <w:noWrap/>
            <w:vAlign w:val="bottom"/>
            <w:hideMark/>
          </w:tcPr>
          <w:p w14:paraId="2C536D0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Hartung HP, Arnold DL, Cohen J, Coles AJ,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et al. </w:t>
            </w:r>
            <w:r w:rsidRPr="00406AEC">
              <w:rPr>
                <w:rFonts w:ascii="Times New Roman" w:eastAsia="Times New Roman" w:hAnsi="Times New Roman" w:cs="Times New Roman"/>
                <w:color w:val="000000"/>
                <w:szCs w:val="22"/>
              </w:rPr>
              <w:t>Disability outcomes for alemtuzumab in RRMS patients who relapsed on prior therapy: CARE-MS II. Journal of Neurology 259 (1 SUPPL. 1): S47-S48.</w:t>
            </w:r>
          </w:p>
        </w:tc>
      </w:tr>
      <w:tr w:rsidR="00406AEC" w:rsidRPr="00406AEC" w14:paraId="1B3A073F" w14:textId="77777777" w:rsidTr="00406AEC">
        <w:trPr>
          <w:trHeight w:val="300"/>
        </w:trPr>
        <w:tc>
          <w:tcPr>
            <w:tcW w:w="9360" w:type="dxa"/>
            <w:tcBorders>
              <w:top w:val="nil"/>
              <w:left w:val="nil"/>
              <w:bottom w:val="nil"/>
              <w:right w:val="nil"/>
            </w:tcBorders>
            <w:shd w:val="clear" w:color="auto" w:fill="auto"/>
            <w:noWrap/>
            <w:vAlign w:val="bottom"/>
            <w:hideMark/>
          </w:tcPr>
          <w:p w14:paraId="20A2A8F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Hauser S, Kappos L, Bar-Or A, Hartung HP, Belachew S et al. (2017) Rapidity of onset of ocrelizumab clinical efficacy in relapsing multiple sclerosis. Neurology 88 (16): </w:t>
            </w:r>
          </w:p>
        </w:tc>
      </w:tr>
      <w:tr w:rsidR="00406AEC" w:rsidRPr="00406AEC" w14:paraId="2C46B3D0" w14:textId="77777777" w:rsidTr="00406AEC">
        <w:trPr>
          <w:trHeight w:val="300"/>
        </w:trPr>
        <w:tc>
          <w:tcPr>
            <w:tcW w:w="9360" w:type="dxa"/>
            <w:tcBorders>
              <w:top w:val="nil"/>
              <w:left w:val="nil"/>
              <w:bottom w:val="nil"/>
              <w:right w:val="nil"/>
            </w:tcBorders>
            <w:shd w:val="clear" w:color="auto" w:fill="auto"/>
            <w:noWrap/>
            <w:vAlign w:val="bottom"/>
            <w:hideMark/>
          </w:tcPr>
          <w:p w14:paraId="1C34AFB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Infections Phase 3 study: Comparison of alemtuzumab and Rebif efficacy in multiple sclerosis I (CARE-MS I). Neurology 78 (1 Meeting Abstract): CONFERENCE START: 2012 Apr 2021 CONFERENCE END: 2012 Apr 2028.</w:t>
            </w:r>
          </w:p>
        </w:tc>
      </w:tr>
      <w:tr w:rsidR="00406AEC" w:rsidRPr="00406AEC" w14:paraId="0259E16F" w14:textId="77777777" w:rsidTr="00406AEC">
        <w:trPr>
          <w:trHeight w:val="300"/>
        </w:trPr>
        <w:tc>
          <w:tcPr>
            <w:tcW w:w="9360" w:type="dxa"/>
            <w:tcBorders>
              <w:top w:val="nil"/>
              <w:left w:val="nil"/>
              <w:bottom w:val="nil"/>
              <w:right w:val="nil"/>
            </w:tcBorders>
            <w:shd w:val="clear" w:color="auto" w:fill="auto"/>
            <w:noWrap/>
            <w:vAlign w:val="bottom"/>
            <w:hideMark/>
          </w:tcPr>
          <w:p w14:paraId="2F6CF75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Havrdova</w:t>
            </w:r>
            <w:proofErr w:type="spellEnd"/>
            <w:r w:rsidRPr="00713F1E">
              <w:rPr>
                <w:rFonts w:ascii="Times New Roman" w:eastAsia="Times New Roman" w:hAnsi="Times New Roman" w:cs="Times New Roman"/>
                <w:color w:val="000000"/>
                <w:szCs w:val="22"/>
                <w:lang w:val="fr-FR"/>
              </w:rPr>
              <w:t xml:space="preserve"> E, Arnold DL, Cohen JA, Coles AJ, </w:t>
            </w:r>
            <w:proofErr w:type="spellStart"/>
            <w:r w:rsidRPr="00713F1E">
              <w:rPr>
                <w:rFonts w:ascii="Times New Roman" w:eastAsia="Times New Roman" w:hAnsi="Times New Roman" w:cs="Times New Roman"/>
                <w:color w:val="000000"/>
                <w:szCs w:val="22"/>
                <w:lang w:val="fr-FR"/>
              </w:rPr>
              <w:t>Confavreux</w:t>
            </w:r>
            <w:proofErr w:type="spellEnd"/>
            <w:r w:rsidRPr="00713F1E">
              <w:rPr>
                <w:rFonts w:ascii="Times New Roman" w:eastAsia="Times New Roman" w:hAnsi="Times New Roman" w:cs="Times New Roman"/>
                <w:color w:val="000000"/>
                <w:szCs w:val="22"/>
                <w:lang w:val="fr-FR"/>
              </w:rPr>
              <w:t xml:space="preserve"> C et al. </w:t>
            </w:r>
            <w:r w:rsidRPr="00406AEC">
              <w:rPr>
                <w:rFonts w:ascii="Times New Roman" w:eastAsia="Times New Roman" w:hAnsi="Times New Roman" w:cs="Times New Roman"/>
                <w:color w:val="000000"/>
                <w:szCs w:val="22"/>
              </w:rPr>
              <w:t xml:space="preserve">(2013) Lymphocyte counts and infection risk among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patients treated with alemtuzumab (CARE-MS II). Journal of Neurology 260 (8): </w:t>
            </w:r>
          </w:p>
        </w:tc>
      </w:tr>
      <w:tr w:rsidR="00406AEC" w:rsidRPr="00406AEC" w14:paraId="631FE8A3" w14:textId="77777777" w:rsidTr="00406AEC">
        <w:trPr>
          <w:trHeight w:val="300"/>
        </w:trPr>
        <w:tc>
          <w:tcPr>
            <w:tcW w:w="9360" w:type="dxa"/>
            <w:tcBorders>
              <w:top w:val="nil"/>
              <w:left w:val="nil"/>
              <w:bottom w:val="nil"/>
              <w:right w:val="nil"/>
            </w:tcBorders>
            <w:shd w:val="clear" w:color="auto" w:fill="auto"/>
            <w:noWrap/>
            <w:vAlign w:val="bottom"/>
            <w:hideMark/>
          </w:tcPr>
          <w:p w14:paraId="4D2A197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Arnold DL, Cohen JA, Coles AJ, Fox EJ et al. Infection risk with alemtuzumab in patients with relapsing remitting multiple sclerosis: Pooled results from the CARE-MS I and CARE-MS II trials.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257-258.</w:t>
            </w:r>
          </w:p>
        </w:tc>
      </w:tr>
      <w:tr w:rsidR="00406AEC" w:rsidRPr="00406AEC" w14:paraId="7AA11BF2" w14:textId="77777777" w:rsidTr="00406AEC">
        <w:trPr>
          <w:trHeight w:val="300"/>
        </w:trPr>
        <w:tc>
          <w:tcPr>
            <w:tcW w:w="9360" w:type="dxa"/>
            <w:tcBorders>
              <w:top w:val="nil"/>
              <w:left w:val="nil"/>
              <w:bottom w:val="nil"/>
              <w:right w:val="nil"/>
            </w:tcBorders>
            <w:shd w:val="clear" w:color="auto" w:fill="auto"/>
            <w:noWrap/>
            <w:vAlign w:val="bottom"/>
            <w:hideMark/>
          </w:tcPr>
          <w:p w14:paraId="5A2C901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Havrdova</w:t>
            </w:r>
            <w:proofErr w:type="spellEnd"/>
            <w:r w:rsidRPr="00713F1E">
              <w:rPr>
                <w:rFonts w:ascii="Times New Roman" w:eastAsia="Times New Roman" w:hAnsi="Times New Roman" w:cs="Times New Roman"/>
                <w:color w:val="000000"/>
                <w:szCs w:val="22"/>
                <w:lang w:val="fr-FR"/>
              </w:rPr>
              <w:t xml:space="preserve"> E, Phillips JT, Fox RJ, Miller D, Kita M et al. </w:t>
            </w:r>
            <w:r w:rsidRPr="00406AEC">
              <w:rPr>
                <w:rFonts w:ascii="Times New Roman" w:eastAsia="Times New Roman" w:hAnsi="Times New Roman" w:cs="Times New Roman"/>
                <w:color w:val="000000"/>
                <w:szCs w:val="22"/>
              </w:rPr>
              <w:t>Safety and tolerability of BG-12 in patients with relapsing-remitting multiple sclerosis: results from the phase 3 CONFIRM (Comparator and an Oral Fumarate in Relapsing-Remitting Multiple Sclerosis) study. Journal of Neurology 259 (1 SUPPL. 1): S105.</w:t>
            </w:r>
          </w:p>
        </w:tc>
      </w:tr>
      <w:tr w:rsidR="00406AEC" w:rsidRPr="00406AEC" w14:paraId="278559CA" w14:textId="77777777" w:rsidTr="00406AEC">
        <w:trPr>
          <w:trHeight w:val="300"/>
        </w:trPr>
        <w:tc>
          <w:tcPr>
            <w:tcW w:w="9360" w:type="dxa"/>
            <w:tcBorders>
              <w:top w:val="nil"/>
              <w:left w:val="nil"/>
              <w:bottom w:val="nil"/>
              <w:right w:val="nil"/>
            </w:tcBorders>
            <w:shd w:val="clear" w:color="auto" w:fill="auto"/>
            <w:noWrap/>
            <w:vAlign w:val="bottom"/>
            <w:hideMark/>
          </w:tcPr>
          <w:p w14:paraId="11B9FF5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Hermann R, Litwin JS, Friberg LE,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Munafo A (2019) Effects of cladribine tablets on heart rate, atrio-ventricular </w:t>
            </w:r>
            <w:proofErr w:type="gramStart"/>
            <w:r w:rsidRPr="00406AEC">
              <w:rPr>
                <w:rFonts w:ascii="Times New Roman" w:eastAsia="Times New Roman" w:hAnsi="Times New Roman" w:cs="Times New Roman"/>
                <w:color w:val="000000"/>
                <w:szCs w:val="22"/>
              </w:rPr>
              <w:t>conduction</w:t>
            </w:r>
            <w:proofErr w:type="gramEnd"/>
            <w:r w:rsidRPr="00406AEC">
              <w:rPr>
                <w:rFonts w:ascii="Times New Roman" w:eastAsia="Times New Roman" w:hAnsi="Times New Roman" w:cs="Times New Roman"/>
                <w:color w:val="000000"/>
                <w:szCs w:val="22"/>
              </w:rPr>
              <w:t xml:space="preserve"> and cardiac repolarization in patients with relapsing multiple sclerosis. British Journal of Clinical Pharmacology 85 (7): 1484-1494.</w:t>
            </w:r>
          </w:p>
        </w:tc>
      </w:tr>
      <w:tr w:rsidR="00406AEC" w:rsidRPr="00406AEC" w14:paraId="3F0CBF8C" w14:textId="77777777" w:rsidTr="00406AEC">
        <w:trPr>
          <w:trHeight w:val="300"/>
        </w:trPr>
        <w:tc>
          <w:tcPr>
            <w:tcW w:w="9360" w:type="dxa"/>
            <w:tcBorders>
              <w:top w:val="nil"/>
              <w:left w:val="nil"/>
              <w:bottom w:val="nil"/>
              <w:right w:val="nil"/>
            </w:tcBorders>
            <w:shd w:val="clear" w:color="auto" w:fill="auto"/>
            <w:noWrap/>
            <w:vAlign w:val="bottom"/>
            <w:hideMark/>
          </w:tcPr>
          <w:p w14:paraId="41D2622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Honeycutt W, Frenay CL, King J, Chan A, </w:t>
            </w:r>
            <w:proofErr w:type="spellStart"/>
            <w:r w:rsidRPr="00406AEC">
              <w:rPr>
                <w:rFonts w:ascii="Times New Roman" w:eastAsia="Times New Roman" w:hAnsi="Times New Roman" w:cs="Times New Roman"/>
                <w:color w:val="000000"/>
                <w:szCs w:val="22"/>
              </w:rPr>
              <w:t>Vukusic</w:t>
            </w:r>
            <w:proofErr w:type="spellEnd"/>
            <w:r w:rsidRPr="00406AEC">
              <w:rPr>
                <w:rFonts w:ascii="Times New Roman" w:eastAsia="Times New Roman" w:hAnsi="Times New Roman" w:cs="Times New Roman"/>
                <w:color w:val="000000"/>
                <w:szCs w:val="22"/>
              </w:rPr>
              <w:t xml:space="preserve"> S et al. (2015) Teriflunomide significantly increased time to first relapse in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tower and topic. Neurology 84 (18): </w:t>
            </w:r>
          </w:p>
        </w:tc>
      </w:tr>
      <w:tr w:rsidR="00406AEC" w:rsidRPr="00406AEC" w14:paraId="663987D8" w14:textId="77777777" w:rsidTr="00406AEC">
        <w:trPr>
          <w:trHeight w:val="300"/>
        </w:trPr>
        <w:tc>
          <w:tcPr>
            <w:tcW w:w="9360" w:type="dxa"/>
            <w:tcBorders>
              <w:top w:val="nil"/>
              <w:left w:val="nil"/>
              <w:bottom w:val="nil"/>
              <w:right w:val="nil"/>
            </w:tcBorders>
            <w:shd w:val="clear" w:color="auto" w:fill="auto"/>
            <w:noWrap/>
            <w:vAlign w:val="bottom"/>
            <w:hideMark/>
          </w:tcPr>
          <w:p w14:paraId="671D32F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Hu</w:t>
            </w:r>
            <w:proofErr w:type="spellEnd"/>
            <w:r w:rsidRPr="00713F1E">
              <w:rPr>
                <w:rFonts w:ascii="Times New Roman" w:eastAsia="Times New Roman" w:hAnsi="Times New Roman" w:cs="Times New Roman"/>
                <w:color w:val="000000"/>
                <w:szCs w:val="22"/>
                <w:lang w:val="es-ES"/>
              </w:rPr>
              <w:t xml:space="preserve"> X, Cui Y, White J, Zhu Y, </w:t>
            </w:r>
            <w:proofErr w:type="spellStart"/>
            <w:r w:rsidRPr="00713F1E">
              <w:rPr>
                <w:rFonts w:ascii="Times New Roman" w:eastAsia="Times New Roman" w:hAnsi="Times New Roman" w:cs="Times New Roman"/>
                <w:color w:val="000000"/>
                <w:szCs w:val="22"/>
                <w:lang w:val="es-ES"/>
              </w:rPr>
              <w:t>Deykin</w:t>
            </w:r>
            <w:proofErr w:type="spellEnd"/>
            <w:r w:rsidRPr="00713F1E">
              <w:rPr>
                <w:rFonts w:ascii="Times New Roman" w:eastAsia="Times New Roman" w:hAnsi="Times New Roman" w:cs="Times New Roman"/>
                <w:color w:val="000000"/>
                <w:szCs w:val="22"/>
                <w:lang w:val="es-ES"/>
              </w:rPr>
              <w:t xml:space="preserve"> A et al. </w:t>
            </w:r>
            <w:r w:rsidRPr="00406AEC">
              <w:rPr>
                <w:rFonts w:ascii="Times New Roman" w:eastAsia="Times New Roman" w:hAnsi="Times New Roman" w:cs="Times New Roman"/>
                <w:color w:val="000000"/>
                <w:szCs w:val="22"/>
              </w:rPr>
              <w:t>Pharmacokinetics and pharmacodynamics of peginterferon beta-1a in patients with relapsing-remitting multiple sclerosis: Data from the pivotal phase 3 advance study. Neurology 82 (10 SUPPL. 1): CONFERENCE START: 2014 Apr 2026 CONFERENCE END: 2014 May 2013.</w:t>
            </w:r>
          </w:p>
        </w:tc>
      </w:tr>
      <w:tr w:rsidR="00406AEC" w:rsidRPr="00406AEC" w14:paraId="2A046D53" w14:textId="77777777" w:rsidTr="00406AEC">
        <w:trPr>
          <w:trHeight w:val="300"/>
        </w:trPr>
        <w:tc>
          <w:tcPr>
            <w:tcW w:w="9360" w:type="dxa"/>
            <w:tcBorders>
              <w:top w:val="nil"/>
              <w:left w:val="nil"/>
              <w:bottom w:val="nil"/>
              <w:right w:val="nil"/>
            </w:tcBorders>
            <w:shd w:val="clear" w:color="auto" w:fill="auto"/>
            <w:noWrap/>
            <w:vAlign w:val="bottom"/>
            <w:hideMark/>
          </w:tcPr>
          <w:p w14:paraId="481D604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Hung S,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Seddighzadeh</w:t>
            </w:r>
            <w:proofErr w:type="spellEnd"/>
            <w:r w:rsidRPr="00406AEC">
              <w:rPr>
                <w:rFonts w:ascii="Times New Roman" w:eastAsia="Times New Roman" w:hAnsi="Times New Roman" w:cs="Times New Roman"/>
                <w:color w:val="000000"/>
                <w:szCs w:val="22"/>
              </w:rPr>
              <w:t xml:space="preserve"> A, Liu S, Sperling B et al. (2013) Safety, </w:t>
            </w:r>
            <w:proofErr w:type="gramStart"/>
            <w:r w:rsidRPr="00406AEC">
              <w:rPr>
                <w:rFonts w:ascii="Times New Roman" w:eastAsia="Times New Roman" w:hAnsi="Times New Roman" w:cs="Times New Roman"/>
                <w:color w:val="000000"/>
                <w:szCs w:val="22"/>
              </w:rPr>
              <w:t>tolerability</w:t>
            </w:r>
            <w:proofErr w:type="gramEnd"/>
            <w:r w:rsidRPr="00406AEC">
              <w:rPr>
                <w:rFonts w:ascii="Times New Roman" w:eastAsia="Times New Roman" w:hAnsi="Times New Roman" w:cs="Times New Roman"/>
                <w:color w:val="000000"/>
                <w:szCs w:val="22"/>
              </w:rPr>
              <w:t xml:space="preserve"> and patient evaluation of peginterferon beta-1a administered via a single-use autoinjector in relapsing multiple sclerosis: Data from the Phase 3b ATTAIN sub-study. Journal of Neurology 260 (8): </w:t>
            </w:r>
          </w:p>
        </w:tc>
      </w:tr>
      <w:tr w:rsidR="00406AEC" w:rsidRPr="00406AEC" w14:paraId="45CF829D" w14:textId="77777777" w:rsidTr="00406AEC">
        <w:trPr>
          <w:trHeight w:val="300"/>
        </w:trPr>
        <w:tc>
          <w:tcPr>
            <w:tcW w:w="9360" w:type="dxa"/>
            <w:tcBorders>
              <w:top w:val="nil"/>
              <w:left w:val="nil"/>
              <w:bottom w:val="nil"/>
              <w:right w:val="nil"/>
            </w:tcBorders>
            <w:shd w:val="clear" w:color="auto" w:fill="auto"/>
            <w:noWrap/>
            <w:vAlign w:val="bottom"/>
            <w:hideMark/>
          </w:tcPr>
          <w:p w14:paraId="06E2CC9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lastRenderedPageBreak/>
              <w:t xml:space="preserve">Hutchinson M, Bar-Or A, Fox RJ, Gold R, Giovannoni G et al. </w:t>
            </w:r>
            <w:r w:rsidRPr="00406AEC">
              <w:rPr>
                <w:rFonts w:ascii="Times New Roman" w:eastAsia="Times New Roman" w:hAnsi="Times New Roman" w:cs="Times New Roman"/>
                <w:color w:val="000000"/>
                <w:szCs w:val="22"/>
              </w:rPr>
              <w:t>Effect of BG-12 (dimethyl fumarate) in subgroups of patients with relapsing-remitting multiple sclerosis: Findings from Two Phase 3 Studies (DEFINE and CONFIRM).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(5): 682-683.</w:t>
            </w:r>
          </w:p>
        </w:tc>
      </w:tr>
      <w:tr w:rsidR="00406AEC" w:rsidRPr="00406AEC" w14:paraId="5F2A6DEF" w14:textId="77777777" w:rsidTr="00406AEC">
        <w:trPr>
          <w:trHeight w:val="300"/>
        </w:trPr>
        <w:tc>
          <w:tcPr>
            <w:tcW w:w="9360" w:type="dxa"/>
            <w:tcBorders>
              <w:top w:val="nil"/>
              <w:left w:val="nil"/>
              <w:bottom w:val="nil"/>
              <w:right w:val="nil"/>
            </w:tcBorders>
            <w:shd w:val="clear" w:color="auto" w:fill="auto"/>
            <w:noWrap/>
            <w:vAlign w:val="bottom"/>
            <w:hideMark/>
          </w:tcPr>
          <w:p w14:paraId="44D29EF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Hutchinson M, Gold R, Fox RJ, Havrdova E, Giovannoni G et al. </w:t>
            </w:r>
            <w:r w:rsidRPr="00406AEC">
              <w:rPr>
                <w:rFonts w:ascii="Times New Roman" w:eastAsia="Times New Roman" w:hAnsi="Times New Roman" w:cs="Times New Roman"/>
                <w:color w:val="000000"/>
                <w:szCs w:val="22"/>
              </w:rPr>
              <w:t>Clinical efficacy of BG-12 (dimethyl fumarate) for relapsing remitting multiple sclerosis according to prior therapy: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235.</w:t>
            </w:r>
          </w:p>
        </w:tc>
      </w:tr>
      <w:tr w:rsidR="00406AEC" w:rsidRPr="00406AEC" w14:paraId="134E7D21" w14:textId="77777777" w:rsidTr="00406AEC">
        <w:trPr>
          <w:trHeight w:val="300"/>
        </w:trPr>
        <w:tc>
          <w:tcPr>
            <w:tcW w:w="9360" w:type="dxa"/>
            <w:tcBorders>
              <w:top w:val="nil"/>
              <w:left w:val="nil"/>
              <w:bottom w:val="nil"/>
              <w:right w:val="nil"/>
            </w:tcBorders>
            <w:shd w:val="clear" w:color="auto" w:fill="auto"/>
            <w:noWrap/>
            <w:vAlign w:val="bottom"/>
            <w:hideMark/>
          </w:tcPr>
          <w:p w14:paraId="79C846B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Gold R, Fox RJ, Phillips JT, Bar-Or A et al. (2015) Five-year follow-up of delayed-release dimethyl fumarate in RRMS: Integrated clinical efficacy data from the DEFINE, CONFIRM, and ENDORSE studies. European journal of neurology 22 (154): </w:t>
            </w:r>
          </w:p>
        </w:tc>
      </w:tr>
      <w:tr w:rsidR="00406AEC" w:rsidRPr="00406AEC" w14:paraId="704D161A" w14:textId="77777777" w:rsidTr="00406AEC">
        <w:trPr>
          <w:trHeight w:val="300"/>
        </w:trPr>
        <w:tc>
          <w:tcPr>
            <w:tcW w:w="9360" w:type="dxa"/>
            <w:tcBorders>
              <w:top w:val="nil"/>
              <w:left w:val="nil"/>
              <w:bottom w:val="nil"/>
              <w:right w:val="nil"/>
            </w:tcBorders>
            <w:shd w:val="clear" w:color="auto" w:fill="auto"/>
            <w:noWrap/>
            <w:vAlign w:val="bottom"/>
            <w:hideMark/>
          </w:tcPr>
          <w:p w14:paraId="452324F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Inglese M, Van </w:t>
            </w:r>
            <w:proofErr w:type="spellStart"/>
            <w:r w:rsidRPr="00406AEC">
              <w:rPr>
                <w:rFonts w:ascii="Times New Roman" w:eastAsia="Times New Roman" w:hAnsi="Times New Roman" w:cs="Times New Roman"/>
                <w:color w:val="000000"/>
                <w:szCs w:val="22"/>
              </w:rPr>
              <w:t>Waesberghe</w:t>
            </w:r>
            <w:proofErr w:type="spellEnd"/>
            <w:r w:rsidRPr="00406AEC">
              <w:rPr>
                <w:rFonts w:ascii="Times New Roman" w:eastAsia="Times New Roman" w:hAnsi="Times New Roman" w:cs="Times New Roman"/>
                <w:color w:val="000000"/>
                <w:szCs w:val="22"/>
              </w:rPr>
              <w:t xml:space="preserve"> JHTM, </w:t>
            </w:r>
            <w:proofErr w:type="spellStart"/>
            <w:r w:rsidRPr="00406AEC">
              <w:rPr>
                <w:rFonts w:ascii="Times New Roman" w:eastAsia="Times New Roman" w:hAnsi="Times New Roman" w:cs="Times New Roman"/>
                <w:color w:val="000000"/>
                <w:szCs w:val="22"/>
              </w:rPr>
              <w:t>Rovaris</w:t>
            </w:r>
            <w:proofErr w:type="spellEnd"/>
            <w:r w:rsidRPr="00406AEC">
              <w:rPr>
                <w:rFonts w:ascii="Times New Roman" w:eastAsia="Times New Roman" w:hAnsi="Times New Roman" w:cs="Times New Roman"/>
                <w:color w:val="000000"/>
                <w:szCs w:val="22"/>
              </w:rPr>
              <w:t xml:space="preserve"> M, Beckmann K,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et al. (2003) The effect of interferon beta-1b on quantities derived from MT MRI in secondary progressive MS. Neurology 60 (5): 853-860.</w:t>
            </w:r>
          </w:p>
        </w:tc>
      </w:tr>
      <w:tr w:rsidR="00406AEC" w:rsidRPr="00406AEC" w14:paraId="70AC78D4" w14:textId="77777777" w:rsidTr="00406AEC">
        <w:trPr>
          <w:trHeight w:val="300"/>
        </w:trPr>
        <w:tc>
          <w:tcPr>
            <w:tcW w:w="9360" w:type="dxa"/>
            <w:tcBorders>
              <w:top w:val="nil"/>
              <w:left w:val="nil"/>
              <w:bottom w:val="nil"/>
              <w:right w:val="nil"/>
            </w:tcBorders>
            <w:shd w:val="clear" w:color="auto" w:fill="auto"/>
            <w:noWrap/>
            <w:vAlign w:val="bottom"/>
            <w:hideMark/>
          </w:tcPr>
          <w:p w14:paraId="5855DA8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Janiec K, </w:t>
            </w:r>
            <w:proofErr w:type="spellStart"/>
            <w:r w:rsidRPr="00406AEC">
              <w:rPr>
                <w:rFonts w:ascii="Times New Roman" w:eastAsia="Times New Roman" w:hAnsi="Times New Roman" w:cs="Times New Roman"/>
                <w:color w:val="000000"/>
                <w:szCs w:val="22"/>
              </w:rPr>
              <w:t>Wajgt</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Kondera-Anasz</w:t>
            </w:r>
            <w:proofErr w:type="spellEnd"/>
            <w:r w:rsidRPr="00406AEC">
              <w:rPr>
                <w:rFonts w:ascii="Times New Roman" w:eastAsia="Times New Roman" w:hAnsi="Times New Roman" w:cs="Times New Roman"/>
                <w:color w:val="000000"/>
                <w:szCs w:val="22"/>
              </w:rPr>
              <w:t xml:space="preserve"> Z (2001) Effect of immunosuppressive cladribine treatment on serum leucocytes system in two-year clinical trial in patients with chronic progressive multiple sclerosis. Medical Science Monitor 7 (1): 93-98.</w:t>
            </w:r>
          </w:p>
        </w:tc>
      </w:tr>
      <w:tr w:rsidR="00406AEC" w:rsidRPr="00406AEC" w14:paraId="6F6E8EFE" w14:textId="77777777" w:rsidTr="00406AEC">
        <w:trPr>
          <w:trHeight w:val="300"/>
        </w:trPr>
        <w:tc>
          <w:tcPr>
            <w:tcW w:w="9360" w:type="dxa"/>
            <w:tcBorders>
              <w:top w:val="nil"/>
              <w:left w:val="nil"/>
              <w:bottom w:val="nil"/>
              <w:right w:val="nil"/>
            </w:tcBorders>
            <w:shd w:val="clear" w:color="auto" w:fill="auto"/>
            <w:noWrap/>
            <w:vAlign w:val="bottom"/>
            <w:hideMark/>
          </w:tcPr>
          <w:p w14:paraId="23A4416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TA, Lapierre Y, Bar-Or A, Antel JP (2010) Distinct properties of circulating CD8&lt;sup&gt;+&lt;/sup&gt; T cells in FTY720-treated patients with multiple sclerosis. Archives of neurology 67 (12): 1449-1455.</w:t>
            </w:r>
          </w:p>
        </w:tc>
      </w:tr>
      <w:tr w:rsidR="00406AEC" w:rsidRPr="00406AEC" w14:paraId="1EC6929F" w14:textId="77777777" w:rsidTr="00406AEC">
        <w:trPr>
          <w:trHeight w:val="300"/>
        </w:trPr>
        <w:tc>
          <w:tcPr>
            <w:tcW w:w="9360" w:type="dxa"/>
            <w:tcBorders>
              <w:top w:val="nil"/>
              <w:left w:val="nil"/>
              <w:bottom w:val="nil"/>
              <w:right w:val="nil"/>
            </w:tcBorders>
            <w:shd w:val="clear" w:color="auto" w:fill="auto"/>
            <w:noWrap/>
            <w:vAlign w:val="bottom"/>
            <w:hideMark/>
          </w:tcPr>
          <w:p w14:paraId="7F70A06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Jones JL, Anderson JM, Phuah CL, Fox EJ,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(2010) Improvement in disability after alemtuzumab treatment of multiple sclerosis is associated with neuroprotective autoimmunity. Brain 133 (Pt 8): 2232-2247.</w:t>
            </w:r>
          </w:p>
        </w:tc>
      </w:tr>
      <w:tr w:rsidR="00406AEC" w:rsidRPr="00406AEC" w14:paraId="15681F37" w14:textId="77777777" w:rsidTr="00406AEC">
        <w:trPr>
          <w:trHeight w:val="300"/>
        </w:trPr>
        <w:tc>
          <w:tcPr>
            <w:tcW w:w="9360" w:type="dxa"/>
            <w:tcBorders>
              <w:top w:val="nil"/>
              <w:left w:val="nil"/>
              <w:bottom w:val="nil"/>
              <w:right w:val="nil"/>
            </w:tcBorders>
            <w:shd w:val="clear" w:color="auto" w:fill="auto"/>
            <w:noWrap/>
            <w:vAlign w:val="bottom"/>
            <w:hideMark/>
          </w:tcPr>
          <w:p w14:paraId="42F3935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Kappos L, Bar-Or A, Cree B, Fox R, Giovannoni G et al. </w:t>
            </w:r>
            <w:r w:rsidRPr="00406AEC">
              <w:rPr>
                <w:rFonts w:ascii="Times New Roman" w:eastAsia="Times New Roman" w:hAnsi="Times New Roman" w:cs="Times New Roman"/>
                <w:color w:val="000000"/>
                <w:szCs w:val="22"/>
              </w:rPr>
              <w:t xml:space="preserve">(2016) Efficacy and safety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in secondary progressive multiple sclerosis-Results of the placebo controlled, double-blind, Phase III EXPAND study. Multiple Sclerosis 22 828-829.</w:t>
            </w:r>
          </w:p>
        </w:tc>
      </w:tr>
      <w:tr w:rsidR="00406AEC" w:rsidRPr="00406AEC" w14:paraId="5C067F78" w14:textId="77777777" w:rsidTr="00406AEC">
        <w:trPr>
          <w:trHeight w:val="300"/>
        </w:trPr>
        <w:tc>
          <w:tcPr>
            <w:tcW w:w="9360" w:type="dxa"/>
            <w:tcBorders>
              <w:top w:val="nil"/>
              <w:left w:val="nil"/>
              <w:bottom w:val="nil"/>
              <w:right w:val="nil"/>
            </w:tcBorders>
            <w:shd w:val="clear" w:color="auto" w:fill="auto"/>
            <w:noWrap/>
            <w:vAlign w:val="bottom"/>
            <w:hideMark/>
          </w:tcPr>
          <w:p w14:paraId="568233B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Fox RJ, Gold R, Kita M, Phillips JT et al. (2014) Delayed-release dimethyl fumarate and health-related quality of life (</w:t>
            </w:r>
            <w:proofErr w:type="spellStart"/>
            <w:r w:rsidRPr="00406AEC">
              <w:rPr>
                <w:rFonts w:ascii="Times New Roman" w:eastAsia="Times New Roman" w:hAnsi="Times New Roman" w:cs="Times New Roman"/>
                <w:color w:val="000000"/>
                <w:szCs w:val="22"/>
              </w:rPr>
              <w:t>HRQoL</w:t>
            </w:r>
            <w:proofErr w:type="spellEnd"/>
            <w:r w:rsidRPr="00406AEC">
              <w:rPr>
                <w:rFonts w:ascii="Times New Roman" w:eastAsia="Times New Roman" w:hAnsi="Times New Roman" w:cs="Times New Roman"/>
                <w:color w:val="000000"/>
                <w:szCs w:val="22"/>
              </w:rPr>
              <w:t xml:space="preserve">) in relapsing-remitting multiple sclerosis (RRMS) patients according to prior therapy: Integrated analysis of DEFINE and CONFIRM. Journal of Neurology 261 (31): </w:t>
            </w:r>
          </w:p>
        </w:tc>
      </w:tr>
      <w:tr w:rsidR="00406AEC" w:rsidRPr="00406AEC" w14:paraId="572787DB" w14:textId="77777777" w:rsidTr="00406AEC">
        <w:trPr>
          <w:trHeight w:val="300"/>
        </w:trPr>
        <w:tc>
          <w:tcPr>
            <w:tcW w:w="9360" w:type="dxa"/>
            <w:tcBorders>
              <w:top w:val="nil"/>
              <w:left w:val="nil"/>
              <w:bottom w:val="nil"/>
              <w:right w:val="nil"/>
            </w:tcBorders>
            <w:shd w:val="clear" w:color="auto" w:fill="auto"/>
            <w:noWrap/>
            <w:vAlign w:val="bottom"/>
            <w:hideMark/>
          </w:tcPr>
          <w:p w14:paraId="0054FAD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Freedman MS, Comi G, Miller A, Thangavelu K et al. (2016) Early treatment with teriflunomide reduces the risk of advancing to EDSS &gt;6 and EDSS &gt;7 over the long term.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(197): </w:t>
            </w:r>
          </w:p>
        </w:tc>
      </w:tr>
      <w:tr w:rsidR="00406AEC" w:rsidRPr="00406AEC" w14:paraId="1AF3E2A5" w14:textId="77777777" w:rsidTr="00406AEC">
        <w:trPr>
          <w:trHeight w:val="300"/>
        </w:trPr>
        <w:tc>
          <w:tcPr>
            <w:tcW w:w="9360" w:type="dxa"/>
            <w:tcBorders>
              <w:top w:val="nil"/>
              <w:left w:val="nil"/>
              <w:bottom w:val="nil"/>
              <w:right w:val="nil"/>
            </w:tcBorders>
            <w:shd w:val="clear" w:color="auto" w:fill="auto"/>
            <w:noWrap/>
            <w:vAlign w:val="bottom"/>
            <w:hideMark/>
          </w:tcPr>
          <w:p w14:paraId="2293CB8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Giovannoni G, Gold R, Fox R, Phillips JT et al. </w:t>
            </w:r>
            <w:proofErr w:type="spellStart"/>
            <w:r w:rsidRPr="00406AEC">
              <w:rPr>
                <w:rFonts w:ascii="Times New Roman" w:eastAsia="Times New Roman" w:hAnsi="Times New Roman" w:cs="Times New Roman"/>
                <w:color w:val="000000"/>
                <w:szCs w:val="22"/>
              </w:rPr>
              <w:t>Timecourse</w:t>
            </w:r>
            <w:proofErr w:type="spellEnd"/>
            <w:r w:rsidRPr="00406AEC">
              <w:rPr>
                <w:rFonts w:ascii="Times New Roman" w:eastAsia="Times New Roman" w:hAnsi="Times New Roman" w:cs="Times New Roman"/>
                <w:color w:val="000000"/>
                <w:szCs w:val="22"/>
              </w:rPr>
              <w:t xml:space="preserve"> of treatment effects of BG-12 (Dimethyl fumarate) for relapsing-remitting multiple sclerosis.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5E813FC7" w14:textId="77777777" w:rsidTr="00406AEC">
        <w:trPr>
          <w:trHeight w:val="300"/>
        </w:trPr>
        <w:tc>
          <w:tcPr>
            <w:tcW w:w="9360" w:type="dxa"/>
            <w:tcBorders>
              <w:top w:val="nil"/>
              <w:left w:val="nil"/>
              <w:bottom w:val="nil"/>
              <w:right w:val="nil"/>
            </w:tcBorders>
            <w:shd w:val="clear" w:color="auto" w:fill="auto"/>
            <w:noWrap/>
            <w:vAlign w:val="bottom"/>
            <w:hideMark/>
          </w:tcPr>
          <w:p w14:paraId="194A9D4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Giovannoni G, Gold R, Phillips JT, Arnold DL et al. (2015) Time course of clinical and neuroradiological effects of delayed-release dimethyl fumarate in multiple sclerosis. European journal of neurology 22 (4): 664-671.</w:t>
            </w:r>
          </w:p>
        </w:tc>
      </w:tr>
      <w:tr w:rsidR="00406AEC" w:rsidRPr="00406AEC" w14:paraId="72A9F3E5" w14:textId="77777777" w:rsidTr="00406AEC">
        <w:trPr>
          <w:trHeight w:val="300"/>
        </w:trPr>
        <w:tc>
          <w:tcPr>
            <w:tcW w:w="9360" w:type="dxa"/>
            <w:tcBorders>
              <w:top w:val="nil"/>
              <w:left w:val="nil"/>
              <w:bottom w:val="nil"/>
              <w:right w:val="nil"/>
            </w:tcBorders>
            <w:shd w:val="clear" w:color="auto" w:fill="auto"/>
            <w:noWrap/>
            <w:vAlign w:val="bottom"/>
            <w:hideMark/>
          </w:tcPr>
          <w:p w14:paraId="1F78A6F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Kappos L, Gold R, Miller DH, MacManus DG,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(2012) Effect of BG-12 on contrast-enhanced lesions in patients with relapsing-remitting multiple sclerosis: Subgroup analyses from the phase 2b study. Multiple sclerosis journal 18 (3): 314-321.</w:t>
            </w:r>
          </w:p>
        </w:tc>
      </w:tr>
      <w:tr w:rsidR="00406AEC" w:rsidRPr="00406AEC" w14:paraId="4D2C37D2" w14:textId="77777777" w:rsidTr="00406AEC">
        <w:trPr>
          <w:trHeight w:val="300"/>
        </w:trPr>
        <w:tc>
          <w:tcPr>
            <w:tcW w:w="9360" w:type="dxa"/>
            <w:tcBorders>
              <w:top w:val="nil"/>
              <w:left w:val="nil"/>
              <w:bottom w:val="nil"/>
              <w:right w:val="nil"/>
            </w:tcBorders>
            <w:shd w:val="clear" w:color="auto" w:fill="auto"/>
            <w:noWrap/>
            <w:vAlign w:val="bottom"/>
            <w:hideMark/>
          </w:tcPr>
          <w:p w14:paraId="7CFE91C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O'Connor PW, Polman CH,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Wiendl</w:t>
            </w:r>
            <w:proofErr w:type="spellEnd"/>
            <w:r w:rsidRPr="00406AEC">
              <w:rPr>
                <w:rFonts w:ascii="Times New Roman" w:eastAsia="Times New Roman" w:hAnsi="Times New Roman" w:cs="Times New Roman"/>
                <w:color w:val="000000"/>
                <w:szCs w:val="22"/>
              </w:rPr>
              <w:t xml:space="preserve"> H et al. (2013) Clinical effects of natalizumab on multiple sclerosis appear early in treatment course. Journal of Neurology 260 (5): 1388-1395.</w:t>
            </w:r>
          </w:p>
        </w:tc>
      </w:tr>
      <w:tr w:rsidR="00406AEC" w:rsidRPr="00406AEC" w14:paraId="5181D57D" w14:textId="77777777" w:rsidTr="00406AEC">
        <w:trPr>
          <w:trHeight w:val="300"/>
        </w:trPr>
        <w:tc>
          <w:tcPr>
            <w:tcW w:w="9360" w:type="dxa"/>
            <w:tcBorders>
              <w:top w:val="nil"/>
              <w:left w:val="nil"/>
              <w:bottom w:val="nil"/>
              <w:right w:val="nil"/>
            </w:tcBorders>
            <w:shd w:val="clear" w:color="auto" w:fill="auto"/>
            <w:noWrap/>
            <w:vAlign w:val="bottom"/>
            <w:hideMark/>
          </w:tcPr>
          <w:p w14:paraId="34663EB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Wolinsky JS, Giovannoni G, Arnold DL, Wang Q et al. (2020) Contribution of Relapse-Independent Progression vs Relapse-Associated Worsening to Overall Confirmed Disability Accumulation in Typical Relapsing Multiple Sclerosis in a Pooled Analysis of 2 Randomized Clinical Trials. JAMA neurology </w:t>
            </w:r>
          </w:p>
        </w:tc>
      </w:tr>
      <w:tr w:rsidR="00406AEC" w:rsidRPr="00406AEC" w14:paraId="6D655E50" w14:textId="77777777" w:rsidTr="00406AEC">
        <w:trPr>
          <w:trHeight w:val="300"/>
        </w:trPr>
        <w:tc>
          <w:tcPr>
            <w:tcW w:w="9360" w:type="dxa"/>
            <w:tcBorders>
              <w:top w:val="nil"/>
              <w:left w:val="nil"/>
              <w:bottom w:val="nil"/>
              <w:right w:val="nil"/>
            </w:tcBorders>
            <w:shd w:val="clear" w:color="auto" w:fill="auto"/>
            <w:noWrap/>
            <w:vAlign w:val="bottom"/>
            <w:hideMark/>
          </w:tcPr>
          <w:p w14:paraId="7CE80DC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Arnold D, Newsome S, You X, Liu S et al. (2015) In relapsing multiple sclerosis, peginterferon Beta-1a reduces MRI lesions following relapses. Neurology 84 (18): </w:t>
            </w:r>
          </w:p>
        </w:tc>
      </w:tr>
      <w:tr w:rsidR="00406AEC" w:rsidRPr="00406AEC" w14:paraId="01716A99" w14:textId="77777777" w:rsidTr="00406AEC">
        <w:trPr>
          <w:trHeight w:val="300"/>
        </w:trPr>
        <w:tc>
          <w:tcPr>
            <w:tcW w:w="9360" w:type="dxa"/>
            <w:tcBorders>
              <w:top w:val="nil"/>
              <w:left w:val="nil"/>
              <w:bottom w:val="nil"/>
              <w:right w:val="nil"/>
            </w:tcBorders>
            <w:shd w:val="clear" w:color="auto" w:fill="auto"/>
            <w:noWrap/>
            <w:vAlign w:val="bottom"/>
            <w:hideMark/>
          </w:tcPr>
          <w:p w14:paraId="64E006C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Arnold DL, Balcer L, Boyko A, Pelletier J et al. (2013) Clinical efficacy and safety of peginterferon beta-1a in relapsing multiple sclerosis: Data from the pivotal phase 3 ADVANCE study. Journal of Neurology 260 (8): </w:t>
            </w:r>
          </w:p>
        </w:tc>
      </w:tr>
      <w:tr w:rsidR="00406AEC" w:rsidRPr="00406AEC" w14:paraId="342668C5" w14:textId="77777777" w:rsidTr="00406AEC">
        <w:trPr>
          <w:trHeight w:val="300"/>
        </w:trPr>
        <w:tc>
          <w:tcPr>
            <w:tcW w:w="9360" w:type="dxa"/>
            <w:tcBorders>
              <w:top w:val="nil"/>
              <w:left w:val="nil"/>
              <w:bottom w:val="nil"/>
              <w:right w:val="nil"/>
            </w:tcBorders>
            <w:shd w:val="clear" w:color="auto" w:fill="auto"/>
            <w:noWrap/>
            <w:vAlign w:val="bottom"/>
            <w:hideMark/>
          </w:tcPr>
          <w:p w14:paraId="771322A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Scott T, Newsome S, Sheikh S, Hung S et al. Peginterferon beta-1a may improve recovery following relapses: Data from the pivotal phase 3 advance study in patients with relapsing remitting multiple sclerosis. Neurology 82 (10 SUPPL. 1): CONFERENCE START: 2014 Apr 2026 CONFERENCE END: 2014 May 2013.</w:t>
            </w:r>
          </w:p>
        </w:tc>
      </w:tr>
      <w:tr w:rsidR="00406AEC" w:rsidRPr="00406AEC" w14:paraId="278D9DD6" w14:textId="77777777" w:rsidTr="00406AEC">
        <w:trPr>
          <w:trHeight w:val="300"/>
        </w:trPr>
        <w:tc>
          <w:tcPr>
            <w:tcW w:w="9360" w:type="dxa"/>
            <w:tcBorders>
              <w:top w:val="nil"/>
              <w:left w:val="nil"/>
              <w:bottom w:val="nil"/>
              <w:right w:val="nil"/>
            </w:tcBorders>
            <w:shd w:val="clear" w:color="auto" w:fill="auto"/>
            <w:noWrap/>
            <w:vAlign w:val="bottom"/>
            <w:hideMark/>
          </w:tcPr>
          <w:p w14:paraId="408E20D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Scott TF, Newsome SD, Sheikh SI, Hung S et al. Peginterferon beta-1a may improve recovery following relapses: Data from the 2-year ADVANCE relapsing remitting multiple sclerosis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85.</w:t>
            </w:r>
          </w:p>
        </w:tc>
      </w:tr>
      <w:tr w:rsidR="00406AEC" w:rsidRPr="00406AEC" w14:paraId="6039AEC9" w14:textId="77777777" w:rsidTr="00406AEC">
        <w:trPr>
          <w:trHeight w:val="300"/>
        </w:trPr>
        <w:tc>
          <w:tcPr>
            <w:tcW w:w="9360" w:type="dxa"/>
            <w:tcBorders>
              <w:top w:val="nil"/>
              <w:left w:val="nil"/>
              <w:bottom w:val="nil"/>
              <w:right w:val="nil"/>
            </w:tcBorders>
            <w:shd w:val="clear" w:color="auto" w:fill="auto"/>
            <w:noWrap/>
            <w:vAlign w:val="bottom"/>
            <w:hideMark/>
          </w:tcPr>
          <w:p w14:paraId="7EECDF2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Kinter E,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Phillips G et al. Peginterferon beta-1a treatment reduces the impact of multiple sclerosis relapse and disability progression on health-related quality of life: Results from the advance trial. Neurology 82 (10 SUPPL. 1): CONFERENCE START: 2014 Apr 2026 CONFERENCE END: 2014 May 2013.</w:t>
            </w:r>
          </w:p>
        </w:tc>
      </w:tr>
      <w:tr w:rsidR="00406AEC" w:rsidRPr="00406AEC" w14:paraId="536FD085" w14:textId="77777777" w:rsidTr="00406AEC">
        <w:trPr>
          <w:trHeight w:val="300"/>
        </w:trPr>
        <w:tc>
          <w:tcPr>
            <w:tcW w:w="9360" w:type="dxa"/>
            <w:tcBorders>
              <w:top w:val="nil"/>
              <w:left w:val="nil"/>
              <w:bottom w:val="nil"/>
              <w:right w:val="nil"/>
            </w:tcBorders>
            <w:shd w:val="clear" w:color="auto" w:fill="auto"/>
            <w:noWrap/>
            <w:vAlign w:val="bottom"/>
            <w:hideMark/>
          </w:tcPr>
          <w:p w14:paraId="1FF34A2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Kinter E,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Phillips G et al. (2014) Factors influencing clinically-meaningful physical deterioration in patients with relapsing-remitting multiple sclerosis: Results from the ADVANCE study. Journal of Neurology 261 (31): </w:t>
            </w:r>
          </w:p>
        </w:tc>
      </w:tr>
      <w:tr w:rsidR="00406AEC" w:rsidRPr="00406AEC" w14:paraId="125F0FB5" w14:textId="77777777" w:rsidTr="00406AEC">
        <w:trPr>
          <w:trHeight w:val="300"/>
        </w:trPr>
        <w:tc>
          <w:tcPr>
            <w:tcW w:w="9360" w:type="dxa"/>
            <w:tcBorders>
              <w:top w:val="nil"/>
              <w:left w:val="nil"/>
              <w:bottom w:val="nil"/>
              <w:right w:val="nil"/>
            </w:tcBorders>
            <w:shd w:val="clear" w:color="auto" w:fill="auto"/>
            <w:noWrap/>
            <w:vAlign w:val="bottom"/>
            <w:hideMark/>
          </w:tcPr>
          <w:p w14:paraId="039F53D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Kinter ET,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Phillips G et al. Impact of treatment-related flu-like symptoms and injection site reactions on quality of life in patients with multiple sclerosis: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417-418.</w:t>
            </w:r>
          </w:p>
        </w:tc>
      </w:tr>
      <w:tr w:rsidR="00406AEC" w:rsidRPr="00406AEC" w14:paraId="2ED7089F" w14:textId="77777777" w:rsidTr="00406AEC">
        <w:trPr>
          <w:trHeight w:val="300"/>
        </w:trPr>
        <w:tc>
          <w:tcPr>
            <w:tcW w:w="9360" w:type="dxa"/>
            <w:tcBorders>
              <w:top w:val="nil"/>
              <w:left w:val="nil"/>
              <w:bottom w:val="nil"/>
              <w:right w:val="nil"/>
            </w:tcBorders>
            <w:shd w:val="clear" w:color="auto" w:fill="auto"/>
            <w:noWrap/>
            <w:vAlign w:val="bottom"/>
            <w:hideMark/>
          </w:tcPr>
          <w:p w14:paraId="63EA4E9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Kita M, Fox R, Gold R, Giovannoni G, Phillips JT et al. Effects of BG-12 (dimethyl fumarate) on quality of life in patients with relapsing-remitting multiple sclerosis (RRMS): An integrated analysis of the phase 3 define and confirm studies.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68A2C976" w14:textId="77777777" w:rsidTr="00406AEC">
        <w:trPr>
          <w:trHeight w:val="300"/>
        </w:trPr>
        <w:tc>
          <w:tcPr>
            <w:tcW w:w="9360" w:type="dxa"/>
            <w:tcBorders>
              <w:top w:val="nil"/>
              <w:left w:val="nil"/>
              <w:bottom w:val="nil"/>
              <w:right w:val="nil"/>
            </w:tcBorders>
            <w:shd w:val="clear" w:color="auto" w:fill="auto"/>
            <w:noWrap/>
            <w:vAlign w:val="bottom"/>
            <w:hideMark/>
          </w:tcPr>
          <w:p w14:paraId="0A7293F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Fox RJ, Phillips JT, Kita M, Peace KE et al. Efficacy of delayed-release dimethyl fumarate vs glatiramer acetate on a novel composite outcome measure of inflammatory disease activity: Post-hoc analysis of the CONFIRM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545-546.</w:t>
            </w:r>
          </w:p>
        </w:tc>
      </w:tr>
      <w:tr w:rsidR="00406AEC" w:rsidRPr="00406AEC" w14:paraId="4CA99326" w14:textId="77777777" w:rsidTr="00406AEC">
        <w:trPr>
          <w:trHeight w:val="300"/>
        </w:trPr>
        <w:tc>
          <w:tcPr>
            <w:tcW w:w="9360" w:type="dxa"/>
            <w:tcBorders>
              <w:top w:val="nil"/>
              <w:left w:val="nil"/>
              <w:bottom w:val="nil"/>
              <w:right w:val="nil"/>
            </w:tcBorders>
            <w:shd w:val="clear" w:color="auto" w:fill="auto"/>
            <w:noWrap/>
            <w:vAlign w:val="bottom"/>
            <w:hideMark/>
          </w:tcPr>
          <w:p w14:paraId="48179B3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Kremenchutzky</w:t>
            </w:r>
            <w:proofErr w:type="spellEnd"/>
            <w:r w:rsidRPr="00406AEC">
              <w:rPr>
                <w:rFonts w:ascii="Times New Roman" w:eastAsia="Times New Roman" w:hAnsi="Times New Roman" w:cs="Times New Roman"/>
                <w:color w:val="000000"/>
                <w:szCs w:val="22"/>
              </w:rPr>
              <w:t xml:space="preserve"> M, White J, Liu S, Cui Y, Hung S et al. (2015) Safety, tolerability, and immunogenicity of peginterferon Beta-1a: Combined analyses of the Phase III ADVANCE study and interim analysis from the extension study ATTAIN. European journal of neurology 22 (159): </w:t>
            </w:r>
          </w:p>
        </w:tc>
      </w:tr>
      <w:tr w:rsidR="00406AEC" w:rsidRPr="00406AEC" w14:paraId="3F2FCCA2" w14:textId="77777777" w:rsidTr="00406AEC">
        <w:trPr>
          <w:trHeight w:val="300"/>
        </w:trPr>
        <w:tc>
          <w:tcPr>
            <w:tcW w:w="9360" w:type="dxa"/>
            <w:tcBorders>
              <w:top w:val="nil"/>
              <w:left w:val="nil"/>
              <w:bottom w:val="nil"/>
              <w:right w:val="nil"/>
            </w:tcBorders>
            <w:shd w:val="clear" w:color="auto" w:fill="auto"/>
            <w:noWrap/>
            <w:vAlign w:val="bottom"/>
            <w:hideMark/>
          </w:tcPr>
          <w:p w14:paraId="207EE54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Kuhle J, Barro C, Kappos L, Meinert R, Dahlke F et al. (2017) Fingolimod significantly lowers neurofilament light chain blood levels in relapsing-remitting multiple sclerosis patients as compared with interferon beta-1a or placebo. European journal of neurology Conference: 3rd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Netherlands 24 (61): </w:t>
            </w:r>
          </w:p>
        </w:tc>
      </w:tr>
      <w:tr w:rsidR="00406AEC" w:rsidRPr="00406AEC" w14:paraId="15281CBC" w14:textId="77777777" w:rsidTr="00406AEC">
        <w:trPr>
          <w:trHeight w:val="300"/>
        </w:trPr>
        <w:tc>
          <w:tcPr>
            <w:tcW w:w="9360" w:type="dxa"/>
            <w:tcBorders>
              <w:top w:val="nil"/>
              <w:left w:val="nil"/>
              <w:bottom w:val="nil"/>
              <w:right w:val="nil"/>
            </w:tcBorders>
            <w:shd w:val="clear" w:color="auto" w:fill="auto"/>
            <w:noWrap/>
            <w:vAlign w:val="bottom"/>
            <w:hideMark/>
          </w:tcPr>
          <w:p w14:paraId="27CA40E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Kuhle J, </w:t>
            </w:r>
            <w:proofErr w:type="spellStart"/>
            <w:r w:rsidRPr="00406AEC">
              <w:rPr>
                <w:rFonts w:ascii="Times New Roman" w:eastAsia="Times New Roman" w:hAnsi="Times New Roman" w:cs="Times New Roman"/>
                <w:color w:val="000000"/>
                <w:szCs w:val="22"/>
              </w:rPr>
              <w:t>Daizadeh</w:t>
            </w:r>
            <w:proofErr w:type="spellEnd"/>
            <w:r w:rsidRPr="00406AEC">
              <w:rPr>
                <w:rFonts w:ascii="Times New Roman" w:eastAsia="Times New Roman" w:hAnsi="Times New Roman" w:cs="Times New Roman"/>
                <w:color w:val="000000"/>
                <w:szCs w:val="22"/>
              </w:rPr>
              <w:t xml:space="preserve"> N, Barro C, Michalak Z, Leppert D et al. (2019) Serum neurofilament light chain levels correlate with disease characteristics in patients with relapsing-remitting multiple sclerosis from care-MS I. Multiple sclerosis journal 25 (30): </w:t>
            </w:r>
          </w:p>
        </w:tc>
      </w:tr>
      <w:tr w:rsidR="00406AEC" w:rsidRPr="00406AEC" w14:paraId="271F3E6A" w14:textId="77777777" w:rsidTr="00406AEC">
        <w:trPr>
          <w:trHeight w:val="300"/>
        </w:trPr>
        <w:tc>
          <w:tcPr>
            <w:tcW w:w="9360" w:type="dxa"/>
            <w:tcBorders>
              <w:top w:val="nil"/>
              <w:left w:val="nil"/>
              <w:bottom w:val="nil"/>
              <w:right w:val="nil"/>
            </w:tcBorders>
            <w:shd w:val="clear" w:color="auto" w:fill="auto"/>
            <w:noWrap/>
            <w:vAlign w:val="bottom"/>
            <w:hideMark/>
          </w:tcPr>
          <w:p w14:paraId="3EE30AB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Kuhle J, Kropshofer H, Barro C, Meinert R, Haring D et al. </w:t>
            </w:r>
            <w:r w:rsidRPr="00406AEC">
              <w:rPr>
                <w:rFonts w:ascii="Times New Roman" w:eastAsia="Times New Roman" w:hAnsi="Times New Roman" w:cs="Times New Roman"/>
                <w:color w:val="000000"/>
                <w:szCs w:val="22"/>
              </w:rPr>
              <w:t xml:space="preserve">(2019) Neurofilament light chain levels in blood are predictive of cognitive impairment in patients with secondary progressive multiple sclerosis. European journal of neurology 26 (666): </w:t>
            </w:r>
          </w:p>
        </w:tc>
      </w:tr>
      <w:tr w:rsidR="00406AEC" w:rsidRPr="00406AEC" w14:paraId="3FD4C3A1" w14:textId="77777777" w:rsidTr="00406AEC">
        <w:trPr>
          <w:trHeight w:val="300"/>
        </w:trPr>
        <w:tc>
          <w:tcPr>
            <w:tcW w:w="9360" w:type="dxa"/>
            <w:tcBorders>
              <w:top w:val="nil"/>
              <w:left w:val="nil"/>
              <w:bottom w:val="nil"/>
              <w:right w:val="nil"/>
            </w:tcBorders>
            <w:shd w:val="clear" w:color="auto" w:fill="auto"/>
            <w:noWrap/>
            <w:vAlign w:val="bottom"/>
            <w:hideMark/>
          </w:tcPr>
          <w:p w14:paraId="74AA2ED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Kuhle J, Kropshofer H, Haering DA, Kundu U, Meinert R et al. </w:t>
            </w:r>
            <w:r w:rsidRPr="00406AEC">
              <w:rPr>
                <w:rFonts w:ascii="Times New Roman" w:eastAsia="Times New Roman" w:hAnsi="Times New Roman" w:cs="Times New Roman"/>
                <w:color w:val="000000"/>
                <w:szCs w:val="22"/>
              </w:rPr>
              <w:t>(2019) Blood neurofilament light chain as a biomarker of MS disease activity and treatment response. Neurology 92 (10): E1007-E1015.</w:t>
            </w:r>
          </w:p>
        </w:tc>
      </w:tr>
      <w:tr w:rsidR="00406AEC" w:rsidRPr="00406AEC" w14:paraId="23355A5D" w14:textId="77777777" w:rsidTr="00406AEC">
        <w:trPr>
          <w:trHeight w:val="300"/>
        </w:trPr>
        <w:tc>
          <w:tcPr>
            <w:tcW w:w="9360" w:type="dxa"/>
            <w:tcBorders>
              <w:top w:val="nil"/>
              <w:left w:val="nil"/>
              <w:bottom w:val="nil"/>
              <w:right w:val="nil"/>
            </w:tcBorders>
            <w:shd w:val="clear" w:color="auto" w:fill="auto"/>
            <w:noWrap/>
            <w:vAlign w:val="bottom"/>
            <w:hideMark/>
          </w:tcPr>
          <w:p w14:paraId="6061CE5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Kurukulasuriya N, Fox R, Gold R, Xiao J, Zhang A et al. (2015) Effect of delayed-release dimethyl fumarate on total disability burden in the confirm study of relapsing-remitting multiple sclerosis: Area under the curve analysis of changes from baseline in expanded disability status scale scores. Neurology 84 (18): </w:t>
            </w:r>
          </w:p>
        </w:tc>
      </w:tr>
      <w:tr w:rsidR="00406AEC" w:rsidRPr="00406AEC" w14:paraId="17EF6A22" w14:textId="77777777" w:rsidTr="00406AEC">
        <w:trPr>
          <w:trHeight w:val="300"/>
        </w:trPr>
        <w:tc>
          <w:tcPr>
            <w:tcW w:w="9360" w:type="dxa"/>
            <w:tcBorders>
              <w:top w:val="nil"/>
              <w:left w:val="nil"/>
              <w:bottom w:val="nil"/>
              <w:right w:val="nil"/>
            </w:tcBorders>
            <w:shd w:val="clear" w:color="auto" w:fill="auto"/>
            <w:noWrap/>
            <w:vAlign w:val="bottom"/>
            <w:hideMark/>
          </w:tcPr>
          <w:p w14:paraId="50D8603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Leist TP, Stangel M, Macdonell R, Maurer M, Thangavelu K et al. Teriflunomide shows consistent clinical efficacy on severe relapses across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and tower: 2 Phase 3 trials. Value in health 18 (3): A279.</w:t>
            </w:r>
          </w:p>
        </w:tc>
      </w:tr>
      <w:tr w:rsidR="00406AEC" w:rsidRPr="00406AEC" w14:paraId="38C1FB83" w14:textId="77777777" w:rsidTr="00406AEC">
        <w:trPr>
          <w:trHeight w:val="300"/>
        </w:trPr>
        <w:tc>
          <w:tcPr>
            <w:tcW w:w="9360" w:type="dxa"/>
            <w:tcBorders>
              <w:top w:val="nil"/>
              <w:left w:val="nil"/>
              <w:bottom w:val="nil"/>
              <w:right w:val="nil"/>
            </w:tcBorders>
            <w:shd w:val="clear" w:color="auto" w:fill="auto"/>
            <w:noWrap/>
            <w:vAlign w:val="bottom"/>
            <w:hideMark/>
          </w:tcPr>
          <w:p w14:paraId="56C7598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Liu C, Blumhardt LD (1999)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 blind, placebo controlled study of interferon beta-1a in relapsing-remitting multiple sclerosis </w:t>
            </w:r>
            <w:proofErr w:type="spellStart"/>
            <w:r w:rsidRPr="00406AEC">
              <w:rPr>
                <w:rFonts w:ascii="Times New Roman" w:eastAsia="Times New Roman" w:hAnsi="Times New Roman" w:cs="Times New Roman"/>
                <w:color w:val="000000"/>
                <w:szCs w:val="22"/>
              </w:rPr>
              <w:t>analysed</w:t>
            </w:r>
            <w:proofErr w:type="spellEnd"/>
            <w:r w:rsidRPr="00406AEC">
              <w:rPr>
                <w:rFonts w:ascii="Times New Roman" w:eastAsia="Times New Roman" w:hAnsi="Times New Roman" w:cs="Times New Roman"/>
                <w:color w:val="000000"/>
                <w:szCs w:val="22"/>
              </w:rPr>
              <w:t xml:space="preserve"> by area under disability/time curves. Journal of Neurology Neurosurgery and Psychiatry 67 (4): 451-456.</w:t>
            </w:r>
          </w:p>
        </w:tc>
      </w:tr>
      <w:tr w:rsidR="00406AEC" w:rsidRPr="00406AEC" w14:paraId="551C405F" w14:textId="77777777" w:rsidTr="00406AEC">
        <w:trPr>
          <w:trHeight w:val="300"/>
        </w:trPr>
        <w:tc>
          <w:tcPr>
            <w:tcW w:w="9360" w:type="dxa"/>
            <w:tcBorders>
              <w:top w:val="nil"/>
              <w:left w:val="nil"/>
              <w:bottom w:val="nil"/>
              <w:right w:val="nil"/>
            </w:tcBorders>
            <w:shd w:val="clear" w:color="auto" w:fill="auto"/>
            <w:noWrap/>
            <w:vAlign w:val="bottom"/>
            <w:hideMark/>
          </w:tcPr>
          <w:p w14:paraId="04DAB34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Liu C, Blumhardt LD (2002) Randomized, double-blind, placebo-controlled study of subcutaneous interferon beta-I a relapsing-remitting multiple sclerosis: A categorical disability trend analysis. Multiple Sclerosis 8 (1): 10-14.</w:t>
            </w:r>
          </w:p>
        </w:tc>
      </w:tr>
      <w:tr w:rsidR="00406AEC" w:rsidRPr="00406AEC" w14:paraId="696F77AC" w14:textId="77777777" w:rsidTr="00406AEC">
        <w:trPr>
          <w:trHeight w:val="300"/>
        </w:trPr>
        <w:tc>
          <w:tcPr>
            <w:tcW w:w="9360" w:type="dxa"/>
            <w:tcBorders>
              <w:top w:val="nil"/>
              <w:left w:val="nil"/>
              <w:bottom w:val="nil"/>
              <w:right w:val="nil"/>
            </w:tcBorders>
            <w:shd w:val="clear" w:color="auto" w:fill="auto"/>
            <w:noWrap/>
            <w:vAlign w:val="bottom"/>
            <w:hideMark/>
          </w:tcPr>
          <w:p w14:paraId="37DE625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Lo TCS, Silva DG, </w:t>
            </w:r>
            <w:proofErr w:type="spellStart"/>
            <w:r w:rsidRPr="00406AEC">
              <w:rPr>
                <w:rFonts w:ascii="Times New Roman" w:eastAsia="Times New Roman" w:hAnsi="Times New Roman" w:cs="Times New Roman"/>
                <w:color w:val="000000"/>
                <w:szCs w:val="22"/>
              </w:rPr>
              <w:t>Whitford</w:t>
            </w:r>
            <w:proofErr w:type="spellEnd"/>
            <w:r w:rsidRPr="00406AEC">
              <w:rPr>
                <w:rFonts w:ascii="Times New Roman" w:eastAsia="Times New Roman" w:hAnsi="Times New Roman" w:cs="Times New Roman"/>
                <w:color w:val="000000"/>
                <w:szCs w:val="22"/>
              </w:rPr>
              <w:t xml:space="preserve"> C, Ritter S, Lim LL et al. (2017) Prevalence and incidence of uveitis in a large multiple sclerosis cohort from the fingolimod clinical trials. Investigative ophthalmology &amp; visual science 58 (8): </w:t>
            </w:r>
          </w:p>
        </w:tc>
      </w:tr>
      <w:tr w:rsidR="00406AEC" w:rsidRPr="00406AEC" w14:paraId="14DB5BCE" w14:textId="77777777" w:rsidTr="00406AEC">
        <w:trPr>
          <w:trHeight w:val="300"/>
        </w:trPr>
        <w:tc>
          <w:tcPr>
            <w:tcW w:w="9360" w:type="dxa"/>
            <w:tcBorders>
              <w:top w:val="nil"/>
              <w:left w:val="nil"/>
              <w:bottom w:val="nil"/>
              <w:right w:val="nil"/>
            </w:tcBorders>
            <w:shd w:val="clear" w:color="auto" w:fill="auto"/>
            <w:noWrap/>
            <w:vAlign w:val="bottom"/>
            <w:hideMark/>
          </w:tcPr>
          <w:p w14:paraId="744EFA0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Macdonell R, Barnett M, Lechner-Scott J, King J,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(2015) Rapid onset of efficacy of teriflunomide in patients with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21 (6): 820-.</w:t>
            </w:r>
          </w:p>
        </w:tc>
      </w:tr>
      <w:tr w:rsidR="00406AEC" w:rsidRPr="00406AEC" w14:paraId="28B1CF5B" w14:textId="77777777" w:rsidTr="00406AEC">
        <w:trPr>
          <w:trHeight w:val="300"/>
        </w:trPr>
        <w:tc>
          <w:tcPr>
            <w:tcW w:w="9360" w:type="dxa"/>
            <w:tcBorders>
              <w:top w:val="nil"/>
              <w:left w:val="nil"/>
              <w:bottom w:val="nil"/>
              <w:right w:val="nil"/>
            </w:tcBorders>
            <w:shd w:val="clear" w:color="auto" w:fill="auto"/>
            <w:noWrap/>
            <w:vAlign w:val="bottom"/>
            <w:hideMark/>
          </w:tcPr>
          <w:p w14:paraId="3E5D9F3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MacManus DG, Miller DH, Kappos L,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(2011) BG-12 reduces evolution of new enhancing lesions to T1-hypointense lesions in patients with multiple sclerosis. Journal of Neurology 258 (3): 449-456.</w:t>
            </w:r>
          </w:p>
        </w:tc>
      </w:tr>
      <w:tr w:rsidR="00406AEC" w:rsidRPr="00406AEC" w14:paraId="0C9F1C7D" w14:textId="77777777" w:rsidTr="00406AEC">
        <w:trPr>
          <w:trHeight w:val="300"/>
        </w:trPr>
        <w:tc>
          <w:tcPr>
            <w:tcW w:w="9360" w:type="dxa"/>
            <w:tcBorders>
              <w:top w:val="nil"/>
              <w:left w:val="nil"/>
              <w:bottom w:val="nil"/>
              <w:right w:val="nil"/>
            </w:tcBorders>
            <w:shd w:val="clear" w:color="auto" w:fill="auto"/>
            <w:noWrap/>
            <w:vAlign w:val="bottom"/>
            <w:hideMark/>
          </w:tcPr>
          <w:p w14:paraId="486CAFB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Marziniak</w:t>
            </w:r>
            <w:proofErr w:type="spellEnd"/>
            <w:r w:rsidRPr="00406AEC">
              <w:rPr>
                <w:rFonts w:ascii="Times New Roman" w:eastAsia="Times New Roman" w:hAnsi="Times New Roman" w:cs="Times New Roman"/>
                <w:color w:val="000000"/>
                <w:szCs w:val="22"/>
              </w:rPr>
              <w:t xml:space="preserve"> M, Freedman MS, Benamor M,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Thangavelu K et al. (2015) Teriflunomide: Pooled hepatic safety outcomes from placebo-controlled studies and long-term extensions. European journal of neurology 22 (201): </w:t>
            </w:r>
          </w:p>
        </w:tc>
      </w:tr>
      <w:tr w:rsidR="00406AEC" w:rsidRPr="00406AEC" w14:paraId="65B1BAAF" w14:textId="77777777" w:rsidTr="00406AEC">
        <w:trPr>
          <w:trHeight w:val="300"/>
        </w:trPr>
        <w:tc>
          <w:tcPr>
            <w:tcW w:w="9360" w:type="dxa"/>
            <w:tcBorders>
              <w:top w:val="nil"/>
              <w:left w:val="nil"/>
              <w:bottom w:val="nil"/>
              <w:right w:val="nil"/>
            </w:tcBorders>
            <w:shd w:val="clear" w:color="auto" w:fill="auto"/>
            <w:noWrap/>
            <w:vAlign w:val="bottom"/>
            <w:hideMark/>
          </w:tcPr>
          <w:p w14:paraId="4F14A2A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Mayer L, Kappos L, Racke MK, Rammohan K,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 et al. (2019) Ocrelizumab infusion experience in patients with relapsing and primary progressive multiple sclerosis: Results from the phase 3 randomized OPERA I, OPERA II, and ORATORIO studies. Multiple Sclerosis and Related Disorders 30 236-243.</w:t>
            </w:r>
          </w:p>
        </w:tc>
      </w:tr>
      <w:tr w:rsidR="00406AEC" w:rsidRPr="00406AEC" w14:paraId="1EAF2F20" w14:textId="77777777" w:rsidTr="00406AEC">
        <w:trPr>
          <w:trHeight w:val="300"/>
        </w:trPr>
        <w:tc>
          <w:tcPr>
            <w:tcW w:w="9360" w:type="dxa"/>
            <w:tcBorders>
              <w:top w:val="nil"/>
              <w:left w:val="nil"/>
              <w:bottom w:val="nil"/>
              <w:right w:val="nil"/>
            </w:tcBorders>
            <w:shd w:val="clear" w:color="auto" w:fill="auto"/>
            <w:noWrap/>
            <w:vAlign w:val="bottom"/>
            <w:hideMark/>
          </w:tcPr>
          <w:p w14:paraId="6E53C4B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Meissner A, </w:t>
            </w:r>
            <w:proofErr w:type="spellStart"/>
            <w:r w:rsidRPr="00406AEC">
              <w:rPr>
                <w:rFonts w:ascii="Times New Roman" w:eastAsia="Times New Roman" w:hAnsi="Times New Roman" w:cs="Times New Roman"/>
                <w:color w:val="000000"/>
                <w:szCs w:val="22"/>
              </w:rPr>
              <w:t>Limmroth</w:t>
            </w:r>
            <w:proofErr w:type="spellEnd"/>
            <w:r w:rsidRPr="00406AEC">
              <w:rPr>
                <w:rFonts w:ascii="Times New Roman" w:eastAsia="Times New Roman" w:hAnsi="Times New Roman" w:cs="Times New Roman"/>
                <w:color w:val="000000"/>
                <w:szCs w:val="22"/>
              </w:rPr>
              <w:t xml:space="preserve"> V (2016) Update on the cardiovascular profile of fingolimod in the therapy of relapsing-remitting multiple sclerosis (MS). Multiple Sclerosis and Related Disorders 8 19-26.</w:t>
            </w:r>
          </w:p>
        </w:tc>
      </w:tr>
      <w:tr w:rsidR="00406AEC" w:rsidRPr="00406AEC" w14:paraId="08033B6E" w14:textId="77777777" w:rsidTr="00406AEC">
        <w:trPr>
          <w:trHeight w:val="300"/>
        </w:trPr>
        <w:tc>
          <w:tcPr>
            <w:tcW w:w="9360" w:type="dxa"/>
            <w:tcBorders>
              <w:top w:val="nil"/>
              <w:left w:val="nil"/>
              <w:bottom w:val="nil"/>
              <w:right w:val="nil"/>
            </w:tcBorders>
            <w:shd w:val="clear" w:color="auto" w:fill="auto"/>
            <w:noWrap/>
            <w:vAlign w:val="bottom"/>
            <w:hideMark/>
          </w:tcPr>
          <w:p w14:paraId="41AF956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Mikol D, Goldman M, Hartung HP, Havrdova E, Jeffery D et al. </w:t>
            </w:r>
            <w:r w:rsidRPr="00406AEC">
              <w:rPr>
                <w:rFonts w:ascii="Times New Roman" w:eastAsia="Times New Roman" w:hAnsi="Times New Roman" w:cs="Times New Roman"/>
                <w:color w:val="000000"/>
                <w:szCs w:val="22"/>
              </w:rPr>
              <w:t xml:space="preserve">(2015) The 9-hole peg test (9-HPT) has a stronger correlation than the expanded disability status scale (EDSS) with patient-reported upper extremity impairment as assessed using ABILHAND in patients with secondary progressive multiple sclerosis (SPMS): Analysis of baseline data from the ascend study. Neurology 84 (18): </w:t>
            </w:r>
          </w:p>
        </w:tc>
      </w:tr>
      <w:tr w:rsidR="00406AEC" w:rsidRPr="00406AEC" w14:paraId="7D4B2F07" w14:textId="77777777" w:rsidTr="00406AEC">
        <w:trPr>
          <w:trHeight w:val="300"/>
        </w:trPr>
        <w:tc>
          <w:tcPr>
            <w:tcW w:w="9360" w:type="dxa"/>
            <w:tcBorders>
              <w:top w:val="nil"/>
              <w:left w:val="nil"/>
              <w:bottom w:val="nil"/>
              <w:right w:val="nil"/>
            </w:tcBorders>
            <w:shd w:val="clear" w:color="auto" w:fill="auto"/>
            <w:noWrap/>
            <w:vAlign w:val="bottom"/>
            <w:hideMark/>
          </w:tcPr>
          <w:p w14:paraId="7F0BA87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Miller DH, Gold R, Fox RJ, MacManus D, Yousry T et al. Effects of BG-12 on magnetic resonance imaging outcomes in relapsing-remitting multiple sclerosis: An integrated analysis of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418.</w:t>
            </w:r>
          </w:p>
        </w:tc>
      </w:tr>
      <w:tr w:rsidR="00406AEC" w:rsidRPr="00406AEC" w14:paraId="7570CF08" w14:textId="77777777" w:rsidTr="00406AEC">
        <w:trPr>
          <w:trHeight w:val="300"/>
        </w:trPr>
        <w:tc>
          <w:tcPr>
            <w:tcW w:w="9360" w:type="dxa"/>
            <w:tcBorders>
              <w:top w:val="nil"/>
              <w:left w:val="nil"/>
              <w:bottom w:val="nil"/>
              <w:right w:val="nil"/>
            </w:tcBorders>
            <w:shd w:val="clear" w:color="auto" w:fill="auto"/>
            <w:noWrap/>
            <w:vAlign w:val="bottom"/>
            <w:hideMark/>
          </w:tcPr>
          <w:p w14:paraId="4858102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Miller DH, Hutchinson M, Fox RJ, Phillips JT, Kita M et al. </w:t>
            </w:r>
            <w:r w:rsidRPr="00406AEC">
              <w:rPr>
                <w:rFonts w:ascii="Times New Roman" w:eastAsia="Times New Roman" w:hAnsi="Times New Roman" w:cs="Times New Roman"/>
                <w:color w:val="000000"/>
                <w:szCs w:val="22"/>
              </w:rPr>
              <w:t>Effect of BG-12 on magnetic resonance imaging activity in subgroups of patients with relapsing-remitting multiple sclerosis: Findings from the CONFIRM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189-190.</w:t>
            </w:r>
          </w:p>
        </w:tc>
      </w:tr>
      <w:tr w:rsidR="00406AEC" w:rsidRPr="00406AEC" w14:paraId="77655231" w14:textId="77777777" w:rsidTr="00406AEC">
        <w:trPr>
          <w:trHeight w:val="300"/>
        </w:trPr>
        <w:tc>
          <w:tcPr>
            <w:tcW w:w="9360" w:type="dxa"/>
            <w:tcBorders>
              <w:top w:val="nil"/>
              <w:left w:val="nil"/>
              <w:bottom w:val="nil"/>
              <w:right w:val="nil"/>
            </w:tcBorders>
            <w:shd w:val="clear" w:color="auto" w:fill="auto"/>
            <w:noWrap/>
            <w:vAlign w:val="bottom"/>
            <w:hideMark/>
          </w:tcPr>
          <w:p w14:paraId="03C3537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Molyneux PD, Barker GJ,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Beckmann K, Dahlke F et al. (2001) Clinical-MRI correlations in a European trial of interferon beta-1b in secondary progressive MS. Neurology 57 (12): 2191-2197.</w:t>
            </w:r>
          </w:p>
        </w:tc>
      </w:tr>
      <w:tr w:rsidR="00406AEC" w:rsidRPr="00406AEC" w14:paraId="312AEB97" w14:textId="77777777" w:rsidTr="00406AEC">
        <w:trPr>
          <w:trHeight w:val="300"/>
        </w:trPr>
        <w:tc>
          <w:tcPr>
            <w:tcW w:w="9360" w:type="dxa"/>
            <w:tcBorders>
              <w:top w:val="nil"/>
              <w:left w:val="nil"/>
              <w:bottom w:val="nil"/>
              <w:right w:val="nil"/>
            </w:tcBorders>
            <w:shd w:val="clear" w:color="auto" w:fill="auto"/>
            <w:noWrap/>
            <w:vAlign w:val="bottom"/>
            <w:hideMark/>
          </w:tcPr>
          <w:p w14:paraId="050F25D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Molyneux PD, Kappos L, Polman C,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et al. (2000) The effect of interferon beta-1b treatment on MRI measures of cerebral atrophy in secondary progressive multiple sclerosis. Brain 123 (11): 2256-2263.</w:t>
            </w:r>
          </w:p>
        </w:tc>
      </w:tr>
      <w:tr w:rsidR="00406AEC" w:rsidRPr="00406AEC" w14:paraId="599D7BBE" w14:textId="77777777" w:rsidTr="00406AEC">
        <w:trPr>
          <w:trHeight w:val="300"/>
        </w:trPr>
        <w:tc>
          <w:tcPr>
            <w:tcW w:w="9360" w:type="dxa"/>
            <w:tcBorders>
              <w:top w:val="nil"/>
              <w:left w:val="nil"/>
              <w:bottom w:val="nil"/>
              <w:right w:val="nil"/>
            </w:tcBorders>
            <w:shd w:val="clear" w:color="auto" w:fill="auto"/>
            <w:noWrap/>
            <w:vAlign w:val="bottom"/>
            <w:hideMark/>
          </w:tcPr>
          <w:p w14:paraId="569CD4D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Arnold DL, Weber M, Staikov I, Piasecka-</w:t>
            </w:r>
            <w:proofErr w:type="spellStart"/>
            <w:r w:rsidRPr="00406AEC">
              <w:rPr>
                <w:rFonts w:ascii="Times New Roman" w:eastAsia="Times New Roman" w:hAnsi="Times New Roman" w:cs="Times New Roman"/>
                <w:color w:val="000000"/>
                <w:szCs w:val="22"/>
              </w:rPr>
              <w:t>Strycznska</w:t>
            </w:r>
            <w:proofErr w:type="spellEnd"/>
            <w:r w:rsidRPr="00406AEC">
              <w:rPr>
                <w:rFonts w:ascii="Times New Roman" w:eastAsia="Times New Roman" w:hAnsi="Times New Roman" w:cs="Times New Roman"/>
                <w:color w:val="000000"/>
                <w:szCs w:val="22"/>
              </w:rPr>
              <w:t xml:space="preserve"> K et al. (2019) Primary analysis of a randomized, placebo-controlled, phase ii study of the Bruton's tyrosine kinase inhibitor </w:t>
            </w:r>
            <w:proofErr w:type="spellStart"/>
            <w:r w:rsidRPr="00406AEC">
              <w:rPr>
                <w:rFonts w:ascii="Times New Roman" w:eastAsia="Times New Roman" w:hAnsi="Times New Roman" w:cs="Times New Roman"/>
                <w:color w:val="000000"/>
                <w:szCs w:val="22"/>
              </w:rPr>
              <w:t>evobrutinib</w:t>
            </w:r>
            <w:proofErr w:type="spellEnd"/>
            <w:r w:rsidRPr="00406AEC">
              <w:rPr>
                <w:rFonts w:ascii="Times New Roman" w:eastAsia="Times New Roman" w:hAnsi="Times New Roman" w:cs="Times New Roman"/>
                <w:color w:val="000000"/>
                <w:szCs w:val="22"/>
              </w:rPr>
              <w:t xml:space="preserve"> (M2951) in patients with relapsing multiple sclerosis. Multiple sclerosis journal 25 10-11.</w:t>
            </w:r>
          </w:p>
        </w:tc>
      </w:tr>
      <w:tr w:rsidR="00406AEC" w:rsidRPr="00406AEC" w14:paraId="00A62EE7" w14:textId="77777777" w:rsidTr="00406AEC">
        <w:trPr>
          <w:trHeight w:val="300"/>
        </w:trPr>
        <w:tc>
          <w:tcPr>
            <w:tcW w:w="9360" w:type="dxa"/>
            <w:tcBorders>
              <w:top w:val="nil"/>
              <w:left w:val="nil"/>
              <w:bottom w:val="nil"/>
              <w:right w:val="nil"/>
            </w:tcBorders>
            <w:shd w:val="clear" w:color="auto" w:fill="auto"/>
            <w:noWrap/>
            <w:vAlign w:val="bottom"/>
            <w:hideMark/>
          </w:tcPr>
          <w:p w14:paraId="09A100B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Montalban X, Reder AT, Cohen J, Ritter S, Tomic D et al. (2016) Effect of fingolimod on multiple sclerosis severity score (MSSS) in patients with relapsing multiple sclerosis. Multiple sclerosis Conference: 32nd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committee for treatment and research in multiple sclerosis, ECTRIMS 22 (645): </w:t>
            </w:r>
          </w:p>
        </w:tc>
      </w:tr>
      <w:tr w:rsidR="00406AEC" w:rsidRPr="00406AEC" w14:paraId="037539E1" w14:textId="77777777" w:rsidTr="00406AEC">
        <w:trPr>
          <w:trHeight w:val="300"/>
        </w:trPr>
        <w:tc>
          <w:tcPr>
            <w:tcW w:w="9360" w:type="dxa"/>
            <w:tcBorders>
              <w:top w:val="nil"/>
              <w:left w:val="nil"/>
              <w:bottom w:val="nil"/>
              <w:right w:val="nil"/>
            </w:tcBorders>
            <w:shd w:val="clear" w:color="auto" w:fill="auto"/>
            <w:noWrap/>
            <w:vAlign w:val="bottom"/>
            <w:hideMark/>
          </w:tcPr>
          <w:p w14:paraId="0261F80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Naismith RT, Wolinsky JS,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Chen H, Leigh-Pemberton R et al. (2020) Interference of GI symptoms with daily activities and work productivity in MS patients treated with diroximel fumarate versus dimethyl fumarate. Multiple sclerosis journal 26 (1 SUPPL): 138-139.</w:t>
            </w:r>
          </w:p>
        </w:tc>
      </w:tr>
      <w:tr w:rsidR="00406AEC" w:rsidRPr="00406AEC" w14:paraId="29BA342A" w14:textId="77777777" w:rsidTr="00406AEC">
        <w:trPr>
          <w:trHeight w:val="300"/>
        </w:trPr>
        <w:tc>
          <w:tcPr>
            <w:tcW w:w="9360" w:type="dxa"/>
            <w:tcBorders>
              <w:top w:val="nil"/>
              <w:left w:val="nil"/>
              <w:bottom w:val="nil"/>
              <w:right w:val="nil"/>
            </w:tcBorders>
            <w:shd w:val="clear" w:color="auto" w:fill="auto"/>
            <w:noWrap/>
            <w:vAlign w:val="bottom"/>
            <w:hideMark/>
          </w:tcPr>
          <w:p w14:paraId="433A2C1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O'Connor P, Burrell A, Wang L, Wei L, Carita P et al. Effect of teriflunomide on longitudinal patterns of relapse and relapse-related hospitalization in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S414.</w:t>
            </w:r>
          </w:p>
        </w:tc>
      </w:tr>
      <w:tr w:rsidR="00406AEC" w:rsidRPr="00406AEC" w14:paraId="4AE6F1A2" w14:textId="77777777" w:rsidTr="00406AEC">
        <w:trPr>
          <w:trHeight w:val="300"/>
        </w:trPr>
        <w:tc>
          <w:tcPr>
            <w:tcW w:w="9360" w:type="dxa"/>
            <w:tcBorders>
              <w:top w:val="nil"/>
              <w:left w:val="nil"/>
              <w:bottom w:val="nil"/>
              <w:right w:val="nil"/>
            </w:tcBorders>
            <w:shd w:val="clear" w:color="auto" w:fill="auto"/>
            <w:noWrap/>
            <w:vAlign w:val="bottom"/>
            <w:hideMark/>
          </w:tcPr>
          <w:p w14:paraId="676FE667"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O'Connor P, Miller D, Riester K, Yang M, </w:t>
            </w:r>
            <w:proofErr w:type="spellStart"/>
            <w:r w:rsidRPr="00406AEC">
              <w:rPr>
                <w:rFonts w:ascii="Times New Roman" w:eastAsia="Times New Roman" w:hAnsi="Times New Roman" w:cs="Times New Roman"/>
                <w:color w:val="000000"/>
                <w:szCs w:val="22"/>
              </w:rPr>
              <w:t>Panzara</w:t>
            </w:r>
            <w:proofErr w:type="spellEnd"/>
            <w:r w:rsidRPr="00406AEC">
              <w:rPr>
                <w:rFonts w:ascii="Times New Roman" w:eastAsia="Times New Roman" w:hAnsi="Times New Roman" w:cs="Times New Roman"/>
                <w:color w:val="000000"/>
                <w:szCs w:val="22"/>
              </w:rPr>
              <w:t xml:space="preserve"> M et al. (2005) Relapse rates and enhancing lesions in a phase II trial of natalizumab in multiple sclerosis. Multiple Sclerosis 11 (5): 568-572.</w:t>
            </w:r>
          </w:p>
        </w:tc>
      </w:tr>
      <w:tr w:rsidR="00406AEC" w:rsidRPr="00406AEC" w14:paraId="170EE336" w14:textId="77777777" w:rsidTr="00406AEC">
        <w:trPr>
          <w:trHeight w:val="300"/>
        </w:trPr>
        <w:tc>
          <w:tcPr>
            <w:tcW w:w="9360" w:type="dxa"/>
            <w:tcBorders>
              <w:top w:val="nil"/>
              <w:left w:val="nil"/>
              <w:bottom w:val="nil"/>
              <w:right w:val="nil"/>
            </w:tcBorders>
            <w:shd w:val="clear" w:color="auto" w:fill="auto"/>
            <w:noWrap/>
            <w:vAlign w:val="bottom"/>
            <w:hideMark/>
          </w:tcPr>
          <w:p w14:paraId="18D0A32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Ontaneda D, Singer B, Meng X, Hawker K (2015) Early clinical efficacy of fingolimod compared with interferon-beta-1a in relapsing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758.</w:t>
            </w:r>
          </w:p>
        </w:tc>
      </w:tr>
      <w:tr w:rsidR="00406AEC" w:rsidRPr="00406AEC" w14:paraId="7DCDBB77" w14:textId="77777777" w:rsidTr="00406AEC">
        <w:trPr>
          <w:trHeight w:val="300"/>
        </w:trPr>
        <w:tc>
          <w:tcPr>
            <w:tcW w:w="9360" w:type="dxa"/>
            <w:tcBorders>
              <w:top w:val="nil"/>
              <w:left w:val="nil"/>
              <w:bottom w:val="nil"/>
              <w:right w:val="nil"/>
            </w:tcBorders>
            <w:shd w:val="clear" w:color="auto" w:fill="auto"/>
            <w:noWrap/>
            <w:vAlign w:val="bottom"/>
            <w:hideMark/>
          </w:tcPr>
          <w:p w14:paraId="312F474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es-ES"/>
              </w:rPr>
              <w:t>Orviz</w:t>
            </w:r>
            <w:proofErr w:type="spellEnd"/>
            <w:r w:rsidRPr="00713F1E">
              <w:rPr>
                <w:rFonts w:ascii="Times New Roman" w:eastAsia="Times New Roman" w:hAnsi="Times New Roman" w:cs="Times New Roman"/>
                <w:color w:val="000000"/>
                <w:szCs w:val="22"/>
                <w:lang w:val="es-ES"/>
              </w:rPr>
              <w:t xml:space="preserve">-Garcia A, </w:t>
            </w:r>
            <w:proofErr w:type="spellStart"/>
            <w:r w:rsidRPr="00713F1E">
              <w:rPr>
                <w:rFonts w:ascii="Times New Roman" w:eastAsia="Times New Roman" w:hAnsi="Times New Roman" w:cs="Times New Roman"/>
                <w:color w:val="000000"/>
                <w:szCs w:val="22"/>
                <w:lang w:val="es-ES"/>
              </w:rPr>
              <w:t>Gonzalez</w:t>
            </w:r>
            <w:proofErr w:type="spellEnd"/>
            <w:r w:rsidRPr="00713F1E">
              <w:rPr>
                <w:rFonts w:ascii="Times New Roman" w:eastAsia="Times New Roman" w:hAnsi="Times New Roman" w:cs="Times New Roman"/>
                <w:color w:val="000000"/>
                <w:szCs w:val="22"/>
                <w:lang w:val="es-ES"/>
              </w:rPr>
              <w:t xml:space="preserve">-Suarez I, </w:t>
            </w:r>
            <w:proofErr w:type="spellStart"/>
            <w:r w:rsidRPr="00713F1E">
              <w:rPr>
                <w:rFonts w:ascii="Times New Roman" w:eastAsia="Times New Roman" w:hAnsi="Times New Roman" w:cs="Times New Roman"/>
                <w:color w:val="000000"/>
                <w:szCs w:val="22"/>
                <w:lang w:val="es-ES"/>
              </w:rPr>
              <w:t>Lopez-Perez</w:t>
            </w:r>
            <w:proofErr w:type="spellEnd"/>
            <w:r w:rsidRPr="00713F1E">
              <w:rPr>
                <w:rFonts w:ascii="Times New Roman" w:eastAsia="Times New Roman" w:hAnsi="Times New Roman" w:cs="Times New Roman"/>
                <w:color w:val="000000"/>
                <w:szCs w:val="22"/>
                <w:lang w:val="es-ES"/>
              </w:rPr>
              <w:t xml:space="preserve"> F, </w:t>
            </w:r>
            <w:proofErr w:type="spellStart"/>
            <w:r w:rsidRPr="00713F1E">
              <w:rPr>
                <w:rFonts w:ascii="Times New Roman" w:eastAsia="Times New Roman" w:hAnsi="Times New Roman" w:cs="Times New Roman"/>
                <w:color w:val="000000"/>
                <w:szCs w:val="22"/>
                <w:lang w:val="es-ES"/>
              </w:rPr>
              <w:t>Lopez</w:t>
            </w:r>
            <w:proofErr w:type="spellEnd"/>
            <w:r w:rsidRPr="00713F1E">
              <w:rPr>
                <w:rFonts w:ascii="Times New Roman" w:eastAsia="Times New Roman" w:hAnsi="Times New Roman" w:cs="Times New Roman"/>
                <w:color w:val="000000"/>
                <w:szCs w:val="22"/>
                <w:lang w:val="es-ES"/>
              </w:rPr>
              <w:t xml:space="preserve">-De Velasco V, </w:t>
            </w:r>
            <w:proofErr w:type="spellStart"/>
            <w:r w:rsidRPr="00713F1E">
              <w:rPr>
                <w:rFonts w:ascii="Times New Roman" w:eastAsia="Times New Roman" w:hAnsi="Times New Roman" w:cs="Times New Roman"/>
                <w:color w:val="000000"/>
                <w:szCs w:val="22"/>
                <w:lang w:val="es-ES"/>
              </w:rPr>
              <w:t>Matias-Guiu</w:t>
            </w:r>
            <w:proofErr w:type="spellEnd"/>
            <w:r w:rsidRPr="00713F1E">
              <w:rPr>
                <w:rFonts w:ascii="Times New Roman" w:eastAsia="Times New Roman" w:hAnsi="Times New Roman" w:cs="Times New Roman"/>
                <w:color w:val="000000"/>
                <w:szCs w:val="22"/>
                <w:lang w:val="es-ES"/>
              </w:rPr>
              <w:t xml:space="preserve"> J et al. </w:t>
            </w:r>
            <w:r w:rsidRPr="00406AEC">
              <w:rPr>
                <w:rFonts w:ascii="Times New Roman" w:eastAsia="Times New Roman" w:hAnsi="Times New Roman" w:cs="Times New Roman"/>
                <w:color w:val="000000"/>
                <w:szCs w:val="22"/>
              </w:rPr>
              <w:t>Gastrointestinal tolerability of dimethyl fumarate improves with a four-week titration in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578.</w:t>
            </w:r>
          </w:p>
        </w:tc>
      </w:tr>
      <w:tr w:rsidR="00406AEC" w:rsidRPr="00406AEC" w14:paraId="3515E436" w14:textId="77777777" w:rsidTr="00406AEC">
        <w:trPr>
          <w:trHeight w:val="300"/>
        </w:trPr>
        <w:tc>
          <w:tcPr>
            <w:tcW w:w="9360" w:type="dxa"/>
            <w:tcBorders>
              <w:top w:val="nil"/>
              <w:left w:val="nil"/>
              <w:bottom w:val="nil"/>
              <w:right w:val="nil"/>
            </w:tcBorders>
            <w:shd w:val="clear" w:color="auto" w:fill="auto"/>
            <w:noWrap/>
            <w:vAlign w:val="bottom"/>
            <w:hideMark/>
          </w:tcPr>
          <w:p w14:paraId="589DB42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Patten SB, Francis G, Metz LM, Lopez-Bresnahan M, Chang P et al. (2005) The relationship between depression and interferon beta-1a therapy in patients with multiple sclerosis. Multiple Sclerosis 11 (2): 175-181.</w:t>
            </w:r>
          </w:p>
        </w:tc>
      </w:tr>
      <w:tr w:rsidR="00406AEC" w:rsidRPr="00406AEC" w14:paraId="7F12A18C" w14:textId="77777777" w:rsidTr="00406AEC">
        <w:trPr>
          <w:trHeight w:val="300"/>
        </w:trPr>
        <w:tc>
          <w:tcPr>
            <w:tcW w:w="9360" w:type="dxa"/>
            <w:tcBorders>
              <w:top w:val="nil"/>
              <w:left w:val="nil"/>
              <w:bottom w:val="nil"/>
              <w:right w:val="nil"/>
            </w:tcBorders>
            <w:shd w:val="clear" w:color="auto" w:fill="auto"/>
            <w:noWrap/>
            <w:vAlign w:val="bottom"/>
            <w:hideMark/>
          </w:tcPr>
          <w:p w14:paraId="23E0B87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Patten SB, Metz LM (2001) Interferon beta-1a and depression in relapsing-remitting multiple sclerosis: An analysis of depression data from the PRISMS clinical trial. Multiple Sclerosis 7 (4): 243-248.</w:t>
            </w:r>
          </w:p>
        </w:tc>
      </w:tr>
      <w:tr w:rsidR="00406AEC" w:rsidRPr="00406AEC" w14:paraId="24B14BCF" w14:textId="77777777" w:rsidTr="00406AEC">
        <w:trPr>
          <w:trHeight w:val="300"/>
        </w:trPr>
        <w:tc>
          <w:tcPr>
            <w:tcW w:w="9360" w:type="dxa"/>
            <w:tcBorders>
              <w:top w:val="nil"/>
              <w:left w:val="nil"/>
              <w:bottom w:val="nil"/>
              <w:right w:val="nil"/>
            </w:tcBorders>
            <w:shd w:val="clear" w:color="auto" w:fill="auto"/>
            <w:noWrap/>
            <w:vAlign w:val="bottom"/>
            <w:hideMark/>
          </w:tcPr>
          <w:p w14:paraId="08CC67A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Patten SB, Metz LM (2002) Hopelessness ratings in relapsing-remitting and secondary progressive multiple sclerosis. International Journal of Psychiatry in Medicine 32 (2): 155-165.</w:t>
            </w:r>
          </w:p>
        </w:tc>
      </w:tr>
      <w:tr w:rsidR="00406AEC" w:rsidRPr="00406AEC" w14:paraId="22DF7782" w14:textId="77777777" w:rsidTr="00406AEC">
        <w:trPr>
          <w:trHeight w:val="300"/>
        </w:trPr>
        <w:tc>
          <w:tcPr>
            <w:tcW w:w="9360" w:type="dxa"/>
            <w:tcBorders>
              <w:top w:val="nil"/>
              <w:left w:val="nil"/>
              <w:bottom w:val="nil"/>
              <w:right w:val="nil"/>
            </w:tcBorders>
            <w:shd w:val="clear" w:color="auto" w:fill="auto"/>
            <w:noWrap/>
            <w:vAlign w:val="bottom"/>
            <w:hideMark/>
          </w:tcPr>
          <w:p w14:paraId="40B60B6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Patten SB, Metz LM (2002) Interferon beta1a and depression in secondary progressive MS: Data from the SPECTRIMS trial. Neurology 59 (5): 744-746.</w:t>
            </w:r>
          </w:p>
        </w:tc>
      </w:tr>
      <w:tr w:rsidR="00406AEC" w:rsidRPr="00406AEC" w14:paraId="66379F4E" w14:textId="77777777" w:rsidTr="00406AEC">
        <w:trPr>
          <w:trHeight w:val="300"/>
        </w:trPr>
        <w:tc>
          <w:tcPr>
            <w:tcW w:w="9360" w:type="dxa"/>
            <w:tcBorders>
              <w:top w:val="nil"/>
              <w:left w:val="nil"/>
              <w:bottom w:val="nil"/>
              <w:right w:val="nil"/>
            </w:tcBorders>
            <w:shd w:val="clear" w:color="auto" w:fill="auto"/>
            <w:noWrap/>
            <w:vAlign w:val="bottom"/>
            <w:hideMark/>
          </w:tcPr>
          <w:p w14:paraId="71F885F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Paty DW, Li DKB (1993) Interferon beta-1b is effective in relapsing-remitting multiple sclerosis. II. MRI analysis results of a multicenter, randomized, double-blind, placebo- controlled trial. Neurology 43 (4 I): 662-667.</w:t>
            </w:r>
          </w:p>
        </w:tc>
      </w:tr>
      <w:tr w:rsidR="00406AEC" w:rsidRPr="00406AEC" w14:paraId="0D5CE86F" w14:textId="77777777" w:rsidTr="00406AEC">
        <w:trPr>
          <w:trHeight w:val="300"/>
        </w:trPr>
        <w:tc>
          <w:tcPr>
            <w:tcW w:w="9360" w:type="dxa"/>
            <w:tcBorders>
              <w:top w:val="nil"/>
              <w:left w:val="nil"/>
              <w:bottom w:val="nil"/>
              <w:right w:val="nil"/>
            </w:tcBorders>
            <w:shd w:val="clear" w:color="auto" w:fill="auto"/>
            <w:noWrap/>
            <w:vAlign w:val="bottom"/>
            <w:hideMark/>
          </w:tcPr>
          <w:p w14:paraId="7EE7600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Phillips JT, Fox R, Miller D, Kita M, Hutchinson M et al. </w:t>
            </w:r>
            <w:r w:rsidRPr="00406AEC">
              <w:rPr>
                <w:rFonts w:ascii="Times New Roman" w:eastAsia="Times New Roman" w:hAnsi="Times New Roman" w:cs="Times New Roman"/>
                <w:color w:val="000000"/>
                <w:szCs w:val="22"/>
              </w:rPr>
              <w:t>Safety and tolerability of BG-12 in patients with relapsing-remitting multiple sclerosis (RRMS): Analyses from the CONFIRM study. Neurology 78 (1 Meeting Abstract): CONFERENCE START: 2012 Apr 2021 CONFERENCE END: 2012 Apr 2028.</w:t>
            </w:r>
          </w:p>
        </w:tc>
      </w:tr>
      <w:tr w:rsidR="00406AEC" w:rsidRPr="00406AEC" w14:paraId="7C389850" w14:textId="77777777" w:rsidTr="00406AEC">
        <w:trPr>
          <w:trHeight w:val="300"/>
        </w:trPr>
        <w:tc>
          <w:tcPr>
            <w:tcW w:w="9360" w:type="dxa"/>
            <w:tcBorders>
              <w:top w:val="nil"/>
              <w:left w:val="nil"/>
              <w:bottom w:val="nil"/>
              <w:right w:val="nil"/>
            </w:tcBorders>
            <w:shd w:val="clear" w:color="auto" w:fill="auto"/>
            <w:noWrap/>
            <w:vAlign w:val="bottom"/>
            <w:hideMark/>
          </w:tcPr>
          <w:p w14:paraId="404D9AC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Phillips JT,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Gold R, Fox RJ,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(2015) Clinical Significance of Gastrointestinal and Flushing Events in Patients with Multiple Sclerosis Treated with Delayed-Release Dimethyl Fumarate. International Journal of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Care 17 (5): 236-243.</w:t>
            </w:r>
          </w:p>
        </w:tc>
      </w:tr>
      <w:tr w:rsidR="00406AEC" w:rsidRPr="00406AEC" w14:paraId="6303F091" w14:textId="77777777" w:rsidTr="00406AEC">
        <w:trPr>
          <w:trHeight w:val="300"/>
        </w:trPr>
        <w:tc>
          <w:tcPr>
            <w:tcW w:w="9360" w:type="dxa"/>
            <w:tcBorders>
              <w:top w:val="nil"/>
              <w:left w:val="nil"/>
              <w:bottom w:val="nil"/>
              <w:right w:val="nil"/>
            </w:tcBorders>
            <w:shd w:val="clear" w:color="auto" w:fill="auto"/>
            <w:noWrap/>
            <w:vAlign w:val="bottom"/>
            <w:hideMark/>
          </w:tcPr>
          <w:p w14:paraId="2238403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Plavina</w:t>
            </w:r>
            <w:proofErr w:type="spellEnd"/>
            <w:r w:rsidRPr="00406AEC">
              <w:rPr>
                <w:rFonts w:ascii="Times New Roman" w:eastAsia="Times New Roman" w:hAnsi="Times New Roman" w:cs="Times New Roman"/>
                <w:color w:val="000000"/>
                <w:szCs w:val="22"/>
              </w:rPr>
              <w:t xml:space="preserve"> T, Muralidharan KK, </w:t>
            </w:r>
            <w:proofErr w:type="spellStart"/>
            <w:r w:rsidRPr="00406AEC">
              <w:rPr>
                <w:rFonts w:ascii="Times New Roman" w:eastAsia="Times New Roman" w:hAnsi="Times New Roman" w:cs="Times New Roman"/>
                <w:color w:val="000000"/>
                <w:szCs w:val="22"/>
              </w:rPr>
              <w:t>Kuesters</w:t>
            </w:r>
            <w:proofErr w:type="spellEnd"/>
            <w:r w:rsidRPr="00406AEC">
              <w:rPr>
                <w:rFonts w:ascii="Times New Roman" w:eastAsia="Times New Roman" w:hAnsi="Times New Roman" w:cs="Times New Roman"/>
                <w:color w:val="000000"/>
                <w:szCs w:val="22"/>
              </w:rPr>
              <w:t xml:space="preserve"> G, Mikol D, Evans K et al. (2017) Reversibility of the effects of natalizumab on peripheral immune cell dynamics in MS patients. Neurology 89 (15): 1584-1593.</w:t>
            </w:r>
          </w:p>
        </w:tc>
      </w:tr>
      <w:tr w:rsidR="00406AEC" w:rsidRPr="00406AEC" w14:paraId="51BB8D6C" w14:textId="77777777" w:rsidTr="00406AEC">
        <w:trPr>
          <w:trHeight w:val="300"/>
        </w:trPr>
        <w:tc>
          <w:tcPr>
            <w:tcW w:w="9360" w:type="dxa"/>
            <w:tcBorders>
              <w:top w:val="nil"/>
              <w:left w:val="nil"/>
              <w:bottom w:val="nil"/>
              <w:right w:val="nil"/>
            </w:tcBorders>
            <w:shd w:val="clear" w:color="auto" w:fill="auto"/>
            <w:noWrap/>
            <w:vAlign w:val="bottom"/>
            <w:hideMark/>
          </w:tcPr>
          <w:p w14:paraId="2930D72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Polman C,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Rudick R Relationship between timed 25-foot walk walking speed and health-related quality of life in affirm and SENTINEL. Neurology 78 (1 Meeting Abstract): CONFERENCE START: 2012 Apr 2021 CONFERENCE END: 2012 Apr 2028.</w:t>
            </w:r>
          </w:p>
        </w:tc>
      </w:tr>
      <w:tr w:rsidR="00406AEC" w:rsidRPr="00406AEC" w14:paraId="1BAE34AB" w14:textId="77777777" w:rsidTr="00406AEC">
        <w:trPr>
          <w:trHeight w:val="300"/>
        </w:trPr>
        <w:tc>
          <w:tcPr>
            <w:tcW w:w="9360" w:type="dxa"/>
            <w:tcBorders>
              <w:top w:val="nil"/>
              <w:left w:val="nil"/>
              <w:bottom w:val="nil"/>
              <w:right w:val="nil"/>
            </w:tcBorders>
            <w:shd w:val="clear" w:color="auto" w:fill="auto"/>
            <w:noWrap/>
            <w:vAlign w:val="bottom"/>
            <w:hideMark/>
          </w:tcPr>
          <w:p w14:paraId="232D4B4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Radue E, De Stefano N, O'Connor P, Piani- Meier D, Ritter S et al. </w:t>
            </w:r>
            <w:r w:rsidRPr="00406AEC">
              <w:rPr>
                <w:rFonts w:ascii="Times New Roman" w:eastAsia="Times New Roman" w:hAnsi="Times New Roman" w:cs="Times New Roman"/>
                <w:color w:val="000000"/>
                <w:szCs w:val="22"/>
              </w:rPr>
              <w:t>Brain atrophy and disease-free status over four years: Analyses of the FREEDOMS core and extension trial data.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481.</w:t>
            </w:r>
          </w:p>
        </w:tc>
      </w:tr>
      <w:tr w:rsidR="00406AEC" w:rsidRPr="00406AEC" w14:paraId="5101E6E9" w14:textId="77777777" w:rsidTr="00406AEC">
        <w:trPr>
          <w:trHeight w:val="300"/>
        </w:trPr>
        <w:tc>
          <w:tcPr>
            <w:tcW w:w="9360" w:type="dxa"/>
            <w:tcBorders>
              <w:top w:val="nil"/>
              <w:left w:val="nil"/>
              <w:bottom w:val="nil"/>
              <w:right w:val="nil"/>
            </w:tcBorders>
            <w:shd w:val="clear" w:color="auto" w:fill="auto"/>
            <w:noWrap/>
            <w:vAlign w:val="bottom"/>
            <w:hideMark/>
          </w:tcPr>
          <w:p w14:paraId="0527555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713F1E">
              <w:rPr>
                <w:rFonts w:ascii="Times New Roman" w:eastAsia="Times New Roman" w:hAnsi="Times New Roman" w:cs="Times New Roman"/>
                <w:color w:val="000000"/>
                <w:szCs w:val="22"/>
                <w:lang w:val="fr-FR"/>
              </w:rPr>
              <w:t>Radue</w:t>
            </w:r>
            <w:proofErr w:type="spellEnd"/>
            <w:r w:rsidRPr="00713F1E">
              <w:rPr>
                <w:rFonts w:ascii="Times New Roman" w:eastAsia="Times New Roman" w:hAnsi="Times New Roman" w:cs="Times New Roman"/>
                <w:color w:val="000000"/>
                <w:szCs w:val="22"/>
                <w:lang w:val="fr-FR"/>
              </w:rPr>
              <w:t xml:space="preserve"> EW, </w:t>
            </w:r>
            <w:proofErr w:type="spellStart"/>
            <w:r w:rsidRPr="00713F1E">
              <w:rPr>
                <w:rFonts w:ascii="Times New Roman" w:eastAsia="Times New Roman" w:hAnsi="Times New Roman" w:cs="Times New Roman"/>
                <w:color w:val="000000"/>
                <w:szCs w:val="22"/>
                <w:lang w:val="fr-FR"/>
              </w:rPr>
              <w:t>Sprenger</w:t>
            </w:r>
            <w:proofErr w:type="spellEnd"/>
            <w:r w:rsidRPr="00713F1E">
              <w:rPr>
                <w:rFonts w:ascii="Times New Roman" w:eastAsia="Times New Roman" w:hAnsi="Times New Roman" w:cs="Times New Roman"/>
                <w:color w:val="000000"/>
                <w:szCs w:val="22"/>
                <w:lang w:val="fr-FR"/>
              </w:rPr>
              <w:t xml:space="preserve"> T, De Vera A, Francis G, </w:t>
            </w:r>
            <w:proofErr w:type="spellStart"/>
            <w:r w:rsidRPr="00713F1E">
              <w:rPr>
                <w:rFonts w:ascii="Times New Roman" w:eastAsia="Times New Roman" w:hAnsi="Times New Roman" w:cs="Times New Roman"/>
                <w:color w:val="000000"/>
                <w:szCs w:val="22"/>
                <w:lang w:val="fr-FR"/>
              </w:rPr>
              <w:t>Rochotte</w:t>
            </w:r>
            <w:proofErr w:type="spellEnd"/>
            <w:r w:rsidRPr="00713F1E">
              <w:rPr>
                <w:rFonts w:ascii="Times New Roman" w:eastAsia="Times New Roman" w:hAnsi="Times New Roman" w:cs="Times New Roman"/>
                <w:color w:val="000000"/>
                <w:szCs w:val="22"/>
                <w:lang w:val="fr-FR"/>
              </w:rPr>
              <w:t xml:space="preserve"> E et al. </w:t>
            </w:r>
            <w:r w:rsidRPr="00406AEC">
              <w:rPr>
                <w:rFonts w:ascii="Times New Roman" w:eastAsia="Times New Roman" w:hAnsi="Times New Roman" w:cs="Times New Roman"/>
                <w:color w:val="000000"/>
                <w:szCs w:val="22"/>
              </w:rPr>
              <w:t xml:space="preserve">Effect of fingolimod on evolution of baseline enhancing MRI lesions into persistent T1 hypointense lesions: Post </w:t>
            </w:r>
            <w:r w:rsidRPr="00406AEC">
              <w:rPr>
                <w:rFonts w:ascii="Times New Roman" w:eastAsia="Times New Roman" w:hAnsi="Times New Roman" w:cs="Times New Roman"/>
                <w:color w:val="000000"/>
                <w:szCs w:val="22"/>
              </w:rPr>
              <w:lastRenderedPageBreak/>
              <w:t>hoc analysis of the FREEDOMS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112-113.</w:t>
            </w:r>
          </w:p>
        </w:tc>
      </w:tr>
      <w:tr w:rsidR="00406AEC" w:rsidRPr="00406AEC" w14:paraId="2FD43A17" w14:textId="77777777" w:rsidTr="00406AEC">
        <w:trPr>
          <w:trHeight w:val="300"/>
        </w:trPr>
        <w:tc>
          <w:tcPr>
            <w:tcW w:w="9360" w:type="dxa"/>
            <w:tcBorders>
              <w:top w:val="nil"/>
              <w:left w:val="nil"/>
              <w:bottom w:val="nil"/>
              <w:right w:val="nil"/>
            </w:tcBorders>
            <w:shd w:val="clear" w:color="auto" w:fill="auto"/>
            <w:noWrap/>
            <w:vAlign w:val="bottom"/>
            <w:hideMark/>
          </w:tcPr>
          <w:p w14:paraId="51045F9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Reder A, Freedman M, Fang J, Hassan A, Cha C et al. (2015) Early effects of interferon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versus interferon beta-1a IM </w:t>
            </w:r>
            <w:proofErr w:type="spellStart"/>
            <w:r w:rsidRPr="00406AEC">
              <w:rPr>
                <w:rFonts w:ascii="Times New Roman" w:eastAsia="Times New Roman" w:hAnsi="Times New Roman" w:cs="Times New Roman"/>
                <w:color w:val="000000"/>
                <w:szCs w:val="22"/>
              </w:rPr>
              <w:t>qw</w:t>
            </w:r>
            <w:proofErr w:type="spellEnd"/>
            <w:r w:rsidRPr="00406AEC">
              <w:rPr>
                <w:rFonts w:ascii="Times New Roman" w:eastAsia="Times New Roman" w:hAnsi="Times New Roman" w:cs="Times New Roman"/>
                <w:color w:val="000000"/>
                <w:szCs w:val="22"/>
              </w:rPr>
              <w:t xml:space="preserve"> on MRI outcomes in patients with relapsing MS in the EVIDENCE study. Neurology 84 (18): </w:t>
            </w:r>
          </w:p>
        </w:tc>
      </w:tr>
      <w:tr w:rsidR="00406AEC" w:rsidRPr="00406AEC" w14:paraId="59128B81" w14:textId="77777777" w:rsidTr="00406AEC">
        <w:trPr>
          <w:trHeight w:val="300"/>
        </w:trPr>
        <w:tc>
          <w:tcPr>
            <w:tcW w:w="9360" w:type="dxa"/>
            <w:tcBorders>
              <w:top w:val="nil"/>
              <w:left w:val="nil"/>
              <w:bottom w:val="nil"/>
              <w:right w:val="nil"/>
            </w:tcBorders>
            <w:shd w:val="clear" w:color="auto" w:fill="auto"/>
            <w:noWrap/>
            <w:vAlign w:val="bottom"/>
            <w:hideMark/>
          </w:tcPr>
          <w:p w14:paraId="7BC53F1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Savic RM, Novakovic AM, Ekblom M, Munafo A, Karlsson MO (2017) Population Pharmacokinetics of Cladribine in Patients with Multiple Sclerosis. Clinical Pharmacokinetics 56 (10): 1245-1253.</w:t>
            </w:r>
          </w:p>
        </w:tc>
      </w:tr>
      <w:tr w:rsidR="00406AEC" w:rsidRPr="00406AEC" w14:paraId="1521FE4D" w14:textId="77777777" w:rsidTr="00406AEC">
        <w:trPr>
          <w:trHeight w:val="300"/>
        </w:trPr>
        <w:tc>
          <w:tcPr>
            <w:tcW w:w="9360" w:type="dxa"/>
            <w:tcBorders>
              <w:top w:val="nil"/>
              <w:left w:val="nil"/>
              <w:bottom w:val="nil"/>
              <w:right w:val="nil"/>
            </w:tcBorders>
            <w:shd w:val="clear" w:color="auto" w:fill="auto"/>
            <w:noWrap/>
            <w:vAlign w:val="bottom"/>
            <w:hideMark/>
          </w:tcPr>
          <w:p w14:paraId="377EC39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Schippling</w:t>
            </w:r>
            <w:proofErr w:type="spellEnd"/>
            <w:r w:rsidRPr="00406AEC">
              <w:rPr>
                <w:rFonts w:ascii="Times New Roman" w:eastAsia="Times New Roman" w:hAnsi="Times New Roman" w:cs="Times New Roman"/>
                <w:color w:val="000000"/>
                <w:szCs w:val="22"/>
              </w:rPr>
              <w:t xml:space="preserve"> S, O'Connor P,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V, Pohl C, Bogumil T et al. (2016) Incidence and course of depression in multiple sclerosis in the multinational BEYOND trial. Journal of Neurology 263 (7): 1418-1426.</w:t>
            </w:r>
          </w:p>
        </w:tc>
      </w:tr>
      <w:tr w:rsidR="00406AEC" w:rsidRPr="00406AEC" w14:paraId="41C2BB53" w14:textId="77777777" w:rsidTr="00406AEC">
        <w:trPr>
          <w:trHeight w:val="300"/>
        </w:trPr>
        <w:tc>
          <w:tcPr>
            <w:tcW w:w="9360" w:type="dxa"/>
            <w:tcBorders>
              <w:top w:val="nil"/>
              <w:left w:val="nil"/>
              <w:bottom w:val="nil"/>
              <w:right w:val="nil"/>
            </w:tcBorders>
            <w:shd w:val="clear" w:color="auto" w:fill="auto"/>
            <w:noWrap/>
            <w:vAlign w:val="bottom"/>
            <w:hideMark/>
          </w:tcPr>
          <w:p w14:paraId="54259B4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Scott T, Laforet G, You X Identifying patients with relapsing-remitting multiple sclerosis who have aggressive disease characterized by rapid disability progression. Neurology 78 (1 Meeting Abstract): CONFERENCE START: 2012 Apr 2021 CONFERENCE END: 2012 Apr 2028.</w:t>
            </w:r>
          </w:p>
        </w:tc>
      </w:tr>
      <w:tr w:rsidR="00406AEC" w:rsidRPr="00406AEC" w14:paraId="1E2F4554" w14:textId="77777777" w:rsidTr="00406AEC">
        <w:trPr>
          <w:trHeight w:val="300"/>
        </w:trPr>
        <w:tc>
          <w:tcPr>
            <w:tcW w:w="9360" w:type="dxa"/>
            <w:tcBorders>
              <w:top w:val="nil"/>
              <w:left w:val="nil"/>
              <w:bottom w:val="nil"/>
              <w:right w:val="nil"/>
            </w:tcBorders>
            <w:shd w:val="clear" w:color="auto" w:fill="auto"/>
            <w:noWrap/>
            <w:vAlign w:val="bottom"/>
            <w:hideMark/>
          </w:tcPr>
          <w:p w14:paraId="6699326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Arnold D, Bar-Or A, Comi G, Hartung HP et al. (2016) Infusion-related reactions with ocrelizumab in the Phase III double-blind, double-dummy, interferon (IFN) beta-1acontrolled OPERA I and OPERA II studies.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(202): </w:t>
            </w:r>
          </w:p>
        </w:tc>
      </w:tr>
      <w:tr w:rsidR="00406AEC" w:rsidRPr="00406AEC" w14:paraId="4AD036B8" w14:textId="77777777" w:rsidTr="00406AEC">
        <w:trPr>
          <w:trHeight w:val="300"/>
        </w:trPr>
        <w:tc>
          <w:tcPr>
            <w:tcW w:w="9360" w:type="dxa"/>
            <w:tcBorders>
              <w:top w:val="nil"/>
              <w:left w:val="nil"/>
              <w:bottom w:val="nil"/>
              <w:right w:val="nil"/>
            </w:tcBorders>
            <w:shd w:val="clear" w:color="auto" w:fill="auto"/>
            <w:noWrap/>
            <w:vAlign w:val="bottom"/>
            <w:hideMark/>
          </w:tcPr>
          <w:p w14:paraId="16836BE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Arnold D, Brinar V, Cohen J, Coles A et al. Incidence of autoimmunity in a phase 3 trial: Comparison of alemtuzumab and Rebif in multiple sclerosis I (CARE-MS I). Neurology 78 (1 Meeting Abstract): CONFERENCE START: 2012 Apr 2021 CONFERENCE END: 2012 Apr 2028.</w:t>
            </w:r>
          </w:p>
        </w:tc>
      </w:tr>
      <w:tr w:rsidR="00406AEC" w:rsidRPr="00406AEC" w14:paraId="368D4063" w14:textId="77777777" w:rsidTr="00406AEC">
        <w:trPr>
          <w:trHeight w:val="300"/>
        </w:trPr>
        <w:tc>
          <w:tcPr>
            <w:tcW w:w="9360" w:type="dxa"/>
            <w:tcBorders>
              <w:top w:val="nil"/>
              <w:left w:val="nil"/>
              <w:bottom w:val="nil"/>
              <w:right w:val="nil"/>
            </w:tcBorders>
            <w:shd w:val="clear" w:color="auto" w:fill="auto"/>
            <w:noWrap/>
            <w:vAlign w:val="bottom"/>
            <w:hideMark/>
          </w:tcPr>
          <w:p w14:paraId="30CFFF9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Arnold D, Comi G, Bar-Or A, </w:t>
            </w:r>
            <w:proofErr w:type="spellStart"/>
            <w:r w:rsidRPr="00406AEC">
              <w:rPr>
                <w:rFonts w:ascii="Times New Roman" w:eastAsia="Times New Roman" w:hAnsi="Times New Roman" w:cs="Times New Roman"/>
                <w:color w:val="000000"/>
                <w:szCs w:val="22"/>
              </w:rPr>
              <w:t>Gujrathi</w:t>
            </w:r>
            <w:proofErr w:type="spellEnd"/>
            <w:r w:rsidRPr="00406AEC">
              <w:rPr>
                <w:rFonts w:ascii="Times New Roman" w:eastAsia="Times New Roman" w:hAnsi="Times New Roman" w:cs="Times New Roman"/>
                <w:color w:val="000000"/>
                <w:szCs w:val="22"/>
              </w:rPr>
              <w:t xml:space="preserve"> S et al. (2015) Safety and tolerability results of the phase 2 portion of the radiance trial: A randomized, double-blind, placebo-controlled trial of oral RPC1063 in relapsing multiple sclerosis. Neurology 84 (18): </w:t>
            </w:r>
          </w:p>
        </w:tc>
      </w:tr>
      <w:tr w:rsidR="00406AEC" w:rsidRPr="00406AEC" w14:paraId="6CB4CB02" w14:textId="77777777" w:rsidTr="00406AEC">
        <w:trPr>
          <w:trHeight w:val="300"/>
        </w:trPr>
        <w:tc>
          <w:tcPr>
            <w:tcW w:w="9360" w:type="dxa"/>
            <w:tcBorders>
              <w:top w:val="nil"/>
              <w:left w:val="nil"/>
              <w:bottom w:val="nil"/>
              <w:right w:val="nil"/>
            </w:tcBorders>
            <w:shd w:val="clear" w:color="auto" w:fill="auto"/>
            <w:noWrap/>
            <w:vAlign w:val="bottom"/>
            <w:hideMark/>
          </w:tcPr>
          <w:p w14:paraId="63EBEB7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Wolf C, Belova A, </w:t>
            </w:r>
            <w:proofErr w:type="spellStart"/>
            <w:r w:rsidRPr="00406AEC">
              <w:rPr>
                <w:rFonts w:ascii="Times New Roman" w:eastAsia="Times New Roman" w:hAnsi="Times New Roman" w:cs="Times New Roman"/>
                <w:color w:val="000000"/>
                <w:szCs w:val="22"/>
              </w:rPr>
              <w:t>Oberye</w:t>
            </w:r>
            <w:proofErr w:type="spellEnd"/>
            <w:r w:rsidRPr="00406AEC">
              <w:rPr>
                <w:rFonts w:ascii="Times New Roman" w:eastAsia="Times New Roman" w:hAnsi="Times New Roman" w:cs="Times New Roman"/>
                <w:color w:val="000000"/>
                <w:szCs w:val="22"/>
              </w:rPr>
              <w:t xml:space="preserve"> J et al. (2015) Similar local tolerability profiles following double-blind treatment with generic or branded glatiramer acetate in multiple sclerosis. Neurology 84 (18): </w:t>
            </w:r>
          </w:p>
        </w:tc>
      </w:tr>
      <w:tr w:rsidR="00406AEC" w:rsidRPr="00406AEC" w14:paraId="2CA1AEF1" w14:textId="77777777" w:rsidTr="00406AEC">
        <w:trPr>
          <w:trHeight w:val="300"/>
        </w:trPr>
        <w:tc>
          <w:tcPr>
            <w:tcW w:w="9360" w:type="dxa"/>
            <w:tcBorders>
              <w:top w:val="nil"/>
              <w:left w:val="nil"/>
              <w:bottom w:val="nil"/>
              <w:right w:val="nil"/>
            </w:tcBorders>
            <w:shd w:val="clear" w:color="auto" w:fill="auto"/>
            <w:noWrap/>
            <w:vAlign w:val="bottom"/>
            <w:hideMark/>
          </w:tcPr>
          <w:p w14:paraId="6EDCEDF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Shakeri-Nejad K, Mooney L, </w:t>
            </w:r>
            <w:proofErr w:type="spellStart"/>
            <w:r w:rsidRPr="00406AEC">
              <w:rPr>
                <w:rFonts w:ascii="Times New Roman" w:eastAsia="Times New Roman" w:hAnsi="Times New Roman" w:cs="Times New Roman"/>
                <w:color w:val="000000"/>
                <w:szCs w:val="22"/>
              </w:rPr>
              <w:t>Aslanis</w:t>
            </w:r>
            <w:proofErr w:type="spellEnd"/>
            <w:r w:rsidRPr="00406AEC">
              <w:rPr>
                <w:rFonts w:ascii="Times New Roman" w:eastAsia="Times New Roman" w:hAnsi="Times New Roman" w:cs="Times New Roman"/>
                <w:color w:val="000000"/>
                <w:szCs w:val="22"/>
              </w:rPr>
              <w:t xml:space="preserve"> V, </w:t>
            </w:r>
            <w:proofErr w:type="spellStart"/>
            <w:r w:rsidRPr="00406AEC">
              <w:rPr>
                <w:rFonts w:ascii="Times New Roman" w:eastAsia="Times New Roman" w:hAnsi="Times New Roman" w:cs="Times New Roman"/>
                <w:color w:val="000000"/>
                <w:szCs w:val="22"/>
              </w:rPr>
              <w:t>Veldandi</w:t>
            </w:r>
            <w:proofErr w:type="spellEnd"/>
            <w:r w:rsidRPr="00406AEC">
              <w:rPr>
                <w:rFonts w:ascii="Times New Roman" w:eastAsia="Times New Roman" w:hAnsi="Times New Roman" w:cs="Times New Roman"/>
                <w:color w:val="000000"/>
                <w:szCs w:val="22"/>
              </w:rPr>
              <w:t xml:space="preserve"> UK, </w:t>
            </w:r>
            <w:proofErr w:type="spellStart"/>
            <w:r w:rsidRPr="00406AEC">
              <w:rPr>
                <w:rFonts w:ascii="Times New Roman" w:eastAsia="Times New Roman" w:hAnsi="Times New Roman" w:cs="Times New Roman"/>
                <w:color w:val="000000"/>
                <w:szCs w:val="22"/>
              </w:rPr>
              <w:t>Pezous</w:t>
            </w:r>
            <w:proofErr w:type="spellEnd"/>
            <w:r w:rsidRPr="00406AEC">
              <w:rPr>
                <w:rFonts w:ascii="Times New Roman" w:eastAsia="Times New Roman" w:hAnsi="Times New Roman" w:cs="Times New Roman"/>
                <w:color w:val="000000"/>
                <w:szCs w:val="22"/>
              </w:rPr>
              <w:t xml:space="preserve"> N et al. Effects of therapeutic and supratherapeutic doses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(BAF312), a selective S1P1,5 receptor modulator, on cardiac repolarization: Results of a thorough QTC (TQT) study. Neurology 82 (10 SUPPL. 1): CONFERENCE START: 2014 Apr 2026 CONFERENCE END: 2014 May 2013.</w:t>
            </w:r>
          </w:p>
        </w:tc>
      </w:tr>
      <w:tr w:rsidR="00406AEC" w:rsidRPr="00406AEC" w14:paraId="76065FE6" w14:textId="77777777" w:rsidTr="00406AEC">
        <w:trPr>
          <w:trHeight w:val="300"/>
        </w:trPr>
        <w:tc>
          <w:tcPr>
            <w:tcW w:w="9360" w:type="dxa"/>
            <w:tcBorders>
              <w:top w:val="nil"/>
              <w:left w:val="nil"/>
              <w:bottom w:val="nil"/>
              <w:right w:val="nil"/>
            </w:tcBorders>
            <w:shd w:val="clear" w:color="auto" w:fill="auto"/>
            <w:noWrap/>
            <w:vAlign w:val="bottom"/>
            <w:hideMark/>
          </w:tcPr>
          <w:p w14:paraId="51C10C6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fr-FR"/>
              </w:rPr>
              <w:t xml:space="preserve">Simon JH, Jacobs LD, Campion M, Wende K, </w:t>
            </w:r>
            <w:proofErr w:type="spellStart"/>
            <w:r w:rsidRPr="00713F1E">
              <w:rPr>
                <w:rFonts w:ascii="Times New Roman" w:eastAsia="Times New Roman" w:hAnsi="Times New Roman" w:cs="Times New Roman"/>
                <w:color w:val="000000"/>
                <w:szCs w:val="22"/>
                <w:lang w:val="fr-FR"/>
              </w:rPr>
              <w:t>Simonian</w:t>
            </w:r>
            <w:proofErr w:type="spellEnd"/>
            <w:r w:rsidRPr="00713F1E">
              <w:rPr>
                <w:rFonts w:ascii="Times New Roman" w:eastAsia="Times New Roman" w:hAnsi="Times New Roman" w:cs="Times New Roman"/>
                <w:color w:val="000000"/>
                <w:szCs w:val="22"/>
                <w:lang w:val="fr-FR"/>
              </w:rPr>
              <w:t xml:space="preserve"> N et al. </w:t>
            </w:r>
            <w:r w:rsidRPr="00406AEC">
              <w:rPr>
                <w:rFonts w:ascii="Times New Roman" w:eastAsia="Times New Roman" w:hAnsi="Times New Roman" w:cs="Times New Roman"/>
                <w:color w:val="000000"/>
                <w:szCs w:val="22"/>
              </w:rPr>
              <w:t>(1998) Magnetic resonance studies of intramuscular interferon beta-1a for relapsing multiple sclerosis. Annals of Neurology 43 (1): 79-87.</w:t>
            </w:r>
          </w:p>
        </w:tc>
      </w:tr>
      <w:tr w:rsidR="00406AEC" w:rsidRPr="00406AEC" w14:paraId="48AB6569" w14:textId="77777777" w:rsidTr="00406AEC">
        <w:trPr>
          <w:trHeight w:val="300"/>
        </w:trPr>
        <w:tc>
          <w:tcPr>
            <w:tcW w:w="9360" w:type="dxa"/>
            <w:tcBorders>
              <w:top w:val="nil"/>
              <w:left w:val="nil"/>
              <w:bottom w:val="nil"/>
              <w:right w:val="nil"/>
            </w:tcBorders>
            <w:shd w:val="clear" w:color="auto" w:fill="auto"/>
            <w:noWrap/>
            <w:vAlign w:val="bottom"/>
            <w:hideMark/>
          </w:tcPr>
          <w:p w14:paraId="6D9A047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Singer B, Comi G, Miller A, Freedman M, Benamor M et al. Teriflunomide treatment is not associated with increased risk of infections: Pooled data from the teriflunomide development program. Neurology 82 (10 SUPPL. 1): CONFERENCE START: 2014 Apr 2026 CONFERENCE END: 2014 May 2013.</w:t>
            </w:r>
          </w:p>
        </w:tc>
      </w:tr>
      <w:tr w:rsidR="00406AEC" w:rsidRPr="00406AEC" w14:paraId="2706B583" w14:textId="77777777" w:rsidTr="00406AEC">
        <w:trPr>
          <w:trHeight w:val="300"/>
        </w:trPr>
        <w:tc>
          <w:tcPr>
            <w:tcW w:w="9360" w:type="dxa"/>
            <w:tcBorders>
              <w:top w:val="nil"/>
              <w:left w:val="nil"/>
              <w:bottom w:val="nil"/>
              <w:right w:val="nil"/>
            </w:tcBorders>
            <w:shd w:val="clear" w:color="auto" w:fill="auto"/>
            <w:noWrap/>
            <w:vAlign w:val="bottom"/>
            <w:hideMark/>
          </w:tcPr>
          <w:p w14:paraId="725E4EE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Soelberg Sorensen P, Giovannoni G, Rieckmann P, Comi G, Cook S et al. </w:t>
            </w:r>
            <w:proofErr w:type="gramStart"/>
            <w:r w:rsidRPr="00406AEC">
              <w:rPr>
                <w:rFonts w:ascii="Times New Roman" w:eastAsia="Times New Roman" w:hAnsi="Times New Roman" w:cs="Times New Roman"/>
                <w:color w:val="000000"/>
                <w:szCs w:val="22"/>
              </w:rPr>
              <w:t>Relapses</w:t>
            </w:r>
            <w:proofErr w:type="gramEnd"/>
            <w:r w:rsidRPr="00406AEC">
              <w:rPr>
                <w:rFonts w:ascii="Times New Roman" w:eastAsia="Times New Roman" w:hAnsi="Times New Roman" w:cs="Times New Roman"/>
                <w:color w:val="000000"/>
                <w:szCs w:val="22"/>
              </w:rPr>
              <w:t xml:space="preserve"> and lymphocyte counts before and after rescue therapy in the phase III, 96-week, double-blind, </w:t>
            </w:r>
            <w:proofErr w:type="spellStart"/>
            <w:r w:rsidRPr="00406AEC">
              <w:rPr>
                <w:rFonts w:ascii="Times New Roman" w:eastAsia="Times New Roman" w:hAnsi="Times New Roman" w:cs="Times New Roman"/>
                <w:color w:val="000000"/>
                <w:szCs w:val="22"/>
              </w:rPr>
              <w:t>placebocontrolled</w:t>
            </w:r>
            <w:proofErr w:type="spellEnd"/>
            <w:r w:rsidRPr="00406AEC">
              <w:rPr>
                <w:rFonts w:ascii="Times New Roman" w:eastAsia="Times New Roman" w:hAnsi="Times New Roman" w:cs="Times New Roman"/>
                <w:color w:val="000000"/>
                <w:szCs w:val="22"/>
              </w:rPr>
              <w:t xml:space="preserve"> CLARITY study of cladribine tablets for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S411.</w:t>
            </w:r>
          </w:p>
        </w:tc>
      </w:tr>
      <w:tr w:rsidR="00406AEC" w:rsidRPr="00406AEC" w14:paraId="68C6B403" w14:textId="77777777" w:rsidTr="00406AEC">
        <w:trPr>
          <w:trHeight w:val="300"/>
        </w:trPr>
        <w:tc>
          <w:tcPr>
            <w:tcW w:w="9360" w:type="dxa"/>
            <w:tcBorders>
              <w:top w:val="nil"/>
              <w:left w:val="nil"/>
              <w:bottom w:val="nil"/>
              <w:right w:val="nil"/>
            </w:tcBorders>
            <w:shd w:val="clear" w:color="auto" w:fill="auto"/>
            <w:noWrap/>
            <w:vAlign w:val="bottom"/>
            <w:hideMark/>
          </w:tcPr>
          <w:p w14:paraId="476E2D2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Soelberg-Sorensen P,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Immunogenicity of alemtuzumab treatment in relapsing-remitting multiple sclerosis (RRMS) patients in the CARE-MS II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30647063" w14:textId="77777777" w:rsidTr="00406AEC">
        <w:trPr>
          <w:trHeight w:val="300"/>
        </w:trPr>
        <w:tc>
          <w:tcPr>
            <w:tcW w:w="9360" w:type="dxa"/>
            <w:tcBorders>
              <w:top w:val="nil"/>
              <w:left w:val="nil"/>
              <w:bottom w:val="nil"/>
              <w:right w:val="nil"/>
            </w:tcBorders>
            <w:shd w:val="clear" w:color="auto" w:fill="auto"/>
            <w:noWrap/>
            <w:vAlign w:val="bottom"/>
            <w:hideMark/>
          </w:tcPr>
          <w:p w14:paraId="29F4D38C"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Sorensen PS, Arnold DL, Cohen JA, Fox EJ, Hartung HP et al. Lymphocyte counts and efficacy outcomes after alemtuzumab in relapsing remitting multiple sclerosis patients: The CARE-MS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207-208.</w:t>
            </w:r>
          </w:p>
        </w:tc>
      </w:tr>
      <w:tr w:rsidR="00406AEC" w:rsidRPr="00406AEC" w14:paraId="42115DED" w14:textId="77777777" w:rsidTr="00406AEC">
        <w:trPr>
          <w:trHeight w:val="300"/>
        </w:trPr>
        <w:tc>
          <w:tcPr>
            <w:tcW w:w="9360" w:type="dxa"/>
            <w:tcBorders>
              <w:top w:val="nil"/>
              <w:left w:val="nil"/>
              <w:bottom w:val="nil"/>
              <w:right w:val="nil"/>
            </w:tcBorders>
            <w:shd w:val="clear" w:color="auto" w:fill="auto"/>
            <w:noWrap/>
            <w:vAlign w:val="bottom"/>
            <w:hideMark/>
          </w:tcPr>
          <w:p w14:paraId="1838473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Bruzzi P, Beckmann K, Wagner K, Miller DH et al. (2003) MRI metrics as surrogate endpoints for EDSS progression in SPMS patients treated with IFN beta-1b. Neurology 60 (9): 1462-1466.</w:t>
            </w:r>
          </w:p>
        </w:tc>
      </w:tr>
      <w:tr w:rsidR="00406AEC" w:rsidRPr="00406AEC" w14:paraId="3F23481E" w14:textId="77777777" w:rsidTr="00406AEC">
        <w:trPr>
          <w:trHeight w:val="300"/>
        </w:trPr>
        <w:tc>
          <w:tcPr>
            <w:tcW w:w="9360" w:type="dxa"/>
            <w:tcBorders>
              <w:top w:val="nil"/>
              <w:left w:val="nil"/>
              <w:bottom w:val="nil"/>
              <w:right w:val="nil"/>
            </w:tcBorders>
            <w:shd w:val="clear" w:color="auto" w:fill="auto"/>
            <w:noWrap/>
            <w:vAlign w:val="bottom"/>
            <w:hideMark/>
          </w:tcPr>
          <w:p w14:paraId="2F4D2F7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Sormani</w:t>
            </w:r>
            <w:proofErr w:type="spellEnd"/>
            <w:r w:rsidRPr="00406AEC">
              <w:rPr>
                <w:rFonts w:ascii="Times New Roman" w:eastAsia="Times New Roman" w:hAnsi="Times New Roman" w:cs="Times New Roman"/>
                <w:color w:val="000000"/>
                <w:szCs w:val="22"/>
              </w:rPr>
              <w:t xml:space="preserve"> MP, Bruzzi P, Comi G, Filippi M (2005) The distribution of the magnetic resonance imaging response to glatiramer acetate in multiple sclerosis. Multiple Sclerosis 11 (4): 447-449.</w:t>
            </w:r>
          </w:p>
        </w:tc>
      </w:tr>
      <w:tr w:rsidR="00406AEC" w:rsidRPr="00406AEC" w14:paraId="58E63567" w14:textId="77777777" w:rsidTr="00406AEC">
        <w:trPr>
          <w:trHeight w:val="300"/>
        </w:trPr>
        <w:tc>
          <w:tcPr>
            <w:tcW w:w="9360" w:type="dxa"/>
            <w:tcBorders>
              <w:top w:val="nil"/>
              <w:left w:val="nil"/>
              <w:bottom w:val="nil"/>
              <w:right w:val="nil"/>
            </w:tcBorders>
            <w:shd w:val="clear" w:color="auto" w:fill="auto"/>
            <w:noWrap/>
            <w:vAlign w:val="bottom"/>
            <w:hideMark/>
          </w:tcPr>
          <w:p w14:paraId="479276D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it-IT"/>
              </w:rPr>
              <w:t xml:space="preserve">Sormani MP, Li DK, Bruzzi P, Stubinski B, Cornelisse P et al. </w:t>
            </w:r>
            <w:r w:rsidRPr="00406AEC">
              <w:rPr>
                <w:rFonts w:ascii="Times New Roman" w:eastAsia="Times New Roman" w:hAnsi="Times New Roman" w:cs="Times New Roman"/>
                <w:color w:val="000000"/>
                <w:szCs w:val="22"/>
              </w:rPr>
              <w:t>(2011) Combined MRI lesions and relapses as a surrogate for disability in multiple sclerosis. Neurology 77 (18): 1684-1690.</w:t>
            </w:r>
          </w:p>
        </w:tc>
      </w:tr>
      <w:tr w:rsidR="00406AEC" w:rsidRPr="00406AEC" w14:paraId="750B0C86" w14:textId="77777777" w:rsidTr="00406AEC">
        <w:trPr>
          <w:trHeight w:val="300"/>
        </w:trPr>
        <w:tc>
          <w:tcPr>
            <w:tcW w:w="9360" w:type="dxa"/>
            <w:tcBorders>
              <w:top w:val="nil"/>
              <w:left w:val="nil"/>
              <w:bottom w:val="nil"/>
              <w:right w:val="nil"/>
            </w:tcBorders>
            <w:shd w:val="clear" w:color="auto" w:fill="auto"/>
            <w:noWrap/>
            <w:vAlign w:val="bottom"/>
            <w:hideMark/>
          </w:tcPr>
          <w:p w14:paraId="129B90B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Sprenger T, Gaetano L, Radue EW, Mueller-Lenke N, Haring DA et al. </w:t>
            </w:r>
            <w:r w:rsidRPr="00406AEC">
              <w:rPr>
                <w:rFonts w:ascii="Times New Roman" w:eastAsia="Times New Roman" w:hAnsi="Times New Roman" w:cs="Times New Roman"/>
                <w:color w:val="000000"/>
                <w:szCs w:val="22"/>
              </w:rPr>
              <w:t>(2015) Fingolimod reduces deep grey matter and regional volume loss in the brain of RRMS patients: a post-hoc analysis of FREEDOMS and FREEDOMS II data.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274-275.</w:t>
            </w:r>
          </w:p>
        </w:tc>
      </w:tr>
      <w:tr w:rsidR="00406AEC" w:rsidRPr="00406AEC" w14:paraId="5F437067" w14:textId="77777777" w:rsidTr="00406AEC">
        <w:trPr>
          <w:trHeight w:val="300"/>
        </w:trPr>
        <w:tc>
          <w:tcPr>
            <w:tcW w:w="9360" w:type="dxa"/>
            <w:tcBorders>
              <w:top w:val="nil"/>
              <w:left w:val="nil"/>
              <w:bottom w:val="nil"/>
              <w:right w:val="nil"/>
            </w:tcBorders>
            <w:shd w:val="clear" w:color="auto" w:fill="auto"/>
            <w:noWrap/>
            <w:vAlign w:val="bottom"/>
            <w:hideMark/>
          </w:tcPr>
          <w:p w14:paraId="43EC674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713F1E">
              <w:rPr>
                <w:rFonts w:ascii="Times New Roman" w:eastAsia="Times New Roman" w:hAnsi="Times New Roman" w:cs="Times New Roman"/>
                <w:color w:val="000000"/>
                <w:szCs w:val="22"/>
                <w:lang w:val="de-DE"/>
              </w:rPr>
              <w:t xml:space="preserve">Steiner D, Arnold D, Freedman M, Goldman M, Hartung HP et al. </w:t>
            </w:r>
            <w:r w:rsidRPr="00406AEC">
              <w:rPr>
                <w:rFonts w:ascii="Times New Roman" w:eastAsia="Times New Roman" w:hAnsi="Times New Roman" w:cs="Times New Roman"/>
                <w:color w:val="000000"/>
                <w:szCs w:val="22"/>
              </w:rPr>
              <w:t>(2016) Natalizumab versus placebo in patients with secondary progressive multiple sclerosis (SPMS): results from ASCEND, a multicenter, double-blind, placebo-controlled, randomized phase 3 clinical trial. Neurology 87 (2): e22-.</w:t>
            </w:r>
          </w:p>
        </w:tc>
      </w:tr>
      <w:tr w:rsidR="00406AEC" w:rsidRPr="00406AEC" w14:paraId="4C604FF3" w14:textId="77777777" w:rsidTr="00406AEC">
        <w:trPr>
          <w:trHeight w:val="300"/>
        </w:trPr>
        <w:tc>
          <w:tcPr>
            <w:tcW w:w="9360" w:type="dxa"/>
            <w:tcBorders>
              <w:top w:val="nil"/>
              <w:left w:val="nil"/>
              <w:bottom w:val="nil"/>
              <w:right w:val="nil"/>
            </w:tcBorders>
            <w:shd w:val="clear" w:color="auto" w:fill="auto"/>
            <w:noWrap/>
            <w:vAlign w:val="bottom"/>
            <w:hideMark/>
          </w:tcPr>
          <w:p w14:paraId="393BF63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Stone L, Cofield S, Gustafson T, Salter A, Cutter G et al. (2015) Depression and MRI metrics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Neurology 84 (18): </w:t>
            </w:r>
          </w:p>
        </w:tc>
      </w:tr>
      <w:tr w:rsidR="00406AEC" w:rsidRPr="00406AEC" w14:paraId="5141D193" w14:textId="77777777" w:rsidTr="00406AEC">
        <w:trPr>
          <w:trHeight w:val="300"/>
        </w:trPr>
        <w:tc>
          <w:tcPr>
            <w:tcW w:w="9360" w:type="dxa"/>
            <w:tcBorders>
              <w:top w:val="nil"/>
              <w:left w:val="nil"/>
              <w:bottom w:val="nil"/>
              <w:right w:val="nil"/>
            </w:tcBorders>
            <w:shd w:val="clear" w:color="auto" w:fill="auto"/>
            <w:noWrap/>
            <w:vAlign w:val="bottom"/>
            <w:hideMark/>
          </w:tcPr>
          <w:p w14:paraId="25E8062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Stone L, Cofield SS, Gustafson T, Cutter GR, Wolinsky JS et al. Depression and multiple sclerosis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389-390.</w:t>
            </w:r>
          </w:p>
        </w:tc>
      </w:tr>
      <w:tr w:rsidR="00406AEC" w:rsidRPr="00406AEC" w14:paraId="796977F0" w14:textId="77777777" w:rsidTr="00406AEC">
        <w:trPr>
          <w:trHeight w:val="300"/>
        </w:trPr>
        <w:tc>
          <w:tcPr>
            <w:tcW w:w="9360" w:type="dxa"/>
            <w:tcBorders>
              <w:top w:val="nil"/>
              <w:left w:val="nil"/>
              <w:bottom w:val="nil"/>
              <w:right w:val="nil"/>
            </w:tcBorders>
            <w:shd w:val="clear" w:color="auto" w:fill="auto"/>
            <w:noWrap/>
            <w:vAlign w:val="bottom"/>
            <w:hideMark/>
          </w:tcPr>
          <w:p w14:paraId="6511DD7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Stuve O, Soelberg Soerensen P, Leist T, Giovannoni G, </w:t>
            </w:r>
            <w:proofErr w:type="spellStart"/>
            <w:r w:rsidRPr="00406AEC">
              <w:rPr>
                <w:rFonts w:ascii="Times New Roman" w:eastAsia="Times New Roman" w:hAnsi="Times New Roman" w:cs="Times New Roman"/>
                <w:color w:val="000000"/>
                <w:szCs w:val="22"/>
              </w:rPr>
              <w:t>Hyvert</w:t>
            </w:r>
            <w:proofErr w:type="spellEnd"/>
            <w:r w:rsidRPr="00406AEC">
              <w:rPr>
                <w:rFonts w:ascii="Times New Roman" w:eastAsia="Times New Roman" w:hAnsi="Times New Roman" w:cs="Times New Roman"/>
                <w:color w:val="000000"/>
                <w:szCs w:val="22"/>
              </w:rPr>
              <w:t xml:space="preserve"> Y et al. (2019) Effects of cladribine tablets on lymphocyte subsets in patients with multiple sclerosis: an extended analysis of surface markers. Therapeutic Advances in Neurological Disorders 12 </w:t>
            </w:r>
          </w:p>
        </w:tc>
      </w:tr>
      <w:tr w:rsidR="00406AEC" w:rsidRPr="00406AEC" w14:paraId="3B444BF9" w14:textId="77777777" w:rsidTr="00406AEC">
        <w:trPr>
          <w:trHeight w:val="300"/>
        </w:trPr>
        <w:tc>
          <w:tcPr>
            <w:tcW w:w="9360" w:type="dxa"/>
            <w:tcBorders>
              <w:top w:val="nil"/>
              <w:left w:val="nil"/>
              <w:bottom w:val="nil"/>
              <w:right w:val="nil"/>
            </w:tcBorders>
            <w:shd w:val="clear" w:color="auto" w:fill="auto"/>
            <w:noWrap/>
            <w:vAlign w:val="bottom"/>
            <w:hideMark/>
          </w:tcPr>
          <w:p w14:paraId="5E2B395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Tosi DM, Potts J, </w:t>
            </w:r>
            <w:proofErr w:type="spellStart"/>
            <w:r w:rsidRPr="00406AEC">
              <w:rPr>
                <w:rFonts w:ascii="Times New Roman" w:eastAsia="Times New Roman" w:hAnsi="Times New Roman" w:cs="Times New Roman"/>
                <w:color w:val="000000"/>
                <w:szCs w:val="22"/>
              </w:rPr>
              <w:t>Susukida</w:t>
            </w:r>
            <w:proofErr w:type="spellEnd"/>
            <w:r w:rsidRPr="00406AEC">
              <w:rPr>
                <w:rFonts w:ascii="Times New Roman" w:eastAsia="Times New Roman" w:hAnsi="Times New Roman" w:cs="Times New Roman"/>
                <w:color w:val="000000"/>
                <w:szCs w:val="22"/>
              </w:rPr>
              <w:t xml:space="preserve"> R, Campagnolo D, Adams-Clark AA et al. (2016) Positive effect of natalizumab on depression, as assessed by BDI-II scores in the SENTINEL Trial. Annals of Neurology 80 </w:t>
            </w:r>
          </w:p>
        </w:tc>
      </w:tr>
      <w:tr w:rsidR="00406AEC" w:rsidRPr="00406AEC" w14:paraId="57887A69" w14:textId="77777777" w:rsidTr="00406AEC">
        <w:trPr>
          <w:trHeight w:val="300"/>
        </w:trPr>
        <w:tc>
          <w:tcPr>
            <w:tcW w:w="9360" w:type="dxa"/>
            <w:tcBorders>
              <w:top w:val="nil"/>
              <w:left w:val="nil"/>
              <w:bottom w:val="nil"/>
              <w:right w:val="nil"/>
            </w:tcBorders>
            <w:shd w:val="clear" w:color="auto" w:fill="auto"/>
            <w:noWrap/>
            <w:vAlign w:val="bottom"/>
            <w:hideMark/>
          </w:tcPr>
          <w:p w14:paraId="4623693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Traboulsee A, Al-Sabbagh A, Bennett R, Chang P, Li DKB (2008) Reduction in magnetic resonance imaging T2 burden of disease in patients with relapsing-remitting multiple sclerosis: Analysis of 48-week data from the EVIDENCE (</w:t>
            </w:r>
            <w:proofErr w:type="spellStart"/>
            <w:r w:rsidRPr="00406AEC">
              <w:rPr>
                <w:rFonts w:ascii="Times New Roman" w:eastAsia="Times New Roman" w:hAnsi="Times New Roman" w:cs="Times New Roman"/>
                <w:color w:val="000000"/>
                <w:szCs w:val="22"/>
              </w:rPr>
              <w:t>EVidence</w:t>
            </w:r>
            <w:proofErr w:type="spellEnd"/>
            <w:r w:rsidRPr="00406AEC">
              <w:rPr>
                <w:rFonts w:ascii="Times New Roman" w:eastAsia="Times New Roman" w:hAnsi="Times New Roman" w:cs="Times New Roman"/>
                <w:color w:val="000000"/>
                <w:szCs w:val="22"/>
              </w:rPr>
              <w:t xml:space="preserve"> of Interferon Dose-</w:t>
            </w:r>
            <w:r w:rsidRPr="00406AEC">
              <w:rPr>
                <w:rFonts w:ascii="Times New Roman" w:eastAsia="Times New Roman" w:hAnsi="Times New Roman" w:cs="Times New Roman"/>
                <w:color w:val="000000"/>
                <w:szCs w:val="22"/>
              </w:rPr>
              <w:lastRenderedPageBreak/>
              <w:t xml:space="preserve">response: European North American Comparative Efficacy) study. BMC Neurology 8 (no pagination) </w:t>
            </w:r>
          </w:p>
        </w:tc>
      </w:tr>
      <w:tr w:rsidR="00406AEC" w:rsidRPr="00406AEC" w14:paraId="357959E2" w14:textId="77777777" w:rsidTr="00406AEC">
        <w:trPr>
          <w:trHeight w:val="300"/>
        </w:trPr>
        <w:tc>
          <w:tcPr>
            <w:tcW w:w="9360" w:type="dxa"/>
            <w:tcBorders>
              <w:top w:val="nil"/>
              <w:left w:val="nil"/>
              <w:bottom w:val="nil"/>
              <w:right w:val="nil"/>
            </w:tcBorders>
            <w:shd w:val="clear" w:color="auto" w:fill="auto"/>
            <w:noWrap/>
            <w:vAlign w:val="bottom"/>
            <w:hideMark/>
          </w:tcPr>
          <w:p w14:paraId="29CCEBA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Traboulsee A, Li D, Tam R, Zhao G, </w:t>
            </w:r>
            <w:proofErr w:type="spellStart"/>
            <w:r w:rsidRPr="00406AEC">
              <w:rPr>
                <w:rFonts w:ascii="Times New Roman" w:eastAsia="Times New Roman" w:hAnsi="Times New Roman" w:cs="Times New Roman"/>
                <w:color w:val="000000"/>
                <w:szCs w:val="22"/>
              </w:rPr>
              <w:t>Riddehough</w:t>
            </w:r>
            <w:proofErr w:type="spellEnd"/>
            <w:r w:rsidRPr="00406AEC">
              <w:rPr>
                <w:rFonts w:ascii="Times New Roman" w:eastAsia="Times New Roman" w:hAnsi="Times New Roman" w:cs="Times New Roman"/>
                <w:color w:val="000000"/>
                <w:szCs w:val="22"/>
              </w:rPr>
              <w:t xml:space="preserve"> A et al. (2017) Subcutaneous interferon beta-1a three times weekly and the natural evolution of gadolinium-enhancing lesions into chronic black holes in relapsing and progressive multiple sclerosis: Analysis of PRISMS and SPECTRIMS trials. Multiple Sclerosis Journal Experimental Translational &amp; Clinical 3 (4): 2055217317745340.</w:t>
            </w:r>
          </w:p>
        </w:tc>
      </w:tr>
      <w:tr w:rsidR="00406AEC" w:rsidRPr="00406AEC" w14:paraId="62B9FD75" w14:textId="77777777" w:rsidTr="00406AEC">
        <w:trPr>
          <w:trHeight w:val="300"/>
        </w:trPr>
        <w:tc>
          <w:tcPr>
            <w:tcW w:w="9360" w:type="dxa"/>
            <w:tcBorders>
              <w:top w:val="nil"/>
              <w:left w:val="nil"/>
              <w:bottom w:val="nil"/>
              <w:right w:val="nil"/>
            </w:tcBorders>
            <w:shd w:val="clear" w:color="auto" w:fill="auto"/>
            <w:noWrap/>
            <w:vAlign w:val="bottom"/>
            <w:hideMark/>
          </w:tcPr>
          <w:p w14:paraId="0B7A0261"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Traboulsee T, Li D, Fang J,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Kappos L (2015) Development of chronic black holes (CBH) predicts long term disability: Post-hoc analysis of magnetic resonance imaging (MRI) data in the PRISMS study. Neurology 84 (18): </w:t>
            </w:r>
          </w:p>
        </w:tc>
      </w:tr>
      <w:tr w:rsidR="00406AEC" w:rsidRPr="00406AEC" w14:paraId="0F4697B8" w14:textId="77777777" w:rsidTr="00406AEC">
        <w:trPr>
          <w:trHeight w:val="300"/>
        </w:trPr>
        <w:tc>
          <w:tcPr>
            <w:tcW w:w="9360" w:type="dxa"/>
            <w:tcBorders>
              <w:top w:val="nil"/>
              <w:left w:val="nil"/>
              <w:bottom w:val="nil"/>
              <w:right w:val="nil"/>
            </w:tcBorders>
            <w:shd w:val="clear" w:color="auto" w:fill="auto"/>
            <w:noWrap/>
            <w:vAlign w:val="bottom"/>
            <w:hideMark/>
          </w:tcPr>
          <w:p w14:paraId="143D508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Vellinga MM, </w:t>
            </w:r>
            <w:proofErr w:type="spellStart"/>
            <w:r w:rsidRPr="00406AEC">
              <w:rPr>
                <w:rFonts w:ascii="Times New Roman" w:eastAsia="Times New Roman" w:hAnsi="Times New Roman" w:cs="Times New Roman"/>
                <w:color w:val="000000"/>
                <w:szCs w:val="22"/>
              </w:rPr>
              <w:t>Castelijns</w:t>
            </w:r>
            <w:proofErr w:type="spellEnd"/>
            <w:r w:rsidRPr="00406AEC">
              <w:rPr>
                <w:rFonts w:ascii="Times New Roman" w:eastAsia="Times New Roman" w:hAnsi="Times New Roman" w:cs="Times New Roman"/>
                <w:color w:val="000000"/>
                <w:szCs w:val="22"/>
              </w:rPr>
              <w:t xml:space="preserve"> JA,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Uitdehaag</w:t>
            </w:r>
            <w:proofErr w:type="spellEnd"/>
            <w:r w:rsidRPr="00406AEC">
              <w:rPr>
                <w:rFonts w:ascii="Times New Roman" w:eastAsia="Times New Roman" w:hAnsi="Times New Roman" w:cs="Times New Roman"/>
                <w:color w:val="000000"/>
                <w:szCs w:val="22"/>
              </w:rPr>
              <w:t xml:space="preserve"> BMJ, Polman CH (2008) </w:t>
            </w:r>
            <w:proofErr w:type="spellStart"/>
            <w:r w:rsidRPr="00406AEC">
              <w:rPr>
                <w:rFonts w:ascii="Times New Roman" w:eastAsia="Times New Roman" w:hAnsi="Times New Roman" w:cs="Times New Roman"/>
                <w:color w:val="000000"/>
                <w:szCs w:val="22"/>
              </w:rPr>
              <w:t>Postwithdrawal</w:t>
            </w:r>
            <w:proofErr w:type="spellEnd"/>
            <w:r w:rsidRPr="00406AEC">
              <w:rPr>
                <w:rFonts w:ascii="Times New Roman" w:eastAsia="Times New Roman" w:hAnsi="Times New Roman" w:cs="Times New Roman"/>
                <w:color w:val="000000"/>
                <w:szCs w:val="22"/>
              </w:rPr>
              <w:t xml:space="preserve"> rebound increase in T2 lesional activity in natalizumab-treated MS patients. Neurology 70 (13 PART 2): 1150-1151.</w:t>
            </w:r>
          </w:p>
        </w:tc>
      </w:tr>
      <w:tr w:rsidR="00406AEC" w:rsidRPr="00406AEC" w14:paraId="3B56124F" w14:textId="77777777" w:rsidTr="00406AEC">
        <w:trPr>
          <w:trHeight w:val="300"/>
        </w:trPr>
        <w:tc>
          <w:tcPr>
            <w:tcW w:w="9360" w:type="dxa"/>
            <w:tcBorders>
              <w:top w:val="nil"/>
              <w:left w:val="nil"/>
              <w:bottom w:val="nil"/>
              <w:right w:val="nil"/>
            </w:tcBorders>
            <w:shd w:val="clear" w:color="auto" w:fill="auto"/>
            <w:noWrap/>
            <w:vAlign w:val="bottom"/>
            <w:hideMark/>
          </w:tcPr>
          <w:p w14:paraId="2237376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Poole EM, Mandel M, Freedman MS (2017) Baseline characteristics and long-term disability outcomes: subgroup analysis of the TEMSO and TOWER core and extension studies. Multiple sclerosis journal 23 (3): 629-630.</w:t>
            </w:r>
          </w:p>
        </w:tc>
      </w:tr>
      <w:tr w:rsidR="00406AEC" w:rsidRPr="00406AEC" w14:paraId="2ECF5E05" w14:textId="77777777" w:rsidTr="00406AEC">
        <w:trPr>
          <w:trHeight w:val="300"/>
        </w:trPr>
        <w:tc>
          <w:tcPr>
            <w:tcW w:w="9360" w:type="dxa"/>
            <w:tcBorders>
              <w:top w:val="nil"/>
              <w:left w:val="nil"/>
              <w:bottom w:val="nil"/>
              <w:right w:val="nil"/>
            </w:tcBorders>
            <w:shd w:val="clear" w:color="auto" w:fill="auto"/>
            <w:noWrap/>
            <w:vAlign w:val="bottom"/>
            <w:hideMark/>
          </w:tcPr>
          <w:p w14:paraId="7009460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Viglietta V, Miller D, Bar-Or A, Phillips JT, Arnold DL et al. (2015) Efficacy of delayed-release dimethyl fumarate in relapsing-remitting multiple sclerosis: integrated analysis of the phase 3 trials. Annals of Clinical and Translational Neurology 2 (2): 103-118.</w:t>
            </w:r>
          </w:p>
        </w:tc>
      </w:tr>
      <w:tr w:rsidR="00406AEC" w:rsidRPr="00406AEC" w14:paraId="6C73FF30" w14:textId="77777777" w:rsidTr="00406AEC">
        <w:trPr>
          <w:trHeight w:val="300"/>
        </w:trPr>
        <w:tc>
          <w:tcPr>
            <w:tcW w:w="9360" w:type="dxa"/>
            <w:tcBorders>
              <w:top w:val="nil"/>
              <w:left w:val="nil"/>
              <w:bottom w:val="nil"/>
              <w:right w:val="nil"/>
            </w:tcBorders>
            <w:shd w:val="clear" w:color="auto" w:fill="auto"/>
            <w:noWrap/>
            <w:vAlign w:val="bottom"/>
            <w:hideMark/>
          </w:tcPr>
          <w:p w14:paraId="6456AE9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Wagner S, Adams HP, Sobel DF, Slivka LS, Sipe JC et al. (2000) New hypointense lesions on MRI in relapsing-remitting multiple sclerosis patients. European Neurology 43 (4): 194-200.</w:t>
            </w:r>
          </w:p>
        </w:tc>
      </w:tr>
      <w:tr w:rsidR="00406AEC" w:rsidRPr="00406AEC" w14:paraId="791ACBB9" w14:textId="77777777" w:rsidTr="00406AEC">
        <w:trPr>
          <w:trHeight w:val="300"/>
        </w:trPr>
        <w:tc>
          <w:tcPr>
            <w:tcW w:w="9360" w:type="dxa"/>
            <w:tcBorders>
              <w:top w:val="nil"/>
              <w:left w:val="nil"/>
              <w:bottom w:val="nil"/>
              <w:right w:val="nil"/>
            </w:tcBorders>
            <w:shd w:val="clear" w:color="auto" w:fill="auto"/>
            <w:noWrap/>
            <w:vAlign w:val="bottom"/>
            <w:hideMark/>
          </w:tcPr>
          <w:p w14:paraId="3911C0B6"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White J, Calabresi P, Zhu Y, Song T, </w:t>
            </w:r>
            <w:proofErr w:type="spellStart"/>
            <w:r w:rsidRPr="00406AEC">
              <w:rPr>
                <w:rFonts w:ascii="Times New Roman" w:eastAsia="Times New Roman" w:hAnsi="Times New Roman" w:cs="Times New Roman"/>
                <w:color w:val="000000"/>
                <w:szCs w:val="22"/>
              </w:rPr>
              <w:t>Seddighzadeh</w:t>
            </w:r>
            <w:proofErr w:type="spellEnd"/>
            <w:r w:rsidRPr="00406AEC">
              <w:rPr>
                <w:rFonts w:ascii="Times New Roman" w:eastAsia="Times New Roman" w:hAnsi="Times New Roman" w:cs="Times New Roman"/>
                <w:color w:val="000000"/>
                <w:szCs w:val="22"/>
              </w:rPr>
              <w:t xml:space="preserve"> A et al. Immunogenicity with peginterferon beta-1a in patients with relapsing-remitting multiple sclerosis: Data from the pivotal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255-256.</w:t>
            </w:r>
          </w:p>
        </w:tc>
      </w:tr>
      <w:tr w:rsidR="00406AEC" w:rsidRPr="00406AEC" w14:paraId="55CD96C2" w14:textId="77777777" w:rsidTr="00406AEC">
        <w:trPr>
          <w:trHeight w:val="300"/>
        </w:trPr>
        <w:tc>
          <w:tcPr>
            <w:tcW w:w="9360" w:type="dxa"/>
            <w:tcBorders>
              <w:top w:val="nil"/>
              <w:left w:val="nil"/>
              <w:bottom w:val="nil"/>
              <w:right w:val="nil"/>
            </w:tcBorders>
            <w:shd w:val="clear" w:color="auto" w:fill="auto"/>
            <w:noWrap/>
            <w:vAlign w:val="bottom"/>
            <w:hideMark/>
          </w:tcPr>
          <w:p w14:paraId="14066E9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White JT,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Newsome SD, Zhu Y, Cui Y et al. (2014) Immunogenicity with peginterferon beta-1a in patients with relapsing-remitting multiple sclerosis: 2-year data from the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phase 3,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ADVANCE study in relapsing-remitting multiple sclerosis. Journal of Neurology 261 (31): </w:t>
            </w:r>
          </w:p>
        </w:tc>
      </w:tr>
      <w:tr w:rsidR="00406AEC" w:rsidRPr="00406AEC" w14:paraId="42DD9317" w14:textId="77777777" w:rsidTr="00406AEC">
        <w:trPr>
          <w:trHeight w:val="300"/>
        </w:trPr>
        <w:tc>
          <w:tcPr>
            <w:tcW w:w="9360" w:type="dxa"/>
            <w:tcBorders>
              <w:top w:val="nil"/>
              <w:left w:val="nil"/>
              <w:bottom w:val="nil"/>
              <w:right w:val="nil"/>
            </w:tcBorders>
            <w:shd w:val="clear" w:color="auto" w:fill="auto"/>
            <w:noWrap/>
            <w:vAlign w:val="bottom"/>
            <w:hideMark/>
          </w:tcPr>
          <w:p w14:paraId="4B1D6CA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White JT, Newsome SD,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Bermel RA, Cui Y et al. (2016) Incidence, characterization, and clinical impact analysis of peginterferon beta1a immunogenicity in patients with multiple sclerosis in the ADVANCE trial. Therapeutic Advances in Neurological Disorders 9 (4): 239-249.</w:t>
            </w:r>
          </w:p>
        </w:tc>
      </w:tr>
      <w:tr w:rsidR="00406AEC" w:rsidRPr="00406AEC" w14:paraId="1BD04D78" w14:textId="77777777" w:rsidTr="00406AEC">
        <w:trPr>
          <w:trHeight w:val="300"/>
        </w:trPr>
        <w:tc>
          <w:tcPr>
            <w:tcW w:w="9360" w:type="dxa"/>
            <w:tcBorders>
              <w:top w:val="nil"/>
              <w:left w:val="nil"/>
              <w:bottom w:val="nil"/>
              <w:right w:val="nil"/>
            </w:tcBorders>
            <w:shd w:val="clear" w:color="auto" w:fill="auto"/>
            <w:noWrap/>
            <w:vAlign w:val="bottom"/>
            <w:hideMark/>
          </w:tcPr>
          <w:p w14:paraId="4960A61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Winges</w:t>
            </w:r>
            <w:proofErr w:type="spellEnd"/>
            <w:r w:rsidRPr="00406AEC">
              <w:rPr>
                <w:rFonts w:ascii="Times New Roman" w:eastAsia="Times New Roman" w:hAnsi="Times New Roman" w:cs="Times New Roman"/>
                <w:color w:val="000000"/>
                <w:szCs w:val="22"/>
              </w:rPr>
              <w:t xml:space="preserve"> KM, Werner JS, Harvey DJ, Cello KE, Durbin MK et al. (2013) Baseline retinal nerve fiber layer thickness and macular volume quantified by OCT in the north American phase 3 fingolimod trial for relapsing-remitting multiple sclerosis. Journal of Neuro-Ophthalmology 33 (4): 341-348.</w:t>
            </w:r>
          </w:p>
        </w:tc>
      </w:tr>
      <w:tr w:rsidR="00406AEC" w:rsidRPr="00406AEC" w14:paraId="1A1AF818" w14:textId="77777777" w:rsidTr="00406AEC">
        <w:trPr>
          <w:trHeight w:val="300"/>
        </w:trPr>
        <w:tc>
          <w:tcPr>
            <w:tcW w:w="9360" w:type="dxa"/>
            <w:tcBorders>
              <w:top w:val="nil"/>
              <w:left w:val="nil"/>
              <w:bottom w:val="nil"/>
              <w:right w:val="nil"/>
            </w:tcBorders>
            <w:shd w:val="clear" w:color="auto" w:fill="auto"/>
            <w:noWrap/>
            <w:vAlign w:val="bottom"/>
            <w:hideMark/>
          </w:tcPr>
          <w:p w14:paraId="2138C645"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 Salter A, Narayana P, Datta S, Nelson F et al. MRI outcomes in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Blinded, 7-year extension results.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4F8ED5AA" w14:textId="77777777" w:rsidTr="00406AEC">
        <w:trPr>
          <w:trHeight w:val="300"/>
        </w:trPr>
        <w:tc>
          <w:tcPr>
            <w:tcW w:w="9360" w:type="dxa"/>
            <w:tcBorders>
              <w:top w:val="nil"/>
              <w:left w:val="nil"/>
              <w:bottom w:val="nil"/>
              <w:right w:val="nil"/>
            </w:tcBorders>
            <w:shd w:val="clear" w:color="auto" w:fill="auto"/>
            <w:noWrap/>
            <w:vAlign w:val="bottom"/>
            <w:hideMark/>
          </w:tcPr>
          <w:p w14:paraId="17AC7EF2"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Wolinsky JS, Borresen TE, Dietrich DW, Gilder BF, Sidi Y et al. Convenience of glatiramer acetate 40mg/mL three times weekly: Evidence from the GLACIER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103.</w:t>
            </w:r>
          </w:p>
        </w:tc>
      </w:tr>
      <w:tr w:rsidR="00406AEC" w:rsidRPr="00406AEC" w14:paraId="017418F8" w14:textId="77777777" w:rsidTr="00406AEC">
        <w:trPr>
          <w:trHeight w:val="300"/>
        </w:trPr>
        <w:tc>
          <w:tcPr>
            <w:tcW w:w="9360" w:type="dxa"/>
            <w:tcBorders>
              <w:top w:val="nil"/>
              <w:left w:val="nil"/>
              <w:bottom w:val="nil"/>
              <w:right w:val="nil"/>
            </w:tcBorders>
            <w:shd w:val="clear" w:color="auto" w:fill="auto"/>
            <w:noWrap/>
            <w:vAlign w:val="bottom"/>
            <w:hideMark/>
          </w:tcPr>
          <w:p w14:paraId="35A7CD1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Comi G, Filippi M, </w:t>
            </w:r>
            <w:proofErr w:type="spellStart"/>
            <w:r w:rsidRPr="00406AEC">
              <w:rPr>
                <w:rFonts w:ascii="Times New Roman" w:eastAsia="Times New Roman" w:hAnsi="Times New Roman" w:cs="Times New Roman"/>
                <w:color w:val="000000"/>
                <w:szCs w:val="22"/>
              </w:rPr>
              <w:t>Ladkani</w:t>
            </w:r>
            <w:proofErr w:type="spellEnd"/>
            <w:r w:rsidRPr="00406AEC">
              <w:rPr>
                <w:rFonts w:ascii="Times New Roman" w:eastAsia="Times New Roman" w:hAnsi="Times New Roman" w:cs="Times New Roman"/>
                <w:color w:val="000000"/>
                <w:szCs w:val="22"/>
              </w:rPr>
              <w:t xml:space="preserve"> D, Kadosh S et al. (2002) Copaxone's effect on MRI-monitored disease in relapsing MS is reproducible and sustained. Neurology 59 (8): 1284-1286.</w:t>
            </w:r>
          </w:p>
        </w:tc>
      </w:tr>
      <w:tr w:rsidR="00406AEC" w:rsidRPr="00406AEC" w14:paraId="2420BCE5" w14:textId="77777777" w:rsidTr="00406AEC">
        <w:trPr>
          <w:trHeight w:val="300"/>
        </w:trPr>
        <w:tc>
          <w:tcPr>
            <w:tcW w:w="9360" w:type="dxa"/>
            <w:tcBorders>
              <w:top w:val="nil"/>
              <w:left w:val="nil"/>
              <w:bottom w:val="nil"/>
              <w:right w:val="nil"/>
            </w:tcBorders>
            <w:shd w:val="clear" w:color="auto" w:fill="auto"/>
            <w:noWrap/>
            <w:vAlign w:val="bottom"/>
            <w:hideMark/>
          </w:tcPr>
          <w:p w14:paraId="5DEE9040"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Dietrich DW, Borresen TE, Gilder BF, </w:t>
            </w:r>
            <w:proofErr w:type="spellStart"/>
            <w:r w:rsidRPr="00406AEC">
              <w:rPr>
                <w:rFonts w:ascii="Times New Roman" w:eastAsia="Times New Roman" w:hAnsi="Times New Roman" w:cs="Times New Roman"/>
                <w:color w:val="000000"/>
                <w:szCs w:val="22"/>
              </w:rPr>
              <w:t>Steinerman</w:t>
            </w:r>
            <w:proofErr w:type="spellEnd"/>
            <w:r w:rsidRPr="00406AEC">
              <w:rPr>
                <w:rFonts w:ascii="Times New Roman" w:eastAsia="Times New Roman" w:hAnsi="Times New Roman" w:cs="Times New Roman"/>
                <w:color w:val="000000"/>
                <w:szCs w:val="22"/>
              </w:rPr>
              <w:t xml:space="preserve"> JR et al. GLACIER: Open-label, randomized safety/tolerability study of glatiramer acetate 40mg/mL three times weekly versus 20mg/mL daily in RRMS.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43-44.</w:t>
            </w:r>
          </w:p>
        </w:tc>
      </w:tr>
      <w:tr w:rsidR="00406AEC" w:rsidRPr="00406AEC" w14:paraId="4793C545" w14:textId="77777777" w:rsidTr="00406AEC">
        <w:trPr>
          <w:trHeight w:val="300"/>
        </w:trPr>
        <w:tc>
          <w:tcPr>
            <w:tcW w:w="9360" w:type="dxa"/>
            <w:tcBorders>
              <w:top w:val="nil"/>
              <w:left w:val="nil"/>
              <w:bottom w:val="nil"/>
              <w:right w:val="nil"/>
            </w:tcBorders>
            <w:shd w:val="clear" w:color="auto" w:fill="auto"/>
            <w:noWrap/>
            <w:vAlign w:val="bottom"/>
            <w:hideMark/>
          </w:tcPr>
          <w:p w14:paraId="16FB73BD"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Sidi Y, </w:t>
            </w:r>
            <w:proofErr w:type="spellStart"/>
            <w:r w:rsidRPr="00406AEC">
              <w:rPr>
                <w:rFonts w:ascii="Times New Roman" w:eastAsia="Times New Roman" w:hAnsi="Times New Roman" w:cs="Times New Roman"/>
                <w:color w:val="000000"/>
                <w:szCs w:val="22"/>
              </w:rPr>
              <w:t>Steinerman</w:t>
            </w:r>
            <w:proofErr w:type="spellEnd"/>
            <w:r w:rsidRPr="00406AEC">
              <w:rPr>
                <w:rFonts w:ascii="Times New Roman" w:eastAsia="Times New Roman" w:hAnsi="Times New Roman" w:cs="Times New Roman"/>
                <w:color w:val="000000"/>
                <w:szCs w:val="22"/>
              </w:rPr>
              <w:t xml:space="preserve"> JR,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V, Kolodny S Reduced </w:t>
            </w:r>
            <w:proofErr w:type="gramStart"/>
            <w:r w:rsidRPr="00406AEC">
              <w:rPr>
                <w:rFonts w:ascii="Times New Roman" w:eastAsia="Times New Roman" w:hAnsi="Times New Roman" w:cs="Times New Roman"/>
                <w:color w:val="000000"/>
                <w:szCs w:val="22"/>
              </w:rPr>
              <w:t>frequency</w:t>
            </w:r>
            <w:proofErr w:type="gramEnd"/>
            <w:r w:rsidRPr="00406AEC">
              <w:rPr>
                <w:rFonts w:ascii="Times New Roman" w:eastAsia="Times New Roman" w:hAnsi="Times New Roman" w:cs="Times New Roman"/>
                <w:color w:val="000000"/>
                <w:szCs w:val="22"/>
              </w:rPr>
              <w:t xml:space="preserve"> and severity of injection site reactions with glatiramer acetate 40mg/mL three times weekly dosing.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203-204.</w:t>
            </w:r>
          </w:p>
        </w:tc>
      </w:tr>
      <w:tr w:rsidR="00406AEC" w:rsidRPr="00406AEC" w14:paraId="288F05D6" w14:textId="77777777" w:rsidTr="00406AEC">
        <w:trPr>
          <w:trHeight w:val="300"/>
        </w:trPr>
        <w:tc>
          <w:tcPr>
            <w:tcW w:w="9360" w:type="dxa"/>
            <w:tcBorders>
              <w:top w:val="nil"/>
              <w:left w:val="nil"/>
              <w:bottom w:val="nil"/>
              <w:right w:val="nil"/>
            </w:tcBorders>
            <w:shd w:val="clear" w:color="auto" w:fill="auto"/>
            <w:noWrap/>
            <w:vAlign w:val="bottom"/>
            <w:hideMark/>
          </w:tcPr>
          <w:p w14:paraId="0B03B6F8"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Wray S,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Comparison of infection risk with alemtuzumab and </w:t>
            </w:r>
            <w:proofErr w:type="spellStart"/>
            <w:r w:rsidRPr="00406AEC">
              <w:rPr>
                <w:rFonts w:ascii="Times New Roman" w:eastAsia="Times New Roman" w:hAnsi="Times New Roman" w:cs="Times New Roman"/>
                <w:color w:val="000000"/>
                <w:szCs w:val="22"/>
              </w:rPr>
              <w:t>sc</w:t>
            </w:r>
            <w:proofErr w:type="spellEnd"/>
            <w:r w:rsidRPr="00406AEC">
              <w:rPr>
                <w:rFonts w:ascii="Times New Roman" w:eastAsia="Times New Roman" w:hAnsi="Times New Roman" w:cs="Times New Roman"/>
                <w:color w:val="000000"/>
                <w:szCs w:val="22"/>
              </w:rPr>
              <w:t xml:space="preserve"> IFNB-1a in patients with multiple sclerosis who experienced disease activity while on prior therapy (CARE-MS II).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4D6F8787" w14:textId="77777777" w:rsidTr="00406AEC">
        <w:trPr>
          <w:trHeight w:val="300"/>
        </w:trPr>
        <w:tc>
          <w:tcPr>
            <w:tcW w:w="9360" w:type="dxa"/>
            <w:tcBorders>
              <w:top w:val="nil"/>
              <w:left w:val="nil"/>
              <w:bottom w:val="nil"/>
              <w:right w:val="nil"/>
            </w:tcBorders>
            <w:shd w:val="clear" w:color="auto" w:fill="auto"/>
            <w:noWrap/>
            <w:vAlign w:val="bottom"/>
            <w:hideMark/>
          </w:tcPr>
          <w:p w14:paraId="11DFAFFF"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Wray S,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w:t>
            </w:r>
            <w:proofErr w:type="spellStart"/>
            <w:r w:rsidRPr="00406AEC">
              <w:rPr>
                <w:rFonts w:ascii="Times New Roman" w:eastAsia="Times New Roman" w:hAnsi="Times New Roman" w:cs="Times New Roman"/>
                <w:color w:val="000000"/>
                <w:szCs w:val="22"/>
              </w:rPr>
              <w:t>Snydman</w:t>
            </w:r>
            <w:proofErr w:type="spellEnd"/>
            <w:r w:rsidRPr="00406AEC">
              <w:rPr>
                <w:rFonts w:ascii="Times New Roman" w:eastAsia="Times New Roman" w:hAnsi="Times New Roman" w:cs="Times New Roman"/>
                <w:color w:val="000000"/>
                <w:szCs w:val="22"/>
              </w:rPr>
              <w:t xml:space="preserve"> DR, Arnold DL, Cohen JA et al. (2019) Infection risk with alemtuzumab decreases over time: pooled analysis of 6-year data from the CAMMS223, CARE-MS I, and CARE-MS II studies and the CAMMS03409 extension study. Multiple Sclerosis 25 (12): 1605-1617.</w:t>
            </w:r>
          </w:p>
        </w:tc>
      </w:tr>
      <w:tr w:rsidR="00406AEC" w:rsidRPr="00406AEC" w14:paraId="3B9AB072" w14:textId="77777777" w:rsidTr="00406AEC">
        <w:trPr>
          <w:trHeight w:val="300"/>
        </w:trPr>
        <w:tc>
          <w:tcPr>
            <w:tcW w:w="9360" w:type="dxa"/>
            <w:tcBorders>
              <w:top w:val="nil"/>
              <w:left w:val="nil"/>
              <w:bottom w:val="nil"/>
              <w:right w:val="nil"/>
            </w:tcBorders>
            <w:shd w:val="clear" w:color="auto" w:fill="auto"/>
            <w:noWrap/>
            <w:vAlign w:val="bottom"/>
            <w:hideMark/>
          </w:tcPr>
          <w:p w14:paraId="4AAF213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Wu Q, Mills EA, Wang Q, Dowling CA, Fisher C et al. (2020) Siponimod enriches regulatory T and B lymphocytes in secondary progressive multiple sclerosis. JCI insight </w:t>
            </w:r>
          </w:p>
        </w:tc>
      </w:tr>
      <w:tr w:rsidR="00406AEC" w:rsidRPr="00406AEC" w14:paraId="37250EAA" w14:textId="77777777" w:rsidTr="00406AEC">
        <w:trPr>
          <w:trHeight w:val="300"/>
        </w:trPr>
        <w:tc>
          <w:tcPr>
            <w:tcW w:w="9360" w:type="dxa"/>
            <w:tcBorders>
              <w:top w:val="nil"/>
              <w:left w:val="nil"/>
              <w:bottom w:val="nil"/>
              <w:right w:val="nil"/>
            </w:tcBorders>
            <w:shd w:val="clear" w:color="auto" w:fill="auto"/>
            <w:noWrap/>
            <w:vAlign w:val="bottom"/>
            <w:hideMark/>
          </w:tcPr>
          <w:p w14:paraId="386FE15A"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Wolinsky JS, Wray S,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et al. (2020) Improved gastrointestinal tolerability profile with diroximel fumarate compared to dimethyl fumarate in relapsing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patients. Neurology 94 (15): </w:t>
            </w:r>
          </w:p>
        </w:tc>
      </w:tr>
      <w:tr w:rsidR="00406AEC" w:rsidRPr="00406AEC" w14:paraId="41B3258C" w14:textId="77777777" w:rsidTr="00406AEC">
        <w:trPr>
          <w:trHeight w:val="300"/>
        </w:trPr>
        <w:tc>
          <w:tcPr>
            <w:tcW w:w="9360" w:type="dxa"/>
            <w:tcBorders>
              <w:top w:val="nil"/>
              <w:left w:val="nil"/>
              <w:bottom w:val="nil"/>
              <w:right w:val="nil"/>
            </w:tcBorders>
            <w:shd w:val="clear" w:color="auto" w:fill="auto"/>
            <w:noWrap/>
            <w:vAlign w:val="bottom"/>
            <w:hideMark/>
          </w:tcPr>
          <w:p w14:paraId="23B068D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Wolinsky JS, Wray S,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et al. (2020) Improved gastrointestinal tolerability profile with diroximel fumarate compared to dimethyl fumarate in relapsing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patients. Neurology 94 (15): </w:t>
            </w:r>
          </w:p>
        </w:tc>
      </w:tr>
      <w:tr w:rsidR="00406AEC" w:rsidRPr="00406AEC" w14:paraId="6F3EB18F" w14:textId="77777777" w:rsidTr="00406AEC">
        <w:trPr>
          <w:trHeight w:val="300"/>
        </w:trPr>
        <w:tc>
          <w:tcPr>
            <w:tcW w:w="9360" w:type="dxa"/>
            <w:tcBorders>
              <w:top w:val="nil"/>
              <w:left w:val="nil"/>
              <w:bottom w:val="nil"/>
              <w:right w:val="nil"/>
            </w:tcBorders>
            <w:shd w:val="clear" w:color="auto" w:fill="auto"/>
            <w:noWrap/>
            <w:vAlign w:val="bottom"/>
            <w:hideMark/>
          </w:tcPr>
          <w:p w14:paraId="10B44819"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Wray S,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Chen H et al. (2020) Improved </w:t>
            </w:r>
            <w:proofErr w:type="spellStart"/>
            <w:r w:rsidRPr="00406AEC">
              <w:rPr>
                <w:rFonts w:ascii="Times New Roman" w:eastAsia="Times New Roman" w:hAnsi="Times New Roman" w:cs="Times New Roman"/>
                <w:color w:val="000000"/>
                <w:szCs w:val="22"/>
              </w:rPr>
              <w:t>gi</w:t>
            </w:r>
            <w:proofErr w:type="spellEnd"/>
            <w:r w:rsidRPr="00406AEC">
              <w:rPr>
                <w:rFonts w:ascii="Times New Roman" w:eastAsia="Times New Roman" w:hAnsi="Times New Roman" w:cs="Times New Roman"/>
                <w:color w:val="000000"/>
                <w:szCs w:val="22"/>
              </w:rPr>
              <w:t xml:space="preserve"> tolerability with diroximel fumarate is associated with clinically meaningful benefits on </w:t>
            </w:r>
            <w:proofErr w:type="spellStart"/>
            <w:r w:rsidRPr="00406AEC">
              <w:rPr>
                <w:rFonts w:ascii="Times New Roman" w:eastAsia="Times New Roman" w:hAnsi="Times New Roman" w:cs="Times New Roman"/>
                <w:color w:val="000000"/>
                <w:szCs w:val="22"/>
              </w:rPr>
              <w:t>qol</w:t>
            </w:r>
            <w:proofErr w:type="spellEnd"/>
            <w:r w:rsidRPr="00406AEC">
              <w:rPr>
                <w:rFonts w:ascii="Times New Roman" w:eastAsia="Times New Roman" w:hAnsi="Times New Roman" w:cs="Times New Roman"/>
                <w:color w:val="000000"/>
                <w:szCs w:val="22"/>
              </w:rPr>
              <w:t xml:space="preserve"> compared to dimethyl fumarate in evolve-MS-2. Multiple sclerosis journal 26 (3 SUPPL): 221-222.</w:t>
            </w:r>
          </w:p>
        </w:tc>
      </w:tr>
      <w:tr w:rsidR="00406AEC" w:rsidRPr="00406AEC" w14:paraId="403976A9" w14:textId="77777777" w:rsidTr="00406AEC">
        <w:trPr>
          <w:trHeight w:val="300"/>
        </w:trPr>
        <w:tc>
          <w:tcPr>
            <w:tcW w:w="9360" w:type="dxa"/>
            <w:tcBorders>
              <w:top w:val="nil"/>
              <w:left w:val="nil"/>
              <w:bottom w:val="nil"/>
              <w:right w:val="nil"/>
            </w:tcBorders>
            <w:shd w:val="clear" w:color="auto" w:fill="auto"/>
            <w:noWrap/>
            <w:vAlign w:val="bottom"/>
            <w:hideMark/>
          </w:tcPr>
          <w:p w14:paraId="532EA9EB"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Zarbin MA, </w:t>
            </w:r>
            <w:proofErr w:type="spellStart"/>
            <w:r w:rsidRPr="00406AEC">
              <w:rPr>
                <w:rFonts w:ascii="Times New Roman" w:eastAsia="Times New Roman" w:hAnsi="Times New Roman" w:cs="Times New Roman"/>
                <w:color w:val="000000"/>
                <w:szCs w:val="22"/>
              </w:rPr>
              <w:t>Jampol</w:t>
            </w:r>
            <w:proofErr w:type="spellEnd"/>
            <w:r w:rsidRPr="00406AEC">
              <w:rPr>
                <w:rFonts w:ascii="Times New Roman" w:eastAsia="Times New Roman" w:hAnsi="Times New Roman" w:cs="Times New Roman"/>
                <w:color w:val="000000"/>
                <w:szCs w:val="22"/>
              </w:rPr>
              <w:t xml:space="preserve"> LM, Jager RD, Reder AT, Francis G et al. (2013) Ophthalmic evaluations in clinical studies of fingolimod (FTY720) in multiple sclerosis. Ophthalmology 120 (7): 1432-1439.</w:t>
            </w:r>
          </w:p>
        </w:tc>
      </w:tr>
      <w:tr w:rsidR="00406AEC" w:rsidRPr="00406AEC" w14:paraId="0528B69F" w14:textId="77777777" w:rsidTr="00406AEC">
        <w:trPr>
          <w:trHeight w:val="300"/>
        </w:trPr>
        <w:tc>
          <w:tcPr>
            <w:tcW w:w="9360" w:type="dxa"/>
            <w:tcBorders>
              <w:top w:val="nil"/>
              <w:left w:val="nil"/>
              <w:bottom w:val="nil"/>
              <w:right w:val="nil"/>
            </w:tcBorders>
            <w:shd w:val="clear" w:color="auto" w:fill="auto"/>
            <w:noWrap/>
            <w:vAlign w:val="bottom"/>
            <w:hideMark/>
          </w:tcPr>
          <w:p w14:paraId="778A068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Zhang-Auberson L, Mueller-Lenke N, Pearce G, Bischof D, </w:t>
            </w:r>
            <w:proofErr w:type="spellStart"/>
            <w:r w:rsidRPr="00406AEC">
              <w:rPr>
                <w:rFonts w:ascii="Times New Roman" w:eastAsia="Times New Roman" w:hAnsi="Times New Roman" w:cs="Times New Roman"/>
                <w:color w:val="000000"/>
                <w:szCs w:val="22"/>
              </w:rPr>
              <w:t>Putzki</w:t>
            </w:r>
            <w:proofErr w:type="spellEnd"/>
            <w:r w:rsidRPr="00406AEC">
              <w:rPr>
                <w:rFonts w:ascii="Times New Roman" w:eastAsia="Times New Roman" w:hAnsi="Times New Roman" w:cs="Times New Roman"/>
                <w:color w:val="000000"/>
                <w:szCs w:val="22"/>
              </w:rPr>
              <w:t xml:space="preserve"> N (2015) </w:t>
            </w:r>
            <w:proofErr w:type="spellStart"/>
            <w:r w:rsidRPr="00406AEC">
              <w:rPr>
                <w:rFonts w:ascii="Times New Roman" w:eastAsia="Times New Roman" w:hAnsi="Times New Roman" w:cs="Times New Roman"/>
                <w:color w:val="000000"/>
                <w:szCs w:val="22"/>
              </w:rPr>
              <w:t>Tumefactive</w:t>
            </w:r>
            <w:proofErr w:type="spellEnd"/>
            <w:r w:rsidRPr="00406AEC">
              <w:rPr>
                <w:rFonts w:ascii="Times New Roman" w:eastAsia="Times New Roman" w:hAnsi="Times New Roman" w:cs="Times New Roman"/>
                <w:color w:val="000000"/>
                <w:szCs w:val="22"/>
              </w:rPr>
              <w:t xml:space="preserve"> lesions in multiple sclerosis: MRI findings from phase 2 and 3 clinical trials of fingolimod. European journal of neurology 22 (665): </w:t>
            </w:r>
          </w:p>
        </w:tc>
      </w:tr>
      <w:tr w:rsidR="00406AEC" w:rsidRPr="00406AEC" w14:paraId="475576DE" w14:textId="77777777" w:rsidTr="00406AEC">
        <w:trPr>
          <w:trHeight w:val="300"/>
        </w:trPr>
        <w:tc>
          <w:tcPr>
            <w:tcW w:w="9360" w:type="dxa"/>
            <w:tcBorders>
              <w:top w:val="nil"/>
              <w:left w:val="nil"/>
              <w:bottom w:val="nil"/>
              <w:right w:val="nil"/>
            </w:tcBorders>
            <w:shd w:val="clear" w:color="auto" w:fill="auto"/>
            <w:noWrap/>
            <w:vAlign w:val="bottom"/>
            <w:hideMark/>
          </w:tcPr>
          <w:p w14:paraId="05F29BF3"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Arnold DL, Cohen JA, Coles AJ, Fox EJ et al. Immunogenicity of alemtuzumab does not impact safety and efficacy in relapsing remitting multiple sclerosis patients in the CARE-MS I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212-213.</w:t>
            </w:r>
          </w:p>
        </w:tc>
      </w:tr>
      <w:tr w:rsidR="00406AEC" w:rsidRPr="00406AEC" w14:paraId="795244A5" w14:textId="77777777" w:rsidTr="00406AEC">
        <w:trPr>
          <w:trHeight w:val="300"/>
        </w:trPr>
        <w:tc>
          <w:tcPr>
            <w:tcW w:w="9360" w:type="dxa"/>
            <w:tcBorders>
              <w:top w:val="nil"/>
              <w:left w:val="nil"/>
              <w:bottom w:val="nil"/>
              <w:right w:val="nil"/>
            </w:tcBorders>
            <w:shd w:val="clear" w:color="auto" w:fill="auto"/>
            <w:noWrap/>
            <w:vAlign w:val="bottom"/>
            <w:hideMark/>
          </w:tcPr>
          <w:p w14:paraId="34BE0854"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Zivadinov</w:t>
            </w:r>
            <w:proofErr w:type="spellEnd"/>
            <w:r w:rsidRPr="00406AEC">
              <w:rPr>
                <w:rFonts w:ascii="Times New Roman" w:eastAsia="Times New Roman" w:hAnsi="Times New Roman" w:cs="Times New Roman"/>
                <w:color w:val="000000"/>
                <w:szCs w:val="22"/>
              </w:rPr>
              <w:t xml:space="preserve"> R, Dwyer M, Barkay H, </w:t>
            </w:r>
            <w:proofErr w:type="spellStart"/>
            <w:r w:rsidRPr="00406AEC">
              <w:rPr>
                <w:rFonts w:ascii="Times New Roman" w:eastAsia="Times New Roman" w:hAnsi="Times New Roman" w:cs="Times New Roman"/>
                <w:color w:val="000000"/>
                <w:szCs w:val="22"/>
              </w:rPr>
              <w:t>Steinerman</w:t>
            </w:r>
            <w:proofErr w:type="spellEnd"/>
            <w:r w:rsidRPr="00406AEC">
              <w:rPr>
                <w:rFonts w:ascii="Times New Roman" w:eastAsia="Times New Roman" w:hAnsi="Times New Roman" w:cs="Times New Roman"/>
                <w:color w:val="000000"/>
                <w:szCs w:val="22"/>
              </w:rPr>
              <w:t xml:space="preserve"> JR, </w:t>
            </w:r>
            <w:proofErr w:type="spellStart"/>
            <w:r w:rsidRPr="00406AEC">
              <w:rPr>
                <w:rFonts w:ascii="Times New Roman" w:eastAsia="Times New Roman" w:hAnsi="Times New Roman" w:cs="Times New Roman"/>
                <w:color w:val="000000"/>
                <w:szCs w:val="22"/>
              </w:rPr>
              <w:t>Knappertz</w:t>
            </w:r>
            <w:proofErr w:type="spellEnd"/>
            <w:r w:rsidRPr="00406AEC">
              <w:rPr>
                <w:rFonts w:ascii="Times New Roman" w:eastAsia="Times New Roman" w:hAnsi="Times New Roman" w:cs="Times New Roman"/>
                <w:color w:val="000000"/>
                <w:szCs w:val="22"/>
              </w:rPr>
              <w:t xml:space="preserve"> V et al. (2015) Effect of glatiramer acetate three-times weekly on the evolution of new, active multiple sclerosis lesions into T1-hypointense "black holes": a post hoc magnetic resonance imaging analysis. Journal of Neurology 262 (3): 648-653.</w:t>
            </w:r>
          </w:p>
        </w:tc>
      </w:tr>
      <w:tr w:rsidR="00406AEC" w:rsidRPr="00406AEC" w14:paraId="4B455227" w14:textId="77777777" w:rsidTr="00406AEC">
        <w:trPr>
          <w:trHeight w:val="300"/>
        </w:trPr>
        <w:tc>
          <w:tcPr>
            <w:tcW w:w="9360" w:type="dxa"/>
            <w:tcBorders>
              <w:top w:val="nil"/>
              <w:left w:val="nil"/>
              <w:bottom w:val="nil"/>
              <w:right w:val="nil"/>
            </w:tcBorders>
            <w:shd w:val="clear" w:color="auto" w:fill="auto"/>
            <w:noWrap/>
            <w:vAlign w:val="bottom"/>
            <w:hideMark/>
          </w:tcPr>
          <w:p w14:paraId="64206EBE" w14:textId="77777777" w:rsidR="00406AEC" w:rsidRPr="00406AEC" w:rsidRDefault="00406AEC" w:rsidP="00223A29">
            <w:pPr>
              <w:pStyle w:val="ListParagraph"/>
              <w:numPr>
                <w:ilvl w:val="0"/>
                <w:numId w:val="30"/>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Zivadinov</w:t>
            </w:r>
            <w:proofErr w:type="spellEnd"/>
            <w:r w:rsidRPr="00406AEC">
              <w:rPr>
                <w:rFonts w:ascii="Times New Roman" w:eastAsia="Times New Roman" w:hAnsi="Times New Roman" w:cs="Times New Roman"/>
                <w:color w:val="000000"/>
                <w:szCs w:val="22"/>
              </w:rPr>
              <w:t xml:space="preserve"> R, Dwyer MG, Ramasamy DP, Davis MD, </w:t>
            </w:r>
            <w:proofErr w:type="spellStart"/>
            <w:r w:rsidRPr="00406AEC">
              <w:rPr>
                <w:rFonts w:ascii="Times New Roman" w:eastAsia="Times New Roman" w:hAnsi="Times New Roman" w:cs="Times New Roman"/>
                <w:color w:val="000000"/>
                <w:szCs w:val="22"/>
              </w:rPr>
              <w:t>Steinerman</w:t>
            </w:r>
            <w:proofErr w:type="spellEnd"/>
            <w:r w:rsidRPr="00406AEC">
              <w:rPr>
                <w:rFonts w:ascii="Times New Roman" w:eastAsia="Times New Roman" w:hAnsi="Times New Roman" w:cs="Times New Roman"/>
                <w:color w:val="000000"/>
                <w:szCs w:val="22"/>
              </w:rPr>
              <w:t xml:space="preserve"> JR et al. (2015) The Effect of Three Times a Week Glatiramer Acetate on Cerebral T1 Hypointense Lesions in Relapsing-Remitting Multiple Sclerosis. Journal of Neuroimaging 25 (6): 989-995.</w:t>
            </w:r>
          </w:p>
        </w:tc>
      </w:tr>
      <w:tr w:rsidR="00406AEC" w:rsidRPr="00406AEC" w14:paraId="2E0435D6" w14:textId="77777777" w:rsidTr="00406AEC">
        <w:trPr>
          <w:trHeight w:val="300"/>
        </w:trPr>
        <w:tc>
          <w:tcPr>
            <w:tcW w:w="9360" w:type="dxa"/>
            <w:tcBorders>
              <w:top w:val="nil"/>
              <w:left w:val="nil"/>
              <w:bottom w:val="nil"/>
              <w:right w:val="nil"/>
            </w:tcBorders>
            <w:shd w:val="clear" w:color="auto" w:fill="auto"/>
            <w:noWrap/>
            <w:vAlign w:val="bottom"/>
            <w:hideMark/>
          </w:tcPr>
          <w:p w14:paraId="3D6D87EC"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6C3E07E0" w14:textId="77777777" w:rsidTr="00406AEC">
        <w:trPr>
          <w:trHeight w:val="300"/>
        </w:trPr>
        <w:tc>
          <w:tcPr>
            <w:tcW w:w="9360" w:type="dxa"/>
            <w:tcBorders>
              <w:top w:val="nil"/>
              <w:left w:val="nil"/>
              <w:bottom w:val="nil"/>
              <w:right w:val="nil"/>
            </w:tcBorders>
            <w:shd w:val="clear" w:color="auto" w:fill="auto"/>
            <w:noWrap/>
            <w:vAlign w:val="bottom"/>
            <w:hideMark/>
          </w:tcPr>
          <w:p w14:paraId="7292290F"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Duplicate (n = 79)</w:t>
            </w:r>
          </w:p>
        </w:tc>
      </w:tr>
      <w:tr w:rsidR="00406AEC" w:rsidRPr="00406AEC" w14:paraId="65ABA8ED" w14:textId="77777777" w:rsidTr="00406AEC">
        <w:trPr>
          <w:trHeight w:val="300"/>
        </w:trPr>
        <w:tc>
          <w:tcPr>
            <w:tcW w:w="9360" w:type="dxa"/>
            <w:tcBorders>
              <w:top w:val="nil"/>
              <w:left w:val="nil"/>
              <w:bottom w:val="nil"/>
              <w:right w:val="nil"/>
            </w:tcBorders>
            <w:shd w:val="clear" w:color="auto" w:fill="auto"/>
            <w:noWrap/>
            <w:vAlign w:val="bottom"/>
            <w:hideMark/>
          </w:tcPr>
          <w:p w14:paraId="22C11E1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(1993) Interferon beta-1b is effective in relapsing-remitting multiple sclerosis. I. Clinical results of a multicenter, randomized, double-blind, placebo-controlled trial. The IFNB Multiple Sclerosis Study Group. Neurology 43 (4): 655-661.</w:t>
            </w:r>
          </w:p>
        </w:tc>
      </w:tr>
      <w:tr w:rsidR="00406AEC" w:rsidRPr="00406AEC" w14:paraId="107F1871" w14:textId="77777777" w:rsidTr="00406AEC">
        <w:trPr>
          <w:trHeight w:val="300"/>
        </w:trPr>
        <w:tc>
          <w:tcPr>
            <w:tcW w:w="9360" w:type="dxa"/>
            <w:tcBorders>
              <w:top w:val="nil"/>
              <w:left w:val="nil"/>
              <w:bottom w:val="nil"/>
              <w:right w:val="nil"/>
            </w:tcBorders>
            <w:shd w:val="clear" w:color="auto" w:fill="auto"/>
            <w:noWrap/>
            <w:vAlign w:val="bottom"/>
            <w:hideMark/>
          </w:tcPr>
          <w:p w14:paraId="057C66C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(1993) Interferon beta-1b is effective in relapsing-remitting multiple sclerosis. I. Clinical results of a multicenter, randomized, double-blind, placebo-controlled trial. The IFNB Multiple Sclerosis Study Group. Neurology 43 (4): 655-661.</w:t>
            </w:r>
          </w:p>
        </w:tc>
      </w:tr>
      <w:tr w:rsidR="00406AEC" w:rsidRPr="00406AEC" w14:paraId="0A562B86" w14:textId="77777777" w:rsidTr="00406AEC">
        <w:trPr>
          <w:trHeight w:val="300"/>
        </w:trPr>
        <w:tc>
          <w:tcPr>
            <w:tcW w:w="9360" w:type="dxa"/>
            <w:tcBorders>
              <w:top w:val="nil"/>
              <w:left w:val="nil"/>
              <w:bottom w:val="nil"/>
              <w:right w:val="nil"/>
            </w:tcBorders>
            <w:shd w:val="clear" w:color="auto" w:fill="auto"/>
            <w:noWrap/>
            <w:vAlign w:val="bottom"/>
            <w:hideMark/>
          </w:tcPr>
          <w:p w14:paraId="76D9531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(1995) Interferon beta-1b in the treatment of multiple sclerosis: final outcome of the randomized controlled trial. The IFNB Multiple Sclerosis Study Group and The University of British Columbia MS/MRI Analysis Group. Neurology 45 (7): 1277-1285.</w:t>
            </w:r>
          </w:p>
        </w:tc>
      </w:tr>
      <w:tr w:rsidR="00406AEC" w:rsidRPr="00406AEC" w14:paraId="21EA5409" w14:textId="77777777" w:rsidTr="00406AEC">
        <w:trPr>
          <w:trHeight w:val="300"/>
        </w:trPr>
        <w:tc>
          <w:tcPr>
            <w:tcW w:w="9360" w:type="dxa"/>
            <w:tcBorders>
              <w:top w:val="nil"/>
              <w:left w:val="nil"/>
              <w:bottom w:val="nil"/>
              <w:right w:val="nil"/>
            </w:tcBorders>
            <w:shd w:val="clear" w:color="auto" w:fill="auto"/>
            <w:noWrap/>
            <w:vAlign w:val="bottom"/>
            <w:hideMark/>
          </w:tcPr>
          <w:p w14:paraId="26D058C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(1995) Interferon beta-1b in the treatment of multiple sclerosis: final outcome of the randomized controlled trial. The IFNB Multiple Sclerosis Study Group and The University of British Columbia MS/MRI Analysis Group. Neurology 45 (7): 1277-1285.</w:t>
            </w:r>
          </w:p>
        </w:tc>
      </w:tr>
      <w:tr w:rsidR="00406AEC" w:rsidRPr="00406AEC" w14:paraId="55925873" w14:textId="77777777" w:rsidTr="00406AEC">
        <w:trPr>
          <w:trHeight w:val="300"/>
        </w:trPr>
        <w:tc>
          <w:tcPr>
            <w:tcW w:w="9360" w:type="dxa"/>
            <w:tcBorders>
              <w:top w:val="nil"/>
              <w:left w:val="nil"/>
              <w:bottom w:val="nil"/>
              <w:right w:val="nil"/>
            </w:tcBorders>
            <w:shd w:val="clear" w:color="auto" w:fill="auto"/>
            <w:noWrap/>
            <w:vAlign w:val="bottom"/>
            <w:hideMark/>
          </w:tcPr>
          <w:p w14:paraId="35A6A84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(1998) Placebo-controlled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of interferon beta-1b in treatment of secondary progressive multiple sclerosis. European Study Group on interferon beta-1b in secondary progressive MS. Lancet (</w:t>
            </w:r>
            <w:proofErr w:type="spellStart"/>
            <w:r w:rsidRPr="00406AEC">
              <w:rPr>
                <w:rFonts w:ascii="Times New Roman" w:eastAsia="Times New Roman" w:hAnsi="Times New Roman" w:cs="Times New Roman"/>
                <w:color w:val="000000"/>
                <w:szCs w:val="22"/>
              </w:rPr>
              <w:t>london</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england</w:t>
            </w:r>
            <w:proofErr w:type="spellEnd"/>
            <w:r w:rsidRPr="00406AEC">
              <w:rPr>
                <w:rFonts w:ascii="Times New Roman" w:eastAsia="Times New Roman" w:hAnsi="Times New Roman" w:cs="Times New Roman"/>
                <w:color w:val="000000"/>
                <w:szCs w:val="22"/>
              </w:rPr>
              <w:t>) 352 (9139): 1491-1497.</w:t>
            </w:r>
          </w:p>
        </w:tc>
      </w:tr>
      <w:tr w:rsidR="00406AEC" w:rsidRPr="00406AEC" w14:paraId="508AA700" w14:textId="77777777" w:rsidTr="00406AEC">
        <w:trPr>
          <w:trHeight w:val="300"/>
        </w:trPr>
        <w:tc>
          <w:tcPr>
            <w:tcW w:w="9360" w:type="dxa"/>
            <w:tcBorders>
              <w:top w:val="nil"/>
              <w:left w:val="nil"/>
              <w:bottom w:val="nil"/>
              <w:right w:val="nil"/>
            </w:tcBorders>
            <w:shd w:val="clear" w:color="auto" w:fill="auto"/>
            <w:noWrap/>
            <w:vAlign w:val="bottom"/>
            <w:hideMark/>
          </w:tcPr>
          <w:p w14:paraId="6A58178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(1998)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placebo-controlled study of interferon beta-1a in relapsing/remitting multiple sclerosis. PRISMS (Prevention of Relapses and Disability by Interferon beta-1a Subcutaneously in Multiple Sclerosis) Study Group. Lancet (</w:t>
            </w:r>
            <w:proofErr w:type="spellStart"/>
            <w:r w:rsidRPr="00406AEC">
              <w:rPr>
                <w:rFonts w:ascii="Times New Roman" w:eastAsia="Times New Roman" w:hAnsi="Times New Roman" w:cs="Times New Roman"/>
                <w:color w:val="000000"/>
                <w:szCs w:val="22"/>
              </w:rPr>
              <w:t>london</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england</w:t>
            </w:r>
            <w:proofErr w:type="spellEnd"/>
            <w:r w:rsidRPr="00406AEC">
              <w:rPr>
                <w:rFonts w:ascii="Times New Roman" w:eastAsia="Times New Roman" w:hAnsi="Times New Roman" w:cs="Times New Roman"/>
                <w:color w:val="000000"/>
                <w:szCs w:val="22"/>
              </w:rPr>
              <w:t>) 352 (9139): 1498-1504.</w:t>
            </w:r>
          </w:p>
        </w:tc>
      </w:tr>
      <w:tr w:rsidR="00406AEC" w:rsidRPr="00406AEC" w14:paraId="091C4A74" w14:textId="77777777" w:rsidTr="00406AEC">
        <w:trPr>
          <w:trHeight w:val="300"/>
        </w:trPr>
        <w:tc>
          <w:tcPr>
            <w:tcW w:w="9360" w:type="dxa"/>
            <w:tcBorders>
              <w:top w:val="nil"/>
              <w:left w:val="nil"/>
              <w:bottom w:val="nil"/>
              <w:right w:val="nil"/>
            </w:tcBorders>
            <w:shd w:val="clear" w:color="auto" w:fill="auto"/>
            <w:noWrap/>
            <w:vAlign w:val="bottom"/>
            <w:hideMark/>
          </w:tcPr>
          <w:p w14:paraId="72357D7E"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(1998) Placebo-controlled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of interferon beta-1b in treatment of secondary progressive multiple sclerosis. European Study Group on interferon beta-1b in secondary progressive MS. Lancet 352 (9139): 1491-1497.</w:t>
            </w:r>
          </w:p>
        </w:tc>
      </w:tr>
      <w:tr w:rsidR="00406AEC" w:rsidRPr="00406AEC" w14:paraId="2EFF17EE" w14:textId="77777777" w:rsidTr="00406AEC">
        <w:trPr>
          <w:trHeight w:val="300"/>
        </w:trPr>
        <w:tc>
          <w:tcPr>
            <w:tcW w:w="9360" w:type="dxa"/>
            <w:tcBorders>
              <w:top w:val="nil"/>
              <w:left w:val="nil"/>
              <w:bottom w:val="nil"/>
              <w:right w:val="nil"/>
            </w:tcBorders>
            <w:shd w:val="clear" w:color="auto" w:fill="auto"/>
            <w:noWrap/>
            <w:vAlign w:val="bottom"/>
            <w:hideMark/>
          </w:tcPr>
          <w:p w14:paraId="1D610B6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(1998)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placebo-controlled study of interferon beta-1a in relapsing/remitting multiple </w:t>
            </w:r>
            <w:proofErr w:type="spellStart"/>
            <w:r w:rsidRPr="00406AEC">
              <w:rPr>
                <w:rFonts w:ascii="Times New Roman" w:eastAsia="Times New Roman" w:hAnsi="Times New Roman" w:cs="Times New Roman"/>
                <w:color w:val="000000"/>
                <w:szCs w:val="22"/>
              </w:rPr>
              <w:t>sclerosis.PRISMS</w:t>
            </w:r>
            <w:proofErr w:type="spellEnd"/>
            <w:r w:rsidRPr="00406AEC">
              <w:rPr>
                <w:rFonts w:ascii="Times New Roman" w:eastAsia="Times New Roman" w:hAnsi="Times New Roman" w:cs="Times New Roman"/>
                <w:color w:val="000000"/>
                <w:szCs w:val="22"/>
              </w:rPr>
              <w:t xml:space="preserve"> ( Prevention of Relapses and Disability by Interferon beta-1 a Subcutaneous in Multiple Sclerosis) Study Group. Lancet 352 (9139): 1498-1504.</w:t>
            </w:r>
          </w:p>
        </w:tc>
      </w:tr>
      <w:tr w:rsidR="00406AEC" w:rsidRPr="00406AEC" w14:paraId="10723738" w14:textId="77777777" w:rsidTr="00406AEC">
        <w:trPr>
          <w:trHeight w:val="300"/>
        </w:trPr>
        <w:tc>
          <w:tcPr>
            <w:tcW w:w="9360" w:type="dxa"/>
            <w:tcBorders>
              <w:top w:val="nil"/>
              <w:left w:val="nil"/>
              <w:bottom w:val="nil"/>
              <w:right w:val="nil"/>
            </w:tcBorders>
            <w:shd w:val="clear" w:color="auto" w:fill="auto"/>
            <w:noWrap/>
            <w:vAlign w:val="bottom"/>
            <w:hideMark/>
          </w:tcPr>
          <w:p w14:paraId="0B45D11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(1999) Evidence of interferon beta-1a dose response in relapsing-remitting MS: the OWIMS Study. The Once Weekly Interferon for MS Study Group. Neurology 53 (4): 679-686.</w:t>
            </w:r>
          </w:p>
        </w:tc>
      </w:tr>
      <w:tr w:rsidR="00406AEC" w:rsidRPr="00406AEC" w14:paraId="5AD23994" w14:textId="77777777" w:rsidTr="00406AEC">
        <w:trPr>
          <w:trHeight w:val="300"/>
        </w:trPr>
        <w:tc>
          <w:tcPr>
            <w:tcW w:w="9360" w:type="dxa"/>
            <w:tcBorders>
              <w:top w:val="nil"/>
              <w:left w:val="nil"/>
              <w:bottom w:val="nil"/>
              <w:right w:val="nil"/>
            </w:tcBorders>
            <w:shd w:val="clear" w:color="auto" w:fill="auto"/>
            <w:noWrap/>
            <w:vAlign w:val="bottom"/>
            <w:hideMark/>
          </w:tcPr>
          <w:p w14:paraId="08BD221C"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(1999) Evidence of interferon beta-1a dose response in relapsing-remitting MS: the OWIMS Study. The Once Weekly Interferon for MS Study Group. Neurology 53 (4): 679-686.</w:t>
            </w:r>
          </w:p>
        </w:tc>
      </w:tr>
      <w:tr w:rsidR="00406AEC" w:rsidRPr="00406AEC" w14:paraId="34789311" w14:textId="77777777" w:rsidTr="00406AEC">
        <w:trPr>
          <w:trHeight w:val="300"/>
        </w:trPr>
        <w:tc>
          <w:tcPr>
            <w:tcW w:w="9360" w:type="dxa"/>
            <w:tcBorders>
              <w:top w:val="nil"/>
              <w:left w:val="nil"/>
              <w:bottom w:val="nil"/>
              <w:right w:val="nil"/>
            </w:tcBorders>
            <w:shd w:val="clear" w:color="auto" w:fill="auto"/>
            <w:noWrap/>
            <w:vAlign w:val="bottom"/>
            <w:hideMark/>
          </w:tcPr>
          <w:p w14:paraId="4DF7BF7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(2001) Interferon beta-</w:t>
            </w:r>
            <w:proofErr w:type="spellStart"/>
            <w:r w:rsidRPr="00406AEC">
              <w:rPr>
                <w:rFonts w:ascii="Times New Roman" w:eastAsia="Times New Roman" w:hAnsi="Times New Roman" w:cs="Times New Roman"/>
                <w:color w:val="000000"/>
                <w:szCs w:val="22"/>
              </w:rPr>
              <w:t>lb</w:t>
            </w:r>
            <w:proofErr w:type="spellEnd"/>
            <w:r w:rsidRPr="00406AEC">
              <w:rPr>
                <w:rFonts w:ascii="Times New Roman" w:eastAsia="Times New Roman" w:hAnsi="Times New Roman" w:cs="Times New Roman"/>
                <w:color w:val="000000"/>
                <w:szCs w:val="22"/>
              </w:rPr>
              <w:t xml:space="preserve"> is effective in relapsing-remitting multiple sclerosis. I. Clinical results of a multicenter, randomized, double-blind, placebo-controlled trial. 1993. Neurology 57 (12 Suppl 5): S3-9.</w:t>
            </w:r>
          </w:p>
        </w:tc>
      </w:tr>
      <w:tr w:rsidR="00406AEC" w:rsidRPr="00406AEC" w14:paraId="1C71EA56" w14:textId="77777777" w:rsidTr="00406AEC">
        <w:trPr>
          <w:trHeight w:val="300"/>
        </w:trPr>
        <w:tc>
          <w:tcPr>
            <w:tcW w:w="9360" w:type="dxa"/>
            <w:tcBorders>
              <w:top w:val="nil"/>
              <w:left w:val="nil"/>
              <w:bottom w:val="nil"/>
              <w:right w:val="nil"/>
            </w:tcBorders>
            <w:shd w:val="clear" w:color="auto" w:fill="auto"/>
            <w:noWrap/>
            <w:vAlign w:val="bottom"/>
            <w:hideMark/>
          </w:tcPr>
          <w:p w14:paraId="10AEC96C"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(2001) Interferon beta-</w:t>
            </w:r>
            <w:proofErr w:type="spellStart"/>
            <w:r w:rsidRPr="00406AEC">
              <w:rPr>
                <w:rFonts w:ascii="Times New Roman" w:eastAsia="Times New Roman" w:hAnsi="Times New Roman" w:cs="Times New Roman"/>
                <w:color w:val="000000"/>
                <w:szCs w:val="22"/>
              </w:rPr>
              <w:t>lb</w:t>
            </w:r>
            <w:proofErr w:type="spellEnd"/>
            <w:r w:rsidRPr="00406AEC">
              <w:rPr>
                <w:rFonts w:ascii="Times New Roman" w:eastAsia="Times New Roman" w:hAnsi="Times New Roman" w:cs="Times New Roman"/>
                <w:color w:val="000000"/>
                <w:szCs w:val="22"/>
              </w:rPr>
              <w:t xml:space="preserve"> is effective in relapsing-remitting multiple sclerosis. I. Clinical results of a multicenter, randomized, double-blind, placebo-controlled trial. 1993 [classical article]. Neurology 57 (12 Suppl 5): S3-9.</w:t>
            </w:r>
          </w:p>
        </w:tc>
      </w:tr>
      <w:tr w:rsidR="00406AEC" w:rsidRPr="00406AEC" w14:paraId="45BF52F2" w14:textId="77777777" w:rsidTr="00406AEC">
        <w:trPr>
          <w:trHeight w:val="300"/>
        </w:trPr>
        <w:tc>
          <w:tcPr>
            <w:tcW w:w="9360" w:type="dxa"/>
            <w:tcBorders>
              <w:top w:val="nil"/>
              <w:left w:val="nil"/>
              <w:bottom w:val="nil"/>
              <w:right w:val="nil"/>
            </w:tcBorders>
            <w:shd w:val="clear" w:color="auto" w:fill="auto"/>
            <w:noWrap/>
            <w:vAlign w:val="bottom"/>
            <w:hideMark/>
          </w:tcPr>
          <w:p w14:paraId="59379E43"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(2012) Placebo-controlled phase 3 study of oral BG-12 for relapsing multiple sclerosis (New England Journal of Medicine (2012) 367, (1098-1107)). New England Journal of Medicine 367 (24): 2362.</w:t>
            </w:r>
          </w:p>
        </w:tc>
      </w:tr>
      <w:tr w:rsidR="00406AEC" w:rsidRPr="00406AEC" w14:paraId="774A2632" w14:textId="77777777" w:rsidTr="00406AEC">
        <w:trPr>
          <w:trHeight w:val="300"/>
        </w:trPr>
        <w:tc>
          <w:tcPr>
            <w:tcW w:w="9360" w:type="dxa"/>
            <w:tcBorders>
              <w:top w:val="nil"/>
              <w:left w:val="nil"/>
              <w:bottom w:val="nil"/>
              <w:right w:val="nil"/>
            </w:tcBorders>
            <w:shd w:val="clear" w:color="auto" w:fill="auto"/>
            <w:noWrap/>
            <w:vAlign w:val="bottom"/>
            <w:hideMark/>
          </w:tcPr>
          <w:p w14:paraId="57DDE94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(2012) Placebo-controlled phase 3 study of oral BG-12 or glatiramer in multiple sclerosis (New England Journal of Medicine (2012) 367 (1087-1097)). New England Journal of Medicine 367 (17): 1673.</w:t>
            </w:r>
          </w:p>
        </w:tc>
      </w:tr>
      <w:tr w:rsidR="00406AEC" w:rsidRPr="00406AEC" w14:paraId="3C9ACE80" w14:textId="77777777" w:rsidTr="00406AEC">
        <w:trPr>
          <w:trHeight w:val="300"/>
        </w:trPr>
        <w:tc>
          <w:tcPr>
            <w:tcW w:w="9360" w:type="dxa"/>
            <w:tcBorders>
              <w:top w:val="nil"/>
              <w:left w:val="nil"/>
              <w:bottom w:val="nil"/>
              <w:right w:val="nil"/>
            </w:tcBorders>
            <w:shd w:val="clear" w:color="auto" w:fill="auto"/>
            <w:noWrap/>
            <w:vAlign w:val="bottom"/>
            <w:hideMark/>
          </w:tcPr>
          <w:p w14:paraId="72A8463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(2016) Efficacy and Safety of Ofatumumab Compared to Teriflunomide in Patients With Relapsing Multiple Sclerosis. https://clinicaltrialsgov/show/NCT02792218 </w:t>
            </w:r>
          </w:p>
        </w:tc>
      </w:tr>
      <w:tr w:rsidR="00406AEC" w:rsidRPr="00406AEC" w14:paraId="4871C292" w14:textId="77777777" w:rsidTr="00406AEC">
        <w:trPr>
          <w:trHeight w:val="300"/>
        </w:trPr>
        <w:tc>
          <w:tcPr>
            <w:tcW w:w="9360" w:type="dxa"/>
            <w:tcBorders>
              <w:top w:val="nil"/>
              <w:left w:val="nil"/>
              <w:bottom w:val="nil"/>
              <w:right w:val="nil"/>
            </w:tcBorders>
            <w:shd w:val="clear" w:color="auto" w:fill="auto"/>
            <w:noWrap/>
            <w:vAlign w:val="bottom"/>
            <w:hideMark/>
          </w:tcPr>
          <w:p w14:paraId="19F0DD9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Efficacy of cladribine tablets 3.5 mg/kg in patients with highly active relapsing multiple sclerosis (RMS): pooled analysis of the double-blind cohort from CLARITY and ONWARD. European journal of neurology Conference: 4th Congress of the European Academy of Neurology, EAN 2018. Portugal. 25 (Supplement 2): 332.</w:t>
            </w:r>
          </w:p>
        </w:tc>
      </w:tr>
      <w:tr w:rsidR="00406AEC" w:rsidRPr="00406AEC" w14:paraId="3A4F6946" w14:textId="77777777" w:rsidTr="00406AEC">
        <w:trPr>
          <w:trHeight w:val="300"/>
        </w:trPr>
        <w:tc>
          <w:tcPr>
            <w:tcW w:w="9360" w:type="dxa"/>
            <w:tcBorders>
              <w:top w:val="nil"/>
              <w:left w:val="nil"/>
              <w:bottom w:val="nil"/>
              <w:right w:val="nil"/>
            </w:tcBorders>
            <w:shd w:val="clear" w:color="auto" w:fill="auto"/>
            <w:noWrap/>
            <w:vAlign w:val="bottom"/>
            <w:hideMark/>
          </w:tcPr>
          <w:p w14:paraId="4F42374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(2018) Reduced brain atrophy rates are associated with lower risk of disability progression in patients with relapsing multiple sclerosis treated with cladribine tablets.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24 (2): 222-226.</w:t>
            </w:r>
          </w:p>
        </w:tc>
      </w:tr>
      <w:tr w:rsidR="00406AEC" w:rsidRPr="00406AEC" w14:paraId="26C5127C" w14:textId="77777777" w:rsidTr="00406AEC">
        <w:trPr>
          <w:trHeight w:val="300"/>
        </w:trPr>
        <w:tc>
          <w:tcPr>
            <w:tcW w:w="9360" w:type="dxa"/>
            <w:tcBorders>
              <w:top w:val="nil"/>
              <w:left w:val="nil"/>
              <w:bottom w:val="nil"/>
              <w:right w:val="nil"/>
            </w:tcBorders>
            <w:shd w:val="clear" w:color="auto" w:fill="auto"/>
            <w:noWrap/>
            <w:vAlign w:val="bottom"/>
            <w:hideMark/>
          </w:tcPr>
          <w:p w14:paraId="13866B0A"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Efficacy of cladribine tablets in patients with highly active relapsing-remitting multiple sclerosis: analysis of pooled double-blind data from the clarity and onward studies. Neurology and Therapy 8 S7-S8.</w:t>
            </w:r>
          </w:p>
        </w:tc>
      </w:tr>
      <w:tr w:rsidR="00406AEC" w:rsidRPr="00406AEC" w14:paraId="7B32824F" w14:textId="77777777" w:rsidTr="00406AEC">
        <w:trPr>
          <w:trHeight w:val="300"/>
        </w:trPr>
        <w:tc>
          <w:tcPr>
            <w:tcW w:w="9360" w:type="dxa"/>
            <w:tcBorders>
              <w:top w:val="nil"/>
              <w:left w:val="nil"/>
              <w:bottom w:val="nil"/>
              <w:right w:val="nil"/>
            </w:tcBorders>
            <w:shd w:val="clear" w:color="auto" w:fill="auto"/>
            <w:noWrap/>
            <w:vAlign w:val="bottom"/>
            <w:hideMark/>
          </w:tcPr>
          <w:p w14:paraId="7162ED32"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An exploratory analysis of the efficacy of cladribine tablets in patients with RMS stratified according to age above and below 45 years in clarity. Multiple sclerosis journal 25 45-46.</w:t>
            </w:r>
          </w:p>
        </w:tc>
      </w:tr>
      <w:tr w:rsidR="00406AEC" w:rsidRPr="00406AEC" w14:paraId="242B5038" w14:textId="77777777" w:rsidTr="00406AEC">
        <w:trPr>
          <w:trHeight w:val="300"/>
        </w:trPr>
        <w:tc>
          <w:tcPr>
            <w:tcW w:w="9360" w:type="dxa"/>
            <w:tcBorders>
              <w:top w:val="nil"/>
              <w:left w:val="nil"/>
              <w:bottom w:val="nil"/>
              <w:right w:val="nil"/>
            </w:tcBorders>
            <w:shd w:val="clear" w:color="auto" w:fill="auto"/>
            <w:noWrap/>
            <w:vAlign w:val="bottom"/>
            <w:hideMark/>
          </w:tcPr>
          <w:p w14:paraId="5BBE074F"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Afolabi D, Albor C, Zalewski L, Altmann DR, Baker D et al. (2018) Positive impact of cladribine on quality of life in people with relapsing multiple sclerosis. Multiple sclerosis journal 24 (11): 1461-1468.</w:t>
            </w:r>
          </w:p>
        </w:tc>
      </w:tr>
      <w:tr w:rsidR="00406AEC" w:rsidRPr="00406AEC" w14:paraId="289B580D" w14:textId="77777777" w:rsidTr="00406AEC">
        <w:trPr>
          <w:trHeight w:val="300"/>
        </w:trPr>
        <w:tc>
          <w:tcPr>
            <w:tcW w:w="9360" w:type="dxa"/>
            <w:tcBorders>
              <w:top w:val="nil"/>
              <w:left w:val="nil"/>
              <w:bottom w:val="nil"/>
              <w:right w:val="nil"/>
            </w:tcBorders>
            <w:shd w:val="clear" w:color="auto" w:fill="auto"/>
            <w:noWrap/>
            <w:vAlign w:val="bottom"/>
            <w:hideMark/>
          </w:tcPr>
          <w:p w14:paraId="2CB14B1D"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Arnold DL, Fox RJ, Gold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Kappos L et al. (2014) 4-year follow-up of delayed-release dimethyl fumarate treatment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(RRMS): Integrated MRI outcomes from DEFINE, CONFIRM, and the ENDORSE extension study. European journal of neurology 21 (130): </w:t>
            </w:r>
          </w:p>
        </w:tc>
      </w:tr>
      <w:tr w:rsidR="00406AEC" w:rsidRPr="00406AEC" w14:paraId="583CA234" w14:textId="77777777" w:rsidTr="00406AEC">
        <w:trPr>
          <w:trHeight w:val="300"/>
        </w:trPr>
        <w:tc>
          <w:tcPr>
            <w:tcW w:w="9360" w:type="dxa"/>
            <w:tcBorders>
              <w:top w:val="nil"/>
              <w:left w:val="nil"/>
              <w:bottom w:val="nil"/>
              <w:right w:val="nil"/>
            </w:tcBorders>
            <w:shd w:val="clear" w:color="auto" w:fill="auto"/>
            <w:noWrap/>
            <w:vAlign w:val="bottom"/>
            <w:hideMark/>
          </w:tcPr>
          <w:p w14:paraId="6A8DAD42"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Cadavid D, Wolansky LJ, Skurnick J, Lincoln J, Cheriyan J et al. (2009) Efficacy of treatment of MS with IFNbeta2-1b or glatiramer acetate by monthly brain MRI in the BECOME study. Neurology 72 (23): 1976-1983.</w:t>
            </w:r>
          </w:p>
        </w:tc>
      </w:tr>
      <w:tr w:rsidR="00406AEC" w:rsidRPr="00406AEC" w14:paraId="6D7D235A" w14:textId="77777777" w:rsidTr="00406AEC">
        <w:trPr>
          <w:trHeight w:val="300"/>
        </w:trPr>
        <w:tc>
          <w:tcPr>
            <w:tcW w:w="9360" w:type="dxa"/>
            <w:tcBorders>
              <w:top w:val="nil"/>
              <w:left w:val="nil"/>
              <w:bottom w:val="nil"/>
              <w:right w:val="nil"/>
            </w:tcBorders>
            <w:shd w:val="clear" w:color="auto" w:fill="auto"/>
            <w:noWrap/>
            <w:vAlign w:val="bottom"/>
            <w:hideMark/>
          </w:tcPr>
          <w:p w14:paraId="29278DF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Chan A, Phillips JT, Fox RJ, Zhang A, </w:t>
            </w:r>
            <w:proofErr w:type="spellStart"/>
            <w:r w:rsidRPr="00406AEC">
              <w:rPr>
                <w:rFonts w:ascii="Times New Roman" w:eastAsia="Times New Roman" w:hAnsi="Times New Roman" w:cs="Times New Roman"/>
                <w:color w:val="000000"/>
                <w:szCs w:val="22"/>
              </w:rPr>
              <w:t>Okwuokenye</w:t>
            </w:r>
            <w:proofErr w:type="spellEnd"/>
            <w:r w:rsidRPr="00406AEC">
              <w:rPr>
                <w:rFonts w:ascii="Times New Roman" w:eastAsia="Times New Roman" w:hAnsi="Times New Roman" w:cs="Times New Roman"/>
                <w:color w:val="000000"/>
                <w:szCs w:val="22"/>
              </w:rPr>
              <w:t xml:space="preserve"> M et al. Differential recovery from relapse between treatment groups in the CONFIRM study of delayed-release dimethyl fumarate.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110.</w:t>
            </w:r>
          </w:p>
        </w:tc>
      </w:tr>
      <w:tr w:rsidR="00406AEC" w:rsidRPr="00406AEC" w14:paraId="5499666A" w14:textId="77777777" w:rsidTr="00406AEC">
        <w:trPr>
          <w:trHeight w:val="300"/>
        </w:trPr>
        <w:tc>
          <w:tcPr>
            <w:tcW w:w="9360" w:type="dxa"/>
            <w:tcBorders>
              <w:top w:val="nil"/>
              <w:left w:val="nil"/>
              <w:bottom w:val="nil"/>
              <w:right w:val="nil"/>
            </w:tcBorders>
            <w:shd w:val="clear" w:color="auto" w:fill="auto"/>
            <w:noWrap/>
            <w:vAlign w:val="bottom"/>
            <w:hideMark/>
          </w:tcPr>
          <w:p w14:paraId="74C2148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Chan A, Phillips JT, Fox RJ, Zhang A, Potts J et al. (2015) Differential recovery from relapse between treatment groups in the CONFIRM study of delayed-release dimethyl fumarate. European journal of neurology 22 (297): </w:t>
            </w:r>
          </w:p>
        </w:tc>
      </w:tr>
      <w:tr w:rsidR="00406AEC" w:rsidRPr="00406AEC" w14:paraId="7F318A00" w14:textId="77777777" w:rsidTr="00406AEC">
        <w:trPr>
          <w:trHeight w:val="300"/>
        </w:trPr>
        <w:tc>
          <w:tcPr>
            <w:tcW w:w="9360" w:type="dxa"/>
            <w:tcBorders>
              <w:top w:val="nil"/>
              <w:left w:val="nil"/>
              <w:bottom w:val="nil"/>
              <w:right w:val="nil"/>
            </w:tcBorders>
            <w:shd w:val="clear" w:color="auto" w:fill="auto"/>
            <w:noWrap/>
            <w:vAlign w:val="bottom"/>
            <w:hideMark/>
          </w:tcPr>
          <w:p w14:paraId="1BFACA59"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Chitnis T, Karlsson G, Haring DA, Ghezzi A, Pohl D et al. (2015) Effect of age on efficacy of fingolimod treatment: young adult patients with multiple sclerosis demonstrate higher relative reduction of relapse rates.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21 (6): 820-.</w:t>
            </w:r>
          </w:p>
        </w:tc>
      </w:tr>
      <w:tr w:rsidR="00406AEC" w:rsidRPr="00406AEC" w14:paraId="4383B76A" w14:textId="77777777" w:rsidTr="00406AEC">
        <w:trPr>
          <w:trHeight w:val="300"/>
        </w:trPr>
        <w:tc>
          <w:tcPr>
            <w:tcW w:w="9360" w:type="dxa"/>
            <w:tcBorders>
              <w:top w:val="nil"/>
              <w:left w:val="nil"/>
              <w:bottom w:val="nil"/>
              <w:right w:val="nil"/>
            </w:tcBorders>
            <w:shd w:val="clear" w:color="auto" w:fill="auto"/>
            <w:noWrap/>
            <w:vAlign w:val="bottom"/>
            <w:hideMark/>
          </w:tcPr>
          <w:p w14:paraId="2A8821C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Comi G, Arnold DL, Bar-Or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et al. (2019) Efficacy and safety of ozanimod in multiple sclerosis: Dose-blinded extension of a randomized phase II study. Multiple sclerosis journal 25 (9): 1255-1262.</w:t>
            </w:r>
          </w:p>
        </w:tc>
      </w:tr>
      <w:tr w:rsidR="00406AEC" w:rsidRPr="00406AEC" w14:paraId="00E70F4B" w14:textId="77777777" w:rsidTr="00406AEC">
        <w:trPr>
          <w:trHeight w:val="300"/>
        </w:trPr>
        <w:tc>
          <w:tcPr>
            <w:tcW w:w="9360" w:type="dxa"/>
            <w:tcBorders>
              <w:top w:val="nil"/>
              <w:left w:val="nil"/>
              <w:bottom w:val="nil"/>
              <w:right w:val="nil"/>
            </w:tcBorders>
            <w:shd w:val="clear" w:color="auto" w:fill="auto"/>
            <w:noWrap/>
            <w:vAlign w:val="bottom"/>
            <w:hideMark/>
          </w:tcPr>
          <w:p w14:paraId="2F20303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Arnold DL, Cree BA, Kappos L,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et al. (2018) Ozanimod demonstrates efficacy and safety in a phase 3 trial of relapsing multiple sclerosis (SUNBEAM). Multiple sclerosis journal 24 (1): 20-21.</w:t>
            </w:r>
          </w:p>
        </w:tc>
      </w:tr>
      <w:tr w:rsidR="00406AEC" w:rsidRPr="00406AEC" w14:paraId="7E151513" w14:textId="77777777" w:rsidTr="00406AEC">
        <w:trPr>
          <w:trHeight w:val="300"/>
        </w:trPr>
        <w:tc>
          <w:tcPr>
            <w:tcW w:w="9360" w:type="dxa"/>
            <w:tcBorders>
              <w:top w:val="nil"/>
              <w:left w:val="nil"/>
              <w:bottom w:val="nil"/>
              <w:right w:val="nil"/>
            </w:tcBorders>
            <w:shd w:val="clear" w:color="auto" w:fill="auto"/>
            <w:noWrap/>
            <w:vAlign w:val="bottom"/>
            <w:hideMark/>
          </w:tcPr>
          <w:p w14:paraId="3B426B2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Cree BAC, Goldman MD, Corboy JR, Singer BA, Fox EJ et al. (2021) Efficacy and Safety of 2 Fingolimod Doses vs Glatiramer Acetate for the Treatment of Patients with Relapsing-Remitting Multiple Sclerosis: A Randomized Clinical Trial. JAMA neurology 78 (1): 48-60.</w:t>
            </w:r>
          </w:p>
        </w:tc>
      </w:tr>
      <w:tr w:rsidR="00406AEC" w:rsidRPr="00406AEC" w14:paraId="02178694" w14:textId="77777777" w:rsidTr="00406AEC">
        <w:trPr>
          <w:trHeight w:val="300"/>
        </w:trPr>
        <w:tc>
          <w:tcPr>
            <w:tcW w:w="9360" w:type="dxa"/>
            <w:tcBorders>
              <w:top w:val="nil"/>
              <w:left w:val="nil"/>
              <w:bottom w:val="nil"/>
              <w:right w:val="nil"/>
            </w:tcBorders>
            <w:shd w:val="clear" w:color="auto" w:fill="auto"/>
            <w:noWrap/>
            <w:vAlign w:val="bottom"/>
            <w:hideMark/>
          </w:tcPr>
          <w:p w14:paraId="09D66CC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BAC, Kappos L, Freedman MS, Cohen JA, Sprenger T et al. (2016) Long-term effects of fingolimod on no evidence of disease activity (NEDA) by year of treatment. Multiple Sclerosis 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NP22.</w:t>
            </w:r>
          </w:p>
        </w:tc>
      </w:tr>
      <w:tr w:rsidR="00406AEC" w:rsidRPr="00406AEC" w14:paraId="223A5BEE" w14:textId="77777777" w:rsidTr="00406AEC">
        <w:trPr>
          <w:trHeight w:val="300"/>
        </w:trPr>
        <w:tc>
          <w:tcPr>
            <w:tcW w:w="9360" w:type="dxa"/>
            <w:tcBorders>
              <w:top w:val="nil"/>
              <w:left w:val="nil"/>
              <w:bottom w:val="nil"/>
              <w:right w:val="nil"/>
            </w:tcBorders>
            <w:shd w:val="clear" w:color="auto" w:fill="auto"/>
            <w:noWrap/>
            <w:vAlign w:val="bottom"/>
            <w:hideMark/>
          </w:tcPr>
          <w:p w14:paraId="5B929A6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Daniels GH, Vladic A, Brinar V, </w:t>
            </w:r>
            <w:proofErr w:type="spellStart"/>
            <w:r w:rsidRPr="00406AEC">
              <w:rPr>
                <w:rFonts w:ascii="Times New Roman" w:eastAsia="Times New Roman" w:hAnsi="Times New Roman" w:cs="Times New Roman"/>
                <w:color w:val="000000"/>
                <w:szCs w:val="22"/>
              </w:rPr>
              <w:t>Zavalishin</w:t>
            </w:r>
            <w:proofErr w:type="spellEnd"/>
            <w:r w:rsidRPr="00406AEC">
              <w:rPr>
                <w:rFonts w:ascii="Times New Roman" w:eastAsia="Times New Roman" w:hAnsi="Times New Roman" w:cs="Times New Roman"/>
                <w:color w:val="000000"/>
                <w:szCs w:val="22"/>
              </w:rPr>
              <w:t xml:space="preserve"> I, Valente W et al. (2014) Alemtuzumab-related thyroid dysfunction in a phase 2 trial of patients with relapsing-remitting multiple sclerosis. Journal of Clinical Endocrinology and Metabolism 99 (1): 80-89.</w:t>
            </w:r>
          </w:p>
        </w:tc>
      </w:tr>
      <w:tr w:rsidR="00406AEC" w:rsidRPr="00406AEC" w14:paraId="06E99E53" w14:textId="77777777" w:rsidTr="00406AEC">
        <w:trPr>
          <w:trHeight w:val="300"/>
        </w:trPr>
        <w:tc>
          <w:tcPr>
            <w:tcW w:w="9360" w:type="dxa"/>
            <w:tcBorders>
              <w:top w:val="nil"/>
              <w:left w:val="nil"/>
              <w:bottom w:val="nil"/>
              <w:right w:val="nil"/>
            </w:tcBorders>
            <w:shd w:val="clear" w:color="auto" w:fill="auto"/>
            <w:noWrap/>
            <w:vAlign w:val="bottom"/>
            <w:hideMark/>
          </w:tcPr>
          <w:p w14:paraId="33E5834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 Giglio L, Marinelli F, Barletta VT, Pagano VA, De Angelis F et al. (2017) Effect on Cognition of </w:t>
            </w:r>
            <w:proofErr w:type="spellStart"/>
            <w:r w:rsidRPr="00406AEC">
              <w:rPr>
                <w:rFonts w:ascii="Times New Roman" w:eastAsia="Times New Roman" w:hAnsi="Times New Roman" w:cs="Times New Roman"/>
                <w:color w:val="000000"/>
                <w:szCs w:val="22"/>
              </w:rPr>
              <w:t>Estroprogestins</w:t>
            </w:r>
            <w:proofErr w:type="spellEnd"/>
            <w:r w:rsidRPr="00406AEC">
              <w:rPr>
                <w:rFonts w:ascii="Times New Roman" w:eastAsia="Times New Roman" w:hAnsi="Times New Roman" w:cs="Times New Roman"/>
                <w:color w:val="000000"/>
                <w:szCs w:val="22"/>
              </w:rPr>
              <w:t xml:space="preserve"> Combined with Interferon Beta in Multiple Sclerosis: Analysis of Secondary Outcomes from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Controlled Trial. CNS drugs 31 (2): 161-168.</w:t>
            </w:r>
          </w:p>
        </w:tc>
      </w:tr>
      <w:tr w:rsidR="00406AEC" w:rsidRPr="00406AEC" w14:paraId="776938B5" w14:textId="77777777" w:rsidTr="00406AEC">
        <w:trPr>
          <w:trHeight w:val="300"/>
        </w:trPr>
        <w:tc>
          <w:tcPr>
            <w:tcW w:w="9360" w:type="dxa"/>
            <w:tcBorders>
              <w:top w:val="nil"/>
              <w:left w:val="nil"/>
              <w:bottom w:val="nil"/>
              <w:right w:val="nil"/>
            </w:tcBorders>
            <w:shd w:val="clear" w:color="auto" w:fill="auto"/>
            <w:noWrap/>
            <w:vAlign w:val="bottom"/>
            <w:hideMark/>
          </w:tcPr>
          <w:p w14:paraId="4B6B88B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Duquette P, Girard M, </w:t>
            </w:r>
            <w:proofErr w:type="spellStart"/>
            <w:r w:rsidRPr="00406AEC">
              <w:rPr>
                <w:rFonts w:ascii="Times New Roman" w:eastAsia="Times New Roman" w:hAnsi="Times New Roman" w:cs="Times New Roman"/>
                <w:color w:val="000000"/>
                <w:szCs w:val="22"/>
              </w:rPr>
              <w:t>Despault</w:t>
            </w:r>
            <w:proofErr w:type="spellEnd"/>
            <w:r w:rsidRPr="00406AEC">
              <w:rPr>
                <w:rFonts w:ascii="Times New Roman" w:eastAsia="Times New Roman" w:hAnsi="Times New Roman" w:cs="Times New Roman"/>
                <w:color w:val="000000"/>
                <w:szCs w:val="22"/>
              </w:rPr>
              <w:t xml:space="preserve"> L, Dubois R, Knobler RL et al. (2001) Interferon beta-1b is effective in relapsing-remitting multiple sclerosis. I. Clinical results of a multicenter, randomized, double-blind, placebo-controlled trial. Neurology 57 (12 SUPPL. 5): S3-S9.</w:t>
            </w:r>
          </w:p>
        </w:tc>
      </w:tr>
      <w:tr w:rsidR="00406AEC" w:rsidRPr="00406AEC" w14:paraId="26EBF163" w14:textId="77777777" w:rsidTr="00406AEC">
        <w:trPr>
          <w:trHeight w:val="300"/>
        </w:trPr>
        <w:tc>
          <w:tcPr>
            <w:tcW w:w="9360" w:type="dxa"/>
            <w:tcBorders>
              <w:top w:val="nil"/>
              <w:left w:val="nil"/>
              <w:bottom w:val="nil"/>
              <w:right w:val="nil"/>
            </w:tcBorders>
            <w:shd w:val="clear" w:color="auto" w:fill="auto"/>
            <w:noWrap/>
            <w:vAlign w:val="bottom"/>
            <w:hideMark/>
          </w:tcPr>
          <w:p w14:paraId="1AB18299"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DE (2015) Study of efficacy and safety of ofatumumab compared to teriflunomide in patients with relapsing forms of multiple sclerosis. http://wwwwhoint/trialsearch/Trial2aspx?TrialID=EUCTR2015 </w:t>
            </w:r>
          </w:p>
        </w:tc>
      </w:tr>
      <w:tr w:rsidR="00406AEC" w:rsidRPr="00406AEC" w14:paraId="1EE5E212" w14:textId="77777777" w:rsidTr="00406AEC">
        <w:trPr>
          <w:trHeight w:val="300"/>
        </w:trPr>
        <w:tc>
          <w:tcPr>
            <w:tcW w:w="9360" w:type="dxa"/>
            <w:tcBorders>
              <w:top w:val="nil"/>
              <w:left w:val="nil"/>
              <w:bottom w:val="nil"/>
              <w:right w:val="nil"/>
            </w:tcBorders>
            <w:shd w:val="clear" w:color="auto" w:fill="auto"/>
            <w:noWrap/>
            <w:vAlign w:val="bottom"/>
            <w:hideMark/>
          </w:tcPr>
          <w:p w14:paraId="4498399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LT (2009) A clinical study to find out whether Copaxone (glatiramer acetate 40mg/ 1 ml), injected three times a week, is effective and safe for the treatment of multiple sclerosis. The safety and efficacy of Copaxone is compared to placebo (control treatment without therapeutically active drug). http://wwwwhoint/trialsearch/Trial2aspx?TrialID=EUCTR2009 </w:t>
            </w:r>
          </w:p>
        </w:tc>
      </w:tr>
      <w:tr w:rsidR="00406AEC" w:rsidRPr="00406AEC" w14:paraId="549FE2E7" w14:textId="77777777" w:rsidTr="00406AEC">
        <w:trPr>
          <w:trHeight w:val="300"/>
        </w:trPr>
        <w:tc>
          <w:tcPr>
            <w:tcW w:w="9360" w:type="dxa"/>
            <w:tcBorders>
              <w:top w:val="nil"/>
              <w:left w:val="nil"/>
              <w:bottom w:val="nil"/>
              <w:right w:val="nil"/>
            </w:tcBorders>
            <w:shd w:val="clear" w:color="auto" w:fill="auto"/>
            <w:noWrap/>
            <w:vAlign w:val="bottom"/>
            <w:hideMark/>
          </w:tcPr>
          <w:p w14:paraId="741E975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SK (2015) Study of efficacy and safety of ofatumumab compared to teriflunomide in patients with relapsing forms of multiple sclerosis. http://wwwwhoint/trialsearch/Trial2aspx?TrialID=EUCTR2015 </w:t>
            </w:r>
          </w:p>
        </w:tc>
      </w:tr>
      <w:tr w:rsidR="00406AEC" w:rsidRPr="00406AEC" w14:paraId="23CD2A9D" w14:textId="77777777" w:rsidTr="00406AEC">
        <w:trPr>
          <w:trHeight w:val="300"/>
        </w:trPr>
        <w:tc>
          <w:tcPr>
            <w:tcW w:w="9360" w:type="dxa"/>
            <w:tcBorders>
              <w:top w:val="nil"/>
              <w:left w:val="nil"/>
              <w:bottom w:val="nil"/>
              <w:right w:val="nil"/>
            </w:tcBorders>
            <w:shd w:val="clear" w:color="auto" w:fill="auto"/>
            <w:noWrap/>
            <w:vAlign w:val="bottom"/>
            <w:hideMark/>
          </w:tcPr>
          <w:p w14:paraId="14D0A817"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Brod S, Singer BA, Cohen BA, Hayward B et al. (2019) Clinical and MRI efficacy of </w:t>
            </w:r>
            <w:proofErr w:type="spellStart"/>
            <w:r w:rsidRPr="00406AEC">
              <w:rPr>
                <w:rFonts w:ascii="Times New Roman" w:eastAsia="Times New Roman" w:hAnsi="Times New Roman" w:cs="Times New Roman"/>
                <w:color w:val="000000"/>
                <w:szCs w:val="22"/>
              </w:rPr>
              <w:t>sc</w:t>
            </w:r>
            <w:proofErr w:type="spellEnd"/>
            <w:r w:rsidRPr="00406AEC">
              <w:rPr>
                <w:rFonts w:ascii="Times New Roman" w:eastAsia="Times New Roman" w:hAnsi="Times New Roman" w:cs="Times New Roman"/>
                <w:color w:val="000000"/>
                <w:szCs w:val="22"/>
              </w:rPr>
              <w:t xml:space="preserve"> IFN I[superscript digit two]-1a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in patients with relapsing MS appearing to transition to secondary progressive MS: post hoc analyses of PRISMS and SPECTRIMS. Journal of Neurology </w:t>
            </w:r>
          </w:p>
        </w:tc>
      </w:tr>
      <w:tr w:rsidR="00406AEC" w:rsidRPr="00406AEC" w14:paraId="41DB00D0" w14:textId="77777777" w:rsidTr="00406AEC">
        <w:trPr>
          <w:trHeight w:val="300"/>
        </w:trPr>
        <w:tc>
          <w:tcPr>
            <w:tcW w:w="9360" w:type="dxa"/>
            <w:tcBorders>
              <w:top w:val="nil"/>
              <w:left w:val="nil"/>
              <w:bottom w:val="nil"/>
              <w:right w:val="nil"/>
            </w:tcBorders>
            <w:shd w:val="clear" w:color="auto" w:fill="auto"/>
            <w:noWrap/>
            <w:vAlign w:val="bottom"/>
            <w:hideMark/>
          </w:tcPr>
          <w:p w14:paraId="10E87B9D"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Kappos L, Cree BAC, Radue EW, Giovannoni G et al. (2016) Efficacy of fingolimod on no evidence of disease activity (NEDA)-4 in pooled FREEDOMS and FREEDOMS II studies by subgroups of baseline characteristics. Multiple Sclerosis </w:t>
            </w:r>
            <w:r w:rsidRPr="00406AEC">
              <w:rPr>
                <w:rFonts w:ascii="Times New Roman" w:eastAsia="Times New Roman" w:hAnsi="Times New Roman" w:cs="Times New Roman"/>
                <w:color w:val="000000"/>
                <w:szCs w:val="22"/>
              </w:rPr>
              <w:lastRenderedPageBreak/>
              <w:t xml:space="preserve">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NP21.</w:t>
            </w:r>
          </w:p>
        </w:tc>
      </w:tr>
      <w:tr w:rsidR="00406AEC" w:rsidRPr="00406AEC" w14:paraId="68633FB9" w14:textId="77777777" w:rsidTr="00406AEC">
        <w:trPr>
          <w:trHeight w:val="300"/>
        </w:trPr>
        <w:tc>
          <w:tcPr>
            <w:tcW w:w="9360" w:type="dxa"/>
            <w:tcBorders>
              <w:top w:val="nil"/>
              <w:left w:val="nil"/>
              <w:bottom w:val="nil"/>
              <w:right w:val="nil"/>
            </w:tcBorders>
            <w:shd w:val="clear" w:color="auto" w:fill="auto"/>
            <w:noWrap/>
            <w:vAlign w:val="bottom"/>
            <w:hideMark/>
          </w:tcPr>
          <w:p w14:paraId="09BB100C"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Gaetano L, Magon S, Chakravarty M, Kappos L, Sprenger T et al. (2019) Volume loss in deep gray matter and thalamic sub-nuclei in placebo-treated patients with multiple sclerosis in the phase 3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study. Multiple sclerosis journal 25 110-111.</w:t>
            </w:r>
          </w:p>
        </w:tc>
      </w:tr>
      <w:tr w:rsidR="00406AEC" w:rsidRPr="00406AEC" w14:paraId="3F464B68" w14:textId="77777777" w:rsidTr="00406AEC">
        <w:trPr>
          <w:trHeight w:val="300"/>
        </w:trPr>
        <w:tc>
          <w:tcPr>
            <w:tcW w:w="9360" w:type="dxa"/>
            <w:tcBorders>
              <w:top w:val="nil"/>
              <w:left w:val="nil"/>
              <w:bottom w:val="nil"/>
              <w:right w:val="nil"/>
            </w:tcBorders>
            <w:shd w:val="clear" w:color="auto" w:fill="auto"/>
            <w:noWrap/>
            <w:vAlign w:val="bottom"/>
            <w:hideMark/>
          </w:tcPr>
          <w:p w14:paraId="4290923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Comi G, Cook S, Rammohan K, Rieckmann P et al. (2016) Durable efficacy of cladribine tablets in patients with multiple sclerosis: analysis of relapse rates and relapse-free patients in the CLARITY and CLARITY Extension studies. Multiple Sclerosis 22 48-49.</w:t>
            </w:r>
          </w:p>
        </w:tc>
      </w:tr>
      <w:tr w:rsidR="00406AEC" w:rsidRPr="00406AEC" w14:paraId="3332B613" w14:textId="77777777" w:rsidTr="00406AEC">
        <w:trPr>
          <w:trHeight w:val="300"/>
        </w:trPr>
        <w:tc>
          <w:tcPr>
            <w:tcW w:w="9360" w:type="dxa"/>
            <w:tcBorders>
              <w:top w:val="nil"/>
              <w:left w:val="nil"/>
              <w:bottom w:val="nil"/>
              <w:right w:val="nil"/>
            </w:tcBorders>
            <w:shd w:val="clear" w:color="auto" w:fill="auto"/>
            <w:noWrap/>
            <w:vAlign w:val="bottom"/>
            <w:hideMark/>
          </w:tcPr>
          <w:p w14:paraId="06C79F3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Comi G, Cook S, Rammohan K, Rieckmann P et al. (2018) Analysis of relapse rates and relapse-free patients in the CLARITY and CLARITY extension studies. Multiple sclerosis journal 24 (3): 396-.</w:t>
            </w:r>
          </w:p>
        </w:tc>
      </w:tr>
      <w:tr w:rsidR="00406AEC" w:rsidRPr="00406AEC" w14:paraId="322452F0" w14:textId="77777777" w:rsidTr="00406AEC">
        <w:trPr>
          <w:trHeight w:val="300"/>
        </w:trPr>
        <w:tc>
          <w:tcPr>
            <w:tcW w:w="9360" w:type="dxa"/>
            <w:tcBorders>
              <w:top w:val="nil"/>
              <w:left w:val="nil"/>
              <w:bottom w:val="nil"/>
              <w:right w:val="nil"/>
            </w:tcBorders>
            <w:shd w:val="clear" w:color="auto" w:fill="auto"/>
            <w:noWrap/>
            <w:vAlign w:val="bottom"/>
            <w:hideMark/>
          </w:tcPr>
          <w:p w14:paraId="3B7FD53D"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Gold R, Kappos L, Arnold DL, Bar-Or A et al. (2016) Delayed-release dimethyl fumarate and disability assessed by the Multiple Sclerosis Functional Composite: integrated analysis of DEFINE and CONFIRM. Multiple Sclerosis Journal Experimental, Translational and Clinical 2 (no pagination): </w:t>
            </w:r>
          </w:p>
        </w:tc>
      </w:tr>
      <w:tr w:rsidR="00406AEC" w:rsidRPr="00406AEC" w14:paraId="153D8B7B" w14:textId="77777777" w:rsidTr="00406AEC">
        <w:trPr>
          <w:trHeight w:val="300"/>
        </w:trPr>
        <w:tc>
          <w:tcPr>
            <w:tcW w:w="9360" w:type="dxa"/>
            <w:tcBorders>
              <w:top w:val="nil"/>
              <w:left w:val="nil"/>
              <w:bottom w:val="nil"/>
              <w:right w:val="nil"/>
            </w:tcBorders>
            <w:shd w:val="clear" w:color="auto" w:fill="auto"/>
            <w:noWrap/>
            <w:vAlign w:val="bottom"/>
            <w:hideMark/>
          </w:tcPr>
          <w:p w14:paraId="368E897F"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Rammohan K, Cook S, Comi G, Rieckmann P et al. (2017) Efficacy of cladribine tablets 3.5 mg/kg in high disease activity (HDA) subgroups of patients with relapsing multiple sclerosis (RMS) in the CLARITY study.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17 (1): 169-170.</w:t>
            </w:r>
          </w:p>
        </w:tc>
      </w:tr>
      <w:tr w:rsidR="00406AEC" w:rsidRPr="00406AEC" w14:paraId="67176B4A" w14:textId="77777777" w:rsidTr="00406AEC">
        <w:trPr>
          <w:trHeight w:val="300"/>
        </w:trPr>
        <w:tc>
          <w:tcPr>
            <w:tcW w:w="9360" w:type="dxa"/>
            <w:tcBorders>
              <w:top w:val="nil"/>
              <w:left w:val="nil"/>
              <w:bottom w:val="nil"/>
              <w:right w:val="nil"/>
            </w:tcBorders>
            <w:shd w:val="clear" w:color="auto" w:fill="auto"/>
            <w:noWrap/>
            <w:vAlign w:val="bottom"/>
            <w:hideMark/>
          </w:tcPr>
          <w:p w14:paraId="751CA5F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Rammohan K, Cook S, Comi G, Rieckmann P et al. (2018) Efficacy of cladribine tablets 3.5 mg/kg in high disease activity (HDA) subgroups of patients with relapsing multiple sclerosis (RMS) in the CLARITY study. Multiple sclerosis journal 24 (2): NP6-.</w:t>
            </w:r>
          </w:p>
        </w:tc>
      </w:tr>
      <w:tr w:rsidR="00406AEC" w:rsidRPr="00406AEC" w14:paraId="1189361F" w14:textId="77777777" w:rsidTr="00406AEC">
        <w:trPr>
          <w:trHeight w:val="300"/>
        </w:trPr>
        <w:tc>
          <w:tcPr>
            <w:tcW w:w="9360" w:type="dxa"/>
            <w:tcBorders>
              <w:top w:val="nil"/>
              <w:left w:val="nil"/>
              <w:bottom w:val="nil"/>
              <w:right w:val="nil"/>
            </w:tcBorders>
            <w:shd w:val="clear" w:color="auto" w:fill="auto"/>
            <w:noWrap/>
            <w:vAlign w:val="bottom"/>
            <w:hideMark/>
          </w:tcPr>
          <w:p w14:paraId="087BD439"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Soelberg Sorensen P, Cook S, Rammohan K, Rieckmann P et al. (2017) Safety and efficacy of cladribine tablets in patients with relapsing-remitting multiple sclerosis: results from the randomized extension trial of the CLARITY study. Multiple sclerosis journal (pagination): </w:t>
            </w:r>
          </w:p>
        </w:tc>
      </w:tr>
      <w:tr w:rsidR="00406AEC" w:rsidRPr="00406AEC" w14:paraId="623E9E61" w14:textId="77777777" w:rsidTr="00406AEC">
        <w:trPr>
          <w:trHeight w:val="300"/>
        </w:trPr>
        <w:tc>
          <w:tcPr>
            <w:tcW w:w="9360" w:type="dxa"/>
            <w:tcBorders>
              <w:top w:val="nil"/>
              <w:left w:val="nil"/>
              <w:bottom w:val="nil"/>
              <w:right w:val="nil"/>
            </w:tcBorders>
            <w:shd w:val="clear" w:color="auto" w:fill="auto"/>
            <w:noWrap/>
            <w:vAlign w:val="bottom"/>
            <w:hideMark/>
          </w:tcPr>
          <w:p w14:paraId="57EE0B91"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Giovannoni G, Phillips JT, Fox RJ, Zhang A et al. (2015) Long-term efficacy of delayed-release dimethyl fumarate in newly diagnosed patients with RRMS: An integrated analysis of define, confirm, and endorse. European journal of neurology 22 (27): </w:t>
            </w:r>
          </w:p>
        </w:tc>
      </w:tr>
      <w:tr w:rsidR="00406AEC" w:rsidRPr="00406AEC" w14:paraId="453CCDA9" w14:textId="77777777" w:rsidTr="00406AEC">
        <w:trPr>
          <w:trHeight w:val="300"/>
        </w:trPr>
        <w:tc>
          <w:tcPr>
            <w:tcW w:w="9360" w:type="dxa"/>
            <w:tcBorders>
              <w:top w:val="nil"/>
              <w:left w:val="nil"/>
              <w:bottom w:val="nil"/>
              <w:right w:val="nil"/>
            </w:tcBorders>
            <w:shd w:val="clear" w:color="auto" w:fill="auto"/>
            <w:noWrap/>
            <w:vAlign w:val="bottom"/>
            <w:hideMark/>
          </w:tcPr>
          <w:p w14:paraId="174ECDE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Gold R, Phillips JT, Bar-Or A, Kappos L, Zhang R et al. (2014) 4-year follow-up of delayed-release dimethyl fumarate treatment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(RRMS): Integrated clinical efficacy data from DEFINE, CONFIRM, and the ENDORSE extension study. European journal of neurology 21 (344): </w:t>
            </w:r>
          </w:p>
        </w:tc>
      </w:tr>
      <w:tr w:rsidR="00406AEC" w:rsidRPr="00406AEC" w14:paraId="565ED5F7" w14:textId="77777777" w:rsidTr="00406AEC">
        <w:trPr>
          <w:trHeight w:val="300"/>
        </w:trPr>
        <w:tc>
          <w:tcPr>
            <w:tcW w:w="9360" w:type="dxa"/>
            <w:tcBorders>
              <w:top w:val="nil"/>
              <w:left w:val="nil"/>
              <w:bottom w:val="nil"/>
              <w:right w:val="nil"/>
            </w:tcBorders>
            <w:shd w:val="clear" w:color="auto" w:fill="auto"/>
            <w:noWrap/>
            <w:vAlign w:val="bottom"/>
            <w:hideMark/>
          </w:tcPr>
          <w:p w14:paraId="48AAAA9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Phillips T, Bar-Or A, Hutchinson M, Kappos L et al. 4-year follow-up of delayed-release dimethyl fumarate treatment in relapsing-remitting multiple sclerosis (RRMS): Integrated clinical efficacy data from define, confirm, and the endorse extension study. Neurology 82 (10 SUPPL. 1): CONFERENCE START: 2014 Apr 2026 CONFERENCE END: 2014 May 2013.</w:t>
            </w:r>
          </w:p>
        </w:tc>
      </w:tr>
      <w:tr w:rsidR="00406AEC" w:rsidRPr="00406AEC" w14:paraId="261F8689" w14:textId="77777777" w:rsidTr="00406AEC">
        <w:trPr>
          <w:trHeight w:val="300"/>
        </w:trPr>
        <w:tc>
          <w:tcPr>
            <w:tcW w:w="9360" w:type="dxa"/>
            <w:tcBorders>
              <w:top w:val="nil"/>
              <w:left w:val="nil"/>
              <w:bottom w:val="nil"/>
              <w:right w:val="nil"/>
            </w:tcBorders>
            <w:shd w:val="clear" w:color="auto" w:fill="auto"/>
            <w:noWrap/>
            <w:vAlign w:val="bottom"/>
            <w:hideMark/>
          </w:tcPr>
          <w:p w14:paraId="0F435BA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Granger CV, Wende K, </w:t>
            </w:r>
            <w:proofErr w:type="spellStart"/>
            <w:r w:rsidRPr="00406AEC">
              <w:rPr>
                <w:rFonts w:ascii="Times New Roman" w:eastAsia="Times New Roman" w:hAnsi="Times New Roman" w:cs="Times New Roman"/>
                <w:color w:val="000000"/>
                <w:szCs w:val="22"/>
              </w:rPr>
              <w:t>Brownscheidle</w:t>
            </w:r>
            <w:proofErr w:type="spellEnd"/>
            <w:r w:rsidRPr="00406AEC">
              <w:rPr>
                <w:rFonts w:ascii="Times New Roman" w:eastAsia="Times New Roman" w:hAnsi="Times New Roman" w:cs="Times New Roman"/>
                <w:color w:val="000000"/>
                <w:szCs w:val="22"/>
              </w:rPr>
              <w:t xml:space="preserve"> CM (2003) Use of the FIMTM instrument in a trial of intramuscular interferon beta-1a for disease progression in relapsing-remitting multiple sclerosis. American Journal of Physical Medicine and Rehabilitation 82 (6): 427-436.</w:t>
            </w:r>
          </w:p>
        </w:tc>
      </w:tr>
      <w:tr w:rsidR="00406AEC" w:rsidRPr="00406AEC" w14:paraId="155F1321" w14:textId="77777777" w:rsidTr="00406AEC">
        <w:trPr>
          <w:trHeight w:val="300"/>
        </w:trPr>
        <w:tc>
          <w:tcPr>
            <w:tcW w:w="9360" w:type="dxa"/>
            <w:tcBorders>
              <w:top w:val="nil"/>
              <w:left w:val="nil"/>
              <w:bottom w:val="nil"/>
              <w:right w:val="nil"/>
            </w:tcBorders>
            <w:shd w:val="clear" w:color="auto" w:fill="auto"/>
            <w:noWrap/>
            <w:vAlign w:val="bottom"/>
            <w:hideMark/>
          </w:tcPr>
          <w:p w14:paraId="2278F51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Graves J, Balcer L, Palmer J, Margolin D, Galetta S (2014) Alemtuzumab improves visual outcomes vs. Subcutaneous interferon beta-1a in patients with active relapsing-remitting </w:t>
            </w:r>
            <w:r w:rsidRPr="00406AEC">
              <w:rPr>
                <w:rFonts w:ascii="Times New Roman" w:eastAsia="Times New Roman" w:hAnsi="Times New Roman" w:cs="Times New Roman"/>
                <w:color w:val="000000"/>
                <w:szCs w:val="22"/>
              </w:rPr>
              <w:lastRenderedPageBreak/>
              <w:t xml:space="preserve">multiple sclerosis (RRMS) who relapsed on prior therapy: analysis from the CARE-MS II study. Neurology 82 (10 SUPPL. 1): </w:t>
            </w:r>
          </w:p>
        </w:tc>
      </w:tr>
      <w:tr w:rsidR="00406AEC" w:rsidRPr="00406AEC" w14:paraId="34C981DE" w14:textId="77777777" w:rsidTr="00406AEC">
        <w:trPr>
          <w:trHeight w:val="300"/>
        </w:trPr>
        <w:tc>
          <w:tcPr>
            <w:tcW w:w="9360" w:type="dxa"/>
            <w:tcBorders>
              <w:top w:val="nil"/>
              <w:left w:val="nil"/>
              <w:bottom w:val="nil"/>
              <w:right w:val="nil"/>
            </w:tcBorders>
            <w:shd w:val="clear" w:color="auto" w:fill="auto"/>
            <w:noWrap/>
            <w:vAlign w:val="bottom"/>
            <w:hideMark/>
          </w:tcPr>
          <w:p w14:paraId="7B6D8D0F"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Group IMSS (2001) Interferon beta-</w:t>
            </w:r>
            <w:proofErr w:type="spellStart"/>
            <w:r w:rsidRPr="00406AEC">
              <w:rPr>
                <w:rFonts w:ascii="Times New Roman" w:eastAsia="Times New Roman" w:hAnsi="Times New Roman" w:cs="Times New Roman"/>
                <w:color w:val="000000"/>
                <w:szCs w:val="22"/>
              </w:rPr>
              <w:t>lb</w:t>
            </w:r>
            <w:proofErr w:type="spellEnd"/>
            <w:r w:rsidRPr="00406AEC">
              <w:rPr>
                <w:rFonts w:ascii="Times New Roman" w:eastAsia="Times New Roman" w:hAnsi="Times New Roman" w:cs="Times New Roman"/>
                <w:color w:val="000000"/>
                <w:szCs w:val="22"/>
              </w:rPr>
              <w:t xml:space="preserve"> is effective in relapsing-remitting multiple sclerosis. I. Clinical results of a multicenter, randomized, double-blind, placebo-controlled trial. 1993. Neurology 57 (12 Suppl 5): S3-S9.</w:t>
            </w:r>
          </w:p>
        </w:tc>
      </w:tr>
      <w:tr w:rsidR="00406AEC" w:rsidRPr="00406AEC" w14:paraId="498B334A" w14:textId="77777777" w:rsidTr="00406AEC">
        <w:trPr>
          <w:trHeight w:val="300"/>
        </w:trPr>
        <w:tc>
          <w:tcPr>
            <w:tcW w:w="9360" w:type="dxa"/>
            <w:tcBorders>
              <w:top w:val="nil"/>
              <w:left w:val="nil"/>
              <w:bottom w:val="nil"/>
              <w:right w:val="nil"/>
            </w:tcBorders>
            <w:shd w:val="clear" w:color="auto" w:fill="auto"/>
            <w:noWrap/>
            <w:vAlign w:val="bottom"/>
            <w:hideMark/>
          </w:tcPr>
          <w:p w14:paraId="3188009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Group PS, the University of British Columbia MSMRIAG (2001) PRISMS-4: long-term efficacy of interferon-beta-1a in relapsing MS. Neurology 56 (12): 1628-1636.</w:t>
            </w:r>
          </w:p>
        </w:tc>
      </w:tr>
      <w:tr w:rsidR="00406AEC" w:rsidRPr="00406AEC" w14:paraId="0E9B1AD5" w14:textId="77777777" w:rsidTr="00406AEC">
        <w:trPr>
          <w:trHeight w:val="300"/>
        </w:trPr>
        <w:tc>
          <w:tcPr>
            <w:tcW w:w="9360" w:type="dxa"/>
            <w:tcBorders>
              <w:top w:val="nil"/>
              <w:left w:val="nil"/>
              <w:bottom w:val="nil"/>
              <w:right w:val="nil"/>
            </w:tcBorders>
            <w:shd w:val="clear" w:color="auto" w:fill="auto"/>
            <w:noWrap/>
            <w:vAlign w:val="bottom"/>
            <w:hideMark/>
          </w:tcPr>
          <w:p w14:paraId="7C3B6B9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Hauser S, Li D, Calabresi P, O'Connor P, Bar-Or A et al. Week 144 results of a phase II, randomized, multicenter trial assessing the safety and efficacy of ocrelizumab in patients with relapsing-remitting multiple sclerosis (RRMS).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7C0F595D" w14:textId="77777777" w:rsidTr="00406AEC">
        <w:trPr>
          <w:trHeight w:val="300"/>
        </w:trPr>
        <w:tc>
          <w:tcPr>
            <w:tcW w:w="9360" w:type="dxa"/>
            <w:tcBorders>
              <w:top w:val="nil"/>
              <w:left w:val="nil"/>
              <w:bottom w:val="nil"/>
              <w:right w:val="nil"/>
            </w:tcBorders>
            <w:shd w:val="clear" w:color="auto" w:fill="auto"/>
            <w:noWrap/>
            <w:vAlign w:val="bottom"/>
            <w:hideMark/>
          </w:tcPr>
          <w:p w14:paraId="6F611FD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Hauser SL, Bar-Or A, Cohen JA, Comi G, Correale J et al. (2020) Ofatumumab versus Teriflunomide in Multiple Sclerosis. New England Journal of Medicine 383 (6): 546.</w:t>
            </w:r>
          </w:p>
        </w:tc>
      </w:tr>
      <w:tr w:rsidR="00406AEC" w:rsidRPr="00406AEC" w14:paraId="14631040" w14:textId="77777777" w:rsidTr="00406AEC">
        <w:trPr>
          <w:trHeight w:val="300"/>
        </w:trPr>
        <w:tc>
          <w:tcPr>
            <w:tcW w:w="9360" w:type="dxa"/>
            <w:tcBorders>
              <w:top w:val="nil"/>
              <w:left w:val="nil"/>
              <w:bottom w:val="nil"/>
              <w:right w:val="nil"/>
            </w:tcBorders>
            <w:shd w:val="clear" w:color="auto" w:fill="auto"/>
            <w:noWrap/>
            <w:vAlign w:val="bottom"/>
            <w:hideMark/>
          </w:tcPr>
          <w:p w14:paraId="73E4321A"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Hauser SL, Kappos L, Montalban X, </w:t>
            </w:r>
            <w:proofErr w:type="spellStart"/>
            <w:r w:rsidRPr="00406AEC">
              <w:rPr>
                <w:rFonts w:ascii="Times New Roman" w:eastAsia="Times New Roman" w:hAnsi="Times New Roman" w:cs="Times New Roman"/>
                <w:color w:val="000000"/>
                <w:szCs w:val="22"/>
              </w:rPr>
              <w:t>Guittari</w:t>
            </w:r>
            <w:proofErr w:type="spellEnd"/>
            <w:r w:rsidRPr="00406AEC">
              <w:rPr>
                <w:rFonts w:ascii="Times New Roman" w:eastAsia="Times New Roman" w:hAnsi="Times New Roman" w:cs="Times New Roman"/>
                <w:color w:val="000000"/>
                <w:szCs w:val="22"/>
              </w:rPr>
              <w:t xml:space="preserve"> CJ, </w:t>
            </w:r>
            <w:proofErr w:type="spellStart"/>
            <w:r w:rsidRPr="00406AEC">
              <w:rPr>
                <w:rFonts w:ascii="Times New Roman" w:eastAsia="Times New Roman" w:hAnsi="Times New Roman" w:cs="Times New Roman"/>
                <w:color w:val="000000"/>
                <w:szCs w:val="22"/>
              </w:rPr>
              <w:t>Koendgen</w:t>
            </w:r>
            <w:proofErr w:type="spellEnd"/>
            <w:r w:rsidRPr="00406AEC">
              <w:rPr>
                <w:rFonts w:ascii="Times New Roman" w:eastAsia="Times New Roman" w:hAnsi="Times New Roman" w:cs="Times New Roman"/>
                <w:color w:val="000000"/>
                <w:szCs w:val="22"/>
              </w:rPr>
              <w:t xml:space="preserve"> H et al. (2017) Safety of ocrelizumab in multiple sclerosis: updated analysis in patients with relapsing and primary progressive multiple sclerosis. Multiple sclerosis journal 23 (3): 324-325.</w:t>
            </w:r>
          </w:p>
        </w:tc>
      </w:tr>
      <w:tr w:rsidR="00406AEC" w:rsidRPr="00406AEC" w14:paraId="57399334" w14:textId="77777777" w:rsidTr="00406AEC">
        <w:trPr>
          <w:trHeight w:val="300"/>
        </w:trPr>
        <w:tc>
          <w:tcPr>
            <w:tcW w:w="9360" w:type="dxa"/>
            <w:tcBorders>
              <w:top w:val="nil"/>
              <w:left w:val="nil"/>
              <w:bottom w:val="nil"/>
              <w:right w:val="nil"/>
            </w:tcBorders>
            <w:shd w:val="clear" w:color="auto" w:fill="auto"/>
            <w:noWrap/>
            <w:vAlign w:val="bottom"/>
            <w:hideMark/>
          </w:tcPr>
          <w:p w14:paraId="3773240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Ho PR, Campbell N, Chang I,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Forrestal F et al. (2018) Effect of natalizumab on disease progression in secondary progressive multiple sclerosis (ASCEND): a phase 3,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trial with an open-label extension. The Lancet Neurology 17 (5): 405-415.</w:t>
            </w:r>
          </w:p>
        </w:tc>
      </w:tr>
      <w:tr w:rsidR="00406AEC" w:rsidRPr="00406AEC" w14:paraId="3092EA61" w14:textId="77777777" w:rsidTr="00406AEC">
        <w:trPr>
          <w:trHeight w:val="300"/>
        </w:trPr>
        <w:tc>
          <w:tcPr>
            <w:tcW w:w="9360" w:type="dxa"/>
            <w:tcBorders>
              <w:top w:val="nil"/>
              <w:left w:val="nil"/>
              <w:bottom w:val="nil"/>
              <w:right w:val="nil"/>
            </w:tcBorders>
            <w:shd w:val="clear" w:color="auto" w:fill="auto"/>
            <w:noWrap/>
            <w:vAlign w:val="bottom"/>
            <w:hideMark/>
          </w:tcPr>
          <w:p w14:paraId="56D1255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Rudick RA, Herndon RM, Richert JR et al. (1996) Intramuscular interferon beta-1a for disease progression in relapsing multiple sclerosis. Annals of Neurology 39 (3): 285-294.</w:t>
            </w:r>
          </w:p>
        </w:tc>
      </w:tr>
      <w:tr w:rsidR="00406AEC" w:rsidRPr="00406AEC" w14:paraId="3080B39A" w14:textId="77777777" w:rsidTr="00406AEC">
        <w:trPr>
          <w:trHeight w:val="300"/>
        </w:trPr>
        <w:tc>
          <w:tcPr>
            <w:tcW w:w="9360" w:type="dxa"/>
            <w:tcBorders>
              <w:top w:val="nil"/>
              <w:left w:val="nil"/>
              <w:bottom w:val="nil"/>
              <w:right w:val="nil"/>
            </w:tcBorders>
            <w:shd w:val="clear" w:color="auto" w:fill="auto"/>
            <w:noWrap/>
            <w:vAlign w:val="bottom"/>
            <w:hideMark/>
          </w:tcPr>
          <w:p w14:paraId="0F36484F"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Brooks BR, Cohen JA, Ford CC, Goldstein J et al. (2001) Copolymer 1 reduces relapse rate and improves disability in relapsing-remitting multiple sclerosis: Results of a phase III multicenter, double-blind, placebo-controlled trial. Neurology 57 (12 SUPPL. 5): S16-S24.</w:t>
            </w:r>
          </w:p>
        </w:tc>
      </w:tr>
      <w:tr w:rsidR="00406AEC" w:rsidRPr="00406AEC" w14:paraId="6E388720" w14:textId="77777777" w:rsidTr="00406AEC">
        <w:trPr>
          <w:trHeight w:val="300"/>
        </w:trPr>
        <w:tc>
          <w:tcPr>
            <w:tcW w:w="9360" w:type="dxa"/>
            <w:tcBorders>
              <w:top w:val="nil"/>
              <w:left w:val="nil"/>
              <w:bottom w:val="nil"/>
              <w:right w:val="nil"/>
            </w:tcBorders>
            <w:shd w:val="clear" w:color="auto" w:fill="auto"/>
            <w:noWrap/>
            <w:vAlign w:val="bottom"/>
            <w:hideMark/>
          </w:tcPr>
          <w:p w14:paraId="5476D79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Brooks BR, Cohen JA, Ford CC, Goldstein J et al. (2001) Extended use of glatiramer acetate (Copaxone) is well tolerated and maintains its clinical effect on multiple sclerosis relapse rate and degree of disability. Neurology 57 (12 SUPPL. 5): S46-S53.</w:t>
            </w:r>
          </w:p>
        </w:tc>
      </w:tr>
      <w:tr w:rsidR="00406AEC" w:rsidRPr="00406AEC" w14:paraId="1325DC86" w14:textId="77777777" w:rsidTr="00406AEC">
        <w:trPr>
          <w:trHeight w:val="300"/>
        </w:trPr>
        <w:tc>
          <w:tcPr>
            <w:tcW w:w="9360" w:type="dxa"/>
            <w:tcBorders>
              <w:top w:val="nil"/>
              <w:left w:val="nil"/>
              <w:bottom w:val="nil"/>
              <w:right w:val="nil"/>
            </w:tcBorders>
            <w:shd w:val="clear" w:color="auto" w:fill="auto"/>
            <w:noWrap/>
            <w:vAlign w:val="bottom"/>
            <w:hideMark/>
          </w:tcPr>
          <w:p w14:paraId="09A4D25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Li DKB, Stove O, Hartung HP, Freedman MS et al. (2016) Safety and efficacy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(BAF312) in patients with relapsing-remitting multiple sclerosis dose-blinded, randomized extension of the phase 2BOLDStudy. JAMA neurology 73 (9): 1089-1098.</w:t>
            </w:r>
          </w:p>
        </w:tc>
      </w:tr>
      <w:tr w:rsidR="00406AEC" w:rsidRPr="00406AEC" w14:paraId="775AAB76" w14:textId="77777777" w:rsidTr="00406AEC">
        <w:trPr>
          <w:trHeight w:val="300"/>
        </w:trPr>
        <w:tc>
          <w:tcPr>
            <w:tcW w:w="9360" w:type="dxa"/>
            <w:tcBorders>
              <w:top w:val="nil"/>
              <w:left w:val="nil"/>
              <w:bottom w:val="nil"/>
              <w:right w:val="nil"/>
            </w:tcBorders>
            <w:shd w:val="clear" w:color="auto" w:fill="auto"/>
            <w:noWrap/>
            <w:vAlign w:val="bottom"/>
            <w:hideMark/>
          </w:tcPr>
          <w:p w14:paraId="2E89CBC2"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O'Connor P, Radue EW, Polman C, Hohlfeld R et al. (2015) Long-term effects of fingolimod in multiple sclerosis. Neurology 84 (15): 1582-1591.</w:t>
            </w:r>
          </w:p>
        </w:tc>
      </w:tr>
      <w:tr w:rsidR="00406AEC" w:rsidRPr="00406AEC" w14:paraId="3F7BB041" w14:textId="77777777" w:rsidTr="00406AEC">
        <w:trPr>
          <w:trHeight w:val="300"/>
        </w:trPr>
        <w:tc>
          <w:tcPr>
            <w:tcW w:w="9360" w:type="dxa"/>
            <w:tcBorders>
              <w:top w:val="nil"/>
              <w:left w:val="nil"/>
              <w:bottom w:val="nil"/>
              <w:right w:val="nil"/>
            </w:tcBorders>
            <w:shd w:val="clear" w:color="auto" w:fill="auto"/>
            <w:noWrap/>
            <w:vAlign w:val="bottom"/>
            <w:hideMark/>
          </w:tcPr>
          <w:p w14:paraId="6C70D3D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Scott T, Newsome S, Sheikh S, Hung S et al. Peginterferon beta-1a may improve recovery following relapses: Data from the pivotal phase 3 advance study in patients with relapsing-remitting multiple sclerosis. Neurology 82 (10 SUPPL. 1): CONFERENCE START: 2014 Apr 2026 CONFERENCE END: 2014 May 2013.</w:t>
            </w:r>
          </w:p>
        </w:tc>
      </w:tr>
      <w:tr w:rsidR="00406AEC" w:rsidRPr="00406AEC" w14:paraId="442C516F" w14:textId="77777777" w:rsidTr="00406AEC">
        <w:trPr>
          <w:trHeight w:val="300"/>
        </w:trPr>
        <w:tc>
          <w:tcPr>
            <w:tcW w:w="9360" w:type="dxa"/>
            <w:tcBorders>
              <w:top w:val="nil"/>
              <w:left w:val="nil"/>
              <w:bottom w:val="nil"/>
              <w:right w:val="nil"/>
            </w:tcBorders>
            <w:shd w:val="clear" w:color="auto" w:fill="auto"/>
            <w:noWrap/>
            <w:vAlign w:val="bottom"/>
            <w:hideMark/>
          </w:tcPr>
          <w:p w14:paraId="07257CA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Kolodny S, Khan O, Rieckmann P, Davis MD, </w:t>
            </w:r>
            <w:proofErr w:type="spellStart"/>
            <w:r w:rsidRPr="00406AEC">
              <w:rPr>
                <w:rFonts w:ascii="Times New Roman" w:eastAsia="Times New Roman" w:hAnsi="Times New Roman" w:cs="Times New Roman"/>
                <w:color w:val="000000"/>
                <w:szCs w:val="22"/>
              </w:rPr>
              <w:t>Ashtamker</w:t>
            </w:r>
            <w:proofErr w:type="spellEnd"/>
            <w:r w:rsidRPr="00406AEC">
              <w:rPr>
                <w:rFonts w:ascii="Times New Roman" w:eastAsia="Times New Roman" w:hAnsi="Times New Roman" w:cs="Times New Roman"/>
                <w:color w:val="000000"/>
                <w:szCs w:val="22"/>
              </w:rPr>
              <w:t xml:space="preserve"> N et al. (2016) Efficacy and safety of a three-times weekly dosing regimen of glatiramer acetate in relapsing-remitting multiple sclerosis patients: 3-year results of the glatiramer acetate low-frequency administration </w:t>
            </w:r>
            <w:r w:rsidRPr="00406AEC">
              <w:rPr>
                <w:rFonts w:ascii="Times New Roman" w:eastAsia="Times New Roman" w:hAnsi="Times New Roman" w:cs="Times New Roman"/>
                <w:color w:val="000000"/>
                <w:szCs w:val="22"/>
              </w:rPr>
              <w:lastRenderedPageBreak/>
              <w:t>(GALA) open-label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22 (3): 417-.</w:t>
            </w:r>
          </w:p>
        </w:tc>
      </w:tr>
      <w:tr w:rsidR="00406AEC" w:rsidRPr="00406AEC" w14:paraId="056A63AC" w14:textId="77777777" w:rsidTr="00406AEC">
        <w:trPr>
          <w:trHeight w:val="300"/>
        </w:trPr>
        <w:tc>
          <w:tcPr>
            <w:tcW w:w="9360" w:type="dxa"/>
            <w:tcBorders>
              <w:top w:val="nil"/>
              <w:left w:val="nil"/>
              <w:bottom w:val="nil"/>
              <w:right w:val="nil"/>
            </w:tcBorders>
            <w:shd w:val="clear" w:color="auto" w:fill="auto"/>
            <w:noWrap/>
            <w:vAlign w:val="bottom"/>
            <w:hideMark/>
          </w:tcPr>
          <w:p w14:paraId="733CFAB2"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Kurukulasuriya NC, Gold R, Phillips JT, Bar-Or A, Hutchinson M et al. Five-year follow-up of delayed-release dimethyl fumarate in RRMS: Integrated clinical efficacy data from the DEFINE, CONFIRM, and ENDORSE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116-117.</w:t>
            </w:r>
          </w:p>
        </w:tc>
      </w:tr>
      <w:tr w:rsidR="00406AEC" w:rsidRPr="00406AEC" w14:paraId="55E5E8DE" w14:textId="77777777" w:rsidTr="00406AEC">
        <w:trPr>
          <w:trHeight w:val="300"/>
        </w:trPr>
        <w:tc>
          <w:tcPr>
            <w:tcW w:w="9360" w:type="dxa"/>
            <w:tcBorders>
              <w:top w:val="nil"/>
              <w:left w:val="nil"/>
              <w:bottom w:val="nil"/>
              <w:right w:val="nil"/>
            </w:tcBorders>
            <w:shd w:val="clear" w:color="auto" w:fill="auto"/>
            <w:noWrap/>
            <w:vAlign w:val="bottom"/>
            <w:hideMark/>
          </w:tcPr>
          <w:p w14:paraId="5D7E6B4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Li DKB, Paty DW (1999) Magnetic resonance imaging results of the PRISMS trial: A randomized, double-blind, placebo-controlled study of interferon-beta1a in relapsing- remitting multiple sclerosis. Annals of Neurology 46 (2): 197-206.</w:t>
            </w:r>
          </w:p>
        </w:tc>
      </w:tr>
      <w:tr w:rsidR="00406AEC" w:rsidRPr="00406AEC" w14:paraId="19FFD0FF" w14:textId="77777777" w:rsidTr="00406AEC">
        <w:trPr>
          <w:trHeight w:val="300"/>
        </w:trPr>
        <w:tc>
          <w:tcPr>
            <w:tcW w:w="9360" w:type="dxa"/>
            <w:tcBorders>
              <w:top w:val="nil"/>
              <w:left w:val="nil"/>
              <w:bottom w:val="nil"/>
              <w:right w:val="nil"/>
            </w:tcBorders>
            <w:shd w:val="clear" w:color="auto" w:fill="auto"/>
            <w:noWrap/>
            <w:vAlign w:val="bottom"/>
            <w:hideMark/>
          </w:tcPr>
          <w:p w14:paraId="70236C5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Miller DH, Molyneux PD, Barker GJ, MacManus DG, Moseley IF et al. (1999) Effect of interferon-beta1b on magnetic resonance imaging outcomes in secondary progressive multiple sclerosis: results of a European multicenter, randomized, double-blind, placebo-controlled trial. European Study Group on Interferon-beta1b in secondary progressive multiple sclerosis. Annals of Neurology 46 (6): 850-859.</w:t>
            </w:r>
          </w:p>
        </w:tc>
      </w:tr>
      <w:tr w:rsidR="00406AEC" w:rsidRPr="00406AEC" w14:paraId="053753DC" w14:textId="77777777" w:rsidTr="00406AEC">
        <w:trPr>
          <w:trHeight w:val="300"/>
        </w:trPr>
        <w:tc>
          <w:tcPr>
            <w:tcW w:w="9360" w:type="dxa"/>
            <w:tcBorders>
              <w:top w:val="nil"/>
              <w:left w:val="nil"/>
              <w:bottom w:val="nil"/>
              <w:right w:val="nil"/>
            </w:tcBorders>
            <w:shd w:val="clear" w:color="auto" w:fill="auto"/>
            <w:noWrap/>
            <w:vAlign w:val="bottom"/>
            <w:hideMark/>
          </w:tcPr>
          <w:p w14:paraId="0601917E"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O'Connor P, Comi G, Freedman MS, Miller AE, Kappos L et al. (2016) Long-term safety and efficacy of teriflunomide: nine-year follow-up of the randomized TEMSO study. Neurology 86 (10): 920-930.</w:t>
            </w:r>
          </w:p>
        </w:tc>
      </w:tr>
      <w:tr w:rsidR="00406AEC" w:rsidRPr="00406AEC" w14:paraId="2284056F" w14:textId="77777777" w:rsidTr="00406AEC">
        <w:trPr>
          <w:trHeight w:val="300"/>
        </w:trPr>
        <w:tc>
          <w:tcPr>
            <w:tcW w:w="9360" w:type="dxa"/>
            <w:tcBorders>
              <w:top w:val="nil"/>
              <w:left w:val="nil"/>
              <w:bottom w:val="nil"/>
              <w:right w:val="nil"/>
            </w:tcBorders>
            <w:shd w:val="clear" w:color="auto" w:fill="auto"/>
            <w:noWrap/>
            <w:vAlign w:val="bottom"/>
            <w:hideMark/>
          </w:tcPr>
          <w:p w14:paraId="3698E48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Ontaneda D, Singer B, Meng X, Hawker K (2016) Early clinical efficacy of fingolimod compared with interferon beta-1a in relapsing multiple sclerosis. Multiple Sclerosis 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NP20-NP21.</w:t>
            </w:r>
          </w:p>
        </w:tc>
      </w:tr>
      <w:tr w:rsidR="00406AEC" w:rsidRPr="00406AEC" w14:paraId="1BBED8AA" w14:textId="77777777" w:rsidTr="00406AEC">
        <w:trPr>
          <w:trHeight w:val="300"/>
        </w:trPr>
        <w:tc>
          <w:tcPr>
            <w:tcW w:w="9360" w:type="dxa"/>
            <w:tcBorders>
              <w:top w:val="nil"/>
              <w:left w:val="nil"/>
              <w:bottom w:val="nil"/>
              <w:right w:val="nil"/>
            </w:tcBorders>
            <w:shd w:val="clear" w:color="auto" w:fill="auto"/>
            <w:noWrap/>
            <w:vAlign w:val="bottom"/>
            <w:hideMark/>
          </w:tcPr>
          <w:p w14:paraId="3DD12680"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Paty DW, Li DKB (1993) Interferon-beta 1b is effective in relapsing remitting MS: MRI results (II) MRI evaluation of a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randomized double-blind placebo control trial. Canadian Journal of Neurological Sciences 20 (4): </w:t>
            </w:r>
          </w:p>
        </w:tc>
      </w:tr>
      <w:tr w:rsidR="00406AEC" w:rsidRPr="00406AEC" w14:paraId="7B58E4CA" w14:textId="77777777" w:rsidTr="00406AEC">
        <w:trPr>
          <w:trHeight w:val="300"/>
        </w:trPr>
        <w:tc>
          <w:tcPr>
            <w:tcW w:w="9360" w:type="dxa"/>
            <w:tcBorders>
              <w:top w:val="nil"/>
              <w:left w:val="nil"/>
              <w:bottom w:val="nil"/>
              <w:right w:val="nil"/>
            </w:tcBorders>
            <w:shd w:val="clear" w:color="auto" w:fill="auto"/>
            <w:noWrap/>
            <w:vAlign w:val="bottom"/>
            <w:hideMark/>
          </w:tcPr>
          <w:p w14:paraId="038AB54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Paty DW, Li DKB (2001) Interferon beta-1b is effective in relapsing-remitting multiple sclerosis. II. MRI analysis results of a multicenter, randomized, double-blind, placebo-controlled trial. Neurology 57 (12 SUPPL. 5): S10-S15.</w:t>
            </w:r>
          </w:p>
        </w:tc>
      </w:tr>
      <w:tr w:rsidR="00406AEC" w:rsidRPr="00406AEC" w14:paraId="7B38613C" w14:textId="77777777" w:rsidTr="00406AEC">
        <w:trPr>
          <w:trHeight w:val="300"/>
        </w:trPr>
        <w:tc>
          <w:tcPr>
            <w:tcW w:w="9360" w:type="dxa"/>
            <w:tcBorders>
              <w:top w:val="nil"/>
              <w:left w:val="nil"/>
              <w:bottom w:val="nil"/>
              <w:right w:val="nil"/>
            </w:tcBorders>
            <w:shd w:val="clear" w:color="auto" w:fill="auto"/>
            <w:noWrap/>
            <w:vAlign w:val="bottom"/>
            <w:hideMark/>
          </w:tcPr>
          <w:p w14:paraId="1C4E1996"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Rudick RA, Goodkin DE, 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Herndon RM et al. (1997) Impact of interferon beta-1a on neurologic disability in relapsing multiple sclerosis. The Multiple Sclerosis Collaborative Research Group (MSCRG). Neurology 49 (2): 358-363.</w:t>
            </w:r>
          </w:p>
        </w:tc>
      </w:tr>
      <w:tr w:rsidR="00406AEC" w:rsidRPr="00406AEC" w14:paraId="74995591" w14:textId="77777777" w:rsidTr="00406AEC">
        <w:trPr>
          <w:trHeight w:val="300"/>
        </w:trPr>
        <w:tc>
          <w:tcPr>
            <w:tcW w:w="9360" w:type="dxa"/>
            <w:tcBorders>
              <w:top w:val="nil"/>
              <w:left w:val="nil"/>
              <w:bottom w:val="nil"/>
              <w:right w:val="nil"/>
            </w:tcBorders>
            <w:shd w:val="clear" w:color="auto" w:fill="auto"/>
            <w:noWrap/>
            <w:vAlign w:val="bottom"/>
            <w:hideMark/>
          </w:tcPr>
          <w:p w14:paraId="3CF74185"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Rudick RA, Goodkin DE, 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Herndon RM et al. (2001) Impact of interferon beta-1a on neurologic disability in relapsing multiple sclerosis. Neurology 57 (12 SUPPL. 5): S25-S30.</w:t>
            </w:r>
          </w:p>
        </w:tc>
      </w:tr>
      <w:tr w:rsidR="00406AEC" w:rsidRPr="00406AEC" w14:paraId="4995782C" w14:textId="77777777" w:rsidTr="00406AEC">
        <w:trPr>
          <w:trHeight w:val="300"/>
        </w:trPr>
        <w:tc>
          <w:tcPr>
            <w:tcW w:w="9360" w:type="dxa"/>
            <w:tcBorders>
              <w:top w:val="nil"/>
              <w:left w:val="nil"/>
              <w:bottom w:val="nil"/>
              <w:right w:val="nil"/>
            </w:tcBorders>
            <w:shd w:val="clear" w:color="auto" w:fill="auto"/>
            <w:noWrap/>
            <w:vAlign w:val="bottom"/>
            <w:hideMark/>
          </w:tcPr>
          <w:p w14:paraId="39749C1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Secondary Progressive Efficacy Clinical Trial of Recombinant Interferon-Beta-1a i, Group MSS (2001) Randomized controlled trial of interferon- beta-1a in secondary progressive MS: clinical results. Neurology 56 (11): 1496-1504.</w:t>
            </w:r>
          </w:p>
        </w:tc>
      </w:tr>
      <w:tr w:rsidR="00406AEC" w:rsidRPr="00406AEC" w14:paraId="7C20D362" w14:textId="77777777" w:rsidTr="00406AEC">
        <w:trPr>
          <w:trHeight w:val="300"/>
        </w:trPr>
        <w:tc>
          <w:tcPr>
            <w:tcW w:w="9360" w:type="dxa"/>
            <w:tcBorders>
              <w:top w:val="nil"/>
              <w:left w:val="nil"/>
              <w:bottom w:val="nil"/>
              <w:right w:val="nil"/>
            </w:tcBorders>
            <w:shd w:val="clear" w:color="auto" w:fill="auto"/>
            <w:noWrap/>
            <w:vAlign w:val="bottom"/>
            <w:hideMark/>
          </w:tcPr>
          <w:p w14:paraId="06300AF4"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Simon JH, Jacobs LD, Campion M, Wende K, Simonian N et al. (1998) Magnetic resonance studies of intramuscular interferon beta-1a for relapsing multiple sclerosis. The Multiple Sclerosis Collaborative Research Group. Annals of Neurology 43 (1): 79-87.</w:t>
            </w:r>
          </w:p>
        </w:tc>
      </w:tr>
      <w:tr w:rsidR="00406AEC" w:rsidRPr="00406AEC" w14:paraId="2B2BF7C4" w14:textId="77777777" w:rsidTr="00406AEC">
        <w:trPr>
          <w:trHeight w:val="300"/>
        </w:trPr>
        <w:tc>
          <w:tcPr>
            <w:tcW w:w="9360" w:type="dxa"/>
            <w:tcBorders>
              <w:top w:val="nil"/>
              <w:left w:val="nil"/>
              <w:bottom w:val="nil"/>
              <w:right w:val="nil"/>
            </w:tcBorders>
            <w:shd w:val="clear" w:color="auto" w:fill="auto"/>
            <w:noWrap/>
            <w:vAlign w:val="bottom"/>
            <w:hideMark/>
          </w:tcPr>
          <w:p w14:paraId="125A3EE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Singer B, Bandari D, Cascione M, </w:t>
            </w:r>
            <w:proofErr w:type="spellStart"/>
            <w:r w:rsidRPr="00406AEC">
              <w:rPr>
                <w:rFonts w:ascii="Times New Roman" w:eastAsia="Times New Roman" w:hAnsi="Times New Roman" w:cs="Times New Roman"/>
                <w:color w:val="000000"/>
                <w:szCs w:val="22"/>
              </w:rPr>
              <w:t>LaGanke</w:t>
            </w:r>
            <w:proofErr w:type="spellEnd"/>
            <w:r w:rsidRPr="00406AEC">
              <w:rPr>
                <w:rFonts w:ascii="Times New Roman" w:eastAsia="Times New Roman" w:hAnsi="Times New Roman" w:cs="Times New Roman"/>
                <w:color w:val="000000"/>
                <w:szCs w:val="22"/>
              </w:rPr>
              <w:t xml:space="preserve"> C, Huddlestone J et al. (2012) Comparative injection-site pain and tolerability of subcutaneous serum-free formulation of interferon[beta]-1a versus subcutaneous interferon[beta]-1b: results of the randomized, multicenter,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REFORMS study. BMC Neurology 12 (154): </w:t>
            </w:r>
          </w:p>
        </w:tc>
      </w:tr>
      <w:tr w:rsidR="00406AEC" w:rsidRPr="00406AEC" w14:paraId="5D73ECF1" w14:textId="77777777" w:rsidTr="00406AEC">
        <w:trPr>
          <w:trHeight w:val="300"/>
        </w:trPr>
        <w:tc>
          <w:tcPr>
            <w:tcW w:w="9360" w:type="dxa"/>
            <w:tcBorders>
              <w:top w:val="nil"/>
              <w:left w:val="nil"/>
              <w:bottom w:val="nil"/>
              <w:right w:val="nil"/>
            </w:tcBorders>
            <w:shd w:val="clear" w:color="auto" w:fill="auto"/>
            <w:noWrap/>
            <w:vAlign w:val="bottom"/>
            <w:hideMark/>
          </w:tcPr>
          <w:p w14:paraId="50CCD77E"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Soelberg-Sorensen P,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Giovannoni G (2017) Absolute lymphocyte count recovery in patients with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(RRMS) treated with cladribine tablets 3.5mg/kg in CLARITY/CLARITY Extension.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17 (2): 125-126.</w:t>
            </w:r>
          </w:p>
        </w:tc>
      </w:tr>
      <w:tr w:rsidR="00406AEC" w:rsidRPr="00406AEC" w14:paraId="49543A90" w14:textId="77777777" w:rsidTr="00406AEC">
        <w:trPr>
          <w:trHeight w:val="300"/>
        </w:trPr>
        <w:tc>
          <w:tcPr>
            <w:tcW w:w="9360" w:type="dxa"/>
            <w:tcBorders>
              <w:top w:val="nil"/>
              <w:left w:val="nil"/>
              <w:bottom w:val="nil"/>
              <w:right w:val="nil"/>
            </w:tcBorders>
            <w:shd w:val="clear" w:color="auto" w:fill="auto"/>
            <w:noWrap/>
            <w:vAlign w:val="bottom"/>
            <w:hideMark/>
          </w:tcPr>
          <w:p w14:paraId="4355B02B"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Soelberg-Sorensen P,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w:t>
            </w:r>
            <w:proofErr w:type="spellStart"/>
            <w:r w:rsidRPr="00406AEC">
              <w:rPr>
                <w:rFonts w:ascii="Times New Roman" w:eastAsia="Times New Roman" w:hAnsi="Times New Roman" w:cs="Times New Roman"/>
                <w:color w:val="000000"/>
                <w:szCs w:val="22"/>
              </w:rPr>
              <w:t>Hicking</w:t>
            </w:r>
            <w:proofErr w:type="spellEnd"/>
            <w:r w:rsidRPr="00406AEC">
              <w:rPr>
                <w:rFonts w:ascii="Times New Roman" w:eastAsia="Times New Roman" w:hAnsi="Times New Roman" w:cs="Times New Roman"/>
                <w:color w:val="000000"/>
                <w:szCs w:val="22"/>
              </w:rPr>
              <w:t xml:space="preserve"> C, Giovannoni G (2018) Long-term lymphocyte counts in patients with RRMS treated with cladribine tablets 3.5 mg/kg: total lymphocytes, B-, and t-cell subsets. Multiple sclerosis journal 24 (1): 48-49.</w:t>
            </w:r>
          </w:p>
        </w:tc>
      </w:tr>
      <w:tr w:rsidR="00406AEC" w:rsidRPr="00406AEC" w14:paraId="189A63D6" w14:textId="77777777" w:rsidTr="00406AEC">
        <w:trPr>
          <w:trHeight w:val="300"/>
        </w:trPr>
        <w:tc>
          <w:tcPr>
            <w:tcW w:w="9360" w:type="dxa"/>
            <w:tcBorders>
              <w:top w:val="nil"/>
              <w:left w:val="nil"/>
              <w:bottom w:val="nil"/>
              <w:right w:val="nil"/>
            </w:tcBorders>
            <w:shd w:val="clear" w:color="auto" w:fill="auto"/>
            <w:noWrap/>
            <w:vAlign w:val="bottom"/>
            <w:hideMark/>
          </w:tcPr>
          <w:p w14:paraId="3F577117"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Sprenger T, </w:t>
            </w:r>
            <w:proofErr w:type="spellStart"/>
            <w:r w:rsidRPr="00406AEC">
              <w:rPr>
                <w:rFonts w:ascii="Times New Roman" w:eastAsia="Times New Roman" w:hAnsi="Times New Roman" w:cs="Times New Roman"/>
                <w:color w:val="000000"/>
                <w:szCs w:val="22"/>
              </w:rPr>
              <w:t>Yamout</w:t>
            </w:r>
            <w:proofErr w:type="spellEnd"/>
            <w:r w:rsidRPr="00406AEC">
              <w:rPr>
                <w:rFonts w:ascii="Times New Roman" w:eastAsia="Times New Roman" w:hAnsi="Times New Roman" w:cs="Times New Roman"/>
                <w:color w:val="000000"/>
                <w:szCs w:val="22"/>
              </w:rPr>
              <w:t xml:space="preserve"> B, Comi G, Lebrun-</w:t>
            </w:r>
            <w:proofErr w:type="spellStart"/>
            <w:r w:rsidRPr="00406AEC">
              <w:rPr>
                <w:rFonts w:ascii="Times New Roman" w:eastAsia="Times New Roman" w:hAnsi="Times New Roman" w:cs="Times New Roman"/>
                <w:color w:val="000000"/>
                <w:szCs w:val="22"/>
              </w:rPr>
              <w:t>frenay</w:t>
            </w:r>
            <w:proofErr w:type="spellEnd"/>
            <w:r w:rsidRPr="00406AEC">
              <w:rPr>
                <w:rFonts w:ascii="Times New Roman" w:eastAsia="Times New Roman" w:hAnsi="Times New Roman" w:cs="Times New Roman"/>
                <w:color w:val="000000"/>
                <w:szCs w:val="22"/>
              </w:rPr>
              <w:t xml:space="preserve"> C, Park M et al. (2018) Investigating the Effect of Teriflunomide on Diffuse Brain Tissue Damage in the Phase 3 TEMSO Study. Multiple sclerosis and related disorders 26 258-259.</w:t>
            </w:r>
          </w:p>
        </w:tc>
      </w:tr>
      <w:tr w:rsidR="00406AEC" w:rsidRPr="00406AEC" w14:paraId="4C3B3B9B" w14:textId="77777777" w:rsidTr="00406AEC">
        <w:trPr>
          <w:trHeight w:val="300"/>
        </w:trPr>
        <w:tc>
          <w:tcPr>
            <w:tcW w:w="9360" w:type="dxa"/>
            <w:tcBorders>
              <w:top w:val="nil"/>
              <w:left w:val="nil"/>
              <w:bottom w:val="nil"/>
              <w:right w:val="nil"/>
            </w:tcBorders>
            <w:shd w:val="clear" w:color="auto" w:fill="auto"/>
            <w:noWrap/>
            <w:vAlign w:val="bottom"/>
            <w:hideMark/>
          </w:tcPr>
          <w:p w14:paraId="75F4D278"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The European Study Group on Interferon b (1998) Placebo-controlled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of interferon beta-1b in treatment of secondary progressive multiple sclerosis [Comment In: lancet, 1998; 352: 1486-1487]. Lancet 352 (9139): 1491-1497.</w:t>
            </w:r>
          </w:p>
        </w:tc>
      </w:tr>
      <w:tr w:rsidR="00406AEC" w:rsidRPr="00406AEC" w14:paraId="6CB494C9" w14:textId="77777777" w:rsidTr="00406AEC">
        <w:trPr>
          <w:trHeight w:val="300"/>
        </w:trPr>
        <w:tc>
          <w:tcPr>
            <w:tcW w:w="9360" w:type="dxa"/>
            <w:tcBorders>
              <w:top w:val="nil"/>
              <w:left w:val="nil"/>
              <w:bottom w:val="nil"/>
              <w:right w:val="nil"/>
            </w:tcBorders>
            <w:shd w:val="clear" w:color="auto" w:fill="auto"/>
            <w:noWrap/>
            <w:vAlign w:val="bottom"/>
            <w:hideMark/>
          </w:tcPr>
          <w:p w14:paraId="176A8672" w14:textId="77777777" w:rsidR="00406AEC" w:rsidRPr="00406AEC" w:rsidRDefault="00406AEC" w:rsidP="00223A29">
            <w:pPr>
              <w:pStyle w:val="ListParagraph"/>
              <w:numPr>
                <w:ilvl w:val="0"/>
                <w:numId w:val="29"/>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Wray S, Gold R, Singer BA,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et al. (2021) Improved gastrointestinal profile with diroximel fumarate is associated with a positive impact on quality of life compared with dimethyl fumarate: results from the randomized, double-blind, phase III EVOLVE-MS-2 study. Therapeutic Advances in Neurological Disorders 14 </w:t>
            </w:r>
          </w:p>
        </w:tc>
      </w:tr>
      <w:tr w:rsidR="00406AEC" w:rsidRPr="00406AEC" w14:paraId="73274456" w14:textId="77777777" w:rsidTr="00406AEC">
        <w:trPr>
          <w:trHeight w:val="300"/>
        </w:trPr>
        <w:tc>
          <w:tcPr>
            <w:tcW w:w="9360" w:type="dxa"/>
            <w:tcBorders>
              <w:top w:val="nil"/>
              <w:left w:val="nil"/>
              <w:bottom w:val="nil"/>
              <w:right w:val="nil"/>
            </w:tcBorders>
            <w:shd w:val="clear" w:color="auto" w:fill="auto"/>
            <w:noWrap/>
            <w:vAlign w:val="bottom"/>
            <w:hideMark/>
          </w:tcPr>
          <w:p w14:paraId="66BCC6E6"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6CF530F5" w14:textId="77777777" w:rsidTr="00406AEC">
        <w:trPr>
          <w:trHeight w:val="300"/>
        </w:trPr>
        <w:tc>
          <w:tcPr>
            <w:tcW w:w="9360" w:type="dxa"/>
            <w:tcBorders>
              <w:top w:val="nil"/>
              <w:left w:val="nil"/>
              <w:bottom w:val="nil"/>
              <w:right w:val="nil"/>
            </w:tcBorders>
            <w:shd w:val="clear" w:color="auto" w:fill="auto"/>
            <w:noWrap/>
            <w:vAlign w:val="bottom"/>
            <w:hideMark/>
          </w:tcPr>
          <w:p w14:paraId="44758ED4"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Unavailable (n = 13)</w:t>
            </w:r>
          </w:p>
        </w:tc>
      </w:tr>
      <w:tr w:rsidR="00406AEC" w:rsidRPr="00406AEC" w14:paraId="3A7839A9" w14:textId="77777777" w:rsidTr="00406AEC">
        <w:trPr>
          <w:trHeight w:val="300"/>
        </w:trPr>
        <w:tc>
          <w:tcPr>
            <w:tcW w:w="9360" w:type="dxa"/>
            <w:tcBorders>
              <w:top w:val="nil"/>
              <w:left w:val="nil"/>
              <w:bottom w:val="nil"/>
              <w:right w:val="nil"/>
            </w:tcBorders>
            <w:shd w:val="clear" w:color="auto" w:fill="auto"/>
            <w:noWrap/>
            <w:vAlign w:val="bottom"/>
            <w:hideMark/>
          </w:tcPr>
          <w:p w14:paraId="15640DF5"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(2012) A Randomized, Double-Blind, Double-Dummy, Parallel-Group Study to Evaluate the Efficacy and Safety of Ocrelizumab in Comparison to Interferon Beta-1a (Rebif(R)) in Patients with Relapsing Multiple Sclerosis. http://wwwwhoint/trialsearch/Trial2aspx?TrialID=PER </w:t>
            </w:r>
          </w:p>
        </w:tc>
      </w:tr>
      <w:tr w:rsidR="00406AEC" w:rsidRPr="00406AEC" w14:paraId="5189A715" w14:textId="77777777" w:rsidTr="00406AEC">
        <w:trPr>
          <w:trHeight w:val="300"/>
        </w:trPr>
        <w:tc>
          <w:tcPr>
            <w:tcW w:w="9360" w:type="dxa"/>
            <w:tcBorders>
              <w:top w:val="nil"/>
              <w:left w:val="nil"/>
              <w:bottom w:val="nil"/>
              <w:right w:val="nil"/>
            </w:tcBorders>
            <w:shd w:val="clear" w:color="auto" w:fill="auto"/>
            <w:noWrap/>
            <w:vAlign w:val="bottom"/>
            <w:hideMark/>
          </w:tcPr>
          <w:p w14:paraId="3148D114"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A clinical trial to study the effects of two drugs, </w:t>
            </w:r>
            <w:proofErr w:type="spellStart"/>
            <w:r w:rsidRPr="00406AEC">
              <w:rPr>
                <w:rFonts w:ascii="Times New Roman" w:eastAsia="Times New Roman" w:hAnsi="Times New Roman" w:cs="Times New Roman"/>
                <w:color w:val="000000"/>
                <w:szCs w:val="22"/>
              </w:rPr>
              <w:t>Relibeta</w:t>
            </w:r>
            <w:proofErr w:type="spellEnd"/>
            <w:r w:rsidRPr="00406AEC">
              <w:rPr>
                <w:rFonts w:ascii="Times New Roman" w:eastAsia="Times New Roman" w:hAnsi="Times New Roman" w:cs="Times New Roman"/>
                <w:color w:val="000000"/>
                <w:szCs w:val="22"/>
              </w:rPr>
              <w:t xml:space="preserve"> and Avonex in the treatment of patients with remitting multiple sclerosis and open after treatment with Interferon I[superscript digit two]1[ETH, ICELANDIC][degrees]. http://wwwwhoint/trialsearch/Trial2aspx?TrialID=CTRI 08 (006093): </w:t>
            </w:r>
          </w:p>
        </w:tc>
      </w:tr>
      <w:tr w:rsidR="00406AEC" w:rsidRPr="00406AEC" w14:paraId="1188C857" w14:textId="77777777" w:rsidTr="00406AEC">
        <w:trPr>
          <w:trHeight w:val="300"/>
        </w:trPr>
        <w:tc>
          <w:tcPr>
            <w:tcW w:w="9360" w:type="dxa"/>
            <w:tcBorders>
              <w:top w:val="nil"/>
              <w:left w:val="nil"/>
              <w:bottom w:val="nil"/>
              <w:right w:val="nil"/>
            </w:tcBorders>
            <w:shd w:val="clear" w:color="auto" w:fill="auto"/>
            <w:noWrap/>
            <w:vAlign w:val="bottom"/>
            <w:hideMark/>
          </w:tcPr>
          <w:p w14:paraId="28DBC106"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Phase 3 Clinical Trial of Rpc1063 for Patients with Relapsing Multiple Sclerosis. http://wwwwhoint/trialsearch/Trial2aspx?TrialID=PER </w:t>
            </w:r>
          </w:p>
        </w:tc>
      </w:tr>
      <w:tr w:rsidR="00406AEC" w:rsidRPr="00406AEC" w14:paraId="41479CFA" w14:textId="77777777" w:rsidTr="00406AEC">
        <w:trPr>
          <w:trHeight w:val="300"/>
        </w:trPr>
        <w:tc>
          <w:tcPr>
            <w:tcW w:w="9360" w:type="dxa"/>
            <w:tcBorders>
              <w:top w:val="nil"/>
              <w:left w:val="nil"/>
              <w:bottom w:val="nil"/>
              <w:right w:val="nil"/>
            </w:tcBorders>
            <w:shd w:val="clear" w:color="auto" w:fill="auto"/>
            <w:noWrap/>
            <w:vAlign w:val="bottom"/>
            <w:hideMark/>
          </w:tcPr>
          <w:p w14:paraId="477A7E2F"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Study of Efficacy and Safety of Ofatumumab Compared to Teriflunomide in Patients with Relapsing Multiple Sclerosis. http://wwwwhoint/trialsearch/Trial2aspx?TrialID=PER </w:t>
            </w:r>
          </w:p>
        </w:tc>
      </w:tr>
      <w:tr w:rsidR="00406AEC" w:rsidRPr="00406AEC" w14:paraId="77B590EF" w14:textId="77777777" w:rsidTr="00406AEC">
        <w:trPr>
          <w:trHeight w:val="300"/>
        </w:trPr>
        <w:tc>
          <w:tcPr>
            <w:tcW w:w="9360" w:type="dxa"/>
            <w:tcBorders>
              <w:top w:val="nil"/>
              <w:left w:val="nil"/>
              <w:bottom w:val="nil"/>
              <w:right w:val="nil"/>
            </w:tcBorders>
            <w:shd w:val="clear" w:color="auto" w:fill="auto"/>
            <w:noWrap/>
            <w:vAlign w:val="bottom"/>
            <w:hideMark/>
          </w:tcPr>
          <w:p w14:paraId="735DFCBB"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The C (1996) Results of a double-blind extension support the positive phase III trial of copolymer-1 (Copaxone) in the treatment of relapsing multiple sclerosis. European journal of neurology 3 (5): </w:t>
            </w:r>
          </w:p>
        </w:tc>
      </w:tr>
      <w:tr w:rsidR="00406AEC" w:rsidRPr="00406AEC" w14:paraId="3301630D" w14:textId="77777777" w:rsidTr="00406AEC">
        <w:trPr>
          <w:trHeight w:val="300"/>
        </w:trPr>
        <w:tc>
          <w:tcPr>
            <w:tcW w:w="9360" w:type="dxa"/>
            <w:tcBorders>
              <w:top w:val="nil"/>
              <w:left w:val="nil"/>
              <w:bottom w:val="nil"/>
              <w:right w:val="nil"/>
            </w:tcBorders>
            <w:shd w:val="clear" w:color="auto" w:fill="auto"/>
            <w:noWrap/>
            <w:vAlign w:val="bottom"/>
            <w:hideMark/>
          </w:tcPr>
          <w:p w14:paraId="0B861C89"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Coyle P (2001) Results of comparative efficacy trial using two formulations of interferon beta-1a in RRMS. Journal of neurosurgery 187 (Suppl 1): S436.</w:t>
            </w:r>
          </w:p>
        </w:tc>
      </w:tr>
      <w:tr w:rsidR="00406AEC" w:rsidRPr="00406AEC" w14:paraId="0EC1F677" w14:textId="77777777" w:rsidTr="00406AEC">
        <w:trPr>
          <w:trHeight w:val="300"/>
        </w:trPr>
        <w:tc>
          <w:tcPr>
            <w:tcW w:w="9360" w:type="dxa"/>
            <w:tcBorders>
              <w:top w:val="nil"/>
              <w:left w:val="nil"/>
              <w:bottom w:val="nil"/>
              <w:right w:val="nil"/>
            </w:tcBorders>
            <w:shd w:val="clear" w:color="auto" w:fill="auto"/>
            <w:noWrap/>
            <w:vAlign w:val="bottom"/>
            <w:hideMark/>
          </w:tcPr>
          <w:p w14:paraId="5741B4CD"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Erlanger SR, Inzerillo MT (2006) Natalizumab (Tysabri) for relapsing multiple sclerosis. P and T 31 (7): 376-378.</w:t>
            </w:r>
          </w:p>
        </w:tc>
      </w:tr>
      <w:tr w:rsidR="00406AEC" w:rsidRPr="00406AEC" w14:paraId="5134D578" w14:textId="77777777" w:rsidTr="00406AEC">
        <w:trPr>
          <w:trHeight w:val="300"/>
        </w:trPr>
        <w:tc>
          <w:tcPr>
            <w:tcW w:w="9360" w:type="dxa"/>
            <w:tcBorders>
              <w:top w:val="nil"/>
              <w:left w:val="nil"/>
              <w:bottom w:val="nil"/>
              <w:right w:val="nil"/>
            </w:tcBorders>
            <w:shd w:val="clear" w:color="auto" w:fill="auto"/>
            <w:noWrap/>
            <w:vAlign w:val="bottom"/>
            <w:hideMark/>
          </w:tcPr>
          <w:p w14:paraId="4218EC7A"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Rammohan K, Cook S, Comi G, Rieckmann P et al. (2017) Efficacy of cladribine tablets 3.5 mg/kg in high disease activity (HDA) patient subgroups with relapsing multiple sclerosis (RMS): CLARITY study. </w:t>
            </w:r>
            <w:proofErr w:type="spellStart"/>
            <w:r w:rsidRPr="00406AEC">
              <w:rPr>
                <w:rFonts w:ascii="Times New Roman" w:eastAsia="Times New Roman" w:hAnsi="Times New Roman" w:cs="Times New Roman"/>
                <w:color w:val="000000"/>
                <w:szCs w:val="22"/>
              </w:rPr>
              <w:t>Sinapse</w:t>
            </w:r>
            <w:proofErr w:type="spellEnd"/>
            <w:r w:rsidRPr="00406AEC">
              <w:rPr>
                <w:rFonts w:ascii="Times New Roman" w:eastAsia="Times New Roman" w:hAnsi="Times New Roman" w:cs="Times New Roman"/>
                <w:color w:val="000000"/>
                <w:szCs w:val="22"/>
              </w:rPr>
              <w:t xml:space="preserve"> 17 (2): 84-.</w:t>
            </w:r>
          </w:p>
        </w:tc>
      </w:tr>
      <w:tr w:rsidR="00406AEC" w:rsidRPr="00406AEC" w14:paraId="360A44C0" w14:textId="77777777" w:rsidTr="00406AEC">
        <w:trPr>
          <w:trHeight w:val="300"/>
        </w:trPr>
        <w:tc>
          <w:tcPr>
            <w:tcW w:w="9360" w:type="dxa"/>
            <w:tcBorders>
              <w:top w:val="nil"/>
              <w:left w:val="nil"/>
              <w:bottom w:val="nil"/>
              <w:right w:val="nil"/>
            </w:tcBorders>
            <w:shd w:val="clear" w:color="auto" w:fill="auto"/>
            <w:noWrap/>
            <w:vAlign w:val="bottom"/>
            <w:hideMark/>
          </w:tcPr>
          <w:p w14:paraId="72EE2B91"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Koopmans RA, Paty DW (1995) Magnetic resonance imaging as an outcome measure in the treatment of multiple sclerosis: results of the interferon beta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 Suppl 1 S22-23.</w:t>
            </w:r>
          </w:p>
        </w:tc>
      </w:tr>
      <w:tr w:rsidR="00406AEC" w:rsidRPr="00406AEC" w14:paraId="62A1763C" w14:textId="77777777" w:rsidTr="00406AEC">
        <w:trPr>
          <w:trHeight w:val="300"/>
        </w:trPr>
        <w:tc>
          <w:tcPr>
            <w:tcW w:w="9360" w:type="dxa"/>
            <w:tcBorders>
              <w:top w:val="nil"/>
              <w:left w:val="nil"/>
              <w:bottom w:val="nil"/>
              <w:right w:val="nil"/>
            </w:tcBorders>
            <w:shd w:val="clear" w:color="auto" w:fill="auto"/>
            <w:noWrap/>
            <w:vAlign w:val="bottom"/>
            <w:hideMark/>
          </w:tcPr>
          <w:p w14:paraId="42FC42F5"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Li DKB, Paty DW, Koopmans RA, Zhao G (1996) The effects of interferon beta-1b in multiple sclerosis as assessed by MRI. Clinical </w:t>
            </w:r>
            <w:proofErr w:type="spellStart"/>
            <w:r w:rsidRPr="00406AEC">
              <w:rPr>
                <w:rFonts w:ascii="Times New Roman" w:eastAsia="Times New Roman" w:hAnsi="Times New Roman" w:cs="Times New Roman"/>
                <w:color w:val="000000"/>
                <w:szCs w:val="22"/>
              </w:rPr>
              <w:t>Immunotherapeutics</w:t>
            </w:r>
            <w:proofErr w:type="spellEnd"/>
            <w:r w:rsidRPr="00406AEC">
              <w:rPr>
                <w:rFonts w:ascii="Times New Roman" w:eastAsia="Times New Roman" w:hAnsi="Times New Roman" w:cs="Times New Roman"/>
                <w:color w:val="000000"/>
                <w:szCs w:val="22"/>
              </w:rPr>
              <w:t xml:space="preserve"> 5 (SUPPL. 1): 47-54.</w:t>
            </w:r>
          </w:p>
        </w:tc>
      </w:tr>
      <w:tr w:rsidR="00406AEC" w:rsidRPr="00406AEC" w14:paraId="63B04889" w14:textId="77777777" w:rsidTr="00406AEC">
        <w:trPr>
          <w:trHeight w:val="300"/>
        </w:trPr>
        <w:tc>
          <w:tcPr>
            <w:tcW w:w="9360" w:type="dxa"/>
            <w:tcBorders>
              <w:top w:val="nil"/>
              <w:left w:val="nil"/>
              <w:bottom w:val="nil"/>
              <w:right w:val="nil"/>
            </w:tcBorders>
            <w:shd w:val="clear" w:color="auto" w:fill="auto"/>
            <w:noWrap/>
            <w:vAlign w:val="bottom"/>
            <w:hideMark/>
          </w:tcPr>
          <w:p w14:paraId="6741D5B4"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144F5E">
              <w:rPr>
                <w:rFonts w:ascii="Times New Roman" w:eastAsia="Times New Roman" w:hAnsi="Times New Roman" w:cs="Times New Roman"/>
                <w:color w:val="000000"/>
                <w:szCs w:val="22"/>
                <w:lang w:val="it-IT"/>
              </w:rPr>
              <w:t xml:space="preserve">Pozzilli C, Koudriavtseva T, Bastianello S, Gasperini C, Galgani S et al. </w:t>
            </w:r>
            <w:r w:rsidRPr="00406AEC">
              <w:rPr>
                <w:rFonts w:ascii="Times New Roman" w:eastAsia="Times New Roman" w:hAnsi="Times New Roman" w:cs="Times New Roman"/>
                <w:color w:val="000000"/>
                <w:szCs w:val="22"/>
              </w:rPr>
              <w:t xml:space="preserve">(1997) Clinical and MRI results of an open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with two different doses of recombinant interferon beta-1a over the 24 month treatment period in relapsing-remitting multiple sclerosis. European journal of neurology 4 </w:t>
            </w:r>
          </w:p>
        </w:tc>
      </w:tr>
      <w:tr w:rsidR="00406AEC" w:rsidRPr="00406AEC" w14:paraId="0D4C3692" w14:textId="77777777" w:rsidTr="00406AEC">
        <w:trPr>
          <w:trHeight w:val="300"/>
        </w:trPr>
        <w:tc>
          <w:tcPr>
            <w:tcW w:w="9360" w:type="dxa"/>
            <w:tcBorders>
              <w:top w:val="nil"/>
              <w:left w:val="nil"/>
              <w:bottom w:val="nil"/>
              <w:right w:val="nil"/>
            </w:tcBorders>
            <w:shd w:val="clear" w:color="auto" w:fill="auto"/>
            <w:noWrap/>
            <w:vAlign w:val="bottom"/>
            <w:hideMark/>
          </w:tcPr>
          <w:p w14:paraId="7CDB8A0E"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Schiffer RB, Johnson KP, Brooks BR, Cohen J, Ford CC et al. (1995) Copolymer-1 reduces the relapse rate and positively influences disability in relapsing-remitting multiple sclerosis: results of a phase III multi-center double-blind, placebo-controlled trial. European journal of neurology 2 (103): </w:t>
            </w:r>
          </w:p>
        </w:tc>
      </w:tr>
      <w:tr w:rsidR="00406AEC" w:rsidRPr="00406AEC" w14:paraId="1956ACDE" w14:textId="77777777" w:rsidTr="00406AEC">
        <w:trPr>
          <w:trHeight w:val="300"/>
        </w:trPr>
        <w:tc>
          <w:tcPr>
            <w:tcW w:w="9360" w:type="dxa"/>
            <w:tcBorders>
              <w:top w:val="nil"/>
              <w:left w:val="nil"/>
              <w:bottom w:val="nil"/>
              <w:right w:val="nil"/>
            </w:tcBorders>
            <w:shd w:val="clear" w:color="auto" w:fill="auto"/>
            <w:noWrap/>
            <w:vAlign w:val="bottom"/>
            <w:hideMark/>
          </w:tcPr>
          <w:p w14:paraId="3FD63FB4" w14:textId="77777777" w:rsidR="00406AEC" w:rsidRPr="00406AEC" w:rsidRDefault="00406AEC" w:rsidP="00223A29">
            <w:pPr>
              <w:pStyle w:val="ListParagraph"/>
              <w:numPr>
                <w:ilvl w:val="0"/>
                <w:numId w:val="26"/>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Sibley WA (1996) Clinical efficacy of interferon beta-1b in multiple sclerosis: The US/Canadian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trial evidence. Clinical </w:t>
            </w:r>
            <w:proofErr w:type="spellStart"/>
            <w:r w:rsidRPr="00406AEC">
              <w:rPr>
                <w:rFonts w:ascii="Times New Roman" w:eastAsia="Times New Roman" w:hAnsi="Times New Roman" w:cs="Times New Roman"/>
                <w:color w:val="000000"/>
                <w:szCs w:val="22"/>
              </w:rPr>
              <w:t>Immunotherapeutics</w:t>
            </w:r>
            <w:proofErr w:type="spellEnd"/>
            <w:r w:rsidRPr="00406AEC">
              <w:rPr>
                <w:rFonts w:ascii="Times New Roman" w:eastAsia="Times New Roman" w:hAnsi="Times New Roman" w:cs="Times New Roman"/>
                <w:color w:val="000000"/>
                <w:szCs w:val="22"/>
              </w:rPr>
              <w:t xml:space="preserve"> 5 (SUPPL. 1): 41-46.</w:t>
            </w:r>
          </w:p>
        </w:tc>
      </w:tr>
      <w:tr w:rsidR="00406AEC" w:rsidRPr="00406AEC" w14:paraId="04167BDE" w14:textId="77777777" w:rsidTr="00406AEC">
        <w:trPr>
          <w:trHeight w:val="300"/>
        </w:trPr>
        <w:tc>
          <w:tcPr>
            <w:tcW w:w="9360" w:type="dxa"/>
            <w:tcBorders>
              <w:top w:val="nil"/>
              <w:left w:val="nil"/>
              <w:bottom w:val="nil"/>
              <w:right w:val="nil"/>
            </w:tcBorders>
            <w:shd w:val="clear" w:color="auto" w:fill="auto"/>
            <w:noWrap/>
            <w:vAlign w:val="bottom"/>
            <w:hideMark/>
          </w:tcPr>
          <w:p w14:paraId="2D327746"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63C7A8BD" w14:textId="77777777" w:rsidTr="00406AEC">
        <w:trPr>
          <w:trHeight w:val="300"/>
        </w:trPr>
        <w:tc>
          <w:tcPr>
            <w:tcW w:w="9360" w:type="dxa"/>
            <w:tcBorders>
              <w:top w:val="nil"/>
              <w:left w:val="nil"/>
              <w:bottom w:val="nil"/>
              <w:right w:val="nil"/>
            </w:tcBorders>
            <w:shd w:val="clear" w:color="auto" w:fill="auto"/>
            <w:noWrap/>
            <w:vAlign w:val="bottom"/>
            <w:hideMark/>
          </w:tcPr>
          <w:p w14:paraId="6D9AB967"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Premature termination (n = 9)</w:t>
            </w:r>
          </w:p>
        </w:tc>
      </w:tr>
      <w:tr w:rsidR="00406AEC" w:rsidRPr="00406AEC" w14:paraId="30E5B071" w14:textId="77777777" w:rsidTr="00406AEC">
        <w:trPr>
          <w:trHeight w:val="300"/>
        </w:trPr>
        <w:tc>
          <w:tcPr>
            <w:tcW w:w="9360" w:type="dxa"/>
            <w:tcBorders>
              <w:top w:val="nil"/>
              <w:left w:val="nil"/>
              <w:bottom w:val="nil"/>
              <w:right w:val="nil"/>
            </w:tcBorders>
            <w:shd w:val="clear" w:color="auto" w:fill="auto"/>
            <w:noWrap/>
            <w:vAlign w:val="bottom"/>
            <w:hideMark/>
          </w:tcPr>
          <w:p w14:paraId="7DA15278"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(2008) A Proof-of-Concept Study to Correlate Retinal Nerve Fiber Layer Changes in Patients With Multiple Sclerosis Treated With Natalizumab or Interferon Beta 1-a. https://clinicaltrialsgov/show/NCT00771043 </w:t>
            </w:r>
          </w:p>
        </w:tc>
      </w:tr>
      <w:tr w:rsidR="00406AEC" w:rsidRPr="00406AEC" w14:paraId="281A52F3" w14:textId="77777777" w:rsidTr="00406AEC">
        <w:trPr>
          <w:trHeight w:val="300"/>
        </w:trPr>
        <w:tc>
          <w:tcPr>
            <w:tcW w:w="9360" w:type="dxa"/>
            <w:tcBorders>
              <w:top w:val="nil"/>
              <w:left w:val="nil"/>
              <w:bottom w:val="nil"/>
              <w:right w:val="nil"/>
            </w:tcBorders>
            <w:shd w:val="clear" w:color="auto" w:fill="auto"/>
            <w:noWrap/>
            <w:vAlign w:val="bottom"/>
            <w:hideMark/>
          </w:tcPr>
          <w:p w14:paraId="76AEB9C9"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(2010) Efficacy and Safety of Teriflunomide in Patients With Relapsing Multiple Sclerosis and Treated With Interferon-beta. https://clinicaltrialsgov/show/NCT01252355 </w:t>
            </w:r>
          </w:p>
        </w:tc>
      </w:tr>
      <w:tr w:rsidR="00406AEC" w:rsidRPr="00406AEC" w14:paraId="638E7A3A" w14:textId="77777777" w:rsidTr="00406AEC">
        <w:trPr>
          <w:trHeight w:val="300"/>
        </w:trPr>
        <w:tc>
          <w:tcPr>
            <w:tcW w:w="9360" w:type="dxa"/>
            <w:tcBorders>
              <w:top w:val="nil"/>
              <w:left w:val="nil"/>
              <w:bottom w:val="nil"/>
              <w:right w:val="nil"/>
            </w:tcBorders>
            <w:shd w:val="clear" w:color="auto" w:fill="auto"/>
            <w:noWrap/>
            <w:vAlign w:val="bottom"/>
            <w:hideMark/>
          </w:tcPr>
          <w:p w14:paraId="14ED02BB"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(2015) BG00012 and Delay of Disability Progression in Secondary Progressive Multiple Sclerosis. https://clinicaltrialsgov/show/NCT02430532 </w:t>
            </w:r>
          </w:p>
        </w:tc>
      </w:tr>
      <w:tr w:rsidR="00406AEC" w:rsidRPr="00406AEC" w14:paraId="0740535F" w14:textId="77777777" w:rsidTr="00406AEC">
        <w:trPr>
          <w:trHeight w:val="300"/>
        </w:trPr>
        <w:tc>
          <w:tcPr>
            <w:tcW w:w="9360" w:type="dxa"/>
            <w:tcBorders>
              <w:top w:val="nil"/>
              <w:left w:val="nil"/>
              <w:bottom w:val="nil"/>
              <w:right w:val="nil"/>
            </w:tcBorders>
            <w:shd w:val="clear" w:color="auto" w:fill="auto"/>
            <w:noWrap/>
            <w:vAlign w:val="bottom"/>
            <w:hideMark/>
          </w:tcPr>
          <w:p w14:paraId="6BF3E90C"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Jeffery D, Arnold DL, Filippi M, Geurts JJG et al. (2017) The rapid efficacy of natalizumab vs fingolimod in patients with active relapsing-remitting multiple sclerosis: results from REVEAL,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head-to-head phase 4 study. Multiple sclerosis journal 23 (3): 405-406.</w:t>
            </w:r>
          </w:p>
        </w:tc>
      </w:tr>
      <w:tr w:rsidR="00406AEC" w:rsidRPr="00406AEC" w14:paraId="0CDC5501" w14:textId="77777777" w:rsidTr="00406AEC">
        <w:trPr>
          <w:trHeight w:val="300"/>
        </w:trPr>
        <w:tc>
          <w:tcPr>
            <w:tcW w:w="9360" w:type="dxa"/>
            <w:tcBorders>
              <w:top w:val="nil"/>
              <w:left w:val="nil"/>
              <w:bottom w:val="nil"/>
              <w:right w:val="nil"/>
            </w:tcBorders>
            <w:shd w:val="clear" w:color="auto" w:fill="auto"/>
            <w:noWrap/>
            <w:vAlign w:val="bottom"/>
            <w:hideMark/>
          </w:tcPr>
          <w:p w14:paraId="49CB071A"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(2010) A multi-center double-blind parallel-group placebo-controlled study of the efficacy and safety of teriflunomide in patients with relapsing multiple sclerosis who are treated with interferon-beta. - TERACLES. http://wwwwhoint/trialsearch/Trial2aspx?TrialID=EUCTR2010 </w:t>
            </w:r>
          </w:p>
        </w:tc>
      </w:tr>
      <w:tr w:rsidR="00406AEC" w:rsidRPr="00406AEC" w14:paraId="046EEB8F" w14:textId="77777777" w:rsidTr="00406AEC">
        <w:trPr>
          <w:trHeight w:val="300"/>
        </w:trPr>
        <w:tc>
          <w:tcPr>
            <w:tcW w:w="9360" w:type="dxa"/>
            <w:tcBorders>
              <w:top w:val="nil"/>
              <w:left w:val="nil"/>
              <w:bottom w:val="nil"/>
              <w:right w:val="nil"/>
            </w:tcBorders>
            <w:shd w:val="clear" w:color="auto" w:fill="auto"/>
            <w:noWrap/>
            <w:vAlign w:val="bottom"/>
            <w:hideMark/>
          </w:tcPr>
          <w:p w14:paraId="7BB5B1B2"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DE (2004) Eine </w:t>
            </w:r>
            <w:proofErr w:type="spellStart"/>
            <w:r w:rsidRPr="00406AEC">
              <w:rPr>
                <w:rFonts w:ascii="Times New Roman" w:eastAsia="Times New Roman" w:hAnsi="Times New Roman" w:cs="Times New Roman"/>
                <w:color w:val="000000"/>
                <w:szCs w:val="22"/>
              </w:rPr>
              <w:t>monozentrische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randomisierte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kontrollierte</w:t>
            </w:r>
            <w:proofErr w:type="spellEnd"/>
            <w:r w:rsidRPr="00406AEC">
              <w:rPr>
                <w:rFonts w:ascii="Times New Roman" w:eastAsia="Times New Roman" w:hAnsi="Times New Roman" w:cs="Times New Roman"/>
                <w:color w:val="000000"/>
                <w:szCs w:val="22"/>
              </w:rPr>
              <w:t xml:space="preserve"> Studie </w:t>
            </w:r>
            <w:proofErr w:type="spellStart"/>
            <w:r w:rsidRPr="00406AEC">
              <w:rPr>
                <w:rFonts w:ascii="Times New Roman" w:eastAsia="Times New Roman" w:hAnsi="Times New Roman" w:cs="Times New Roman"/>
                <w:color w:val="000000"/>
                <w:szCs w:val="22"/>
              </w:rPr>
              <w:t>zur</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Untersuchung</w:t>
            </w:r>
            <w:proofErr w:type="spellEnd"/>
            <w:r w:rsidRPr="00406AEC">
              <w:rPr>
                <w:rFonts w:ascii="Times New Roman" w:eastAsia="Times New Roman" w:hAnsi="Times New Roman" w:cs="Times New Roman"/>
                <w:color w:val="000000"/>
                <w:szCs w:val="22"/>
              </w:rPr>
              <w:t xml:space="preserve"> von Interferon-beta </w:t>
            </w:r>
            <w:proofErr w:type="spellStart"/>
            <w:r w:rsidRPr="00406AEC">
              <w:rPr>
                <w:rFonts w:ascii="Times New Roman" w:eastAsia="Times New Roman" w:hAnsi="Times New Roman" w:cs="Times New Roman"/>
                <w:color w:val="000000"/>
                <w:szCs w:val="22"/>
              </w:rPr>
              <w:t>zur</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Behandlung</w:t>
            </w:r>
            <w:proofErr w:type="spellEnd"/>
            <w:r w:rsidRPr="00406AEC">
              <w:rPr>
                <w:rFonts w:ascii="Times New Roman" w:eastAsia="Times New Roman" w:hAnsi="Times New Roman" w:cs="Times New Roman"/>
                <w:color w:val="000000"/>
                <w:szCs w:val="22"/>
              </w:rPr>
              <w:t xml:space="preserve"> der </w:t>
            </w:r>
            <w:proofErr w:type="spellStart"/>
            <w:r w:rsidRPr="00406AEC">
              <w:rPr>
                <w:rFonts w:ascii="Times New Roman" w:eastAsia="Times New Roman" w:hAnsi="Times New Roman" w:cs="Times New Roman"/>
                <w:color w:val="000000"/>
                <w:szCs w:val="22"/>
              </w:rPr>
              <w:t>Multiplen-Sklerose</w:t>
            </w:r>
            <w:proofErr w:type="spellEnd"/>
            <w:r w:rsidRPr="00406AEC">
              <w:rPr>
                <w:rFonts w:ascii="Times New Roman" w:eastAsia="Times New Roman" w:hAnsi="Times New Roman" w:cs="Times New Roman"/>
                <w:color w:val="000000"/>
                <w:szCs w:val="22"/>
              </w:rPr>
              <w:t xml:space="preserve"> (MS)-</w:t>
            </w:r>
            <w:proofErr w:type="spellStart"/>
            <w:r w:rsidRPr="00406AEC">
              <w:rPr>
                <w:rFonts w:ascii="Times New Roman" w:eastAsia="Times New Roman" w:hAnsi="Times New Roman" w:cs="Times New Roman"/>
                <w:color w:val="000000"/>
                <w:szCs w:val="22"/>
              </w:rPr>
              <w:t>assoziierten</w:t>
            </w:r>
            <w:proofErr w:type="spellEnd"/>
            <w:r w:rsidRPr="00406AEC">
              <w:rPr>
                <w:rFonts w:ascii="Times New Roman" w:eastAsia="Times New Roman" w:hAnsi="Times New Roman" w:cs="Times New Roman"/>
                <w:color w:val="000000"/>
                <w:szCs w:val="22"/>
              </w:rPr>
              <w:t xml:space="preserve"> und </w:t>
            </w:r>
            <w:proofErr w:type="spellStart"/>
            <w:r w:rsidRPr="00406AEC">
              <w:rPr>
                <w:rFonts w:ascii="Times New Roman" w:eastAsia="Times New Roman" w:hAnsi="Times New Roman" w:cs="Times New Roman"/>
                <w:color w:val="000000"/>
                <w:szCs w:val="22"/>
              </w:rPr>
              <w:t>primaren</w:t>
            </w:r>
            <w:proofErr w:type="spellEnd"/>
            <w:r w:rsidRPr="00406AEC">
              <w:rPr>
                <w:rFonts w:ascii="Times New Roman" w:eastAsia="Times New Roman" w:hAnsi="Times New Roman" w:cs="Times New Roman"/>
                <w:color w:val="000000"/>
                <w:szCs w:val="22"/>
              </w:rPr>
              <w:t xml:space="preserve"> Uveitis intermedia </w:t>
            </w:r>
            <w:proofErr w:type="spellStart"/>
            <w:r w:rsidRPr="00406AEC">
              <w:rPr>
                <w:rFonts w:ascii="Times New Roman" w:eastAsia="Times New Roman" w:hAnsi="Times New Roman" w:cs="Times New Roman"/>
                <w:color w:val="000000"/>
                <w:szCs w:val="22"/>
              </w:rPr>
              <w:t>im</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Vergleich</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zur</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Standardtherapie</w:t>
            </w:r>
            <w:proofErr w:type="spellEnd"/>
            <w:r w:rsidRPr="00406AEC">
              <w:rPr>
                <w:rFonts w:ascii="Times New Roman" w:eastAsia="Times New Roman" w:hAnsi="Times New Roman" w:cs="Times New Roman"/>
                <w:color w:val="000000"/>
                <w:szCs w:val="22"/>
              </w:rPr>
              <w:t xml:space="preserve"> A monocentric,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controlled trial for the investigation of Interferon-beta in the treatment of multiple-</w:t>
            </w:r>
            <w:proofErr w:type="spellStart"/>
            <w:r w:rsidRPr="00406AEC">
              <w:rPr>
                <w:rFonts w:ascii="Times New Roman" w:eastAsia="Times New Roman" w:hAnsi="Times New Roman" w:cs="Times New Roman"/>
                <w:color w:val="000000"/>
                <w:szCs w:val="22"/>
              </w:rPr>
              <w:t>slerosis</w:t>
            </w:r>
            <w:proofErr w:type="spellEnd"/>
            <w:r w:rsidRPr="00406AEC">
              <w:rPr>
                <w:rFonts w:ascii="Times New Roman" w:eastAsia="Times New Roman" w:hAnsi="Times New Roman" w:cs="Times New Roman"/>
                <w:color w:val="000000"/>
                <w:szCs w:val="22"/>
              </w:rPr>
              <w:t xml:space="preserve"> (MS)-associated and primary uveitis intermedia compared to the standardized treatment - TEAM-Studie. http://wwwwhoint/trialsearch/Trial2aspx?TrialID=EUCTR2004 </w:t>
            </w:r>
          </w:p>
        </w:tc>
      </w:tr>
      <w:tr w:rsidR="00406AEC" w:rsidRPr="00406AEC" w14:paraId="3B88A110" w14:textId="77777777" w:rsidTr="00406AEC">
        <w:trPr>
          <w:trHeight w:val="300"/>
        </w:trPr>
        <w:tc>
          <w:tcPr>
            <w:tcW w:w="9360" w:type="dxa"/>
            <w:tcBorders>
              <w:top w:val="nil"/>
              <w:left w:val="nil"/>
              <w:bottom w:val="nil"/>
              <w:right w:val="nil"/>
            </w:tcBorders>
            <w:shd w:val="clear" w:color="auto" w:fill="auto"/>
            <w:noWrap/>
            <w:vAlign w:val="bottom"/>
            <w:hideMark/>
          </w:tcPr>
          <w:p w14:paraId="2E4F8406"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(2015) Experimental clinical trial regarding relapsing-</w:t>
            </w:r>
            <w:proofErr w:type="spellStart"/>
            <w:r w:rsidRPr="00406AEC">
              <w:rPr>
                <w:rFonts w:ascii="Times New Roman" w:eastAsia="Times New Roman" w:hAnsi="Times New Roman" w:cs="Times New Roman"/>
                <w:color w:val="000000"/>
                <w:szCs w:val="22"/>
              </w:rPr>
              <w:t>remitTing</w:t>
            </w:r>
            <w:proofErr w:type="spellEnd"/>
            <w:r w:rsidRPr="00406AEC">
              <w:rPr>
                <w:rFonts w:ascii="Times New Roman" w:eastAsia="Times New Roman" w:hAnsi="Times New Roman" w:cs="Times New Roman"/>
                <w:color w:val="000000"/>
                <w:szCs w:val="22"/>
              </w:rPr>
              <w:t xml:space="preserve"> Multiple Sclerosis newly diagnosed patients, not yet treated for the evaluation of the onset, the efficacy and speed of action of the treatment with BG00012. http://wwwwhoint/trialsearch/Trial2aspx?TrialID=EUCTR2015 </w:t>
            </w:r>
          </w:p>
        </w:tc>
      </w:tr>
      <w:tr w:rsidR="00406AEC" w:rsidRPr="00406AEC" w14:paraId="6E35EF76" w14:textId="77777777" w:rsidTr="00406AEC">
        <w:trPr>
          <w:trHeight w:val="300"/>
        </w:trPr>
        <w:tc>
          <w:tcPr>
            <w:tcW w:w="9360" w:type="dxa"/>
            <w:tcBorders>
              <w:top w:val="nil"/>
              <w:left w:val="nil"/>
              <w:bottom w:val="nil"/>
              <w:right w:val="nil"/>
            </w:tcBorders>
            <w:shd w:val="clear" w:color="auto" w:fill="auto"/>
            <w:noWrap/>
            <w:vAlign w:val="bottom"/>
            <w:hideMark/>
          </w:tcPr>
          <w:p w14:paraId="0397B636"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LV (2011) A clinical study in patients with multiple sclerosis to assess the efficacy, </w:t>
            </w:r>
            <w:proofErr w:type="gramStart"/>
            <w:r w:rsidRPr="00406AEC">
              <w:rPr>
                <w:rFonts w:ascii="Times New Roman" w:eastAsia="Times New Roman" w:hAnsi="Times New Roman" w:cs="Times New Roman"/>
                <w:color w:val="000000"/>
                <w:szCs w:val="22"/>
              </w:rPr>
              <w:t>safety</w:t>
            </w:r>
            <w:proofErr w:type="gramEnd"/>
            <w:r w:rsidRPr="00406AEC">
              <w:rPr>
                <w:rFonts w:ascii="Times New Roman" w:eastAsia="Times New Roman" w:hAnsi="Times New Roman" w:cs="Times New Roman"/>
                <w:color w:val="000000"/>
                <w:szCs w:val="22"/>
              </w:rPr>
              <w:t xml:space="preserve"> and tolerability of Glatiramer Acetate (GA) 20 mg/0.5 ml (experimental drug). http://wwwwhoint/trialsearch/Trial2aspx?TrialID=EUCTR2011 </w:t>
            </w:r>
          </w:p>
        </w:tc>
      </w:tr>
      <w:tr w:rsidR="00406AEC" w:rsidRPr="00406AEC" w14:paraId="29887180" w14:textId="77777777" w:rsidTr="00406AEC">
        <w:trPr>
          <w:trHeight w:val="300"/>
        </w:trPr>
        <w:tc>
          <w:tcPr>
            <w:tcW w:w="9360" w:type="dxa"/>
            <w:tcBorders>
              <w:top w:val="nil"/>
              <w:left w:val="nil"/>
              <w:bottom w:val="nil"/>
              <w:right w:val="nil"/>
            </w:tcBorders>
            <w:shd w:val="clear" w:color="auto" w:fill="auto"/>
            <w:noWrap/>
            <w:vAlign w:val="bottom"/>
            <w:hideMark/>
          </w:tcPr>
          <w:p w14:paraId="26306466" w14:textId="77777777" w:rsidR="00406AEC" w:rsidRPr="00406AEC" w:rsidRDefault="00406AEC" w:rsidP="00223A29">
            <w:pPr>
              <w:pStyle w:val="ListParagraph"/>
              <w:numPr>
                <w:ilvl w:val="0"/>
                <w:numId w:val="27"/>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Licata S, </w:t>
            </w:r>
            <w:proofErr w:type="spellStart"/>
            <w:r w:rsidRPr="00406AEC">
              <w:rPr>
                <w:rFonts w:ascii="Times New Roman" w:eastAsia="Times New Roman" w:hAnsi="Times New Roman" w:cs="Times New Roman"/>
                <w:color w:val="000000"/>
                <w:szCs w:val="22"/>
              </w:rPr>
              <w:t>Butzkueven</w:t>
            </w:r>
            <w:proofErr w:type="spellEnd"/>
            <w:r w:rsidRPr="00406AEC">
              <w:rPr>
                <w:rFonts w:ascii="Times New Roman" w:eastAsia="Times New Roman" w:hAnsi="Times New Roman" w:cs="Times New Roman"/>
                <w:color w:val="000000"/>
                <w:szCs w:val="22"/>
              </w:rPr>
              <w:t xml:space="preserve"> H, Jeffery D, Arnold DL, Filippi M et al. (2017) </w:t>
            </w:r>
            <w:proofErr w:type="spellStart"/>
            <w:r w:rsidRPr="00406AEC">
              <w:rPr>
                <w:rFonts w:ascii="Times New Roman" w:eastAsia="Times New Roman" w:hAnsi="Times New Roman" w:cs="Times New Roman"/>
                <w:color w:val="000000"/>
                <w:szCs w:val="22"/>
              </w:rPr>
              <w:t>Natalizumabvs</w:t>
            </w:r>
            <w:proofErr w:type="spellEnd"/>
            <w:r w:rsidRPr="00406AEC">
              <w:rPr>
                <w:rFonts w:ascii="Times New Roman" w:eastAsia="Times New Roman" w:hAnsi="Times New Roman" w:cs="Times New Roman"/>
                <w:color w:val="000000"/>
                <w:szCs w:val="22"/>
              </w:rPr>
              <w:t xml:space="preserve"> fingolimod in patients with active relapsing-remitting multiple sclerosis (RRMS): comparative MRI assessments of disease activity from reveal, a randomized, head-to-head phase 4 study. Journal of the Neurological Sciences 381 (246): </w:t>
            </w:r>
          </w:p>
        </w:tc>
      </w:tr>
      <w:tr w:rsidR="00406AEC" w:rsidRPr="00406AEC" w14:paraId="5BCE2F8C" w14:textId="77777777" w:rsidTr="00406AEC">
        <w:trPr>
          <w:trHeight w:val="300"/>
        </w:trPr>
        <w:tc>
          <w:tcPr>
            <w:tcW w:w="9360" w:type="dxa"/>
            <w:tcBorders>
              <w:top w:val="nil"/>
              <w:left w:val="nil"/>
              <w:bottom w:val="nil"/>
              <w:right w:val="nil"/>
            </w:tcBorders>
            <w:shd w:val="clear" w:color="auto" w:fill="auto"/>
            <w:noWrap/>
            <w:vAlign w:val="bottom"/>
            <w:hideMark/>
          </w:tcPr>
          <w:p w14:paraId="72770A2C"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5A79CFF5" w14:textId="77777777" w:rsidTr="00406AEC">
        <w:trPr>
          <w:trHeight w:val="300"/>
        </w:trPr>
        <w:tc>
          <w:tcPr>
            <w:tcW w:w="9360" w:type="dxa"/>
            <w:tcBorders>
              <w:top w:val="nil"/>
              <w:left w:val="nil"/>
              <w:bottom w:val="nil"/>
              <w:right w:val="nil"/>
            </w:tcBorders>
            <w:shd w:val="clear" w:color="auto" w:fill="auto"/>
            <w:noWrap/>
            <w:vAlign w:val="bottom"/>
            <w:hideMark/>
          </w:tcPr>
          <w:p w14:paraId="1002E78D"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Population &lt;80% RRMS (n = 11)</w:t>
            </w:r>
          </w:p>
        </w:tc>
      </w:tr>
      <w:tr w:rsidR="00406AEC" w:rsidRPr="00406AEC" w14:paraId="412FF9B1" w14:textId="77777777" w:rsidTr="00406AEC">
        <w:trPr>
          <w:trHeight w:val="300"/>
        </w:trPr>
        <w:tc>
          <w:tcPr>
            <w:tcW w:w="9360" w:type="dxa"/>
            <w:tcBorders>
              <w:top w:val="nil"/>
              <w:left w:val="nil"/>
              <w:bottom w:val="nil"/>
              <w:right w:val="nil"/>
            </w:tcBorders>
            <w:shd w:val="clear" w:color="auto" w:fill="auto"/>
            <w:noWrap/>
            <w:vAlign w:val="bottom"/>
            <w:hideMark/>
          </w:tcPr>
          <w:p w14:paraId="0E2BCBA4"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(2011) A Clinical Study of the Efficacy of Natalizumab on Reducing Disability Progression in Participants With Secondary Progressive Multiple Sclerosis. https://clinicaltrialsgov/show/NCT01416181 </w:t>
            </w:r>
          </w:p>
        </w:tc>
      </w:tr>
      <w:tr w:rsidR="00406AEC" w:rsidRPr="00406AEC" w14:paraId="301163E8" w14:textId="77777777" w:rsidTr="00406AEC">
        <w:trPr>
          <w:trHeight w:val="300"/>
        </w:trPr>
        <w:tc>
          <w:tcPr>
            <w:tcW w:w="9360" w:type="dxa"/>
            <w:tcBorders>
              <w:top w:val="nil"/>
              <w:left w:val="nil"/>
              <w:bottom w:val="nil"/>
              <w:right w:val="nil"/>
            </w:tcBorders>
            <w:shd w:val="clear" w:color="auto" w:fill="auto"/>
            <w:noWrap/>
            <w:vAlign w:val="bottom"/>
            <w:hideMark/>
          </w:tcPr>
          <w:p w14:paraId="688ACE18"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(2012) Exploring the Efficacy and Safety of Siponimod in Patients With Secondary Progressive Multiple Sclerosis (EXPAND). https://clinicaltrialsgov/show/NCT01665144 </w:t>
            </w:r>
          </w:p>
        </w:tc>
      </w:tr>
      <w:tr w:rsidR="00406AEC" w:rsidRPr="00406AEC" w14:paraId="7E0E123D" w14:textId="77777777" w:rsidTr="00406AEC">
        <w:trPr>
          <w:trHeight w:val="300"/>
        </w:trPr>
        <w:tc>
          <w:tcPr>
            <w:tcW w:w="9360" w:type="dxa"/>
            <w:tcBorders>
              <w:top w:val="nil"/>
              <w:left w:val="nil"/>
              <w:bottom w:val="nil"/>
              <w:right w:val="nil"/>
            </w:tcBorders>
            <w:shd w:val="clear" w:color="auto" w:fill="auto"/>
            <w:noWrap/>
            <w:vAlign w:val="bottom"/>
            <w:hideMark/>
          </w:tcPr>
          <w:p w14:paraId="2632986B"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SE (2010) A Clinical Study of the Efficacy of Natalizumab on Reducing Disability Progression in Subjects With SPMS. http://wwwwhoint/trialsearch/Trial2aspx?TrialID=EUCTR2010 </w:t>
            </w:r>
          </w:p>
        </w:tc>
      </w:tr>
      <w:tr w:rsidR="00406AEC" w:rsidRPr="00406AEC" w14:paraId="07552635" w14:textId="77777777" w:rsidTr="00406AEC">
        <w:trPr>
          <w:trHeight w:val="300"/>
        </w:trPr>
        <w:tc>
          <w:tcPr>
            <w:tcW w:w="9360" w:type="dxa"/>
            <w:tcBorders>
              <w:top w:val="nil"/>
              <w:left w:val="nil"/>
              <w:bottom w:val="nil"/>
              <w:right w:val="nil"/>
            </w:tcBorders>
            <w:shd w:val="clear" w:color="auto" w:fill="auto"/>
            <w:noWrap/>
            <w:vAlign w:val="bottom"/>
            <w:hideMark/>
          </w:tcPr>
          <w:p w14:paraId="7CDEB866"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 Arnold DL, Bar-Or A, Cree B, Giovannoni G et al. (2017) Effects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on MRI outcomes in patients with secondary progressive multiple sclerosis: results of the phase 3 EXPAND study. Multiple sclerosis journal 23 (3): 34-35.</w:t>
            </w:r>
          </w:p>
        </w:tc>
      </w:tr>
      <w:tr w:rsidR="00406AEC" w:rsidRPr="00406AEC" w14:paraId="79A19058" w14:textId="77777777" w:rsidTr="00406AEC">
        <w:trPr>
          <w:trHeight w:val="300"/>
        </w:trPr>
        <w:tc>
          <w:tcPr>
            <w:tcW w:w="9360" w:type="dxa"/>
            <w:tcBorders>
              <w:top w:val="nil"/>
              <w:left w:val="nil"/>
              <w:bottom w:val="nil"/>
              <w:right w:val="nil"/>
            </w:tcBorders>
            <w:shd w:val="clear" w:color="auto" w:fill="auto"/>
            <w:noWrap/>
            <w:vAlign w:val="bottom"/>
            <w:hideMark/>
          </w:tcPr>
          <w:p w14:paraId="68A76A30"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Kapoor R, Ho PR, Campbell N, Chang I,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et al. (2018) Effect of natalizumab on disease progression in secondary progressive multiple sclerosis (ASCEND): a phase 3,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placebo-controlled trial with an open-label extension. The Lancet Neurology (pagination): </w:t>
            </w:r>
          </w:p>
        </w:tc>
      </w:tr>
      <w:tr w:rsidR="00406AEC" w:rsidRPr="00406AEC" w14:paraId="0F39DA37" w14:textId="77777777" w:rsidTr="00406AEC">
        <w:trPr>
          <w:trHeight w:val="300"/>
        </w:trPr>
        <w:tc>
          <w:tcPr>
            <w:tcW w:w="9360" w:type="dxa"/>
            <w:tcBorders>
              <w:top w:val="nil"/>
              <w:left w:val="nil"/>
              <w:bottom w:val="nil"/>
              <w:right w:val="nil"/>
            </w:tcBorders>
            <w:shd w:val="clear" w:color="auto" w:fill="auto"/>
            <w:noWrap/>
            <w:vAlign w:val="bottom"/>
            <w:hideMark/>
          </w:tcPr>
          <w:p w14:paraId="462B892A"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Bar-Or A, Cree B, Fox R, Giovannoni G et al. (2017) Efficacy of Siponimod in Secondary Progressive Multiple Sclerosis: results of the Phase 3 Study. Neurology 88 (16): </w:t>
            </w:r>
          </w:p>
        </w:tc>
      </w:tr>
      <w:tr w:rsidR="00406AEC" w:rsidRPr="00406AEC" w14:paraId="5F791EAE" w14:textId="77777777" w:rsidTr="00406AEC">
        <w:trPr>
          <w:trHeight w:val="300"/>
        </w:trPr>
        <w:tc>
          <w:tcPr>
            <w:tcW w:w="9360" w:type="dxa"/>
            <w:tcBorders>
              <w:top w:val="nil"/>
              <w:left w:val="nil"/>
              <w:bottom w:val="nil"/>
              <w:right w:val="nil"/>
            </w:tcBorders>
            <w:shd w:val="clear" w:color="auto" w:fill="auto"/>
            <w:noWrap/>
            <w:vAlign w:val="bottom"/>
            <w:hideMark/>
          </w:tcPr>
          <w:p w14:paraId="39752E2C"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Bar-Or A, Cree BAC, Fox RJ, Giovannoni G et al. (2018) Siponimod versus placebo in secondary progressive multiple sclerosis (EXPAND): a double-blind,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phase 3 study. The Lancet 391 (10127): 1263-1273.</w:t>
            </w:r>
          </w:p>
        </w:tc>
      </w:tr>
      <w:tr w:rsidR="00406AEC" w:rsidRPr="00406AEC" w14:paraId="063A21E2" w14:textId="77777777" w:rsidTr="00406AEC">
        <w:trPr>
          <w:trHeight w:val="300"/>
        </w:trPr>
        <w:tc>
          <w:tcPr>
            <w:tcW w:w="9360" w:type="dxa"/>
            <w:tcBorders>
              <w:top w:val="nil"/>
              <w:left w:val="nil"/>
              <w:bottom w:val="nil"/>
              <w:right w:val="nil"/>
            </w:tcBorders>
            <w:shd w:val="clear" w:color="auto" w:fill="auto"/>
            <w:noWrap/>
            <w:vAlign w:val="bottom"/>
            <w:hideMark/>
          </w:tcPr>
          <w:p w14:paraId="449AEB1A"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Li DKB, Zhao GJ, Paty DW (2001) Randomized controlled trial of interferon-beta-1a in secondary progressive MS: MRI results. Neurology 56 (11): 1505-1513.</w:t>
            </w:r>
          </w:p>
        </w:tc>
      </w:tr>
      <w:tr w:rsidR="00406AEC" w:rsidRPr="00406AEC" w14:paraId="547D13F1" w14:textId="77777777" w:rsidTr="00406AEC">
        <w:trPr>
          <w:trHeight w:val="300"/>
        </w:trPr>
        <w:tc>
          <w:tcPr>
            <w:tcW w:w="9360" w:type="dxa"/>
            <w:tcBorders>
              <w:top w:val="nil"/>
              <w:left w:val="nil"/>
              <w:bottom w:val="nil"/>
              <w:right w:val="nil"/>
            </w:tcBorders>
            <w:shd w:val="clear" w:color="auto" w:fill="auto"/>
            <w:noWrap/>
            <w:vAlign w:val="bottom"/>
            <w:hideMark/>
          </w:tcPr>
          <w:p w14:paraId="7F32A1FB"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Miller DH, Molyneux PD, Barker GJ, MacManus DG, Moseley IF et al. (1999) Effect of interferon-beta1b on magnetic resonance imaging outcomes in secondary progressive multiple sclerosis: Results of a European Multicenter, randomized, double-blind, placebo-controlled trial. Annals of Neurology 46 (6): 850-859.</w:t>
            </w:r>
          </w:p>
        </w:tc>
      </w:tr>
      <w:tr w:rsidR="00406AEC" w:rsidRPr="00406AEC" w14:paraId="1BC1A8E1" w14:textId="77777777" w:rsidTr="00406AEC">
        <w:trPr>
          <w:trHeight w:val="300"/>
        </w:trPr>
        <w:tc>
          <w:tcPr>
            <w:tcW w:w="9360" w:type="dxa"/>
            <w:tcBorders>
              <w:top w:val="nil"/>
              <w:left w:val="nil"/>
              <w:bottom w:val="nil"/>
              <w:right w:val="nil"/>
            </w:tcBorders>
            <w:shd w:val="clear" w:color="auto" w:fill="auto"/>
            <w:noWrap/>
            <w:vAlign w:val="bottom"/>
            <w:hideMark/>
          </w:tcPr>
          <w:p w14:paraId="5D72E4D5"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Molyneux PD, Kappos L, Polman C,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et al. (2000) The effect of interferon beta-1b treatment on MRI measures of cerebral atrophy in secondary progressive multiple sclerosis. European Study Group on Interferon beta-1b in secondary progressive multiple sclerosis. Brain 123 ((Pt 11)): 2256-2263.</w:t>
            </w:r>
          </w:p>
        </w:tc>
      </w:tr>
      <w:tr w:rsidR="00406AEC" w:rsidRPr="00406AEC" w14:paraId="7F38A4FD" w14:textId="77777777" w:rsidTr="00406AEC">
        <w:trPr>
          <w:trHeight w:val="300"/>
        </w:trPr>
        <w:tc>
          <w:tcPr>
            <w:tcW w:w="9360" w:type="dxa"/>
            <w:tcBorders>
              <w:top w:val="nil"/>
              <w:left w:val="nil"/>
              <w:bottom w:val="nil"/>
              <w:right w:val="nil"/>
            </w:tcBorders>
            <w:shd w:val="clear" w:color="auto" w:fill="auto"/>
            <w:noWrap/>
            <w:vAlign w:val="bottom"/>
            <w:hideMark/>
          </w:tcPr>
          <w:p w14:paraId="6F788FFC" w14:textId="77777777" w:rsidR="00406AEC" w:rsidRPr="00406AEC" w:rsidRDefault="00406AEC" w:rsidP="00223A29">
            <w:pPr>
              <w:pStyle w:val="ListParagraph"/>
              <w:numPr>
                <w:ilvl w:val="0"/>
                <w:numId w:val="28"/>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Bar-Or A, Cree B, Fox R, Giovannoni G et al. (2017) The EXPAND study results: efficacy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in secondary progressive multiple sclerosis. European journal of neurology 24 (44): </w:t>
            </w:r>
          </w:p>
        </w:tc>
      </w:tr>
      <w:tr w:rsidR="00406AEC" w:rsidRPr="00406AEC" w14:paraId="1A5D815B" w14:textId="77777777" w:rsidTr="00406AEC">
        <w:trPr>
          <w:trHeight w:val="300"/>
        </w:trPr>
        <w:tc>
          <w:tcPr>
            <w:tcW w:w="9360" w:type="dxa"/>
            <w:tcBorders>
              <w:top w:val="nil"/>
              <w:left w:val="nil"/>
              <w:bottom w:val="nil"/>
              <w:right w:val="nil"/>
            </w:tcBorders>
            <w:shd w:val="clear" w:color="auto" w:fill="auto"/>
            <w:noWrap/>
            <w:vAlign w:val="bottom"/>
            <w:hideMark/>
          </w:tcPr>
          <w:p w14:paraId="3B1E7439" w14:textId="77777777" w:rsidR="00406AEC" w:rsidRPr="00406AEC" w:rsidRDefault="00406AEC" w:rsidP="00406AEC">
            <w:pPr>
              <w:spacing w:after="0" w:line="240" w:lineRule="auto"/>
              <w:rPr>
                <w:rFonts w:ascii="Times New Roman" w:eastAsia="Times New Roman" w:hAnsi="Times New Roman" w:cs="Times New Roman"/>
                <w:color w:val="000000"/>
                <w:szCs w:val="22"/>
              </w:rPr>
            </w:pPr>
          </w:p>
        </w:tc>
      </w:tr>
      <w:tr w:rsidR="00406AEC" w:rsidRPr="00406AEC" w14:paraId="5920694A" w14:textId="77777777" w:rsidTr="00406AEC">
        <w:trPr>
          <w:trHeight w:val="300"/>
        </w:trPr>
        <w:tc>
          <w:tcPr>
            <w:tcW w:w="9360" w:type="dxa"/>
            <w:tcBorders>
              <w:top w:val="nil"/>
              <w:left w:val="nil"/>
              <w:bottom w:val="nil"/>
              <w:right w:val="nil"/>
            </w:tcBorders>
            <w:shd w:val="clear" w:color="auto" w:fill="auto"/>
            <w:noWrap/>
            <w:vAlign w:val="bottom"/>
            <w:hideMark/>
          </w:tcPr>
          <w:p w14:paraId="103840F3" w14:textId="77777777" w:rsidR="00406AEC" w:rsidRPr="00406AEC" w:rsidRDefault="00406AEC" w:rsidP="00406AEC">
            <w:pPr>
              <w:spacing w:after="0" w:line="240" w:lineRule="auto"/>
              <w:rPr>
                <w:rFonts w:ascii="Times New Roman" w:eastAsia="Times New Roman" w:hAnsi="Times New Roman" w:cs="Times New Roman"/>
                <w:b/>
                <w:bCs/>
                <w:color w:val="000000"/>
                <w:szCs w:val="22"/>
                <w:u w:val="single"/>
              </w:rPr>
            </w:pPr>
            <w:r w:rsidRPr="00406AEC">
              <w:rPr>
                <w:rFonts w:ascii="Times New Roman" w:eastAsia="Times New Roman" w:hAnsi="Times New Roman" w:cs="Times New Roman"/>
                <w:b/>
                <w:bCs/>
                <w:color w:val="000000"/>
                <w:szCs w:val="22"/>
                <w:u w:val="single"/>
              </w:rPr>
              <w:t>Outcomes not BVL or CUAL (n = 188)</w:t>
            </w:r>
          </w:p>
        </w:tc>
      </w:tr>
      <w:tr w:rsidR="00406AEC" w:rsidRPr="00406AEC" w14:paraId="43D05992" w14:textId="77777777" w:rsidTr="00406AEC">
        <w:trPr>
          <w:trHeight w:val="300"/>
        </w:trPr>
        <w:tc>
          <w:tcPr>
            <w:tcW w:w="9360" w:type="dxa"/>
            <w:tcBorders>
              <w:top w:val="nil"/>
              <w:left w:val="nil"/>
              <w:bottom w:val="nil"/>
              <w:right w:val="nil"/>
            </w:tcBorders>
            <w:shd w:val="clear" w:color="auto" w:fill="auto"/>
            <w:noWrap/>
            <w:vAlign w:val="bottom"/>
            <w:hideMark/>
          </w:tcPr>
          <w:p w14:paraId="4B7432D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(2005) Combination Therapy in Patients With Relapsing-Remitting Multiple Sclerosis (MS)</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https://clinicaltrialsgov/show/NCT00211887 </w:t>
            </w:r>
          </w:p>
        </w:tc>
      </w:tr>
      <w:tr w:rsidR="00406AEC" w:rsidRPr="00406AEC" w14:paraId="16DB0F18" w14:textId="77777777" w:rsidTr="00406AEC">
        <w:trPr>
          <w:trHeight w:val="300"/>
        </w:trPr>
        <w:tc>
          <w:tcPr>
            <w:tcW w:w="9360" w:type="dxa"/>
            <w:tcBorders>
              <w:top w:val="nil"/>
              <w:left w:val="nil"/>
              <w:bottom w:val="nil"/>
              <w:right w:val="nil"/>
            </w:tcBorders>
            <w:shd w:val="clear" w:color="auto" w:fill="auto"/>
            <w:noWrap/>
            <w:vAlign w:val="bottom"/>
            <w:hideMark/>
          </w:tcPr>
          <w:p w14:paraId="2B09179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(2006) Efficacy and Safety of Fingolimod in Patients With Relapsing-remitting Multiple Sclerosis. https://clinicaltrialsgov/show/NCT00289978 </w:t>
            </w:r>
          </w:p>
        </w:tc>
      </w:tr>
      <w:tr w:rsidR="00406AEC" w:rsidRPr="00406AEC" w14:paraId="37E997E1" w14:textId="77777777" w:rsidTr="00406AEC">
        <w:trPr>
          <w:trHeight w:val="300"/>
        </w:trPr>
        <w:tc>
          <w:tcPr>
            <w:tcW w:w="9360" w:type="dxa"/>
            <w:tcBorders>
              <w:top w:val="nil"/>
              <w:left w:val="nil"/>
              <w:bottom w:val="nil"/>
              <w:right w:val="nil"/>
            </w:tcBorders>
            <w:shd w:val="clear" w:color="auto" w:fill="auto"/>
            <w:noWrap/>
            <w:vAlign w:val="bottom"/>
            <w:hideMark/>
          </w:tcPr>
          <w:p w14:paraId="6CDEBC4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Comparison of Alemtuzumab and Rebif(R) Efficacy in Multiple Sclerosis, Study One. https://clinicaltrialsgov/show/NCT00530348 </w:t>
            </w:r>
          </w:p>
        </w:tc>
      </w:tr>
      <w:tr w:rsidR="00406AEC" w:rsidRPr="00406AEC" w14:paraId="697EAF8A" w14:textId="77777777" w:rsidTr="00406AEC">
        <w:trPr>
          <w:trHeight w:val="300"/>
        </w:trPr>
        <w:tc>
          <w:tcPr>
            <w:tcW w:w="9360" w:type="dxa"/>
            <w:tcBorders>
              <w:top w:val="nil"/>
              <w:left w:val="nil"/>
              <w:bottom w:val="nil"/>
              <w:right w:val="nil"/>
            </w:tcBorders>
            <w:shd w:val="clear" w:color="auto" w:fill="auto"/>
            <w:noWrap/>
            <w:vAlign w:val="bottom"/>
            <w:hideMark/>
          </w:tcPr>
          <w:p w14:paraId="1774737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(2007) Comparison of Alemtuzumab and Rebif(R) Efficacy in Multiple Sclerosis, Study Two. https://clinicaltrialsgov/show/NCT00548405 </w:t>
            </w:r>
          </w:p>
        </w:tc>
      </w:tr>
      <w:tr w:rsidR="00406AEC" w:rsidRPr="00406AEC" w14:paraId="5DAFCD25" w14:textId="77777777" w:rsidTr="00406AEC">
        <w:trPr>
          <w:trHeight w:val="300"/>
        </w:trPr>
        <w:tc>
          <w:tcPr>
            <w:tcW w:w="9360" w:type="dxa"/>
            <w:tcBorders>
              <w:top w:val="nil"/>
              <w:left w:val="nil"/>
              <w:bottom w:val="nil"/>
              <w:right w:val="nil"/>
            </w:tcBorders>
            <w:shd w:val="clear" w:color="auto" w:fill="auto"/>
            <w:noWrap/>
            <w:vAlign w:val="bottom"/>
            <w:hideMark/>
          </w:tcPr>
          <w:p w14:paraId="3C211F0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(2008) An Efficacy Study of Teriflunomide in Participants With Relapsing Multiple Sclerosis. https://clinicaltrialsgov/show/NCT00751881 </w:t>
            </w:r>
          </w:p>
        </w:tc>
      </w:tr>
      <w:tr w:rsidR="00406AEC" w:rsidRPr="00406AEC" w14:paraId="79393569" w14:textId="77777777" w:rsidTr="00406AEC">
        <w:trPr>
          <w:trHeight w:val="300"/>
        </w:trPr>
        <w:tc>
          <w:tcPr>
            <w:tcW w:w="9360" w:type="dxa"/>
            <w:tcBorders>
              <w:top w:val="nil"/>
              <w:left w:val="nil"/>
              <w:bottom w:val="nil"/>
              <w:right w:val="nil"/>
            </w:tcBorders>
            <w:shd w:val="clear" w:color="auto" w:fill="auto"/>
            <w:noWrap/>
            <w:vAlign w:val="bottom"/>
            <w:hideMark/>
          </w:tcPr>
          <w:p w14:paraId="3C5DE57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(2008) A Study of the Efficacy and Safety of Ocrelizumab in Patients With Relapsing-Remitting Multiple Sclerosis. https://clinicaltrialsgov/show/NCT00676715 </w:t>
            </w:r>
          </w:p>
        </w:tc>
      </w:tr>
      <w:tr w:rsidR="00406AEC" w:rsidRPr="00406AEC" w14:paraId="2BA0E68C" w14:textId="77777777" w:rsidTr="00406AEC">
        <w:trPr>
          <w:trHeight w:val="300"/>
        </w:trPr>
        <w:tc>
          <w:tcPr>
            <w:tcW w:w="9360" w:type="dxa"/>
            <w:tcBorders>
              <w:top w:val="nil"/>
              <w:left w:val="nil"/>
              <w:bottom w:val="nil"/>
              <w:right w:val="nil"/>
            </w:tcBorders>
            <w:shd w:val="clear" w:color="auto" w:fill="auto"/>
            <w:noWrap/>
            <w:vAlign w:val="bottom"/>
            <w:hideMark/>
          </w:tcPr>
          <w:p w14:paraId="22C2F0E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(2009) Efficacy and Safety Study of Peginterferon Beta-1a in Participants With Relapsing Multiple Sclerosis. https://clinicaltrialsgov/show/NCT00906399 </w:t>
            </w:r>
          </w:p>
        </w:tc>
      </w:tr>
      <w:tr w:rsidR="00406AEC" w:rsidRPr="00406AEC" w14:paraId="210F1E92" w14:textId="77777777" w:rsidTr="00406AEC">
        <w:trPr>
          <w:trHeight w:val="300"/>
        </w:trPr>
        <w:tc>
          <w:tcPr>
            <w:tcW w:w="9360" w:type="dxa"/>
            <w:tcBorders>
              <w:top w:val="nil"/>
              <w:left w:val="nil"/>
              <w:bottom w:val="nil"/>
              <w:right w:val="nil"/>
            </w:tcBorders>
            <w:shd w:val="clear" w:color="auto" w:fill="auto"/>
            <w:noWrap/>
            <w:vAlign w:val="bottom"/>
            <w:hideMark/>
          </w:tcPr>
          <w:p w14:paraId="56B962C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(2011) Efficacy and Safety of GTR in Comparison to Copaxone(R). https://clinicaltrialsgov/show/NCT01489254 </w:t>
            </w:r>
          </w:p>
        </w:tc>
      </w:tr>
      <w:tr w:rsidR="00406AEC" w:rsidRPr="00406AEC" w14:paraId="1DBD514D" w14:textId="77777777" w:rsidTr="00406AEC">
        <w:trPr>
          <w:trHeight w:val="300"/>
        </w:trPr>
        <w:tc>
          <w:tcPr>
            <w:tcW w:w="9360" w:type="dxa"/>
            <w:tcBorders>
              <w:top w:val="nil"/>
              <w:left w:val="nil"/>
              <w:bottom w:val="nil"/>
              <w:right w:val="nil"/>
            </w:tcBorders>
            <w:shd w:val="clear" w:color="auto" w:fill="auto"/>
            <w:noWrap/>
            <w:vAlign w:val="bottom"/>
            <w:hideMark/>
          </w:tcPr>
          <w:p w14:paraId="5C149C4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(2017) Positive impact of cladribine on quality of life in people with relapsing multiple sclerosis. Multiple sclerosis journal </w:t>
            </w:r>
          </w:p>
        </w:tc>
      </w:tr>
      <w:tr w:rsidR="00406AEC" w:rsidRPr="00406AEC" w14:paraId="1C880BA1" w14:textId="77777777" w:rsidTr="00406AEC">
        <w:trPr>
          <w:trHeight w:val="300"/>
        </w:trPr>
        <w:tc>
          <w:tcPr>
            <w:tcW w:w="9360" w:type="dxa"/>
            <w:tcBorders>
              <w:top w:val="nil"/>
              <w:left w:val="nil"/>
              <w:bottom w:val="nil"/>
              <w:right w:val="nil"/>
            </w:tcBorders>
            <w:shd w:val="clear" w:color="auto" w:fill="auto"/>
            <w:noWrap/>
            <w:vAlign w:val="bottom"/>
            <w:hideMark/>
          </w:tcPr>
          <w:p w14:paraId="02E4BF3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Impact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on cognition in patients with secondary progressive multiple sclerosis: results from phase 3 expand study. Neurology Conference: 70th Annual Meeting of the American Academy of Neurology, AAN 90 (15 Supplement 1): </w:t>
            </w:r>
          </w:p>
        </w:tc>
      </w:tr>
      <w:tr w:rsidR="00406AEC" w:rsidRPr="00406AEC" w14:paraId="7C2A4703" w14:textId="77777777" w:rsidTr="00406AEC">
        <w:trPr>
          <w:trHeight w:val="300"/>
        </w:trPr>
        <w:tc>
          <w:tcPr>
            <w:tcW w:w="9360" w:type="dxa"/>
            <w:tcBorders>
              <w:top w:val="nil"/>
              <w:left w:val="nil"/>
              <w:bottom w:val="nil"/>
              <w:right w:val="nil"/>
            </w:tcBorders>
            <w:shd w:val="clear" w:color="auto" w:fill="auto"/>
            <w:noWrap/>
            <w:vAlign w:val="bottom"/>
            <w:hideMark/>
          </w:tcPr>
          <w:p w14:paraId="2A32DBE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(2018) In Clarity the Severity and Frequency of Relapses are Lower in Patients with Relapsing-remitting Multiple Sclerosis Treated with Cladribine Tablets Versus Placebo. Multiple sclerosis and related disorders 26 (262): </w:t>
            </w:r>
          </w:p>
        </w:tc>
      </w:tr>
      <w:tr w:rsidR="00406AEC" w:rsidRPr="00406AEC" w14:paraId="1A7B9711" w14:textId="77777777" w:rsidTr="00406AEC">
        <w:trPr>
          <w:trHeight w:val="300"/>
        </w:trPr>
        <w:tc>
          <w:tcPr>
            <w:tcW w:w="9360" w:type="dxa"/>
            <w:tcBorders>
              <w:top w:val="nil"/>
              <w:left w:val="nil"/>
              <w:bottom w:val="nil"/>
              <w:right w:val="nil"/>
            </w:tcBorders>
            <w:shd w:val="clear" w:color="auto" w:fill="auto"/>
            <w:noWrap/>
            <w:vAlign w:val="bottom"/>
            <w:hideMark/>
          </w:tcPr>
          <w:p w14:paraId="7CF33D1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Clarity: an analysis of severity and frequency of relapses in patients with relapsing-remitting multiple sclerosis treated with cladribine tablets or placebo. Multiple sclerosis journal 25 (3): 466-467.</w:t>
            </w:r>
          </w:p>
        </w:tc>
      </w:tr>
      <w:tr w:rsidR="00406AEC" w:rsidRPr="00406AEC" w14:paraId="64ED5195" w14:textId="77777777" w:rsidTr="00406AEC">
        <w:trPr>
          <w:trHeight w:val="300"/>
        </w:trPr>
        <w:tc>
          <w:tcPr>
            <w:tcW w:w="9360" w:type="dxa"/>
            <w:tcBorders>
              <w:top w:val="nil"/>
              <w:left w:val="nil"/>
              <w:bottom w:val="nil"/>
              <w:right w:val="nil"/>
            </w:tcBorders>
            <w:shd w:val="clear" w:color="auto" w:fill="auto"/>
            <w:noWrap/>
            <w:vAlign w:val="bottom"/>
            <w:hideMark/>
          </w:tcPr>
          <w:p w14:paraId="125F167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(2019) Severity and frequency of relapses in patients with relapsing-remitting MS treated with cladribine tablets in CLARITY and placebo in CLARITY extension. European journal of neurology 26 857-858.</w:t>
            </w:r>
          </w:p>
        </w:tc>
      </w:tr>
      <w:tr w:rsidR="00406AEC" w:rsidRPr="00406AEC" w14:paraId="11CEAD83" w14:textId="77777777" w:rsidTr="00406AEC">
        <w:trPr>
          <w:trHeight w:val="300"/>
        </w:trPr>
        <w:tc>
          <w:tcPr>
            <w:tcW w:w="9360" w:type="dxa"/>
            <w:tcBorders>
              <w:top w:val="nil"/>
              <w:left w:val="nil"/>
              <w:bottom w:val="nil"/>
              <w:right w:val="nil"/>
            </w:tcBorders>
            <w:shd w:val="clear" w:color="auto" w:fill="auto"/>
            <w:noWrap/>
            <w:vAlign w:val="bottom"/>
            <w:hideMark/>
          </w:tcPr>
          <w:p w14:paraId="7F5F9B1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(2021) Improved gastrointestinal profile with diroximel fumarate is associated with a positive impact on quality of life compared with dimethyl fumarate: results from the randomized, double-blind, phase III EVOLVE-MS-2 study. Improved gastrointestinal profile with diroximel fumarate is associated with a positive impact on quality of life compared with dimethyl fumarate: results from the randomized, double-blind, phase III EVOLVE-MS-2 study 14 </w:t>
            </w:r>
          </w:p>
        </w:tc>
      </w:tr>
      <w:tr w:rsidR="00406AEC" w:rsidRPr="00406AEC" w14:paraId="651DA2D9" w14:textId="77777777" w:rsidTr="00406AEC">
        <w:trPr>
          <w:trHeight w:val="300"/>
        </w:trPr>
        <w:tc>
          <w:tcPr>
            <w:tcW w:w="9360" w:type="dxa"/>
            <w:tcBorders>
              <w:top w:val="nil"/>
              <w:left w:val="nil"/>
              <w:bottom w:val="nil"/>
              <w:right w:val="nil"/>
            </w:tcBorders>
            <w:shd w:val="clear" w:color="auto" w:fill="auto"/>
            <w:noWrap/>
            <w:vAlign w:val="bottom"/>
            <w:hideMark/>
          </w:tcPr>
          <w:p w14:paraId="40E3256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Agarwal S, Kappos L, Gold R, Arnold D, Bar-Or A et al. Effects of BG-12 on quality of life in patients with relapsing-remitting multiple sclerosis: Findings from the DEFINE study. Neurology 78 (1 Meeting Abstract): CONFERENCE START: 2012 Apr 2021 CONFERENCE END: 2012 Apr 2028.</w:t>
            </w:r>
          </w:p>
        </w:tc>
      </w:tr>
      <w:tr w:rsidR="00406AEC" w:rsidRPr="00406AEC" w14:paraId="5C091269" w14:textId="77777777" w:rsidTr="00406AEC">
        <w:trPr>
          <w:trHeight w:val="300"/>
        </w:trPr>
        <w:tc>
          <w:tcPr>
            <w:tcW w:w="9360" w:type="dxa"/>
            <w:tcBorders>
              <w:top w:val="nil"/>
              <w:left w:val="nil"/>
              <w:bottom w:val="nil"/>
              <w:right w:val="nil"/>
            </w:tcBorders>
            <w:shd w:val="clear" w:color="auto" w:fill="auto"/>
            <w:noWrap/>
            <w:vAlign w:val="bottom"/>
            <w:hideMark/>
          </w:tcPr>
          <w:p w14:paraId="3CFD49E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Ali S, Paracha N, Cook S, Giovannoni G, Comi G et al. (2012) Reduction in healthcare and societal resource utilization associated with cladribine tablets in patients with relapsing-</w:t>
            </w:r>
            <w:r w:rsidRPr="00406AEC">
              <w:rPr>
                <w:rFonts w:ascii="Times New Roman" w:eastAsia="Times New Roman" w:hAnsi="Times New Roman" w:cs="Times New Roman"/>
                <w:color w:val="000000"/>
                <w:szCs w:val="22"/>
              </w:rPr>
              <w:lastRenderedPageBreak/>
              <w:t>remitting multiple sclerosis: Analysis of economic data from the CLARITY study. Clinical Drug Investigation 32 (1): 15-27.</w:t>
            </w:r>
          </w:p>
        </w:tc>
      </w:tr>
      <w:tr w:rsidR="00406AEC" w:rsidRPr="00406AEC" w14:paraId="17B9C599" w14:textId="77777777" w:rsidTr="00406AEC">
        <w:trPr>
          <w:trHeight w:val="300"/>
        </w:trPr>
        <w:tc>
          <w:tcPr>
            <w:tcW w:w="9360" w:type="dxa"/>
            <w:tcBorders>
              <w:top w:val="nil"/>
              <w:left w:val="nil"/>
              <w:bottom w:val="nil"/>
              <w:right w:val="nil"/>
            </w:tcBorders>
            <w:shd w:val="clear" w:color="auto" w:fill="auto"/>
            <w:noWrap/>
            <w:vAlign w:val="bottom"/>
            <w:hideMark/>
          </w:tcPr>
          <w:p w14:paraId="63142AC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Arnold DL, Calabresi PA,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BC, Sheikh SI, </w:t>
            </w:r>
            <w:proofErr w:type="spellStart"/>
            <w:r w:rsidRPr="00406AEC">
              <w:rPr>
                <w:rFonts w:ascii="Times New Roman" w:eastAsia="Times New Roman" w:hAnsi="Times New Roman" w:cs="Times New Roman"/>
                <w:color w:val="000000"/>
                <w:szCs w:val="22"/>
              </w:rPr>
              <w:t>Deykin</w:t>
            </w:r>
            <w:proofErr w:type="spellEnd"/>
            <w:r w:rsidRPr="00406AEC">
              <w:rPr>
                <w:rFonts w:ascii="Times New Roman" w:eastAsia="Times New Roman" w:hAnsi="Times New Roman" w:cs="Times New Roman"/>
                <w:color w:val="000000"/>
                <w:szCs w:val="22"/>
              </w:rPr>
              <w:t xml:space="preserve"> A et al. (2014) Effect of peginterferon beta-1a on MRI measures and achieving no evidence of disease activity: Results from a randomized controlled trial in relapsing-remitting multiple sclerosis. BMC Neurology 14 (1): </w:t>
            </w:r>
          </w:p>
        </w:tc>
      </w:tr>
      <w:tr w:rsidR="00406AEC" w:rsidRPr="00406AEC" w14:paraId="062FD8B9" w14:textId="77777777" w:rsidTr="00406AEC">
        <w:trPr>
          <w:trHeight w:val="300"/>
        </w:trPr>
        <w:tc>
          <w:tcPr>
            <w:tcW w:w="9360" w:type="dxa"/>
            <w:tcBorders>
              <w:top w:val="nil"/>
              <w:left w:val="nil"/>
              <w:bottom w:val="nil"/>
              <w:right w:val="nil"/>
            </w:tcBorders>
            <w:shd w:val="clear" w:color="auto" w:fill="auto"/>
            <w:noWrap/>
            <w:vAlign w:val="bottom"/>
            <w:hideMark/>
          </w:tcPr>
          <w:p w14:paraId="4CDE45F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Arroyo Gonzalez R, Kita M, Crayton H,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Margolin DH et al. (2017) Alemtuzumab improves quality-of-life outcomes compared with subcutaneous interferon beta-1a in patients with active relapsing-remitting multiple sclerosis. Multiple sclerosis journal 23 (10): 1367-1376.</w:t>
            </w:r>
          </w:p>
        </w:tc>
      </w:tr>
      <w:tr w:rsidR="00406AEC" w:rsidRPr="00406AEC" w14:paraId="514843D4" w14:textId="77777777" w:rsidTr="00406AEC">
        <w:trPr>
          <w:trHeight w:val="300"/>
        </w:trPr>
        <w:tc>
          <w:tcPr>
            <w:tcW w:w="9360" w:type="dxa"/>
            <w:tcBorders>
              <w:top w:val="nil"/>
              <w:left w:val="nil"/>
              <w:bottom w:val="nil"/>
              <w:right w:val="nil"/>
            </w:tcBorders>
            <w:shd w:val="clear" w:color="auto" w:fill="auto"/>
            <w:noWrap/>
            <w:vAlign w:val="bottom"/>
            <w:hideMark/>
          </w:tcPr>
          <w:p w14:paraId="7499F49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Balcer LJ, Arnold DL, Cohen JA, Coles AJ,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(2013) Alemtuzumab improves visual outcomes in treatment-naive patients with relapsing-remitting multiple sclerosis (RRMS): Analysis from the phase 3 CARE-MS I study. Journal of the Neurological Sciences 333 (21): </w:t>
            </w:r>
          </w:p>
        </w:tc>
      </w:tr>
      <w:tr w:rsidR="00406AEC" w:rsidRPr="00406AEC" w14:paraId="434C95BF" w14:textId="77777777" w:rsidTr="00406AEC">
        <w:trPr>
          <w:trHeight w:val="300"/>
        </w:trPr>
        <w:tc>
          <w:tcPr>
            <w:tcW w:w="9360" w:type="dxa"/>
            <w:tcBorders>
              <w:top w:val="nil"/>
              <w:left w:val="nil"/>
              <w:bottom w:val="nil"/>
              <w:right w:val="nil"/>
            </w:tcBorders>
            <w:shd w:val="clear" w:color="auto" w:fill="auto"/>
            <w:noWrap/>
            <w:vAlign w:val="bottom"/>
            <w:hideMark/>
          </w:tcPr>
          <w:p w14:paraId="5C5EFE3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Balcer LJ, Galetta SL, Calabresi PA,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Giovannoni G et al. (2007) Natalizumab reduces visual loss in patients with relapsing multiple sclerosis. Neurology 68 (16): 1299-1304.</w:t>
            </w:r>
          </w:p>
        </w:tc>
      </w:tr>
      <w:tr w:rsidR="00406AEC" w:rsidRPr="00406AEC" w14:paraId="2CFF3797" w14:textId="77777777" w:rsidTr="00406AEC">
        <w:trPr>
          <w:trHeight w:val="300"/>
        </w:trPr>
        <w:tc>
          <w:tcPr>
            <w:tcW w:w="9360" w:type="dxa"/>
            <w:tcBorders>
              <w:top w:val="nil"/>
              <w:left w:val="nil"/>
              <w:bottom w:val="nil"/>
              <w:right w:val="nil"/>
            </w:tcBorders>
            <w:shd w:val="clear" w:color="auto" w:fill="auto"/>
            <w:noWrap/>
            <w:vAlign w:val="bottom"/>
            <w:hideMark/>
          </w:tcPr>
          <w:p w14:paraId="6C19989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Balcer LJ, Galetta SL, Polman CH, Eggenberger E, Calabresi PA et al. (2012) Low-contrast acuity measures visual improvement in phase 3 trial of natalizumab in relapsing MS. Journal of the Neurological Sciences 318 (1-2): 119-124.</w:t>
            </w:r>
          </w:p>
        </w:tc>
      </w:tr>
      <w:tr w:rsidR="00406AEC" w:rsidRPr="00406AEC" w14:paraId="0069AA47" w14:textId="77777777" w:rsidTr="00406AEC">
        <w:trPr>
          <w:trHeight w:val="300"/>
        </w:trPr>
        <w:tc>
          <w:tcPr>
            <w:tcW w:w="9360" w:type="dxa"/>
            <w:tcBorders>
              <w:top w:val="nil"/>
              <w:left w:val="nil"/>
              <w:bottom w:val="nil"/>
              <w:right w:val="nil"/>
            </w:tcBorders>
            <w:shd w:val="clear" w:color="auto" w:fill="auto"/>
            <w:noWrap/>
            <w:vAlign w:val="bottom"/>
            <w:hideMark/>
          </w:tcPr>
          <w:p w14:paraId="56045CD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Bar-Or A, Gold R, Kappos L, Arnold DL, Giovannoni G et al. (2013) Clinical efficacy of BG-12 (dimethyl fumarate) in patients with relapsing-remitting multiple sclerosis: Subgroup analyses of the DEFINE study. Journal of Neurology 260 (9): 2297-2305.</w:t>
            </w:r>
          </w:p>
        </w:tc>
      </w:tr>
      <w:tr w:rsidR="00406AEC" w:rsidRPr="00406AEC" w14:paraId="12F494C3" w14:textId="77777777" w:rsidTr="00406AEC">
        <w:trPr>
          <w:trHeight w:val="300"/>
        </w:trPr>
        <w:tc>
          <w:tcPr>
            <w:tcW w:w="9360" w:type="dxa"/>
            <w:tcBorders>
              <w:top w:val="nil"/>
              <w:left w:val="nil"/>
              <w:bottom w:val="nil"/>
              <w:right w:val="nil"/>
            </w:tcBorders>
            <w:shd w:val="clear" w:color="auto" w:fill="auto"/>
            <w:noWrap/>
            <w:vAlign w:val="bottom"/>
            <w:hideMark/>
          </w:tcPr>
          <w:p w14:paraId="70B60BE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Benedict RHB, Tomic D, Cree BA, Fox R, Giovannoni G et al. (2020) Siponimod and cognition in secondary progressive multiple sclerosis: EXPAND secondary analyses. Neurology </w:t>
            </w:r>
          </w:p>
        </w:tc>
      </w:tr>
      <w:tr w:rsidR="00406AEC" w:rsidRPr="00406AEC" w14:paraId="1470C507" w14:textId="77777777" w:rsidTr="00406AEC">
        <w:trPr>
          <w:trHeight w:val="300"/>
        </w:trPr>
        <w:tc>
          <w:tcPr>
            <w:tcW w:w="9360" w:type="dxa"/>
            <w:tcBorders>
              <w:top w:val="nil"/>
              <w:left w:val="nil"/>
              <w:bottom w:val="nil"/>
              <w:right w:val="nil"/>
            </w:tcBorders>
            <w:shd w:val="clear" w:color="auto" w:fill="auto"/>
            <w:noWrap/>
            <w:vAlign w:val="bottom"/>
            <w:hideMark/>
          </w:tcPr>
          <w:p w14:paraId="4BFBC2E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Benedict RHB, Tomic D, Cree BA, Fox R, Giovannoni G et al. (2021) Siponimod and Cognition in Secondary Progressive Multiple Sclerosis: EXPAND Secondary Analyses. Neurology 96 (3): e376-e386.</w:t>
            </w:r>
          </w:p>
        </w:tc>
      </w:tr>
      <w:tr w:rsidR="00406AEC" w:rsidRPr="00406AEC" w14:paraId="4487A778" w14:textId="77777777" w:rsidTr="00406AEC">
        <w:trPr>
          <w:trHeight w:val="300"/>
        </w:trPr>
        <w:tc>
          <w:tcPr>
            <w:tcW w:w="9360" w:type="dxa"/>
            <w:tcBorders>
              <w:top w:val="nil"/>
              <w:left w:val="nil"/>
              <w:bottom w:val="nil"/>
              <w:right w:val="nil"/>
            </w:tcBorders>
            <w:shd w:val="clear" w:color="auto" w:fill="auto"/>
            <w:noWrap/>
            <w:vAlign w:val="bottom"/>
            <w:hideMark/>
          </w:tcPr>
          <w:p w14:paraId="45435E5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Bergvall</w:t>
            </w:r>
            <w:proofErr w:type="spellEnd"/>
            <w:r w:rsidRPr="00406AEC">
              <w:rPr>
                <w:rFonts w:ascii="Times New Roman" w:eastAsia="Times New Roman" w:hAnsi="Times New Roman" w:cs="Times New Roman"/>
                <w:color w:val="000000"/>
                <w:szCs w:val="22"/>
              </w:rPr>
              <w:t xml:space="preserve"> N, Tomic D, Sfikas N, Kappos L Impact of fingolimod on achieving no evidence of disease activity in pre-treated patients with high disease activity in FREEDOMS and FREEDOMS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117-118.</w:t>
            </w:r>
          </w:p>
        </w:tc>
      </w:tr>
      <w:tr w:rsidR="00406AEC" w:rsidRPr="00406AEC" w14:paraId="15F87CCB" w14:textId="77777777" w:rsidTr="00406AEC">
        <w:trPr>
          <w:trHeight w:val="300"/>
        </w:trPr>
        <w:tc>
          <w:tcPr>
            <w:tcW w:w="9360" w:type="dxa"/>
            <w:tcBorders>
              <w:top w:val="nil"/>
              <w:left w:val="nil"/>
              <w:bottom w:val="nil"/>
              <w:right w:val="nil"/>
            </w:tcBorders>
            <w:shd w:val="clear" w:color="auto" w:fill="auto"/>
            <w:noWrap/>
            <w:vAlign w:val="bottom"/>
            <w:hideMark/>
          </w:tcPr>
          <w:p w14:paraId="23307B5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Bornstein MB, Miller A, Slagle S (1987) A pilot trial of cop 1 in exacerbating-remitting multiple sclerosis. New England Journal of Medicine 317 (7): 408-414.</w:t>
            </w:r>
          </w:p>
        </w:tc>
      </w:tr>
      <w:tr w:rsidR="00406AEC" w:rsidRPr="00406AEC" w14:paraId="19AE27FC" w14:textId="77777777" w:rsidTr="00406AEC">
        <w:trPr>
          <w:trHeight w:val="300"/>
        </w:trPr>
        <w:tc>
          <w:tcPr>
            <w:tcW w:w="9360" w:type="dxa"/>
            <w:tcBorders>
              <w:top w:val="nil"/>
              <w:left w:val="nil"/>
              <w:bottom w:val="nil"/>
              <w:right w:val="nil"/>
            </w:tcBorders>
            <w:shd w:val="clear" w:color="auto" w:fill="auto"/>
            <w:noWrap/>
            <w:vAlign w:val="bottom"/>
            <w:hideMark/>
          </w:tcPr>
          <w:p w14:paraId="78D8367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Calabrese M, Bernardi V, Atzori M, </w:t>
            </w:r>
            <w:proofErr w:type="spellStart"/>
            <w:r w:rsidRPr="00406AEC">
              <w:rPr>
                <w:rFonts w:ascii="Times New Roman" w:eastAsia="Times New Roman" w:hAnsi="Times New Roman" w:cs="Times New Roman"/>
                <w:color w:val="000000"/>
                <w:szCs w:val="22"/>
              </w:rPr>
              <w:t>Mattisi</w:t>
            </w:r>
            <w:proofErr w:type="spellEnd"/>
            <w:r w:rsidRPr="00406AEC">
              <w:rPr>
                <w:rFonts w:ascii="Times New Roman" w:eastAsia="Times New Roman" w:hAnsi="Times New Roman" w:cs="Times New Roman"/>
                <w:color w:val="000000"/>
                <w:szCs w:val="22"/>
              </w:rPr>
              <w:t xml:space="preserve"> I, </w:t>
            </w:r>
            <w:proofErr w:type="spellStart"/>
            <w:r w:rsidRPr="00406AEC">
              <w:rPr>
                <w:rFonts w:ascii="Times New Roman" w:eastAsia="Times New Roman" w:hAnsi="Times New Roman" w:cs="Times New Roman"/>
                <w:color w:val="000000"/>
                <w:szCs w:val="22"/>
              </w:rPr>
              <w:t>Favaretto</w:t>
            </w:r>
            <w:proofErr w:type="spellEnd"/>
            <w:r w:rsidRPr="00406AEC">
              <w:rPr>
                <w:rFonts w:ascii="Times New Roman" w:eastAsia="Times New Roman" w:hAnsi="Times New Roman" w:cs="Times New Roman"/>
                <w:color w:val="000000"/>
                <w:szCs w:val="22"/>
              </w:rPr>
              <w:t xml:space="preserve"> A et al. (2012) Effect of disease-modifying drugs on cortical lesions and atrophy in relapsing-remitting multiple sclerosis. Multiple sclerosis journal 18 (4): 418-424.</w:t>
            </w:r>
          </w:p>
        </w:tc>
      </w:tr>
      <w:tr w:rsidR="00406AEC" w:rsidRPr="00406AEC" w14:paraId="4EDC9A21" w14:textId="77777777" w:rsidTr="00406AEC">
        <w:trPr>
          <w:trHeight w:val="300"/>
        </w:trPr>
        <w:tc>
          <w:tcPr>
            <w:tcW w:w="9360" w:type="dxa"/>
            <w:tcBorders>
              <w:top w:val="nil"/>
              <w:left w:val="nil"/>
              <w:bottom w:val="nil"/>
              <w:right w:val="nil"/>
            </w:tcBorders>
            <w:shd w:val="clear" w:color="auto" w:fill="auto"/>
            <w:noWrap/>
            <w:vAlign w:val="bottom"/>
            <w:hideMark/>
          </w:tcPr>
          <w:p w14:paraId="49409D3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Calabresi P,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Arnold D, Balcer L, Boyko A et al. Peginterferon beta-1a provides improvements in clinical and radiological disease activity in relapsing-remitting multiple sclerosis: Year 1 findings from the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206-207.</w:t>
            </w:r>
          </w:p>
        </w:tc>
      </w:tr>
      <w:tr w:rsidR="00406AEC" w:rsidRPr="00406AEC" w14:paraId="42E308BE" w14:textId="77777777" w:rsidTr="00406AEC">
        <w:trPr>
          <w:trHeight w:val="300"/>
        </w:trPr>
        <w:tc>
          <w:tcPr>
            <w:tcW w:w="9360" w:type="dxa"/>
            <w:tcBorders>
              <w:top w:val="nil"/>
              <w:left w:val="nil"/>
              <w:bottom w:val="nil"/>
              <w:right w:val="nil"/>
            </w:tcBorders>
            <w:shd w:val="clear" w:color="auto" w:fill="auto"/>
            <w:noWrap/>
            <w:vAlign w:val="bottom"/>
            <w:hideMark/>
          </w:tcPr>
          <w:p w14:paraId="0011B89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Chan A,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Thangavelu K, Rufi P et al. (2015) Efficacy of teriflunomide treatment in achieving no evidence of disease activity over a 2-year period: Post hoc analysis of the TEMSO study. European journal of neurology 22 (298): </w:t>
            </w:r>
          </w:p>
        </w:tc>
      </w:tr>
      <w:tr w:rsidR="00406AEC" w:rsidRPr="00406AEC" w14:paraId="31B1B02F" w14:textId="77777777" w:rsidTr="00406AEC">
        <w:trPr>
          <w:trHeight w:val="300"/>
        </w:trPr>
        <w:tc>
          <w:tcPr>
            <w:tcW w:w="9360" w:type="dxa"/>
            <w:tcBorders>
              <w:top w:val="nil"/>
              <w:left w:val="nil"/>
              <w:bottom w:val="nil"/>
              <w:right w:val="nil"/>
            </w:tcBorders>
            <w:shd w:val="clear" w:color="auto" w:fill="auto"/>
            <w:noWrap/>
            <w:vAlign w:val="bottom"/>
            <w:hideMark/>
          </w:tcPr>
          <w:p w14:paraId="1AD327F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 Hartung HP, Khatri B, Silva D, </w:t>
            </w:r>
            <w:proofErr w:type="spellStart"/>
            <w:r w:rsidRPr="00406AEC">
              <w:rPr>
                <w:rFonts w:ascii="Times New Roman" w:eastAsia="Times New Roman" w:hAnsi="Times New Roman" w:cs="Times New Roman"/>
                <w:color w:val="000000"/>
                <w:szCs w:val="22"/>
              </w:rPr>
              <w:t>Piani</w:t>
            </w:r>
            <w:proofErr w:type="spellEnd"/>
            <w:r w:rsidRPr="00406AEC">
              <w:rPr>
                <w:rFonts w:ascii="Times New Roman" w:eastAsia="Times New Roman" w:hAnsi="Times New Roman" w:cs="Times New Roman"/>
                <w:color w:val="000000"/>
                <w:szCs w:val="22"/>
              </w:rPr>
              <w:t xml:space="preserve"> Meier D et al. (2017) Early switch to fingolimod for achieving no evidence of multiple sclerosis disease activity: 7-year analysis of data from the TRANSFORMS study. Neurology 88 (16): </w:t>
            </w:r>
          </w:p>
        </w:tc>
      </w:tr>
      <w:tr w:rsidR="00406AEC" w:rsidRPr="00406AEC" w14:paraId="69615EEB" w14:textId="77777777" w:rsidTr="00406AEC">
        <w:trPr>
          <w:trHeight w:val="300"/>
        </w:trPr>
        <w:tc>
          <w:tcPr>
            <w:tcW w:w="9360" w:type="dxa"/>
            <w:tcBorders>
              <w:top w:val="nil"/>
              <w:left w:val="nil"/>
              <w:bottom w:val="nil"/>
              <w:right w:val="nil"/>
            </w:tcBorders>
            <w:shd w:val="clear" w:color="auto" w:fill="auto"/>
            <w:noWrap/>
            <w:vAlign w:val="bottom"/>
            <w:hideMark/>
          </w:tcPr>
          <w:p w14:paraId="08C0D96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Belova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Wolf C, </w:t>
            </w:r>
            <w:proofErr w:type="spellStart"/>
            <w:r w:rsidRPr="00406AEC">
              <w:rPr>
                <w:rFonts w:ascii="Times New Roman" w:eastAsia="Times New Roman" w:hAnsi="Times New Roman" w:cs="Times New Roman"/>
                <w:color w:val="000000"/>
                <w:szCs w:val="22"/>
              </w:rPr>
              <w:t>Oberye</w:t>
            </w:r>
            <w:proofErr w:type="spellEnd"/>
            <w:r w:rsidRPr="00406AEC">
              <w:rPr>
                <w:rFonts w:ascii="Times New Roman" w:eastAsia="Times New Roman" w:hAnsi="Times New Roman" w:cs="Times New Roman"/>
                <w:color w:val="000000"/>
                <w:szCs w:val="22"/>
              </w:rPr>
              <w:t xml:space="preserve"> JJL et al. Generic glatiramer acetate is equivalent to </w:t>
            </w:r>
            <w:proofErr w:type="spellStart"/>
            <w:r w:rsidRPr="00406AEC">
              <w:rPr>
                <w:rFonts w:ascii="Times New Roman" w:eastAsia="Times New Roman" w:hAnsi="Times New Roman" w:cs="Times New Roman"/>
                <w:color w:val="000000"/>
                <w:szCs w:val="22"/>
              </w:rPr>
              <w:t>copaxone</w:t>
            </w:r>
            <w:proofErr w:type="spellEnd"/>
            <w:r w:rsidRPr="00406AEC">
              <w:rPr>
                <w:rFonts w:ascii="Times New Roman" w:eastAsia="Times New Roman" w:hAnsi="Times New Roman" w:cs="Times New Roman"/>
                <w:color w:val="000000"/>
                <w:szCs w:val="22"/>
              </w:rPr>
              <w:t xml:space="preserve"> on efficacy and safety: Results of the randomized </w:t>
            </w:r>
            <w:proofErr w:type="spellStart"/>
            <w:r w:rsidRPr="00406AEC">
              <w:rPr>
                <w:rFonts w:ascii="Times New Roman" w:eastAsia="Times New Roman" w:hAnsi="Times New Roman" w:cs="Times New Roman"/>
                <w:color w:val="000000"/>
                <w:szCs w:val="22"/>
              </w:rPr>
              <w:t>doubleblind</w:t>
            </w:r>
            <w:proofErr w:type="spellEnd"/>
            <w:r w:rsidRPr="00406AEC">
              <w:rPr>
                <w:rFonts w:ascii="Times New Roman" w:eastAsia="Times New Roman" w:hAnsi="Times New Roman" w:cs="Times New Roman"/>
                <w:color w:val="000000"/>
                <w:szCs w:val="22"/>
              </w:rPr>
              <w:t xml:space="preserve"> GATE trial in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38-39.</w:t>
            </w:r>
          </w:p>
        </w:tc>
      </w:tr>
      <w:tr w:rsidR="00406AEC" w:rsidRPr="00406AEC" w14:paraId="63090056" w14:textId="77777777" w:rsidTr="00406AEC">
        <w:trPr>
          <w:trHeight w:val="300"/>
        </w:trPr>
        <w:tc>
          <w:tcPr>
            <w:tcW w:w="9360" w:type="dxa"/>
            <w:tcBorders>
              <w:top w:val="nil"/>
              <w:left w:val="nil"/>
              <w:bottom w:val="nil"/>
              <w:right w:val="nil"/>
            </w:tcBorders>
            <w:shd w:val="clear" w:color="auto" w:fill="auto"/>
            <w:noWrap/>
            <w:vAlign w:val="bottom"/>
            <w:hideMark/>
          </w:tcPr>
          <w:p w14:paraId="57834C0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Cohen JA, Comi G,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Bar-Or A, Arnold DL et al. (2017) Ozanimod vs interferon [beta]-1a: clinical and MRI results of RADIANCE part B - A 2-year Phase 3 trial in relapsing multiple sclerosis. Multiple sclerosis journal 23 (3): 981-982.</w:t>
            </w:r>
          </w:p>
        </w:tc>
      </w:tr>
      <w:tr w:rsidR="00406AEC" w:rsidRPr="00406AEC" w14:paraId="2D409806" w14:textId="77777777" w:rsidTr="00406AEC">
        <w:trPr>
          <w:trHeight w:val="300"/>
        </w:trPr>
        <w:tc>
          <w:tcPr>
            <w:tcW w:w="9360" w:type="dxa"/>
            <w:tcBorders>
              <w:top w:val="nil"/>
              <w:left w:val="nil"/>
              <w:bottom w:val="nil"/>
              <w:right w:val="nil"/>
            </w:tcBorders>
            <w:shd w:val="clear" w:color="auto" w:fill="auto"/>
            <w:noWrap/>
            <w:vAlign w:val="bottom"/>
            <w:hideMark/>
          </w:tcPr>
          <w:p w14:paraId="6B5EC1E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Coles A, Brinar V, Arnold D, Cohen 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Efficacy and safety results from comparison of alemtuzumab and Rebif efficacy in multiple sclerosis I (CARE-MS I): A phase 3 study in relapsing-remitting treatment-naive patients. Neurology 78 (1 Meeting Abstract): CONFERENCE START: 2012 Apr 2021 CONFERENCE END: 2012 Apr 2028.</w:t>
            </w:r>
          </w:p>
        </w:tc>
      </w:tr>
      <w:tr w:rsidR="00406AEC" w:rsidRPr="00406AEC" w14:paraId="1A2821BB" w14:textId="77777777" w:rsidTr="00406AEC">
        <w:trPr>
          <w:trHeight w:val="300"/>
        </w:trPr>
        <w:tc>
          <w:tcPr>
            <w:tcW w:w="9360" w:type="dxa"/>
            <w:tcBorders>
              <w:top w:val="nil"/>
              <w:left w:val="nil"/>
              <w:bottom w:val="nil"/>
              <w:right w:val="nil"/>
            </w:tcBorders>
            <w:shd w:val="clear" w:color="auto" w:fill="auto"/>
            <w:noWrap/>
            <w:vAlign w:val="bottom"/>
            <w:hideMark/>
          </w:tcPr>
          <w:p w14:paraId="2214FC8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Cohen J, Arnold D, Bar-Or A, </w:t>
            </w:r>
            <w:proofErr w:type="spellStart"/>
            <w:r w:rsidRPr="00406AEC">
              <w:rPr>
                <w:rFonts w:ascii="Times New Roman" w:eastAsia="Times New Roman" w:hAnsi="Times New Roman" w:cs="Times New Roman"/>
                <w:color w:val="000000"/>
                <w:szCs w:val="22"/>
              </w:rPr>
              <w:t>Gujrathi</w:t>
            </w:r>
            <w:proofErr w:type="spellEnd"/>
            <w:r w:rsidRPr="00406AEC">
              <w:rPr>
                <w:rFonts w:ascii="Times New Roman" w:eastAsia="Times New Roman" w:hAnsi="Times New Roman" w:cs="Times New Roman"/>
                <w:color w:val="000000"/>
                <w:szCs w:val="22"/>
              </w:rPr>
              <w:t xml:space="preserve"> S et al. (2015) Efficacy results of the phase 2 portion of the radiance trial: A randomized, double-blind, placebo-controlled trial of oral RPC1063 in adults with relapsing multiple sclerosis. Neurology 84 (18): </w:t>
            </w:r>
          </w:p>
        </w:tc>
      </w:tr>
      <w:tr w:rsidR="00406AEC" w:rsidRPr="00406AEC" w14:paraId="505BC7DD" w14:textId="77777777" w:rsidTr="00406AEC">
        <w:trPr>
          <w:trHeight w:val="300"/>
        </w:trPr>
        <w:tc>
          <w:tcPr>
            <w:tcW w:w="9360" w:type="dxa"/>
            <w:tcBorders>
              <w:top w:val="nil"/>
              <w:left w:val="nil"/>
              <w:bottom w:val="nil"/>
              <w:right w:val="nil"/>
            </w:tcBorders>
            <w:shd w:val="clear" w:color="auto" w:fill="auto"/>
            <w:noWrap/>
            <w:vAlign w:val="bottom"/>
            <w:hideMark/>
          </w:tcPr>
          <w:p w14:paraId="10A2CB3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De </w:t>
            </w:r>
            <w:proofErr w:type="spellStart"/>
            <w:r w:rsidRPr="00406AEC">
              <w:rPr>
                <w:rFonts w:ascii="Times New Roman" w:eastAsia="Times New Roman" w:hAnsi="Times New Roman" w:cs="Times New Roman"/>
                <w:color w:val="000000"/>
                <w:szCs w:val="22"/>
              </w:rPr>
              <w:t>Seze</w:t>
            </w:r>
            <w:proofErr w:type="spellEnd"/>
            <w:r w:rsidRPr="00406AEC">
              <w:rPr>
                <w:rFonts w:ascii="Times New Roman" w:eastAsia="Times New Roman" w:hAnsi="Times New Roman" w:cs="Times New Roman"/>
                <w:color w:val="000000"/>
                <w:szCs w:val="22"/>
              </w:rPr>
              <w:t xml:space="preserve"> J, Thangavelu K,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Benamor M et al. Teriflunomide safety in subsets of patients with relapsing MS: Results from the TEMSO and TOWER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541.</w:t>
            </w:r>
          </w:p>
        </w:tc>
      </w:tr>
      <w:tr w:rsidR="00406AEC" w:rsidRPr="00406AEC" w14:paraId="2146EC06" w14:textId="77777777" w:rsidTr="00406AEC">
        <w:trPr>
          <w:trHeight w:val="300"/>
        </w:trPr>
        <w:tc>
          <w:tcPr>
            <w:tcW w:w="9360" w:type="dxa"/>
            <w:tcBorders>
              <w:top w:val="nil"/>
              <w:left w:val="nil"/>
              <w:bottom w:val="nil"/>
              <w:right w:val="nil"/>
            </w:tcBorders>
            <w:shd w:val="clear" w:color="auto" w:fill="auto"/>
            <w:noWrap/>
            <w:vAlign w:val="bottom"/>
            <w:hideMark/>
          </w:tcPr>
          <w:p w14:paraId="6C0F47E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Filippi M, Wolinsky JS, Guillaume D, </w:t>
            </w:r>
            <w:proofErr w:type="spellStart"/>
            <w:r w:rsidRPr="00406AEC">
              <w:rPr>
                <w:rFonts w:ascii="Times New Roman" w:eastAsia="Times New Roman" w:hAnsi="Times New Roman" w:cs="Times New Roman"/>
                <w:color w:val="000000"/>
                <w:szCs w:val="22"/>
              </w:rPr>
              <w:t>D'Harcour</w:t>
            </w:r>
            <w:proofErr w:type="spellEnd"/>
            <w:r w:rsidRPr="00406AEC">
              <w:rPr>
                <w:rFonts w:ascii="Times New Roman" w:eastAsia="Times New Roman" w:hAnsi="Times New Roman" w:cs="Times New Roman"/>
                <w:color w:val="000000"/>
                <w:szCs w:val="22"/>
              </w:rPr>
              <w:t xml:space="preserve"> J B et al. (2001) European/Canadian multicenter, double-blind, randomized, placebo-controlled study of the effects of glatiramer acetate on magnetic resonance imaging-measured disease activity and burden in patients with relapsing multiple sclerosis. Annals of Neurology 49 (3): 290-297.</w:t>
            </w:r>
          </w:p>
        </w:tc>
      </w:tr>
      <w:tr w:rsidR="00406AEC" w:rsidRPr="00406AEC" w14:paraId="056457F3" w14:textId="77777777" w:rsidTr="00406AEC">
        <w:trPr>
          <w:trHeight w:val="300"/>
        </w:trPr>
        <w:tc>
          <w:tcPr>
            <w:tcW w:w="9360" w:type="dxa"/>
            <w:tcBorders>
              <w:top w:val="nil"/>
              <w:left w:val="nil"/>
              <w:bottom w:val="nil"/>
              <w:right w:val="nil"/>
            </w:tcBorders>
            <w:shd w:val="clear" w:color="auto" w:fill="auto"/>
            <w:noWrap/>
            <w:vAlign w:val="bottom"/>
            <w:hideMark/>
          </w:tcPr>
          <w:p w14:paraId="38D95A2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Comi G, Freedman MS, Meca-Lallana JE,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Kim BJ et al. (2020) Prior treatment status: impact on the efficacy and safety of teriflunomide in multiple sclerosis. BMC Neurology 20 (1): 364.</w:t>
            </w:r>
          </w:p>
        </w:tc>
      </w:tr>
      <w:tr w:rsidR="00406AEC" w:rsidRPr="00406AEC" w14:paraId="7CB1F40B" w14:textId="77777777" w:rsidTr="00406AEC">
        <w:trPr>
          <w:trHeight w:val="300"/>
        </w:trPr>
        <w:tc>
          <w:tcPr>
            <w:tcW w:w="9360" w:type="dxa"/>
            <w:tcBorders>
              <w:top w:val="nil"/>
              <w:left w:val="nil"/>
              <w:bottom w:val="nil"/>
              <w:right w:val="nil"/>
            </w:tcBorders>
            <w:shd w:val="clear" w:color="auto" w:fill="auto"/>
            <w:noWrap/>
            <w:vAlign w:val="bottom"/>
            <w:hideMark/>
          </w:tcPr>
          <w:p w14:paraId="758EA73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O'Connor P, Comi G, Freedman MS, Miller AE et al. (2014) Oral teriflunomide for patients with relapsing multiple sclerosis (TOWER):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phase 3 trial. The Lancet Neurology 13 (3): 247-256.</w:t>
            </w:r>
          </w:p>
        </w:tc>
      </w:tr>
      <w:tr w:rsidR="00406AEC" w:rsidRPr="00406AEC" w14:paraId="719F4FFF" w14:textId="77777777" w:rsidTr="00406AEC">
        <w:trPr>
          <w:trHeight w:val="300"/>
        </w:trPr>
        <w:tc>
          <w:tcPr>
            <w:tcW w:w="9360" w:type="dxa"/>
            <w:tcBorders>
              <w:top w:val="nil"/>
              <w:left w:val="nil"/>
              <w:bottom w:val="nil"/>
              <w:right w:val="nil"/>
            </w:tcBorders>
            <w:shd w:val="clear" w:color="auto" w:fill="auto"/>
            <w:noWrap/>
            <w:vAlign w:val="bottom"/>
            <w:hideMark/>
          </w:tcPr>
          <w:p w14:paraId="51EC4EF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Twyman CL, Arnold D, Cohen J, Coles AJ et al. (2012) Efficacy of alemtuzumab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(RRMS) patients with highly active disease despite therapy. European journal of neurology 19 (88): </w:t>
            </w:r>
          </w:p>
        </w:tc>
      </w:tr>
      <w:tr w:rsidR="00406AEC" w:rsidRPr="00406AEC" w14:paraId="5725FD9D" w14:textId="77777777" w:rsidTr="00406AEC">
        <w:trPr>
          <w:trHeight w:val="300"/>
        </w:trPr>
        <w:tc>
          <w:tcPr>
            <w:tcW w:w="9360" w:type="dxa"/>
            <w:tcBorders>
              <w:top w:val="nil"/>
              <w:left w:val="nil"/>
              <w:bottom w:val="nil"/>
              <w:right w:val="nil"/>
            </w:tcBorders>
            <w:shd w:val="clear" w:color="auto" w:fill="auto"/>
            <w:noWrap/>
            <w:vAlign w:val="bottom"/>
            <w:hideMark/>
          </w:tcPr>
          <w:p w14:paraId="07CCCEC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Cook S, </w:t>
            </w: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Comi G, Giovannoni G, Rammohan K et al. (2011) Safety and tolerability of cladribine tablets in multiple sclerosis: The CLARITY (</w:t>
            </w:r>
            <w:proofErr w:type="spellStart"/>
            <w:r w:rsidRPr="00406AEC">
              <w:rPr>
                <w:rFonts w:ascii="Times New Roman" w:eastAsia="Times New Roman" w:hAnsi="Times New Roman" w:cs="Times New Roman"/>
                <w:color w:val="000000"/>
                <w:szCs w:val="22"/>
              </w:rPr>
              <w:t>CLAdRIbine</w:t>
            </w:r>
            <w:proofErr w:type="spellEnd"/>
            <w:r w:rsidRPr="00406AEC">
              <w:rPr>
                <w:rFonts w:ascii="Times New Roman" w:eastAsia="Times New Roman" w:hAnsi="Times New Roman" w:cs="Times New Roman"/>
                <w:color w:val="000000"/>
                <w:szCs w:val="22"/>
              </w:rPr>
              <w:t xml:space="preserve"> Tablets treating multiple sclerosis </w:t>
            </w:r>
            <w:proofErr w:type="spellStart"/>
            <w:r w:rsidRPr="00406AEC">
              <w:rPr>
                <w:rFonts w:ascii="Times New Roman" w:eastAsia="Times New Roman" w:hAnsi="Times New Roman" w:cs="Times New Roman"/>
                <w:color w:val="000000"/>
                <w:szCs w:val="22"/>
              </w:rPr>
              <w:t>orallY</w:t>
            </w:r>
            <w:proofErr w:type="spellEnd"/>
            <w:r w:rsidRPr="00406AEC">
              <w:rPr>
                <w:rFonts w:ascii="Times New Roman" w:eastAsia="Times New Roman" w:hAnsi="Times New Roman" w:cs="Times New Roman"/>
                <w:color w:val="000000"/>
                <w:szCs w:val="22"/>
              </w:rPr>
              <w:t>) study. Multiple sclerosis journal 17 (5): 578-593.</w:t>
            </w:r>
          </w:p>
        </w:tc>
      </w:tr>
      <w:tr w:rsidR="00406AEC" w:rsidRPr="00406AEC" w14:paraId="1A027F62" w14:textId="77777777" w:rsidTr="00406AEC">
        <w:trPr>
          <w:trHeight w:val="300"/>
        </w:trPr>
        <w:tc>
          <w:tcPr>
            <w:tcW w:w="9360" w:type="dxa"/>
            <w:tcBorders>
              <w:top w:val="nil"/>
              <w:left w:val="nil"/>
              <w:bottom w:val="nil"/>
              <w:right w:val="nil"/>
            </w:tcBorders>
            <w:shd w:val="clear" w:color="auto" w:fill="auto"/>
            <w:noWrap/>
            <w:vAlign w:val="bottom"/>
            <w:hideMark/>
          </w:tcPr>
          <w:p w14:paraId="677F4EE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 Fang J, Hassan A, Cha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et al. (2015) No evidence of disease activity in patients with relapsing </w:t>
            </w:r>
            <w:proofErr w:type="spellStart"/>
            <w:r w:rsidRPr="00406AEC">
              <w:rPr>
                <w:rFonts w:ascii="Times New Roman" w:eastAsia="Times New Roman" w:hAnsi="Times New Roman" w:cs="Times New Roman"/>
                <w:color w:val="000000"/>
                <w:szCs w:val="22"/>
              </w:rPr>
              <w:t>ms</w:t>
            </w:r>
            <w:proofErr w:type="spellEnd"/>
            <w:r w:rsidRPr="00406AEC">
              <w:rPr>
                <w:rFonts w:ascii="Times New Roman" w:eastAsia="Times New Roman" w:hAnsi="Times New Roman" w:cs="Times New Roman"/>
                <w:color w:val="000000"/>
                <w:szCs w:val="22"/>
              </w:rPr>
              <w:t xml:space="preserve"> treated with interferon beta-1a SC </w:t>
            </w:r>
            <w:proofErr w:type="spellStart"/>
            <w:r w:rsidRPr="00406AEC">
              <w:rPr>
                <w:rFonts w:ascii="Times New Roman" w:eastAsia="Times New Roman" w:hAnsi="Times New Roman" w:cs="Times New Roman"/>
                <w:color w:val="000000"/>
                <w:szCs w:val="22"/>
              </w:rPr>
              <w:t>tiw</w:t>
            </w:r>
            <w:proofErr w:type="spellEnd"/>
            <w:r w:rsidRPr="00406AEC">
              <w:rPr>
                <w:rFonts w:ascii="Times New Roman" w:eastAsia="Times New Roman" w:hAnsi="Times New Roman" w:cs="Times New Roman"/>
                <w:color w:val="000000"/>
                <w:szCs w:val="22"/>
              </w:rPr>
              <w:t xml:space="preserve"> versus interferon beta-1a IM </w:t>
            </w:r>
            <w:proofErr w:type="spellStart"/>
            <w:r w:rsidRPr="00406AEC">
              <w:rPr>
                <w:rFonts w:ascii="Times New Roman" w:eastAsia="Times New Roman" w:hAnsi="Times New Roman" w:cs="Times New Roman"/>
                <w:color w:val="000000"/>
                <w:szCs w:val="22"/>
              </w:rPr>
              <w:t>qw</w:t>
            </w:r>
            <w:proofErr w:type="spellEnd"/>
            <w:r w:rsidRPr="00406AEC">
              <w:rPr>
                <w:rFonts w:ascii="Times New Roman" w:eastAsia="Times New Roman" w:hAnsi="Times New Roman" w:cs="Times New Roman"/>
                <w:color w:val="000000"/>
                <w:szCs w:val="22"/>
              </w:rPr>
              <w:t xml:space="preserve"> in the evidence study. Neurology 84 (18): </w:t>
            </w:r>
          </w:p>
        </w:tc>
      </w:tr>
      <w:tr w:rsidR="00406AEC" w:rsidRPr="00406AEC" w14:paraId="0DF9AA90" w14:textId="77777777" w:rsidTr="00406AEC">
        <w:trPr>
          <w:trHeight w:val="300"/>
        </w:trPr>
        <w:tc>
          <w:tcPr>
            <w:tcW w:w="9360" w:type="dxa"/>
            <w:tcBorders>
              <w:top w:val="nil"/>
              <w:left w:val="nil"/>
              <w:bottom w:val="nil"/>
              <w:right w:val="nil"/>
            </w:tcBorders>
            <w:shd w:val="clear" w:color="auto" w:fill="auto"/>
            <w:noWrap/>
            <w:vAlign w:val="bottom"/>
            <w:hideMark/>
          </w:tcPr>
          <w:p w14:paraId="6CDDA46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Coyle PK, Fang J, Hassan A, Cha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et al. No evident disease activity at 24 weeks in patients with relapsing MS treated with interferon beta-1a SC vs. interferon beta-1a </w:t>
            </w:r>
            <w:proofErr w:type="spellStart"/>
            <w:r w:rsidRPr="00406AEC">
              <w:rPr>
                <w:rFonts w:ascii="Times New Roman" w:eastAsia="Times New Roman" w:hAnsi="Times New Roman" w:cs="Times New Roman"/>
                <w:color w:val="000000"/>
                <w:szCs w:val="22"/>
              </w:rPr>
              <w:t>im</w:t>
            </w:r>
            <w:proofErr w:type="spellEnd"/>
            <w:r w:rsidRPr="00406AEC">
              <w:rPr>
                <w:rFonts w:ascii="Times New Roman" w:eastAsia="Times New Roman" w:hAnsi="Times New Roman" w:cs="Times New Roman"/>
                <w:color w:val="000000"/>
                <w:szCs w:val="22"/>
              </w:rPr>
              <w:t xml:space="preserve"> in the EVIDENCE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113.</w:t>
            </w:r>
          </w:p>
        </w:tc>
      </w:tr>
      <w:tr w:rsidR="00406AEC" w:rsidRPr="00406AEC" w14:paraId="317A3BFC" w14:textId="77777777" w:rsidTr="00406AEC">
        <w:trPr>
          <w:trHeight w:val="300"/>
        </w:trPr>
        <w:tc>
          <w:tcPr>
            <w:tcW w:w="9360" w:type="dxa"/>
            <w:tcBorders>
              <w:top w:val="nil"/>
              <w:left w:val="nil"/>
              <w:bottom w:val="nil"/>
              <w:right w:val="nil"/>
            </w:tcBorders>
            <w:shd w:val="clear" w:color="auto" w:fill="auto"/>
            <w:noWrap/>
            <w:vAlign w:val="bottom"/>
            <w:hideMark/>
          </w:tcPr>
          <w:p w14:paraId="3E111C5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PK, Fang J, Hassan A, Cha C,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et al. No evident disease activity in relapsing MS patients treated with interferon beta-1a SC vs. interferon beta-1a IM: Subgroup analyses of the EVIDENCE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114.</w:t>
            </w:r>
          </w:p>
        </w:tc>
      </w:tr>
      <w:tr w:rsidR="00406AEC" w:rsidRPr="00406AEC" w14:paraId="1793EED6" w14:textId="77777777" w:rsidTr="00406AEC">
        <w:trPr>
          <w:trHeight w:val="300"/>
        </w:trPr>
        <w:tc>
          <w:tcPr>
            <w:tcW w:w="9360" w:type="dxa"/>
            <w:tcBorders>
              <w:top w:val="nil"/>
              <w:left w:val="nil"/>
              <w:bottom w:val="nil"/>
              <w:right w:val="nil"/>
            </w:tcBorders>
            <w:shd w:val="clear" w:color="auto" w:fill="auto"/>
            <w:noWrap/>
            <w:vAlign w:val="bottom"/>
            <w:hideMark/>
          </w:tcPr>
          <w:p w14:paraId="395BF35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Coyle PK, Reder AT, Freedman MS, Fang J,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(2017) Early MRI results and odds of attaining 'no evidence of disease activity' status in MS patients treated with interferon [beta]-1a in the EVIDENCE study. Journal of the Neurological Sciences 379 151-156.</w:t>
            </w:r>
          </w:p>
        </w:tc>
      </w:tr>
      <w:tr w:rsidR="00406AEC" w:rsidRPr="00406AEC" w14:paraId="6AAF2DCF" w14:textId="77777777" w:rsidTr="00406AEC">
        <w:trPr>
          <w:trHeight w:val="300"/>
        </w:trPr>
        <w:tc>
          <w:tcPr>
            <w:tcW w:w="9360" w:type="dxa"/>
            <w:tcBorders>
              <w:top w:val="nil"/>
              <w:left w:val="nil"/>
              <w:bottom w:val="nil"/>
              <w:right w:val="nil"/>
            </w:tcBorders>
            <w:shd w:val="clear" w:color="auto" w:fill="auto"/>
            <w:noWrap/>
            <w:vAlign w:val="bottom"/>
            <w:hideMark/>
          </w:tcPr>
          <w:p w14:paraId="213E362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 Goldman M, Corboy J, Singer B, Fox E et al. (2019) Efficacy and safety of fingolimod 0.5 mg and 0.25 mg versus glatiramer acetate 20 mg in patients with relapsing-remitting multiple sclerosis-assess study group. Neurology 92 (15): </w:t>
            </w:r>
          </w:p>
        </w:tc>
      </w:tr>
      <w:tr w:rsidR="00406AEC" w:rsidRPr="00406AEC" w14:paraId="298AD5E8" w14:textId="77777777" w:rsidTr="00406AEC">
        <w:trPr>
          <w:trHeight w:val="300"/>
        </w:trPr>
        <w:tc>
          <w:tcPr>
            <w:tcW w:w="9360" w:type="dxa"/>
            <w:tcBorders>
              <w:top w:val="nil"/>
              <w:left w:val="nil"/>
              <w:bottom w:val="nil"/>
              <w:right w:val="nil"/>
            </w:tcBorders>
            <w:shd w:val="clear" w:color="auto" w:fill="auto"/>
            <w:noWrap/>
            <w:vAlign w:val="bottom"/>
            <w:hideMark/>
          </w:tcPr>
          <w:p w14:paraId="5D7D434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Cree BAC, Bar-Or A, Comi G,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KW, Arnold DL et al. (2018) Safety of ozanimod versus interferon [beta]-1a in phase 3 studies in relapsing multiple sclerosis (sunbeam and </w:t>
            </w:r>
            <w:proofErr w:type="spellStart"/>
            <w:r w:rsidRPr="00406AEC">
              <w:rPr>
                <w:rFonts w:ascii="Times New Roman" w:eastAsia="Times New Roman" w:hAnsi="Times New Roman" w:cs="Times New Roman"/>
                <w:color w:val="000000"/>
                <w:szCs w:val="22"/>
              </w:rPr>
              <w:t>radi-ance</w:t>
            </w:r>
            <w:proofErr w:type="spellEnd"/>
            <w:r w:rsidRPr="00406AEC">
              <w:rPr>
                <w:rFonts w:ascii="Times New Roman" w:eastAsia="Times New Roman" w:hAnsi="Times New Roman" w:cs="Times New Roman"/>
                <w:color w:val="000000"/>
                <w:szCs w:val="22"/>
              </w:rPr>
              <w:t xml:space="preserve"> part B). Multiple sclerosis journal 24 (1): 24-25.</w:t>
            </w:r>
          </w:p>
        </w:tc>
      </w:tr>
      <w:tr w:rsidR="00406AEC" w:rsidRPr="00406AEC" w14:paraId="145C2237" w14:textId="77777777" w:rsidTr="00406AEC">
        <w:trPr>
          <w:trHeight w:val="300"/>
        </w:trPr>
        <w:tc>
          <w:tcPr>
            <w:tcW w:w="9360" w:type="dxa"/>
            <w:tcBorders>
              <w:top w:val="nil"/>
              <w:left w:val="nil"/>
              <w:bottom w:val="nil"/>
              <w:right w:val="nil"/>
            </w:tcBorders>
            <w:shd w:val="clear" w:color="auto" w:fill="auto"/>
            <w:noWrap/>
            <w:vAlign w:val="bottom"/>
            <w:hideMark/>
          </w:tcPr>
          <w:p w14:paraId="4E3CFA5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Cutter G, Veneziano A, </w:t>
            </w:r>
            <w:proofErr w:type="spellStart"/>
            <w:r w:rsidRPr="00406AEC">
              <w:rPr>
                <w:rFonts w:ascii="Times New Roman" w:eastAsia="Times New Roman" w:hAnsi="Times New Roman" w:cs="Times New Roman"/>
                <w:color w:val="000000"/>
                <w:szCs w:val="22"/>
              </w:rPr>
              <w:t>Grinspan</w:t>
            </w:r>
            <w:proofErr w:type="spellEnd"/>
            <w:r w:rsidRPr="00406AEC">
              <w:rPr>
                <w:rFonts w:ascii="Times New Roman" w:eastAsia="Times New Roman" w:hAnsi="Times New Roman" w:cs="Times New Roman"/>
                <w:color w:val="000000"/>
                <w:szCs w:val="22"/>
              </w:rPr>
              <w:t xml:space="preserve"> A, Al-Banna M, Boyko A et al. (2019) Higher satisfaction and adherence with glatiramer acetate 40mg/mL TIW vs 20mg/mL QD in RRMS. Multiple Sclerosis and Related Disorders 33 13-21.</w:t>
            </w:r>
          </w:p>
        </w:tc>
      </w:tr>
      <w:tr w:rsidR="00406AEC" w:rsidRPr="00406AEC" w14:paraId="6C27623A" w14:textId="77777777" w:rsidTr="00406AEC">
        <w:trPr>
          <w:trHeight w:val="300"/>
        </w:trPr>
        <w:tc>
          <w:tcPr>
            <w:tcW w:w="9360" w:type="dxa"/>
            <w:tcBorders>
              <w:top w:val="nil"/>
              <w:left w:val="nil"/>
              <w:bottom w:val="nil"/>
              <w:right w:val="nil"/>
            </w:tcBorders>
            <w:shd w:val="clear" w:color="auto" w:fill="auto"/>
            <w:noWrap/>
            <w:vAlign w:val="bottom"/>
            <w:hideMark/>
          </w:tcPr>
          <w:p w14:paraId="2D99463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 Luca J, Cohen JA, Cree BAC, Liu H, Sheffield JK et al. (2020) Effects of ozanimod on information processing speed: findings from the phase 3 sunbeam and daybreak extension trials. Neurology 94 (15): </w:t>
            </w:r>
          </w:p>
        </w:tc>
      </w:tr>
      <w:tr w:rsidR="00406AEC" w:rsidRPr="00406AEC" w14:paraId="43B02EC4" w14:textId="77777777" w:rsidTr="00406AEC">
        <w:trPr>
          <w:trHeight w:val="300"/>
        </w:trPr>
        <w:tc>
          <w:tcPr>
            <w:tcW w:w="9360" w:type="dxa"/>
            <w:tcBorders>
              <w:top w:val="nil"/>
              <w:left w:val="nil"/>
              <w:bottom w:val="nil"/>
              <w:right w:val="nil"/>
            </w:tcBorders>
            <w:shd w:val="clear" w:color="auto" w:fill="auto"/>
            <w:noWrap/>
            <w:vAlign w:val="bottom"/>
            <w:hideMark/>
          </w:tcPr>
          <w:p w14:paraId="3DF0386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 Luca J, Huang DR, Cohen JA, Cree BAC, Chen Y et al. (2019) Assessment of cognitive processing speed in the phase 3 sunbeam trial demonstrates sustained improvement in ozanimod-treated patients. Multiple sclerosis journal 25 (129): </w:t>
            </w:r>
          </w:p>
        </w:tc>
      </w:tr>
      <w:tr w:rsidR="00406AEC" w:rsidRPr="00406AEC" w14:paraId="4886DAC3" w14:textId="77777777" w:rsidTr="00406AEC">
        <w:trPr>
          <w:trHeight w:val="300"/>
        </w:trPr>
        <w:tc>
          <w:tcPr>
            <w:tcW w:w="9360" w:type="dxa"/>
            <w:tcBorders>
              <w:top w:val="nil"/>
              <w:left w:val="nil"/>
              <w:bottom w:val="nil"/>
              <w:right w:val="nil"/>
            </w:tcBorders>
            <w:shd w:val="clear" w:color="auto" w:fill="auto"/>
            <w:noWrap/>
            <w:vAlign w:val="bottom"/>
            <w:hideMark/>
          </w:tcPr>
          <w:p w14:paraId="58FEF84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DeLuca J, Cohen JA, Cree BAC, Chen Y, Harvey D et al. (2019) Sustained improvement in cognitive processing speed in multiple sclerosis patients completing 18 months of ozanimod treatment: results from the phase 3 SUNBEAM Trial. Multiple sclerosis journal 25 (8): NP22-.</w:t>
            </w:r>
          </w:p>
        </w:tc>
      </w:tr>
      <w:tr w:rsidR="00406AEC" w:rsidRPr="00406AEC" w14:paraId="5DA407C1" w14:textId="77777777" w:rsidTr="00406AEC">
        <w:trPr>
          <w:trHeight w:val="300"/>
        </w:trPr>
        <w:tc>
          <w:tcPr>
            <w:tcW w:w="9360" w:type="dxa"/>
            <w:tcBorders>
              <w:top w:val="nil"/>
              <w:left w:val="nil"/>
              <w:bottom w:val="nil"/>
              <w:right w:val="nil"/>
            </w:tcBorders>
            <w:shd w:val="clear" w:color="auto" w:fill="auto"/>
            <w:noWrap/>
            <w:vAlign w:val="bottom"/>
            <w:hideMark/>
          </w:tcPr>
          <w:p w14:paraId="78833C0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Deluca J, Huang D, Cohen JA, Cree BAC, Chen Y et al. (2018) Ozanimod-treated patients exhibited improvements in cognitive processing speed in the phase 3 SUNBEAM trial of relapsing multiple sclerosis (RMS). Multiple sclerosis journal 24 (2): 263-264.</w:t>
            </w:r>
          </w:p>
        </w:tc>
      </w:tr>
      <w:tr w:rsidR="00406AEC" w:rsidRPr="00406AEC" w14:paraId="068A5B8E" w14:textId="77777777" w:rsidTr="00406AEC">
        <w:trPr>
          <w:trHeight w:val="300"/>
        </w:trPr>
        <w:tc>
          <w:tcPr>
            <w:tcW w:w="9360" w:type="dxa"/>
            <w:tcBorders>
              <w:top w:val="nil"/>
              <w:left w:val="nil"/>
              <w:bottom w:val="nil"/>
              <w:right w:val="nil"/>
            </w:tcBorders>
            <w:shd w:val="clear" w:color="auto" w:fill="auto"/>
            <w:noWrap/>
            <w:vAlign w:val="bottom"/>
            <w:hideMark/>
          </w:tcPr>
          <w:p w14:paraId="78CA5E2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DeLuca J, </w:t>
            </w:r>
            <w:proofErr w:type="spellStart"/>
            <w:r w:rsidRPr="00406AEC">
              <w:rPr>
                <w:rFonts w:ascii="Times New Roman" w:eastAsia="Times New Roman" w:hAnsi="Times New Roman" w:cs="Times New Roman"/>
                <w:color w:val="000000"/>
                <w:szCs w:val="22"/>
              </w:rPr>
              <w:t>Schippling</w:t>
            </w:r>
            <w:proofErr w:type="spellEnd"/>
            <w:r w:rsidRPr="00406AEC">
              <w:rPr>
                <w:rFonts w:ascii="Times New Roman" w:eastAsia="Times New Roman" w:hAnsi="Times New Roman" w:cs="Times New Roman"/>
                <w:color w:val="000000"/>
                <w:szCs w:val="22"/>
              </w:rPr>
              <w:t xml:space="preserve"> S, Montalban X, Kappos L, Cree BAC et al. (2021) Effect of Ozanimod on Symbol Digit Modalities Test Performance in Relapsing MS. Multiple Sclerosis and Related Disorders 48 102673.</w:t>
            </w:r>
          </w:p>
        </w:tc>
      </w:tr>
      <w:tr w:rsidR="00406AEC" w:rsidRPr="00406AEC" w14:paraId="2EF853CC" w14:textId="77777777" w:rsidTr="00406AEC">
        <w:trPr>
          <w:trHeight w:val="300"/>
        </w:trPr>
        <w:tc>
          <w:tcPr>
            <w:tcW w:w="9360" w:type="dxa"/>
            <w:tcBorders>
              <w:top w:val="nil"/>
              <w:left w:val="nil"/>
              <w:bottom w:val="nil"/>
              <w:right w:val="nil"/>
            </w:tcBorders>
            <w:shd w:val="clear" w:color="auto" w:fill="auto"/>
            <w:noWrap/>
            <w:vAlign w:val="bottom"/>
            <w:hideMark/>
          </w:tcPr>
          <w:p w14:paraId="04E70D5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Devonshire V,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Radue EW, O'Connor P, Zhang-Auberson L et al. (2012) Relapse and disability outcomes in patients with multiple sclerosis treated with fingolimod: Subgroup analyses of the double-blind,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placebo-controlled FREEDOMS study. The Lancet Neurology 11 (5): 420-428.</w:t>
            </w:r>
          </w:p>
        </w:tc>
      </w:tr>
      <w:tr w:rsidR="00406AEC" w:rsidRPr="00406AEC" w14:paraId="0ADAB6D7" w14:textId="77777777" w:rsidTr="00406AEC">
        <w:trPr>
          <w:trHeight w:val="300"/>
        </w:trPr>
        <w:tc>
          <w:tcPr>
            <w:tcW w:w="9360" w:type="dxa"/>
            <w:tcBorders>
              <w:top w:val="nil"/>
              <w:left w:val="nil"/>
              <w:bottom w:val="nil"/>
              <w:right w:val="nil"/>
            </w:tcBorders>
            <w:shd w:val="clear" w:color="auto" w:fill="auto"/>
            <w:noWrap/>
            <w:vAlign w:val="bottom"/>
            <w:hideMark/>
          </w:tcPr>
          <w:p w14:paraId="07B376A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Duquette P, Girard M, </w:t>
            </w:r>
            <w:proofErr w:type="spellStart"/>
            <w:r w:rsidRPr="00406AEC">
              <w:rPr>
                <w:rFonts w:ascii="Times New Roman" w:eastAsia="Times New Roman" w:hAnsi="Times New Roman" w:cs="Times New Roman"/>
                <w:color w:val="000000"/>
                <w:szCs w:val="22"/>
              </w:rPr>
              <w:t>Despault</w:t>
            </w:r>
            <w:proofErr w:type="spellEnd"/>
            <w:r w:rsidRPr="00406AEC">
              <w:rPr>
                <w:rFonts w:ascii="Times New Roman" w:eastAsia="Times New Roman" w:hAnsi="Times New Roman" w:cs="Times New Roman"/>
                <w:color w:val="000000"/>
                <w:szCs w:val="22"/>
              </w:rPr>
              <w:t xml:space="preserve"> L, DuBois R, Knobler RL et al. (1993) Interferon beta-1b is effective in relapsing-remitting multiple sclerosis. I. Clinical results of a multicenter, randomized, double-blind, placebo- controlled trial. Neurology 43 (4 I): 655-661.</w:t>
            </w:r>
          </w:p>
        </w:tc>
      </w:tr>
      <w:tr w:rsidR="00406AEC" w:rsidRPr="00406AEC" w14:paraId="6B1785B3" w14:textId="77777777" w:rsidTr="00406AEC">
        <w:trPr>
          <w:trHeight w:val="300"/>
        </w:trPr>
        <w:tc>
          <w:tcPr>
            <w:tcW w:w="9360" w:type="dxa"/>
            <w:tcBorders>
              <w:top w:val="nil"/>
              <w:left w:val="nil"/>
              <w:bottom w:val="nil"/>
              <w:right w:val="nil"/>
            </w:tcBorders>
            <w:shd w:val="clear" w:color="auto" w:fill="auto"/>
            <w:noWrap/>
            <w:vAlign w:val="bottom"/>
            <w:hideMark/>
          </w:tcPr>
          <w:p w14:paraId="03A4FA0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Durelli L, Verdun E, Barbero P, </w:t>
            </w:r>
            <w:proofErr w:type="spellStart"/>
            <w:r w:rsidRPr="00406AEC">
              <w:rPr>
                <w:rFonts w:ascii="Times New Roman" w:eastAsia="Times New Roman" w:hAnsi="Times New Roman" w:cs="Times New Roman"/>
                <w:color w:val="000000"/>
                <w:szCs w:val="22"/>
              </w:rPr>
              <w:t>Bergui</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Versino</w:t>
            </w:r>
            <w:proofErr w:type="spellEnd"/>
            <w:r w:rsidRPr="00406AEC">
              <w:rPr>
                <w:rFonts w:ascii="Times New Roman" w:eastAsia="Times New Roman" w:hAnsi="Times New Roman" w:cs="Times New Roman"/>
                <w:color w:val="000000"/>
                <w:szCs w:val="22"/>
              </w:rPr>
              <w:t xml:space="preserve"> E et al. (2002) Every-other-day interferon beta-1b versus once-weekly interferon beta-1a for multiple sclerosis: Results of a 2-year prospective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study (INCOMIN). Lancet 359 (9316): 1453-1460.</w:t>
            </w:r>
          </w:p>
        </w:tc>
      </w:tr>
      <w:tr w:rsidR="00406AEC" w:rsidRPr="00406AEC" w14:paraId="0BB0A96A" w14:textId="77777777" w:rsidTr="00406AEC">
        <w:trPr>
          <w:trHeight w:val="300"/>
        </w:trPr>
        <w:tc>
          <w:tcPr>
            <w:tcW w:w="9360" w:type="dxa"/>
            <w:tcBorders>
              <w:top w:val="nil"/>
              <w:left w:val="nil"/>
              <w:bottom w:val="nil"/>
              <w:right w:val="nil"/>
            </w:tcBorders>
            <w:shd w:val="clear" w:color="auto" w:fill="auto"/>
            <w:noWrap/>
            <w:vAlign w:val="bottom"/>
            <w:hideMark/>
          </w:tcPr>
          <w:p w14:paraId="00710A9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Ebers GC, Rice G, </w:t>
            </w:r>
            <w:proofErr w:type="spellStart"/>
            <w:r w:rsidRPr="00406AEC">
              <w:rPr>
                <w:rFonts w:ascii="Times New Roman" w:eastAsia="Times New Roman" w:hAnsi="Times New Roman" w:cs="Times New Roman"/>
                <w:color w:val="000000"/>
                <w:szCs w:val="22"/>
              </w:rPr>
              <w:t>Lesaux</w:t>
            </w:r>
            <w:proofErr w:type="spellEnd"/>
            <w:r w:rsidRPr="00406AEC">
              <w:rPr>
                <w:rFonts w:ascii="Times New Roman" w:eastAsia="Times New Roman" w:hAnsi="Times New Roman" w:cs="Times New Roman"/>
                <w:color w:val="000000"/>
                <w:szCs w:val="22"/>
              </w:rPr>
              <w:t xml:space="preserve"> J, Paty D, Oger J et al. (1998)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double-blind placebo-controlled study of interferon beta-1a in relapsing/remitting multiple sclerosis. Lancet 352 (9139): 1498-1504.</w:t>
            </w:r>
          </w:p>
        </w:tc>
      </w:tr>
      <w:tr w:rsidR="00406AEC" w:rsidRPr="00406AEC" w14:paraId="63A558CC" w14:textId="77777777" w:rsidTr="00406AEC">
        <w:trPr>
          <w:trHeight w:val="300"/>
        </w:trPr>
        <w:tc>
          <w:tcPr>
            <w:tcW w:w="9360" w:type="dxa"/>
            <w:tcBorders>
              <w:top w:val="nil"/>
              <w:left w:val="nil"/>
              <w:bottom w:val="nil"/>
              <w:right w:val="nil"/>
            </w:tcBorders>
            <w:shd w:val="clear" w:color="auto" w:fill="auto"/>
            <w:noWrap/>
            <w:vAlign w:val="bottom"/>
            <w:hideMark/>
          </w:tcPr>
          <w:p w14:paraId="135FF77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Etemadifar</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Janghorbani</w:t>
            </w:r>
            <w:proofErr w:type="spellEnd"/>
            <w:r w:rsidRPr="00406AEC">
              <w:rPr>
                <w:rFonts w:ascii="Times New Roman" w:eastAsia="Times New Roman" w:hAnsi="Times New Roman" w:cs="Times New Roman"/>
                <w:color w:val="000000"/>
                <w:szCs w:val="22"/>
              </w:rPr>
              <w:t xml:space="preserve"> M, </w:t>
            </w:r>
            <w:proofErr w:type="spellStart"/>
            <w:r w:rsidRPr="00406AEC">
              <w:rPr>
                <w:rFonts w:ascii="Times New Roman" w:eastAsia="Times New Roman" w:hAnsi="Times New Roman" w:cs="Times New Roman"/>
                <w:color w:val="000000"/>
                <w:szCs w:val="22"/>
              </w:rPr>
              <w:t>Shaygannejad</w:t>
            </w:r>
            <w:proofErr w:type="spellEnd"/>
            <w:r w:rsidRPr="00406AEC">
              <w:rPr>
                <w:rFonts w:ascii="Times New Roman" w:eastAsia="Times New Roman" w:hAnsi="Times New Roman" w:cs="Times New Roman"/>
                <w:color w:val="000000"/>
                <w:szCs w:val="22"/>
              </w:rPr>
              <w:t xml:space="preserve"> V (2006) Comparison of </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 xml:space="preserve">, Avonex, and Rebif in treatment of relapsing-remitting multiple sclerosis. Acta </w:t>
            </w:r>
            <w:proofErr w:type="spellStart"/>
            <w:r w:rsidRPr="00406AEC">
              <w:rPr>
                <w:rFonts w:ascii="Times New Roman" w:eastAsia="Times New Roman" w:hAnsi="Times New Roman" w:cs="Times New Roman"/>
                <w:color w:val="000000"/>
                <w:szCs w:val="22"/>
              </w:rPr>
              <w:t>Neurologica</w:t>
            </w:r>
            <w:proofErr w:type="spellEnd"/>
            <w:r w:rsidRPr="00406AEC">
              <w:rPr>
                <w:rFonts w:ascii="Times New Roman" w:eastAsia="Times New Roman" w:hAnsi="Times New Roman" w:cs="Times New Roman"/>
                <w:color w:val="000000"/>
                <w:szCs w:val="22"/>
              </w:rPr>
              <w:t xml:space="preserve"> Scandinavica 113 (5): 283-287.</w:t>
            </w:r>
          </w:p>
        </w:tc>
      </w:tr>
      <w:tr w:rsidR="00406AEC" w:rsidRPr="00406AEC" w14:paraId="650BC72B" w14:textId="77777777" w:rsidTr="00406AEC">
        <w:trPr>
          <w:trHeight w:val="300"/>
        </w:trPr>
        <w:tc>
          <w:tcPr>
            <w:tcW w:w="9360" w:type="dxa"/>
            <w:tcBorders>
              <w:top w:val="nil"/>
              <w:left w:val="nil"/>
              <w:bottom w:val="nil"/>
              <w:right w:val="nil"/>
            </w:tcBorders>
            <w:shd w:val="clear" w:color="auto" w:fill="auto"/>
            <w:noWrap/>
            <w:vAlign w:val="bottom"/>
            <w:hideMark/>
          </w:tcPr>
          <w:p w14:paraId="594C740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BE (2006) A Randomized, Multicenter, Placebo-Controlled and Active Reference (Glatiramer Acetate) Comparison Study to Evaluate the Efficacy and Safety of BG00012 in Subjects With Relapsing-Remitting Multiple Sclerosis - N/A. http://wwwwhoint/trialsearch/Trial2aspx?TrialID=EUCTR2006 </w:t>
            </w:r>
          </w:p>
        </w:tc>
      </w:tr>
      <w:tr w:rsidR="00406AEC" w:rsidRPr="00406AEC" w14:paraId="545805E5" w14:textId="77777777" w:rsidTr="00406AEC">
        <w:trPr>
          <w:trHeight w:val="300"/>
        </w:trPr>
        <w:tc>
          <w:tcPr>
            <w:tcW w:w="9360" w:type="dxa"/>
            <w:tcBorders>
              <w:top w:val="nil"/>
              <w:left w:val="nil"/>
              <w:bottom w:val="nil"/>
              <w:right w:val="nil"/>
            </w:tcBorders>
            <w:shd w:val="clear" w:color="auto" w:fill="auto"/>
            <w:noWrap/>
            <w:vAlign w:val="bottom"/>
            <w:hideMark/>
          </w:tcPr>
          <w:p w14:paraId="0FE4B74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CZ (2006) A Randomized, Multicenter, Double-Blind, Placebo-Controlled, Dose-Comparison Study to Determine the Efficacy and Safety of BG00012 in Subjects with Relapsing-Remitting Multiple Sclerosis - N/A. http://wwwwhoint/trialsearch/Trial2aspx?TrialID=EUCTR2006 </w:t>
            </w:r>
          </w:p>
        </w:tc>
      </w:tr>
      <w:tr w:rsidR="00406AEC" w:rsidRPr="00406AEC" w14:paraId="6B0394B7" w14:textId="77777777" w:rsidTr="00406AEC">
        <w:trPr>
          <w:trHeight w:val="300"/>
        </w:trPr>
        <w:tc>
          <w:tcPr>
            <w:tcW w:w="9360" w:type="dxa"/>
            <w:tcBorders>
              <w:top w:val="nil"/>
              <w:left w:val="nil"/>
              <w:bottom w:val="nil"/>
              <w:right w:val="nil"/>
            </w:tcBorders>
            <w:shd w:val="clear" w:color="auto" w:fill="auto"/>
            <w:noWrap/>
            <w:vAlign w:val="bottom"/>
            <w:hideMark/>
          </w:tcPr>
          <w:p w14:paraId="4FE6F9A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IT (2007) A global clinical study in patients with relapsing-remitting multiple sclerosis to investigate the effect of two different dose regimens of ocrelizumab compared to a placebo or Avonex by measuring the effect on brain lesions seen on MRI. http://wwwwhoint/trialsearch/Trial2aspx?TrialID=EUCTR2007 </w:t>
            </w:r>
          </w:p>
        </w:tc>
      </w:tr>
      <w:tr w:rsidR="00406AEC" w:rsidRPr="00406AEC" w14:paraId="0BA46159" w14:textId="77777777" w:rsidTr="00406AEC">
        <w:trPr>
          <w:trHeight w:val="300"/>
        </w:trPr>
        <w:tc>
          <w:tcPr>
            <w:tcW w:w="9360" w:type="dxa"/>
            <w:tcBorders>
              <w:top w:val="nil"/>
              <w:left w:val="nil"/>
              <w:bottom w:val="nil"/>
              <w:right w:val="nil"/>
            </w:tcBorders>
            <w:shd w:val="clear" w:color="auto" w:fill="auto"/>
            <w:noWrap/>
            <w:vAlign w:val="bottom"/>
            <w:hideMark/>
          </w:tcPr>
          <w:p w14:paraId="036D1AA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LV (2008) A Multicenter, Randomized, Double-Blind, Parallel-Group, Placebo-Controlled, Study to Evaluate the Efficacy and Safety of PEGylated Interferon Beta-1a (BIIB017) in Subjects with Relapsing Multiple Sclerosis - ADVANCE. http://wwwwhoint/trialsearch/Trial2aspx?TrialID=EUCTR2008 </w:t>
            </w:r>
          </w:p>
        </w:tc>
      </w:tr>
      <w:tr w:rsidR="00406AEC" w:rsidRPr="00406AEC" w14:paraId="2E37354C" w14:textId="77777777" w:rsidTr="00406AEC">
        <w:trPr>
          <w:trHeight w:val="300"/>
        </w:trPr>
        <w:tc>
          <w:tcPr>
            <w:tcW w:w="9360" w:type="dxa"/>
            <w:tcBorders>
              <w:top w:val="nil"/>
              <w:left w:val="nil"/>
              <w:bottom w:val="nil"/>
              <w:right w:val="nil"/>
            </w:tcBorders>
            <w:shd w:val="clear" w:color="auto" w:fill="auto"/>
            <w:noWrap/>
            <w:vAlign w:val="bottom"/>
            <w:hideMark/>
          </w:tcPr>
          <w:p w14:paraId="3C373D4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PT (2006) A 12-month double-blind, randomized, multicenter, active controlled, parallel-group study comparing the efficacy and safety of 0.5 mg and 1.25 mg fingolimod (FTY720) administered orally once daily versus interferon [</w:t>
            </w:r>
            <w:proofErr w:type="spellStart"/>
            <w:r w:rsidRPr="00406AEC">
              <w:rPr>
                <w:rFonts w:ascii="Times New Roman" w:eastAsia="Times New Roman" w:hAnsi="Times New Roman" w:cs="Times New Roman"/>
                <w:color w:val="000000"/>
                <w:szCs w:val="22"/>
              </w:rPr>
              <w:t>latin</w:t>
            </w:r>
            <w:proofErr w:type="spellEnd"/>
            <w:r w:rsidRPr="00406AEC">
              <w:rPr>
                <w:rFonts w:ascii="Times New Roman" w:eastAsia="Times New Roman" w:hAnsi="Times New Roman" w:cs="Times New Roman"/>
                <w:color w:val="000000"/>
                <w:szCs w:val="22"/>
              </w:rPr>
              <w:t xml:space="preserve"> sharp s]-1a (Avonex(R)) administered </w:t>
            </w:r>
            <w:proofErr w:type="spellStart"/>
            <w:r w:rsidRPr="00406AEC">
              <w:rPr>
                <w:rFonts w:ascii="Times New Roman" w:eastAsia="Times New Roman" w:hAnsi="Times New Roman" w:cs="Times New Roman"/>
                <w:color w:val="000000"/>
                <w:szCs w:val="22"/>
              </w:rPr>
              <w:t>i.m.</w:t>
            </w:r>
            <w:proofErr w:type="spellEnd"/>
            <w:r w:rsidRPr="00406AEC">
              <w:rPr>
                <w:rFonts w:ascii="Times New Roman" w:eastAsia="Times New Roman" w:hAnsi="Times New Roman" w:cs="Times New Roman"/>
                <w:color w:val="000000"/>
                <w:szCs w:val="22"/>
              </w:rPr>
              <w:t xml:space="preserve"> once weekly in patients with relapsing-remitting multiple sclerosis with optional extension phase - D2302. http://wwwwhoint/trialsearch/Trial2aspx?TrialID=EUCTR2006 </w:t>
            </w:r>
          </w:p>
        </w:tc>
      </w:tr>
      <w:tr w:rsidR="00406AEC" w:rsidRPr="00406AEC" w14:paraId="20548BE5" w14:textId="77777777" w:rsidTr="00406AEC">
        <w:trPr>
          <w:trHeight w:val="300"/>
        </w:trPr>
        <w:tc>
          <w:tcPr>
            <w:tcW w:w="9360" w:type="dxa"/>
            <w:tcBorders>
              <w:top w:val="nil"/>
              <w:left w:val="nil"/>
              <w:bottom w:val="nil"/>
              <w:right w:val="nil"/>
            </w:tcBorders>
            <w:shd w:val="clear" w:color="auto" w:fill="auto"/>
            <w:noWrap/>
            <w:vAlign w:val="bottom"/>
            <w:hideMark/>
          </w:tcPr>
          <w:p w14:paraId="1704704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RO (2011) A clinical trial comparing the efficacy, and safety and tolerability of two disease modifying MS drugs (GTR and Copaxone(R)) in patients with relapsing remitting multiple sclerosis for 9 months followed by a 15 month GTR treatment part to evaluate efficacy and safety of long-term GTR treatment. http://wwwwhoint/trialsearch/Trial2aspx?TrialID=EUCTR2011 </w:t>
            </w:r>
          </w:p>
        </w:tc>
      </w:tr>
      <w:tr w:rsidR="00406AEC" w:rsidRPr="00406AEC" w14:paraId="797F5585" w14:textId="77777777" w:rsidTr="00406AEC">
        <w:trPr>
          <w:trHeight w:val="300"/>
        </w:trPr>
        <w:tc>
          <w:tcPr>
            <w:tcW w:w="9360" w:type="dxa"/>
            <w:tcBorders>
              <w:top w:val="nil"/>
              <w:left w:val="nil"/>
              <w:bottom w:val="nil"/>
              <w:right w:val="nil"/>
            </w:tcBorders>
            <w:shd w:val="clear" w:color="auto" w:fill="auto"/>
            <w:noWrap/>
            <w:vAlign w:val="bottom"/>
            <w:hideMark/>
          </w:tcPr>
          <w:p w14:paraId="66878ED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SE (2004) A randomized, double-blind, placebo-controlled, parallel group design study to evaluate the efficacy and safety of teriflunomide (HMR1726D) in reducing the frequency of relapses and delaying the accumulation of physical disability in subjects with multiple sclerosis with relapses. http://wwwwhoint/trialsearch/Trial2aspx?TrialID=EUCTR2004 </w:t>
            </w:r>
          </w:p>
        </w:tc>
      </w:tr>
      <w:tr w:rsidR="00406AEC" w:rsidRPr="00406AEC" w14:paraId="2B0C144E" w14:textId="77777777" w:rsidTr="00406AEC">
        <w:trPr>
          <w:trHeight w:val="300"/>
        </w:trPr>
        <w:tc>
          <w:tcPr>
            <w:tcW w:w="9360" w:type="dxa"/>
            <w:tcBorders>
              <w:top w:val="nil"/>
              <w:left w:val="nil"/>
              <w:bottom w:val="nil"/>
              <w:right w:val="nil"/>
            </w:tcBorders>
            <w:shd w:val="clear" w:color="auto" w:fill="auto"/>
            <w:noWrap/>
            <w:vAlign w:val="bottom"/>
            <w:hideMark/>
          </w:tcPr>
          <w:p w14:paraId="2500CED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Euctr</w:t>
            </w:r>
            <w:proofErr w:type="spellEnd"/>
            <w:r w:rsidRPr="00406AEC">
              <w:rPr>
                <w:rFonts w:ascii="Times New Roman" w:eastAsia="Times New Roman" w:hAnsi="Times New Roman" w:cs="Times New Roman"/>
                <w:color w:val="000000"/>
                <w:szCs w:val="22"/>
              </w:rPr>
              <w:t xml:space="preserve"> SK (2005) A 24-month, double-blind, randomized, multicenter, placebo-controlled, parallel-group study comparing efficacy and safety of FTY720 1.25 mg and 0.5 mg administered orally once daily versus placebo in patients with relapsing-remitting multiple sclerosis - D2301. http://wwwwhoint/trialsearch/Trial2aspx?TrialID=EUCTR2005 </w:t>
            </w:r>
          </w:p>
        </w:tc>
      </w:tr>
      <w:tr w:rsidR="00406AEC" w:rsidRPr="00406AEC" w14:paraId="36CE3328" w14:textId="77777777" w:rsidTr="00406AEC">
        <w:trPr>
          <w:trHeight w:val="300"/>
        </w:trPr>
        <w:tc>
          <w:tcPr>
            <w:tcW w:w="9360" w:type="dxa"/>
            <w:tcBorders>
              <w:top w:val="nil"/>
              <w:left w:val="nil"/>
              <w:bottom w:val="nil"/>
              <w:right w:val="nil"/>
            </w:tcBorders>
            <w:shd w:val="clear" w:color="auto" w:fill="auto"/>
            <w:noWrap/>
            <w:vAlign w:val="bottom"/>
            <w:hideMark/>
          </w:tcPr>
          <w:p w14:paraId="0973B40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Euctr</w:t>
            </w:r>
            <w:proofErr w:type="spellEnd"/>
            <w:r w:rsidRPr="00406AEC">
              <w:rPr>
                <w:rFonts w:ascii="Times New Roman" w:eastAsia="Times New Roman" w:hAnsi="Times New Roman" w:cs="Times New Roman"/>
                <w:color w:val="000000"/>
                <w:szCs w:val="22"/>
              </w:rPr>
              <w:t xml:space="preserve"> SK (2007) A multi-center double-blind parallel-group placebo-controlled study of the efficacy and safety of teriflunomide in patients with relapsing multiple sclerosis. http://wwwwhoint/trialsearch/Trial2aspx?TrialID=EUCTR2007 </w:t>
            </w:r>
          </w:p>
        </w:tc>
      </w:tr>
      <w:tr w:rsidR="00406AEC" w:rsidRPr="00406AEC" w14:paraId="0A9113B8" w14:textId="77777777" w:rsidTr="00406AEC">
        <w:trPr>
          <w:trHeight w:val="300"/>
        </w:trPr>
        <w:tc>
          <w:tcPr>
            <w:tcW w:w="9360" w:type="dxa"/>
            <w:tcBorders>
              <w:top w:val="nil"/>
              <w:left w:val="nil"/>
              <w:bottom w:val="nil"/>
              <w:right w:val="nil"/>
            </w:tcBorders>
            <w:shd w:val="clear" w:color="auto" w:fill="auto"/>
            <w:noWrap/>
            <w:vAlign w:val="bottom"/>
            <w:hideMark/>
          </w:tcPr>
          <w:p w14:paraId="1F8D4B5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Fernandez O, Giovannoni G, Fox RJ, Gold R, Phillips JT et al. (2016) Efficacy of delayed-release dimethyl fumarate for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in prior interferon users with low clinical disease activity-Integrated analysis of the phase 3 define and confirm studies. Multiple Sclerosis Conference: 2nd MENACTRIMS congress. 2016. Amman </w:t>
            </w:r>
            <w:proofErr w:type="spellStart"/>
            <w:r w:rsidRPr="00406AEC">
              <w:rPr>
                <w:rFonts w:ascii="Times New Roman" w:eastAsia="Times New Roman" w:hAnsi="Times New Roman" w:cs="Times New Roman"/>
                <w:color w:val="000000"/>
                <w:szCs w:val="22"/>
              </w:rPr>
              <w:t>jordan</w:t>
            </w:r>
            <w:proofErr w:type="spellEnd"/>
            <w:r w:rsidRPr="00406AEC">
              <w:rPr>
                <w:rFonts w:ascii="Times New Roman" w:eastAsia="Times New Roman" w:hAnsi="Times New Roman" w:cs="Times New Roman"/>
                <w:color w:val="000000"/>
                <w:szCs w:val="22"/>
              </w:rPr>
              <w:t>. Conference start: 20160317. Conference end: 20160319. Conference publication: (</w:t>
            </w:r>
            <w:proofErr w:type="spellStart"/>
            <w:r w:rsidRPr="00406AEC">
              <w:rPr>
                <w:rFonts w:ascii="Times New Roman" w:eastAsia="Times New Roman" w:hAnsi="Times New Roman" w:cs="Times New Roman"/>
                <w:color w:val="000000"/>
                <w:szCs w:val="22"/>
              </w:rPr>
              <w:t>var.pagings</w:t>
            </w:r>
            <w:proofErr w:type="spellEnd"/>
            <w:r w:rsidRPr="00406AEC">
              <w:rPr>
                <w:rFonts w:ascii="Times New Roman" w:eastAsia="Times New Roman" w:hAnsi="Times New Roman" w:cs="Times New Roman"/>
                <w:color w:val="000000"/>
                <w:szCs w:val="22"/>
              </w:rPr>
              <w:t>) 22(6): NP3.</w:t>
            </w:r>
          </w:p>
        </w:tc>
      </w:tr>
      <w:tr w:rsidR="00406AEC" w:rsidRPr="00406AEC" w14:paraId="0527AA52" w14:textId="77777777" w:rsidTr="00406AEC">
        <w:trPr>
          <w:trHeight w:val="300"/>
        </w:trPr>
        <w:tc>
          <w:tcPr>
            <w:tcW w:w="9360" w:type="dxa"/>
            <w:tcBorders>
              <w:top w:val="nil"/>
              <w:left w:val="nil"/>
              <w:bottom w:val="nil"/>
              <w:right w:val="nil"/>
            </w:tcBorders>
            <w:shd w:val="clear" w:color="auto" w:fill="auto"/>
            <w:noWrap/>
            <w:vAlign w:val="bottom"/>
            <w:hideMark/>
          </w:tcPr>
          <w:p w14:paraId="7AAE20A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Fischer JS, Priore RL, 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Rudick RA et al. (2000) Neuropsychological effects of interferon beta-1a in relapsing multiple sclerosis. Annals of Neurology 48 (6): 885-892.</w:t>
            </w:r>
          </w:p>
        </w:tc>
      </w:tr>
      <w:tr w:rsidR="00406AEC" w:rsidRPr="00406AEC" w14:paraId="54341BCE" w14:textId="77777777" w:rsidTr="00406AEC">
        <w:trPr>
          <w:trHeight w:val="300"/>
        </w:trPr>
        <w:tc>
          <w:tcPr>
            <w:tcW w:w="9360" w:type="dxa"/>
            <w:tcBorders>
              <w:top w:val="nil"/>
              <w:left w:val="nil"/>
              <w:bottom w:val="nil"/>
              <w:right w:val="nil"/>
            </w:tcBorders>
            <w:shd w:val="clear" w:color="auto" w:fill="auto"/>
            <w:noWrap/>
            <w:vAlign w:val="bottom"/>
            <w:hideMark/>
          </w:tcPr>
          <w:p w14:paraId="5DBDC4C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 Kappos L, Bar-Or A, Cree B, Giovannoni G et al. (2017) Safety and tolerability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in patients with secondary progressive multiple sclerosis. Neurology 88 (16): </w:t>
            </w:r>
          </w:p>
        </w:tc>
      </w:tr>
      <w:tr w:rsidR="00406AEC" w:rsidRPr="00406AEC" w14:paraId="316A46EF" w14:textId="77777777" w:rsidTr="00406AEC">
        <w:trPr>
          <w:trHeight w:val="300"/>
        </w:trPr>
        <w:tc>
          <w:tcPr>
            <w:tcW w:w="9360" w:type="dxa"/>
            <w:tcBorders>
              <w:top w:val="nil"/>
              <w:left w:val="nil"/>
              <w:bottom w:val="nil"/>
              <w:right w:val="nil"/>
            </w:tcBorders>
            <w:shd w:val="clear" w:color="auto" w:fill="auto"/>
            <w:noWrap/>
            <w:vAlign w:val="bottom"/>
            <w:hideMark/>
          </w:tcPr>
          <w:p w14:paraId="6E1B892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Fox R, Miller D, Phillips JT, Kita M, Hutchinson M et al. Clinical efficacy of BG-12 in relapsing-remitting multiple sclerosis (RRMS): Data from the phase 3 CONFIRM study. Neurology 78 (1 Meeting Abstract): CONFERENCE START: 2012 Apr 2021 CONFERENCE END: 2012 Apr 2028.</w:t>
            </w:r>
          </w:p>
        </w:tc>
      </w:tr>
      <w:tr w:rsidR="00406AEC" w:rsidRPr="00406AEC" w14:paraId="30490DC7" w14:textId="77777777" w:rsidTr="00406AEC">
        <w:trPr>
          <w:trHeight w:val="300"/>
        </w:trPr>
        <w:tc>
          <w:tcPr>
            <w:tcW w:w="9360" w:type="dxa"/>
            <w:tcBorders>
              <w:top w:val="nil"/>
              <w:left w:val="nil"/>
              <w:bottom w:val="nil"/>
              <w:right w:val="nil"/>
            </w:tcBorders>
            <w:shd w:val="clear" w:color="auto" w:fill="auto"/>
            <w:noWrap/>
            <w:vAlign w:val="bottom"/>
            <w:hideMark/>
          </w:tcPr>
          <w:p w14:paraId="553012A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Fox RJ, Miller DH, Phillips JT, Hutchinson M,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(2012) Placebo-controlled phase 3 study of oral BG-12 or glatiramer in multiple sclerosis. New England Journal of Medicine 367 (12): 1087-1097.</w:t>
            </w:r>
          </w:p>
        </w:tc>
      </w:tr>
      <w:tr w:rsidR="00406AEC" w:rsidRPr="00406AEC" w14:paraId="57A776B3" w14:textId="77777777" w:rsidTr="00406AEC">
        <w:trPr>
          <w:trHeight w:val="300"/>
        </w:trPr>
        <w:tc>
          <w:tcPr>
            <w:tcW w:w="9360" w:type="dxa"/>
            <w:tcBorders>
              <w:top w:val="nil"/>
              <w:left w:val="nil"/>
              <w:bottom w:val="nil"/>
              <w:right w:val="nil"/>
            </w:tcBorders>
            <w:shd w:val="clear" w:color="auto" w:fill="auto"/>
            <w:noWrap/>
            <w:vAlign w:val="bottom"/>
            <w:hideMark/>
          </w:tcPr>
          <w:p w14:paraId="7DA2551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Francis G (2001) Randomized controlled trial of interferon-beta-1a in secondary progressive MS: Clinical results. Neurology 56 (11): 1496-1504.</w:t>
            </w:r>
          </w:p>
        </w:tc>
      </w:tr>
      <w:tr w:rsidR="00406AEC" w:rsidRPr="00406AEC" w14:paraId="5A96B9DF" w14:textId="77777777" w:rsidTr="00406AEC">
        <w:trPr>
          <w:trHeight w:val="300"/>
        </w:trPr>
        <w:tc>
          <w:tcPr>
            <w:tcW w:w="9360" w:type="dxa"/>
            <w:tcBorders>
              <w:top w:val="nil"/>
              <w:left w:val="nil"/>
              <w:bottom w:val="nil"/>
              <w:right w:val="nil"/>
            </w:tcBorders>
            <w:shd w:val="clear" w:color="auto" w:fill="auto"/>
            <w:noWrap/>
            <w:vAlign w:val="bottom"/>
            <w:hideMark/>
          </w:tcPr>
          <w:p w14:paraId="4E8189F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 Wolinsky J, Comi G, Kappos L, Olsson T et al. Long-term safety and efficacy of teriflunomide in patients with relapsing forms of multiple sclerosis in the TEMSO extension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225.</w:t>
            </w:r>
          </w:p>
        </w:tc>
      </w:tr>
      <w:tr w:rsidR="00406AEC" w:rsidRPr="00406AEC" w14:paraId="48989F81" w14:textId="77777777" w:rsidTr="00406AEC">
        <w:trPr>
          <w:trHeight w:val="300"/>
        </w:trPr>
        <w:tc>
          <w:tcPr>
            <w:tcW w:w="9360" w:type="dxa"/>
            <w:tcBorders>
              <w:top w:val="nil"/>
              <w:left w:val="nil"/>
              <w:bottom w:val="nil"/>
              <w:right w:val="nil"/>
            </w:tcBorders>
            <w:shd w:val="clear" w:color="auto" w:fill="auto"/>
            <w:noWrap/>
            <w:vAlign w:val="bottom"/>
            <w:hideMark/>
          </w:tcPr>
          <w:p w14:paraId="6365847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 Wolinsky J, Comi G, Kappos L, Olsson T et al. Safety and efficacy of teriflunomide for up to 9 years in relapsing forms of multiple sclerosis: Update of the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extension trial. Neurology 82 (10 SUPPL. 1): CONFERENCE START: 2014 Apr 2026 CONFERENCE END: 2014 May 2013.</w:t>
            </w:r>
          </w:p>
        </w:tc>
      </w:tr>
      <w:tr w:rsidR="00406AEC" w:rsidRPr="00406AEC" w14:paraId="095D69A8" w14:textId="77777777" w:rsidTr="00406AEC">
        <w:trPr>
          <w:trHeight w:val="300"/>
        </w:trPr>
        <w:tc>
          <w:tcPr>
            <w:tcW w:w="9360" w:type="dxa"/>
            <w:tcBorders>
              <w:top w:val="nil"/>
              <w:left w:val="nil"/>
              <w:bottom w:val="nil"/>
              <w:right w:val="nil"/>
            </w:tcBorders>
            <w:shd w:val="clear" w:color="auto" w:fill="auto"/>
            <w:noWrap/>
            <w:vAlign w:val="bottom"/>
            <w:hideMark/>
          </w:tcPr>
          <w:p w14:paraId="222BE78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Freedman MS, </w:t>
            </w:r>
            <w:proofErr w:type="spellStart"/>
            <w:r w:rsidRPr="00406AEC">
              <w:rPr>
                <w:rFonts w:ascii="Times New Roman" w:eastAsia="Times New Roman" w:hAnsi="Times New Roman" w:cs="Times New Roman"/>
                <w:color w:val="000000"/>
                <w:szCs w:val="22"/>
              </w:rPr>
              <w:t>Dukovic</w:t>
            </w:r>
            <w:proofErr w:type="spellEnd"/>
            <w:r w:rsidRPr="00406AEC">
              <w:rPr>
                <w:rFonts w:ascii="Times New Roman" w:eastAsia="Times New Roman" w:hAnsi="Times New Roman" w:cs="Times New Roman"/>
                <w:color w:val="000000"/>
                <w:szCs w:val="22"/>
              </w:rPr>
              <w:t xml:space="preserve"> D, Benamor M,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Kappos L Evaluating the effect of teriflunomide in subgroups defined by prior treatment: Pooled analyses of the phase 3 TEMSO and TOWER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87.</w:t>
            </w:r>
          </w:p>
        </w:tc>
      </w:tr>
      <w:tr w:rsidR="00406AEC" w:rsidRPr="00406AEC" w14:paraId="3CAEF88A" w14:textId="77777777" w:rsidTr="00406AEC">
        <w:trPr>
          <w:trHeight w:val="300"/>
        </w:trPr>
        <w:tc>
          <w:tcPr>
            <w:tcW w:w="9360" w:type="dxa"/>
            <w:tcBorders>
              <w:top w:val="nil"/>
              <w:left w:val="nil"/>
              <w:bottom w:val="nil"/>
              <w:right w:val="nil"/>
            </w:tcBorders>
            <w:shd w:val="clear" w:color="auto" w:fill="auto"/>
            <w:noWrap/>
            <w:vAlign w:val="bottom"/>
            <w:hideMark/>
          </w:tcPr>
          <w:p w14:paraId="5FAAF61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Kappos L, Cree BAC, Radue EW, Giovannoni G et al. (2015) Efficacy of fingolimod on NEDA-4 in pooled FREEDOMS and FREEDOMS II studies by subgroups of baseline characteristics.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301-302.</w:t>
            </w:r>
          </w:p>
        </w:tc>
      </w:tr>
      <w:tr w:rsidR="00406AEC" w:rsidRPr="00406AEC" w14:paraId="4B8F5D5E" w14:textId="77777777" w:rsidTr="00406AEC">
        <w:trPr>
          <w:trHeight w:val="300"/>
        </w:trPr>
        <w:tc>
          <w:tcPr>
            <w:tcW w:w="9360" w:type="dxa"/>
            <w:tcBorders>
              <w:top w:val="nil"/>
              <w:left w:val="nil"/>
              <w:bottom w:val="nil"/>
              <w:right w:val="nil"/>
            </w:tcBorders>
            <w:shd w:val="clear" w:color="auto" w:fill="auto"/>
            <w:noWrap/>
            <w:vAlign w:val="bottom"/>
            <w:hideMark/>
          </w:tcPr>
          <w:p w14:paraId="1F81A47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Freedman MS, Wolinsky JS, Comi G, Kappos L, Olsson TP et al. (2018) The efficacy of teriflunomide in patients who received prior disease-modifying treatments: Subgroup analyses of the teriflunomide phase 3 TEMSO and TOWER studies. Multiple sclerosis journal 24 (4): 535-539.</w:t>
            </w:r>
          </w:p>
        </w:tc>
      </w:tr>
      <w:tr w:rsidR="00406AEC" w:rsidRPr="00406AEC" w14:paraId="04CDAFA2" w14:textId="77777777" w:rsidTr="00406AEC">
        <w:trPr>
          <w:trHeight w:val="300"/>
        </w:trPr>
        <w:tc>
          <w:tcPr>
            <w:tcW w:w="9360" w:type="dxa"/>
            <w:tcBorders>
              <w:top w:val="nil"/>
              <w:left w:val="nil"/>
              <w:bottom w:val="nil"/>
              <w:right w:val="nil"/>
            </w:tcBorders>
            <w:shd w:val="clear" w:color="auto" w:fill="auto"/>
            <w:noWrap/>
            <w:vAlign w:val="bottom"/>
            <w:hideMark/>
          </w:tcPr>
          <w:p w14:paraId="55FDCDD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Freeman JA, Thompson AJ, Fitzpatrick R, Hutchinson M, </w:t>
            </w:r>
            <w:proofErr w:type="spellStart"/>
            <w:r w:rsidRPr="00406AEC">
              <w:rPr>
                <w:rFonts w:ascii="Times New Roman" w:eastAsia="Times New Roman" w:hAnsi="Times New Roman" w:cs="Times New Roman"/>
                <w:color w:val="000000"/>
                <w:szCs w:val="22"/>
              </w:rPr>
              <w:t>Miltenburger</w:t>
            </w:r>
            <w:proofErr w:type="spellEnd"/>
            <w:r w:rsidRPr="00406AEC">
              <w:rPr>
                <w:rFonts w:ascii="Times New Roman" w:eastAsia="Times New Roman" w:hAnsi="Times New Roman" w:cs="Times New Roman"/>
                <w:color w:val="000000"/>
                <w:szCs w:val="22"/>
              </w:rPr>
              <w:t xml:space="preserve"> C et al. (2001) Interferon-beta1b in the treatment of secondary progressive MS: Impact on quality of life. Neurology 57 (10): 1870-1875.</w:t>
            </w:r>
          </w:p>
        </w:tc>
      </w:tr>
      <w:tr w:rsidR="00406AEC" w:rsidRPr="00406AEC" w14:paraId="260D98EA" w14:textId="77777777" w:rsidTr="00406AEC">
        <w:trPr>
          <w:trHeight w:val="300"/>
        </w:trPr>
        <w:tc>
          <w:tcPr>
            <w:tcW w:w="9360" w:type="dxa"/>
            <w:tcBorders>
              <w:top w:val="nil"/>
              <w:left w:val="nil"/>
              <w:bottom w:val="nil"/>
              <w:right w:val="nil"/>
            </w:tcBorders>
            <w:shd w:val="clear" w:color="auto" w:fill="auto"/>
            <w:noWrap/>
            <w:vAlign w:val="bottom"/>
            <w:hideMark/>
          </w:tcPr>
          <w:p w14:paraId="61D7921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Arnold DL, Cohen J, Coles AJ,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Disability improvement with alemtuzumab vs. </w:t>
            </w:r>
            <w:proofErr w:type="spellStart"/>
            <w:r w:rsidRPr="00406AEC">
              <w:rPr>
                <w:rFonts w:ascii="Times New Roman" w:eastAsia="Times New Roman" w:hAnsi="Times New Roman" w:cs="Times New Roman"/>
                <w:color w:val="000000"/>
                <w:szCs w:val="22"/>
              </w:rPr>
              <w:t>interferonb</w:t>
            </w:r>
            <w:proofErr w:type="spellEnd"/>
            <w:r w:rsidRPr="00406AEC">
              <w:rPr>
                <w:rFonts w:ascii="Times New Roman" w:eastAsia="Times New Roman" w:hAnsi="Times New Roman" w:cs="Times New Roman"/>
                <w:color w:val="000000"/>
                <w:szCs w:val="22"/>
              </w:rPr>
              <w:t>- 1a in relapsing-remitting multiple sclerosis patients who relapsed on prior therapy (CARE-MS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419-420.</w:t>
            </w:r>
          </w:p>
        </w:tc>
      </w:tr>
      <w:tr w:rsidR="00406AEC" w:rsidRPr="00406AEC" w14:paraId="651CAB37" w14:textId="77777777" w:rsidTr="00406AEC">
        <w:trPr>
          <w:trHeight w:val="300"/>
        </w:trPr>
        <w:tc>
          <w:tcPr>
            <w:tcW w:w="9360" w:type="dxa"/>
            <w:tcBorders>
              <w:top w:val="nil"/>
              <w:left w:val="nil"/>
              <w:bottom w:val="nil"/>
              <w:right w:val="nil"/>
            </w:tcBorders>
            <w:shd w:val="clear" w:color="auto" w:fill="auto"/>
            <w:noWrap/>
            <w:vAlign w:val="bottom"/>
            <w:hideMark/>
          </w:tcPr>
          <w:p w14:paraId="72B000D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Baror A, Cree B, Fox R, Gold R et al. (2017) The EXPAND study results: safety and tolerability of </w:t>
            </w:r>
            <w:proofErr w:type="spellStart"/>
            <w:r w:rsidRPr="00406AEC">
              <w:rPr>
                <w:rFonts w:ascii="Times New Roman" w:eastAsia="Times New Roman" w:hAnsi="Times New Roman" w:cs="Times New Roman"/>
                <w:color w:val="000000"/>
                <w:szCs w:val="22"/>
              </w:rPr>
              <w:t>siponimod</w:t>
            </w:r>
            <w:proofErr w:type="spellEnd"/>
            <w:r w:rsidRPr="00406AEC">
              <w:rPr>
                <w:rFonts w:ascii="Times New Roman" w:eastAsia="Times New Roman" w:hAnsi="Times New Roman" w:cs="Times New Roman"/>
                <w:color w:val="000000"/>
                <w:szCs w:val="22"/>
              </w:rPr>
              <w:t xml:space="preserve"> in patients with secondary progressive multiple sclerosis. European journal of neurology 24 (495): </w:t>
            </w:r>
          </w:p>
        </w:tc>
      </w:tr>
      <w:tr w:rsidR="00406AEC" w:rsidRPr="00406AEC" w14:paraId="3A5C35C8" w14:textId="77777777" w:rsidTr="00406AEC">
        <w:trPr>
          <w:trHeight w:val="300"/>
        </w:trPr>
        <w:tc>
          <w:tcPr>
            <w:tcW w:w="9360" w:type="dxa"/>
            <w:tcBorders>
              <w:top w:val="nil"/>
              <w:left w:val="nil"/>
              <w:bottom w:val="nil"/>
              <w:right w:val="nil"/>
            </w:tcBorders>
            <w:shd w:val="clear" w:color="auto" w:fill="auto"/>
            <w:noWrap/>
            <w:vAlign w:val="bottom"/>
            <w:hideMark/>
          </w:tcPr>
          <w:p w14:paraId="17E153E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Cook S, Rammohan K, Rieckmann P, Sorensen PS et al. (2011) Sustained disease-activity-free status in patients with relapsing-remitting multiple sclerosis treated with cladribine tablets in the CLARITY study: A post-hoc and subgroup analysis. The Lancet Neurology 10 (4): 329-337.</w:t>
            </w:r>
          </w:p>
        </w:tc>
      </w:tr>
      <w:tr w:rsidR="00406AEC" w:rsidRPr="00406AEC" w14:paraId="4726EC60" w14:textId="77777777" w:rsidTr="00406AEC">
        <w:trPr>
          <w:trHeight w:val="300"/>
        </w:trPr>
        <w:tc>
          <w:tcPr>
            <w:tcW w:w="9360" w:type="dxa"/>
            <w:tcBorders>
              <w:top w:val="nil"/>
              <w:left w:val="nil"/>
              <w:bottom w:val="nil"/>
              <w:right w:val="nil"/>
            </w:tcBorders>
            <w:shd w:val="clear" w:color="auto" w:fill="auto"/>
            <w:noWrap/>
            <w:vAlign w:val="bottom"/>
            <w:hideMark/>
          </w:tcPr>
          <w:p w14:paraId="7E881F5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Fox RJ, Kappos L, Kita M et al. (2015) Relapses Requiring Intravenous Steroid Use and Multiple-Sclerosis-related Hospitalizations: Integrated Analysis of the Delayed-release Dimethyl Fumarate Phase III Studies. Clinical Therapeutics 37 (11): 2543-2551.</w:t>
            </w:r>
          </w:p>
        </w:tc>
      </w:tr>
      <w:tr w:rsidR="00406AEC" w:rsidRPr="00406AEC" w14:paraId="2CD7551F" w14:textId="77777777" w:rsidTr="00406AEC">
        <w:trPr>
          <w:trHeight w:val="300"/>
        </w:trPr>
        <w:tc>
          <w:tcPr>
            <w:tcW w:w="9360" w:type="dxa"/>
            <w:tcBorders>
              <w:top w:val="nil"/>
              <w:left w:val="nil"/>
              <w:bottom w:val="nil"/>
              <w:right w:val="nil"/>
            </w:tcBorders>
            <w:shd w:val="clear" w:color="auto" w:fill="auto"/>
            <w:noWrap/>
            <w:vAlign w:val="bottom"/>
            <w:hideMark/>
          </w:tcPr>
          <w:p w14:paraId="3B46F95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Giovannoni G, Gold R, Fox RJ, Kappos L, Kita M et al. (2014) Delayed-release dimethyl fumarate and relapses requiring intravenous steroid use and MS-related hospitalizations: Integrated analysis of the phase 3 DEFINE and CONFIRM studies. Journal of Neurology 261 (31): </w:t>
            </w:r>
          </w:p>
        </w:tc>
      </w:tr>
      <w:tr w:rsidR="00406AEC" w:rsidRPr="00406AEC" w14:paraId="1E1690CD" w14:textId="77777777" w:rsidTr="00406AEC">
        <w:trPr>
          <w:trHeight w:val="300"/>
        </w:trPr>
        <w:tc>
          <w:tcPr>
            <w:tcW w:w="9360" w:type="dxa"/>
            <w:tcBorders>
              <w:top w:val="nil"/>
              <w:left w:val="nil"/>
              <w:bottom w:val="nil"/>
              <w:right w:val="nil"/>
            </w:tcBorders>
            <w:shd w:val="clear" w:color="auto" w:fill="auto"/>
            <w:noWrap/>
            <w:vAlign w:val="bottom"/>
            <w:hideMark/>
          </w:tcPr>
          <w:p w14:paraId="5BE93EA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Kappos L, Arnold D, Bar-Or A et al. BG-12 increases the proportion of patients free of clinical and radiologic disease activity in relapsing-remitting multiple sclerosis: Findings from the define study. Neurology 78 (1 Meeting Abstract): CONFERENCE START: 2012 Apr 2021 CONFERENCE END: 2012 Apr 2028.</w:t>
            </w:r>
          </w:p>
        </w:tc>
      </w:tr>
      <w:tr w:rsidR="00406AEC" w:rsidRPr="00406AEC" w14:paraId="234AB1AD" w14:textId="77777777" w:rsidTr="00406AEC">
        <w:trPr>
          <w:trHeight w:val="300"/>
        </w:trPr>
        <w:tc>
          <w:tcPr>
            <w:tcW w:w="9360" w:type="dxa"/>
            <w:tcBorders>
              <w:top w:val="nil"/>
              <w:left w:val="nil"/>
              <w:bottom w:val="nil"/>
              <w:right w:val="nil"/>
            </w:tcBorders>
            <w:shd w:val="clear" w:color="auto" w:fill="auto"/>
            <w:noWrap/>
            <w:vAlign w:val="bottom"/>
            <w:hideMark/>
          </w:tcPr>
          <w:p w14:paraId="62BDB80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Gold R, Kappos L, Arnold DL, Bar-Or A et al. Analysis of clinical and radiological disease activity-free status in patients with relapsing-remitting multiple sclerosis treated with BG-12: Findings from the DEFINE study. Journal of Neurology 259 (1 SUPPL. 1): S106.</w:t>
            </w:r>
          </w:p>
        </w:tc>
      </w:tr>
      <w:tr w:rsidR="00406AEC" w:rsidRPr="00406AEC" w14:paraId="208074CE" w14:textId="77777777" w:rsidTr="00406AEC">
        <w:trPr>
          <w:trHeight w:val="300"/>
        </w:trPr>
        <w:tc>
          <w:tcPr>
            <w:tcW w:w="9360" w:type="dxa"/>
            <w:tcBorders>
              <w:top w:val="nil"/>
              <w:left w:val="nil"/>
              <w:bottom w:val="nil"/>
              <w:right w:val="nil"/>
            </w:tcBorders>
            <w:shd w:val="clear" w:color="auto" w:fill="auto"/>
            <w:noWrap/>
            <w:vAlign w:val="bottom"/>
            <w:hideMark/>
          </w:tcPr>
          <w:p w14:paraId="038F035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Rammohan K, Cook S, Comi G, Rieckmann P et al. (2017) Cladribine tablets in high disease activity (HDA) subgroups from the CLARITY study of patients with relapsing multiple sclerosis (RMS). European journal of neurology 24 203-204.</w:t>
            </w:r>
          </w:p>
        </w:tc>
      </w:tr>
      <w:tr w:rsidR="00406AEC" w:rsidRPr="00406AEC" w14:paraId="5A6DD1D5" w14:textId="77777777" w:rsidTr="00406AEC">
        <w:trPr>
          <w:trHeight w:val="300"/>
        </w:trPr>
        <w:tc>
          <w:tcPr>
            <w:tcW w:w="9360" w:type="dxa"/>
            <w:tcBorders>
              <w:top w:val="nil"/>
              <w:left w:val="nil"/>
              <w:bottom w:val="nil"/>
              <w:right w:val="nil"/>
            </w:tcBorders>
            <w:shd w:val="clear" w:color="auto" w:fill="auto"/>
            <w:noWrap/>
            <w:vAlign w:val="bottom"/>
            <w:hideMark/>
          </w:tcPr>
          <w:p w14:paraId="7B0DC5E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Giovannoni G, Rammohan K, Cook S, Comi G, Rieckmann P et al. (2018) Efficacy of cladribine tablets 3.5 mg/kg in high disease activity (HDA) subgroups of patients with relapsing multiple sclerosis (RMS) in the CLARITY study. Multiple sclerosis journal 24 (3): 396-397.</w:t>
            </w:r>
          </w:p>
        </w:tc>
      </w:tr>
      <w:tr w:rsidR="00406AEC" w:rsidRPr="00406AEC" w14:paraId="25D73515" w14:textId="77777777" w:rsidTr="00406AEC">
        <w:trPr>
          <w:trHeight w:val="300"/>
        </w:trPr>
        <w:tc>
          <w:tcPr>
            <w:tcW w:w="9360" w:type="dxa"/>
            <w:tcBorders>
              <w:top w:val="nil"/>
              <w:left w:val="nil"/>
              <w:bottom w:val="nil"/>
              <w:right w:val="nil"/>
            </w:tcBorders>
            <w:shd w:val="clear" w:color="auto" w:fill="auto"/>
            <w:noWrap/>
            <w:vAlign w:val="bottom"/>
            <w:hideMark/>
          </w:tcPr>
          <w:p w14:paraId="4217CB1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Kappos L, Arnold DL, Bar-Or A, Giovannoni G et al. (2012) Placebo-controlled phase 3 study of oral BG-12 for relapsing multiple sclerosis. New England Journal of Medicine 367 (12): 1098-1107.</w:t>
            </w:r>
          </w:p>
        </w:tc>
      </w:tr>
      <w:tr w:rsidR="00406AEC" w:rsidRPr="00406AEC" w14:paraId="6EFF7A03" w14:textId="77777777" w:rsidTr="00406AEC">
        <w:trPr>
          <w:trHeight w:val="300"/>
        </w:trPr>
        <w:tc>
          <w:tcPr>
            <w:tcW w:w="9360" w:type="dxa"/>
            <w:tcBorders>
              <w:top w:val="nil"/>
              <w:left w:val="nil"/>
              <w:bottom w:val="nil"/>
              <w:right w:val="nil"/>
            </w:tcBorders>
            <w:shd w:val="clear" w:color="auto" w:fill="auto"/>
            <w:noWrap/>
            <w:vAlign w:val="bottom"/>
            <w:hideMark/>
          </w:tcPr>
          <w:p w14:paraId="4C1C268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Gold R, Rieckmann P, Chang P, Abdalla J (2005) The long-term safety and tolerability of high-dose interferon beta-1a in relapsing-remitting multiple sclerosis: 4-Year data from the PRISMS study. European journal of neurology 12 (8): 649-656.</w:t>
            </w:r>
          </w:p>
        </w:tc>
      </w:tr>
      <w:tr w:rsidR="00406AEC" w:rsidRPr="00406AEC" w14:paraId="32DBD7DD" w14:textId="77777777" w:rsidTr="00406AEC">
        <w:trPr>
          <w:trHeight w:val="300"/>
        </w:trPr>
        <w:tc>
          <w:tcPr>
            <w:tcW w:w="9360" w:type="dxa"/>
            <w:tcBorders>
              <w:top w:val="nil"/>
              <w:left w:val="nil"/>
              <w:bottom w:val="nil"/>
              <w:right w:val="nil"/>
            </w:tcBorders>
            <w:shd w:val="clear" w:color="auto" w:fill="auto"/>
            <w:noWrap/>
            <w:vAlign w:val="bottom"/>
            <w:hideMark/>
          </w:tcPr>
          <w:p w14:paraId="59F8A4E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Gold R, Zhang A, Yang M, Zhang R, Kurukulasuriya NC et al. (2014) Clinical efficacy of delayed-release dimethyl fumarate in relapsing-remitting MS (RRMS) patients with highly active disease: Integrated analysis of the phase 3 DEFINE and CONFIRM studies. Journal of Neurology 261 (31): </w:t>
            </w:r>
          </w:p>
        </w:tc>
      </w:tr>
      <w:tr w:rsidR="00406AEC" w:rsidRPr="00406AEC" w14:paraId="707BC05C" w14:textId="77777777" w:rsidTr="00406AEC">
        <w:trPr>
          <w:trHeight w:val="300"/>
        </w:trPr>
        <w:tc>
          <w:tcPr>
            <w:tcW w:w="9360" w:type="dxa"/>
            <w:tcBorders>
              <w:top w:val="nil"/>
              <w:left w:val="nil"/>
              <w:bottom w:val="nil"/>
              <w:right w:val="nil"/>
            </w:tcBorders>
            <w:shd w:val="clear" w:color="auto" w:fill="auto"/>
            <w:noWrap/>
            <w:vAlign w:val="bottom"/>
            <w:hideMark/>
          </w:tcPr>
          <w:p w14:paraId="36F502D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Goodin D, Jeffery D, Kappos L, Lublin F, Radue EW et al. Fingolimod reduces annualized relapse rate in patients with relapsing-remitting multiple sclerosis: Freedoms II study subgroup analysis.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57979F39" w14:textId="77777777" w:rsidTr="00406AEC">
        <w:trPr>
          <w:trHeight w:val="300"/>
        </w:trPr>
        <w:tc>
          <w:tcPr>
            <w:tcW w:w="9360" w:type="dxa"/>
            <w:tcBorders>
              <w:top w:val="nil"/>
              <w:left w:val="nil"/>
              <w:bottom w:val="nil"/>
              <w:right w:val="nil"/>
            </w:tcBorders>
            <w:shd w:val="clear" w:color="auto" w:fill="auto"/>
            <w:noWrap/>
            <w:vAlign w:val="bottom"/>
            <w:hideMark/>
          </w:tcPr>
          <w:p w14:paraId="568F6EB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Graves J, Balcer L, Palmer J, Margolin D, Galetta S Alemtuzumab improves visual outcomes vs. subcutaneous interferon beta-1a in patients with active relapsing-remitting multiple sclerosis (RRMS) who relapsed on prior therapy: Analysis from the care-MS II study. Neurology 82 (10 SUPPL. 1): CONFERENCE START: 2014 Apr 2026 CONFERENCE END: 2014 May 2013.</w:t>
            </w:r>
          </w:p>
        </w:tc>
      </w:tr>
      <w:tr w:rsidR="00406AEC" w:rsidRPr="00406AEC" w14:paraId="795B72EE" w14:textId="77777777" w:rsidTr="00406AEC">
        <w:trPr>
          <w:trHeight w:val="300"/>
        </w:trPr>
        <w:tc>
          <w:tcPr>
            <w:tcW w:w="9360" w:type="dxa"/>
            <w:tcBorders>
              <w:top w:val="nil"/>
              <w:left w:val="nil"/>
              <w:bottom w:val="nil"/>
              <w:right w:val="nil"/>
            </w:tcBorders>
            <w:shd w:val="clear" w:color="auto" w:fill="auto"/>
            <w:noWrap/>
            <w:vAlign w:val="bottom"/>
            <w:hideMark/>
          </w:tcPr>
          <w:p w14:paraId="6EC43CC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Graves J, Galetta SL, Palmer J, Margolin DH, Rizzo M et al. (2013) Alemtuzumab improves contrast sensitivity in patients with relapsing-remitting multiple sclerosis. Multiple sclerosis journal 19 (10): 1302-1309.</w:t>
            </w:r>
          </w:p>
        </w:tc>
      </w:tr>
      <w:tr w:rsidR="00406AEC" w:rsidRPr="00406AEC" w14:paraId="0CAAEAAB" w14:textId="77777777" w:rsidTr="00406AEC">
        <w:trPr>
          <w:trHeight w:val="300"/>
        </w:trPr>
        <w:tc>
          <w:tcPr>
            <w:tcW w:w="9360" w:type="dxa"/>
            <w:tcBorders>
              <w:top w:val="nil"/>
              <w:left w:val="nil"/>
              <w:bottom w:val="nil"/>
              <w:right w:val="nil"/>
            </w:tcBorders>
            <w:shd w:val="clear" w:color="auto" w:fill="auto"/>
            <w:noWrap/>
            <w:vAlign w:val="bottom"/>
            <w:hideMark/>
          </w:tcPr>
          <w:p w14:paraId="445504E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Arnold DL, Cohen J, Coles AJ,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Safety of alemtuzumab in relapsing-remitting multiple sclerosis patients who relapsed on prior therapy (CARE-MS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235.</w:t>
            </w:r>
          </w:p>
        </w:tc>
      </w:tr>
      <w:tr w:rsidR="00406AEC" w:rsidRPr="00406AEC" w14:paraId="5DC6123B" w14:textId="77777777" w:rsidTr="00406AEC">
        <w:trPr>
          <w:trHeight w:val="300"/>
        </w:trPr>
        <w:tc>
          <w:tcPr>
            <w:tcW w:w="9360" w:type="dxa"/>
            <w:tcBorders>
              <w:top w:val="nil"/>
              <w:left w:val="nil"/>
              <w:bottom w:val="nil"/>
              <w:right w:val="nil"/>
            </w:tcBorders>
            <w:shd w:val="clear" w:color="auto" w:fill="auto"/>
            <w:noWrap/>
            <w:vAlign w:val="bottom"/>
            <w:hideMark/>
          </w:tcPr>
          <w:p w14:paraId="13F94B2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Galetta S, Hutchinson M, </w:t>
            </w:r>
            <w:proofErr w:type="spellStart"/>
            <w:r w:rsidRPr="00406AEC">
              <w:rPr>
                <w:rFonts w:ascii="Times New Roman" w:eastAsia="Times New Roman" w:hAnsi="Times New Roman" w:cs="Times New Roman"/>
                <w:color w:val="000000"/>
                <w:szCs w:val="22"/>
              </w:rPr>
              <w:t>Stefoski</w:t>
            </w:r>
            <w:proofErr w:type="spellEnd"/>
            <w:r w:rsidRPr="00406AEC">
              <w:rPr>
                <w:rFonts w:ascii="Times New Roman" w:eastAsia="Times New Roman" w:hAnsi="Times New Roman" w:cs="Times New Roman"/>
                <w:color w:val="000000"/>
                <w:szCs w:val="22"/>
              </w:rPr>
              <w:t xml:space="preserve"> D, Bates D et al. (2009) Effect of natalizumab on clinical and radiological disease activity in multiple sclerosis: a retrospective analysis of the Natalizumab Safety and Efficacy in Relapsing-Remitting Multiple Sclerosis (AFFIRM) study. The Lancet Neurology 8 (3): 254-260.</w:t>
            </w:r>
          </w:p>
        </w:tc>
      </w:tr>
      <w:tr w:rsidR="00406AEC" w:rsidRPr="00406AEC" w14:paraId="7396E367" w14:textId="77777777" w:rsidTr="00406AEC">
        <w:trPr>
          <w:trHeight w:val="300"/>
        </w:trPr>
        <w:tc>
          <w:tcPr>
            <w:tcW w:w="9360" w:type="dxa"/>
            <w:tcBorders>
              <w:top w:val="nil"/>
              <w:left w:val="nil"/>
              <w:bottom w:val="nil"/>
              <w:right w:val="nil"/>
            </w:tcBorders>
            <w:shd w:val="clear" w:color="auto" w:fill="auto"/>
            <w:noWrap/>
            <w:vAlign w:val="bottom"/>
            <w:hideMark/>
          </w:tcPr>
          <w:p w14:paraId="12B6383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Giovannoni G, Gold R, Fox RJ, Kappos L et al. (2017) Effect of delayed-release dimethyl fumarate on no evidence of disease activity in relapsing-remitting multiple sclerosis: integrated analysis of the phase III DEFINE and CONFIRM studies. European journal of neurology 24 (5): 726-733.</w:t>
            </w:r>
          </w:p>
        </w:tc>
      </w:tr>
      <w:tr w:rsidR="00406AEC" w:rsidRPr="00406AEC" w14:paraId="2D843BA8" w14:textId="77777777" w:rsidTr="00406AEC">
        <w:trPr>
          <w:trHeight w:val="300"/>
        </w:trPr>
        <w:tc>
          <w:tcPr>
            <w:tcW w:w="9360" w:type="dxa"/>
            <w:tcBorders>
              <w:top w:val="nil"/>
              <w:left w:val="nil"/>
              <w:bottom w:val="nil"/>
              <w:right w:val="nil"/>
            </w:tcBorders>
            <w:shd w:val="clear" w:color="auto" w:fill="auto"/>
            <w:noWrap/>
            <w:vAlign w:val="bottom"/>
            <w:hideMark/>
          </w:tcPr>
          <w:p w14:paraId="7E9ECF5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Gold R, Fox R, Kappos L, Phillips JT et al. BG-12 (dimethyl fumarate) treatment for relapsing-remitting multiple sclerosis (RRMS) increases the proportion of patients free of measured clinical and neuroradiologic disease activity in the phase 3 studies.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7ACE6583" w14:textId="77777777" w:rsidTr="00406AEC">
        <w:trPr>
          <w:trHeight w:val="300"/>
        </w:trPr>
        <w:tc>
          <w:tcPr>
            <w:tcW w:w="9360" w:type="dxa"/>
            <w:tcBorders>
              <w:top w:val="nil"/>
              <w:left w:val="nil"/>
              <w:bottom w:val="nil"/>
              <w:right w:val="nil"/>
            </w:tcBorders>
            <w:shd w:val="clear" w:color="auto" w:fill="auto"/>
            <w:noWrap/>
            <w:vAlign w:val="bottom"/>
            <w:hideMark/>
          </w:tcPr>
          <w:p w14:paraId="44F15EC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Gold R, Fox R, Kappos L, Phillips JT et al. Effect of delayed-release dimethyl fumarate on freedom from measured clinical and neuroradiological disease activity in relapsing-remitting multiple sclerosis (RRMS) patients: An integrated analysis of define and confirm. Neurology 82 (10 SUPPL. 1): CONFERENCE START: 2014 Apr 2026 CONFERENCE END: 2014 May 2013.</w:t>
            </w:r>
          </w:p>
        </w:tc>
      </w:tr>
      <w:tr w:rsidR="00406AEC" w:rsidRPr="00406AEC" w14:paraId="75F74293" w14:textId="77777777" w:rsidTr="00406AEC">
        <w:trPr>
          <w:trHeight w:val="300"/>
        </w:trPr>
        <w:tc>
          <w:tcPr>
            <w:tcW w:w="9360" w:type="dxa"/>
            <w:tcBorders>
              <w:top w:val="nil"/>
              <w:left w:val="nil"/>
              <w:bottom w:val="nil"/>
              <w:right w:val="nil"/>
            </w:tcBorders>
            <w:shd w:val="clear" w:color="auto" w:fill="auto"/>
            <w:noWrap/>
            <w:vAlign w:val="bottom"/>
            <w:hideMark/>
          </w:tcPr>
          <w:p w14:paraId="5B1955A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Gold R, Fox RJ, Kappos L, Kita M et al. Relapses requiring intravenous steroid use and MS-related </w:t>
            </w:r>
            <w:proofErr w:type="spellStart"/>
            <w:r w:rsidRPr="00406AEC">
              <w:rPr>
                <w:rFonts w:ascii="Times New Roman" w:eastAsia="Times New Roman" w:hAnsi="Times New Roman" w:cs="Times New Roman"/>
                <w:color w:val="000000"/>
                <w:szCs w:val="22"/>
              </w:rPr>
              <w:t>hospitalisations</w:t>
            </w:r>
            <w:proofErr w:type="spellEnd"/>
            <w:r w:rsidRPr="00406AEC">
              <w:rPr>
                <w:rFonts w:ascii="Times New Roman" w:eastAsia="Times New Roman" w:hAnsi="Times New Roman" w:cs="Times New Roman"/>
                <w:color w:val="000000"/>
                <w:szCs w:val="22"/>
              </w:rPr>
              <w:t>: Findings from the phase 3 DEFINE and CONFIRM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204-205.</w:t>
            </w:r>
          </w:p>
        </w:tc>
      </w:tr>
      <w:tr w:rsidR="00406AEC" w:rsidRPr="00406AEC" w14:paraId="1345C32A" w14:textId="77777777" w:rsidTr="00406AEC">
        <w:trPr>
          <w:trHeight w:val="300"/>
        </w:trPr>
        <w:tc>
          <w:tcPr>
            <w:tcW w:w="9360" w:type="dxa"/>
            <w:tcBorders>
              <w:top w:val="nil"/>
              <w:left w:val="nil"/>
              <w:bottom w:val="nil"/>
              <w:right w:val="nil"/>
            </w:tcBorders>
            <w:shd w:val="clear" w:color="auto" w:fill="auto"/>
            <w:noWrap/>
            <w:vAlign w:val="bottom"/>
            <w:hideMark/>
          </w:tcPr>
          <w:p w14:paraId="29C204F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Gold R, Fox RJ, Kappos L, Phillips JT et al. Effect of BG-12 (dimethyl fumarate) on freedom from measured clinical and neuroradiological disease activity over time in patients with relapsing remitting multiple sclerosis: Results from the phase 3 studies.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211-212.</w:t>
            </w:r>
          </w:p>
        </w:tc>
      </w:tr>
      <w:tr w:rsidR="00406AEC" w:rsidRPr="00406AEC" w14:paraId="636374C0" w14:textId="77777777" w:rsidTr="00406AEC">
        <w:trPr>
          <w:trHeight w:val="300"/>
        </w:trPr>
        <w:tc>
          <w:tcPr>
            <w:tcW w:w="9360" w:type="dxa"/>
            <w:tcBorders>
              <w:top w:val="nil"/>
              <w:left w:val="nil"/>
              <w:bottom w:val="nil"/>
              <w:right w:val="nil"/>
            </w:tcBorders>
            <w:shd w:val="clear" w:color="auto" w:fill="auto"/>
            <w:noWrap/>
            <w:vAlign w:val="bottom"/>
            <w:hideMark/>
          </w:tcPr>
          <w:p w14:paraId="765CDBA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Havrdova</w:t>
            </w:r>
            <w:proofErr w:type="spellEnd"/>
            <w:r w:rsidRPr="00406AEC">
              <w:rPr>
                <w:rFonts w:ascii="Times New Roman" w:eastAsia="Times New Roman" w:hAnsi="Times New Roman" w:cs="Times New Roman"/>
                <w:color w:val="000000"/>
                <w:szCs w:val="22"/>
              </w:rPr>
              <w:t xml:space="preserve"> E, Gold R, Fox RJ, Kappos L, Phillips JT et al. (2014) Delayed-release dimethyl fumarate and freedom from measured clinical and neuroradiologic disease activity in relapsing-remitting multiple sclerosis (RRMS) patients: Integrated analysis of DEFINE and CONFIRM. Journal of Neurology 261 (31): </w:t>
            </w:r>
          </w:p>
        </w:tc>
      </w:tr>
      <w:tr w:rsidR="00406AEC" w:rsidRPr="00406AEC" w14:paraId="2B7BE82A" w14:textId="77777777" w:rsidTr="00406AEC">
        <w:trPr>
          <w:trHeight w:val="300"/>
        </w:trPr>
        <w:tc>
          <w:tcPr>
            <w:tcW w:w="9360" w:type="dxa"/>
            <w:tcBorders>
              <w:top w:val="nil"/>
              <w:left w:val="nil"/>
              <w:bottom w:val="nil"/>
              <w:right w:val="nil"/>
            </w:tcBorders>
            <w:shd w:val="clear" w:color="auto" w:fill="auto"/>
            <w:noWrap/>
            <w:vAlign w:val="bottom"/>
            <w:hideMark/>
          </w:tcPr>
          <w:p w14:paraId="7982D6E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Hauser S, Honeycutt W, Kappos L,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et al. (2017) No evidence of disease activity on ocrelizumab treatment in patients with early relapsing multiple sclerosis: pooled analysis of the Phase III OPERA Studies. Neurology 88 (16): </w:t>
            </w:r>
          </w:p>
        </w:tc>
      </w:tr>
      <w:tr w:rsidR="00406AEC" w:rsidRPr="00406AEC" w14:paraId="7AE6D9DC" w14:textId="77777777" w:rsidTr="00406AEC">
        <w:trPr>
          <w:trHeight w:val="300"/>
        </w:trPr>
        <w:tc>
          <w:tcPr>
            <w:tcW w:w="9360" w:type="dxa"/>
            <w:tcBorders>
              <w:top w:val="nil"/>
              <w:left w:val="nil"/>
              <w:bottom w:val="nil"/>
              <w:right w:val="nil"/>
            </w:tcBorders>
            <w:shd w:val="clear" w:color="auto" w:fill="auto"/>
            <w:noWrap/>
            <w:vAlign w:val="bottom"/>
            <w:hideMark/>
          </w:tcPr>
          <w:p w14:paraId="4B86513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Miller D, Fox RJ, Phillips JT, Kita M et al. (2012) Clinical and neuroimaging outcomes with BG-12 treatment in CONFIRM (comparator and an oral fumarate in relapsing-remitting multiple sclerosis), a multicenter, randomized, </w:t>
            </w:r>
            <w:proofErr w:type="spellStart"/>
            <w:r w:rsidRPr="00406AEC">
              <w:rPr>
                <w:rFonts w:ascii="Times New Roman" w:eastAsia="Times New Roman" w:hAnsi="Times New Roman" w:cs="Times New Roman"/>
                <w:color w:val="000000"/>
                <w:szCs w:val="22"/>
              </w:rPr>
              <w:t>placebocontrolled</w:t>
            </w:r>
            <w:proofErr w:type="spellEnd"/>
            <w:r w:rsidRPr="00406AEC">
              <w:rPr>
                <w:rFonts w:ascii="Times New Roman" w:eastAsia="Times New Roman" w:hAnsi="Times New Roman" w:cs="Times New Roman"/>
                <w:color w:val="000000"/>
                <w:szCs w:val="22"/>
              </w:rPr>
              <w:t xml:space="preserve">, phase-3 study. European journal of neurology 19 (87): </w:t>
            </w:r>
          </w:p>
        </w:tc>
      </w:tr>
      <w:tr w:rsidR="00406AEC" w:rsidRPr="00406AEC" w14:paraId="21BF59BD" w14:textId="77777777" w:rsidTr="00406AEC">
        <w:trPr>
          <w:trHeight w:val="300"/>
        </w:trPr>
        <w:tc>
          <w:tcPr>
            <w:tcW w:w="9360" w:type="dxa"/>
            <w:tcBorders>
              <w:top w:val="nil"/>
              <w:left w:val="nil"/>
              <w:bottom w:val="nil"/>
              <w:right w:val="nil"/>
            </w:tcBorders>
            <w:shd w:val="clear" w:color="auto" w:fill="auto"/>
            <w:noWrap/>
            <w:vAlign w:val="bottom"/>
            <w:hideMark/>
          </w:tcPr>
          <w:p w14:paraId="0540CB2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Hughes R, Francis G (2001) PRISMS-4: Long-term efficacy of interferon-beta-1a in relapsing MS. Neurology 56 (12): 1628-1636.</w:t>
            </w:r>
          </w:p>
        </w:tc>
      </w:tr>
      <w:tr w:rsidR="00406AEC" w:rsidRPr="00406AEC" w14:paraId="3A9881D8" w14:textId="77777777" w:rsidTr="00406AEC">
        <w:trPr>
          <w:trHeight w:val="300"/>
        </w:trPr>
        <w:tc>
          <w:tcPr>
            <w:tcW w:w="9360" w:type="dxa"/>
            <w:tcBorders>
              <w:top w:val="nil"/>
              <w:left w:val="nil"/>
              <w:bottom w:val="nil"/>
              <w:right w:val="nil"/>
            </w:tcBorders>
            <w:shd w:val="clear" w:color="auto" w:fill="auto"/>
            <w:noWrap/>
            <w:vAlign w:val="bottom"/>
            <w:hideMark/>
          </w:tcPr>
          <w:p w14:paraId="44E259B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Fox RJ, Miller D, Phillips JT, Kita M et al. (2012) Effect of BG-12 in subgroups of patients with relapsing-remitting multiple sclerosis: Findings from the CONFIRM (comparator and an oral fumarate in relapsing-remitting multiple sclerosis) study. European journal of neurology 19 (355): </w:t>
            </w:r>
          </w:p>
        </w:tc>
      </w:tr>
      <w:tr w:rsidR="00406AEC" w:rsidRPr="00406AEC" w14:paraId="08FB676F" w14:textId="77777777" w:rsidTr="00406AEC">
        <w:trPr>
          <w:trHeight w:val="300"/>
        </w:trPr>
        <w:tc>
          <w:tcPr>
            <w:tcW w:w="9360" w:type="dxa"/>
            <w:tcBorders>
              <w:top w:val="nil"/>
              <w:left w:val="nil"/>
              <w:bottom w:val="nil"/>
              <w:right w:val="nil"/>
            </w:tcBorders>
            <w:shd w:val="clear" w:color="auto" w:fill="auto"/>
            <w:noWrap/>
            <w:vAlign w:val="bottom"/>
            <w:hideMark/>
          </w:tcPr>
          <w:p w14:paraId="07BA166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Hutchinson M, Fox RJ, Miller DH, Phillips JT, Kita M et al. (2013) Clinical efficacy of BG-12 (dimethyl fumarate) in patients with relapsing-remitting multiple sclerosis: Subgroup analyses of the CONFIRM study. Journal of Neurology 260 (9): 2286-2296.</w:t>
            </w:r>
          </w:p>
        </w:tc>
      </w:tr>
      <w:tr w:rsidR="00406AEC" w:rsidRPr="00406AEC" w14:paraId="530B112F" w14:textId="77777777" w:rsidTr="00406AEC">
        <w:trPr>
          <w:trHeight w:val="300"/>
        </w:trPr>
        <w:tc>
          <w:tcPr>
            <w:tcW w:w="9360" w:type="dxa"/>
            <w:tcBorders>
              <w:top w:val="nil"/>
              <w:left w:val="nil"/>
              <w:bottom w:val="nil"/>
              <w:right w:val="nil"/>
            </w:tcBorders>
            <w:shd w:val="clear" w:color="auto" w:fill="auto"/>
            <w:noWrap/>
            <w:vAlign w:val="bottom"/>
            <w:hideMark/>
          </w:tcPr>
          <w:p w14:paraId="2FBBCF4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Fox RJ, Phillips JT, Miller DH,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Efficacy and safety of BG-12 (dimethyl fumarate) in relapsing-remitting multiple sclerosis in the phase 3 CONFIRM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(5): 683.</w:t>
            </w:r>
          </w:p>
        </w:tc>
      </w:tr>
      <w:tr w:rsidR="00406AEC" w:rsidRPr="00406AEC" w14:paraId="74F79EBC" w14:textId="77777777" w:rsidTr="00406AEC">
        <w:trPr>
          <w:trHeight w:val="300"/>
        </w:trPr>
        <w:tc>
          <w:tcPr>
            <w:tcW w:w="9360" w:type="dxa"/>
            <w:tcBorders>
              <w:top w:val="nil"/>
              <w:left w:val="nil"/>
              <w:bottom w:val="nil"/>
              <w:right w:val="nil"/>
            </w:tcBorders>
            <w:shd w:val="clear" w:color="auto" w:fill="auto"/>
            <w:noWrap/>
            <w:vAlign w:val="bottom"/>
            <w:hideMark/>
          </w:tcPr>
          <w:p w14:paraId="6A9F1BB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Hutchinson M, Kappos L, Calabresi PA,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Giovannoni G et al. (2009) The efficacy of natalizumab in patients with relapsing multiple sclerosis: Subgroup analyses of AFFIRM and SENTINEL. Journal of Neurology 256 (3): 405-415.</w:t>
            </w:r>
          </w:p>
        </w:tc>
      </w:tr>
      <w:tr w:rsidR="00406AEC" w:rsidRPr="00406AEC" w14:paraId="1D326FBC" w14:textId="77777777" w:rsidTr="00406AEC">
        <w:trPr>
          <w:trHeight w:val="300"/>
        </w:trPr>
        <w:tc>
          <w:tcPr>
            <w:tcW w:w="9360" w:type="dxa"/>
            <w:tcBorders>
              <w:top w:val="nil"/>
              <w:left w:val="nil"/>
              <w:bottom w:val="nil"/>
              <w:right w:val="nil"/>
            </w:tcBorders>
            <w:shd w:val="clear" w:color="auto" w:fill="auto"/>
            <w:noWrap/>
            <w:vAlign w:val="bottom"/>
            <w:hideMark/>
          </w:tcPr>
          <w:p w14:paraId="5A918F4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Hutchinson M, Zhang A, Yang M, Zhang R, Kurukulasuriya N et al. Clinical efficacy of delayed-release dimethyl fumarate in relapsing-remitting multiple sclerosis (RRMS) patients with highly active disease: An integrated analysis of the phase 3 define and confirm studies. Neurology 82 (10 SUPPL. 1): CONFERENCE START: 2014 Apr 2026 CONFERENCE END: 2014 May 2013.</w:t>
            </w:r>
          </w:p>
        </w:tc>
      </w:tr>
      <w:tr w:rsidR="00406AEC" w:rsidRPr="00406AEC" w14:paraId="07279F63" w14:textId="77777777" w:rsidTr="00406AEC">
        <w:trPr>
          <w:trHeight w:val="300"/>
        </w:trPr>
        <w:tc>
          <w:tcPr>
            <w:tcW w:w="9360" w:type="dxa"/>
            <w:tcBorders>
              <w:top w:val="nil"/>
              <w:left w:val="nil"/>
              <w:bottom w:val="nil"/>
              <w:right w:val="nil"/>
            </w:tcBorders>
            <w:shd w:val="clear" w:color="auto" w:fill="auto"/>
            <w:noWrap/>
            <w:vAlign w:val="bottom"/>
            <w:hideMark/>
          </w:tcPr>
          <w:p w14:paraId="32F54A1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Jacobs L, Rudick R, Simon J (2000) Extended observations on MS patients treated with IM interferon-beta1a (Avonex): implications for modern MS trials and therapeutics. Journal of Neuroimmunology 107 (2): 167-173.</w:t>
            </w:r>
          </w:p>
        </w:tc>
      </w:tr>
      <w:tr w:rsidR="00406AEC" w:rsidRPr="00406AEC" w14:paraId="07895888" w14:textId="77777777" w:rsidTr="00406AEC">
        <w:trPr>
          <w:trHeight w:val="300"/>
        </w:trPr>
        <w:tc>
          <w:tcPr>
            <w:tcW w:w="9360" w:type="dxa"/>
            <w:tcBorders>
              <w:top w:val="nil"/>
              <w:left w:val="nil"/>
              <w:bottom w:val="nil"/>
              <w:right w:val="nil"/>
            </w:tcBorders>
            <w:shd w:val="clear" w:color="auto" w:fill="auto"/>
            <w:noWrap/>
            <w:vAlign w:val="bottom"/>
            <w:hideMark/>
          </w:tcPr>
          <w:p w14:paraId="161A3C5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Rudick RA, Herndon RM, Richert JR et al. (1996) Intramuscular interferon beta-1a for disease progression in relapsing multiple sclerosis. The Multiple Sclerosis Collaborative Research Group (MSCRG). Annals of Neurology 39 (3): 285-294.</w:t>
            </w:r>
          </w:p>
        </w:tc>
      </w:tr>
      <w:tr w:rsidR="00406AEC" w:rsidRPr="00406AEC" w14:paraId="5874A636" w14:textId="77777777" w:rsidTr="00406AEC">
        <w:trPr>
          <w:trHeight w:val="300"/>
        </w:trPr>
        <w:tc>
          <w:tcPr>
            <w:tcW w:w="9360" w:type="dxa"/>
            <w:tcBorders>
              <w:top w:val="nil"/>
              <w:left w:val="nil"/>
              <w:bottom w:val="nil"/>
              <w:right w:val="nil"/>
            </w:tcBorders>
            <w:shd w:val="clear" w:color="auto" w:fill="auto"/>
            <w:noWrap/>
            <w:vAlign w:val="bottom"/>
            <w:hideMark/>
          </w:tcPr>
          <w:p w14:paraId="3B16101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Johnson KP, Brooks BR, Cohen JA, Ford CC, Goldstein J et al. (1998) Extended use of glatiramer acetate (Copaxone) is well tolerated and maintains its clinical effect on multiple sclerosis relapse rate and degree of disability. Neurology 50 (3): 701-708.</w:t>
            </w:r>
          </w:p>
        </w:tc>
      </w:tr>
      <w:tr w:rsidR="00406AEC" w:rsidRPr="00406AEC" w14:paraId="7BC384BB" w14:textId="77777777" w:rsidTr="00406AEC">
        <w:trPr>
          <w:trHeight w:val="300"/>
        </w:trPr>
        <w:tc>
          <w:tcPr>
            <w:tcW w:w="9360" w:type="dxa"/>
            <w:tcBorders>
              <w:top w:val="nil"/>
              <w:left w:val="nil"/>
              <w:bottom w:val="nil"/>
              <w:right w:val="nil"/>
            </w:tcBorders>
            <w:shd w:val="clear" w:color="auto" w:fill="auto"/>
            <w:noWrap/>
            <w:vAlign w:val="bottom"/>
            <w:hideMark/>
          </w:tcPr>
          <w:p w14:paraId="0E194D9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Johnson KP, Brooks BR, Cohen JA, Ford CC, Goldstein J et al. (1995) Copolymer 1 reduces relapse rate and improves disability in relapsing- remitting multiple sclerosis: Results </w:t>
            </w:r>
            <w:r w:rsidRPr="00406AEC">
              <w:rPr>
                <w:rFonts w:ascii="Times New Roman" w:eastAsia="Times New Roman" w:hAnsi="Times New Roman" w:cs="Times New Roman"/>
                <w:color w:val="000000"/>
                <w:szCs w:val="22"/>
              </w:rPr>
              <w:lastRenderedPageBreak/>
              <w:t>of a phase III multicenter, double- blind, placebo-controlled trial. Neurology 45 (7): 1268-1276.</w:t>
            </w:r>
          </w:p>
        </w:tc>
      </w:tr>
      <w:tr w:rsidR="00406AEC" w:rsidRPr="00406AEC" w14:paraId="0F05175C" w14:textId="77777777" w:rsidTr="00406AEC">
        <w:trPr>
          <w:trHeight w:val="300"/>
        </w:trPr>
        <w:tc>
          <w:tcPr>
            <w:tcW w:w="9360" w:type="dxa"/>
            <w:tcBorders>
              <w:top w:val="nil"/>
              <w:left w:val="nil"/>
              <w:bottom w:val="nil"/>
              <w:right w:val="nil"/>
            </w:tcBorders>
            <w:shd w:val="clear" w:color="auto" w:fill="auto"/>
            <w:noWrap/>
            <w:vAlign w:val="bottom"/>
            <w:hideMark/>
          </w:tcPr>
          <w:p w14:paraId="16C7EE1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Kappos L, Cohen J,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Khatri B, Hartung HP et al. (2015) Effect of fingolimod versus interferon-beta1a on neda-4 (no evidence of disease activity or worsening) in the transforms study. Journal of the Neurological Sciences 357 (31): </w:t>
            </w:r>
          </w:p>
        </w:tc>
      </w:tr>
      <w:tr w:rsidR="00406AEC" w:rsidRPr="00406AEC" w14:paraId="1BE7D96C" w14:textId="77777777" w:rsidTr="00406AEC">
        <w:trPr>
          <w:trHeight w:val="300"/>
        </w:trPr>
        <w:tc>
          <w:tcPr>
            <w:tcW w:w="9360" w:type="dxa"/>
            <w:tcBorders>
              <w:top w:val="nil"/>
              <w:left w:val="nil"/>
              <w:bottom w:val="nil"/>
              <w:right w:val="nil"/>
            </w:tcBorders>
            <w:shd w:val="clear" w:color="auto" w:fill="auto"/>
            <w:noWrap/>
            <w:vAlign w:val="bottom"/>
            <w:hideMark/>
          </w:tcPr>
          <w:p w14:paraId="515DF0B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Comi G,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Freedman MS, Miller AE et al. The efficacy and safety of teriflunomide in patients with relapsing MS: Results from TOWER, a phase III, </w:t>
            </w:r>
            <w:proofErr w:type="spellStart"/>
            <w:r w:rsidRPr="00406AEC">
              <w:rPr>
                <w:rFonts w:ascii="Times New Roman" w:eastAsia="Times New Roman" w:hAnsi="Times New Roman" w:cs="Times New Roman"/>
                <w:color w:val="000000"/>
                <w:szCs w:val="22"/>
              </w:rPr>
              <w:t>placebocontrolled</w:t>
            </w:r>
            <w:proofErr w:type="spellEnd"/>
            <w:r w:rsidRPr="00406AEC">
              <w:rPr>
                <w:rFonts w:ascii="Times New Roman" w:eastAsia="Times New Roman" w:hAnsi="Times New Roman" w:cs="Times New Roman"/>
                <w:color w:val="000000"/>
                <w:szCs w:val="22"/>
              </w:rPr>
              <w:t xml:space="preserv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50-51.</w:t>
            </w:r>
          </w:p>
        </w:tc>
      </w:tr>
      <w:tr w:rsidR="00406AEC" w:rsidRPr="00406AEC" w14:paraId="3BEBD635" w14:textId="77777777" w:rsidTr="00406AEC">
        <w:trPr>
          <w:trHeight w:val="300"/>
        </w:trPr>
        <w:tc>
          <w:tcPr>
            <w:tcW w:w="9360" w:type="dxa"/>
            <w:tcBorders>
              <w:top w:val="nil"/>
              <w:left w:val="nil"/>
              <w:bottom w:val="nil"/>
              <w:right w:val="nil"/>
            </w:tcBorders>
            <w:shd w:val="clear" w:color="auto" w:fill="auto"/>
            <w:noWrap/>
            <w:vAlign w:val="bottom"/>
            <w:hideMark/>
          </w:tcPr>
          <w:p w14:paraId="288CC84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Fox R, Gold R, Kita M, Phillips JT et al. Effect of delayed-release dimethyl fumarate on health-related quality of life in relapsing-remitting multiple sclerosis (RRMS) patients according to prior therapy: An integrated analysis of the phase 3 define and confirm studies. Neurology 82 (10 SUPPL. 1): CONFERENCE START: 2014 Apr 2026 CONFERENCE END: 2014 May 2013.</w:t>
            </w:r>
          </w:p>
        </w:tc>
      </w:tr>
      <w:tr w:rsidR="00406AEC" w:rsidRPr="00406AEC" w14:paraId="5C563EF7" w14:textId="77777777" w:rsidTr="00406AEC">
        <w:trPr>
          <w:trHeight w:val="300"/>
        </w:trPr>
        <w:tc>
          <w:tcPr>
            <w:tcW w:w="9360" w:type="dxa"/>
            <w:tcBorders>
              <w:top w:val="nil"/>
              <w:left w:val="nil"/>
              <w:bottom w:val="nil"/>
              <w:right w:val="nil"/>
            </w:tcBorders>
            <w:shd w:val="clear" w:color="auto" w:fill="auto"/>
            <w:noWrap/>
            <w:vAlign w:val="bottom"/>
            <w:hideMark/>
          </w:tcPr>
          <w:p w14:paraId="6185929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Gold R, Arnold D, Bar-Or A, Giovannoni G et al. BG-12 effects on patient-reported outcomes in </w:t>
            </w:r>
            <w:proofErr w:type="spellStart"/>
            <w:r w:rsidRPr="00406AEC">
              <w:rPr>
                <w:rFonts w:ascii="Times New Roman" w:eastAsia="Times New Roman" w:hAnsi="Times New Roman" w:cs="Times New Roman"/>
                <w:color w:val="000000"/>
                <w:szCs w:val="22"/>
              </w:rPr>
              <w:t>relapsingremitting</w:t>
            </w:r>
            <w:proofErr w:type="spellEnd"/>
            <w:r w:rsidRPr="00406AEC">
              <w:rPr>
                <w:rFonts w:ascii="Times New Roman" w:eastAsia="Times New Roman" w:hAnsi="Times New Roman" w:cs="Times New Roman"/>
                <w:color w:val="000000"/>
                <w:szCs w:val="22"/>
              </w:rPr>
              <w:t xml:space="preserve"> multiple sclerosis: Results from the DEFINE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S488-S489.</w:t>
            </w:r>
          </w:p>
        </w:tc>
      </w:tr>
      <w:tr w:rsidR="00406AEC" w:rsidRPr="00406AEC" w14:paraId="528772D2" w14:textId="77777777" w:rsidTr="00406AEC">
        <w:trPr>
          <w:trHeight w:val="300"/>
        </w:trPr>
        <w:tc>
          <w:tcPr>
            <w:tcW w:w="9360" w:type="dxa"/>
            <w:tcBorders>
              <w:top w:val="nil"/>
              <w:left w:val="nil"/>
              <w:bottom w:val="nil"/>
              <w:right w:val="nil"/>
            </w:tcBorders>
            <w:shd w:val="clear" w:color="auto" w:fill="auto"/>
            <w:noWrap/>
            <w:vAlign w:val="bottom"/>
            <w:hideMark/>
          </w:tcPr>
          <w:p w14:paraId="73BA70D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Gold R, Arnold DL, Bar-Or A, Giovannoni G et al. Effects of BG-12 on quality of life in relapsing-remitting multiple sclerosis: Findings from the phase 3 define study. Value in health 15 (7): A557.</w:t>
            </w:r>
          </w:p>
        </w:tc>
      </w:tr>
      <w:tr w:rsidR="00406AEC" w:rsidRPr="00406AEC" w14:paraId="67B79136" w14:textId="77777777" w:rsidTr="00406AEC">
        <w:trPr>
          <w:trHeight w:val="300"/>
        </w:trPr>
        <w:tc>
          <w:tcPr>
            <w:tcW w:w="9360" w:type="dxa"/>
            <w:tcBorders>
              <w:top w:val="nil"/>
              <w:left w:val="nil"/>
              <w:bottom w:val="nil"/>
              <w:right w:val="nil"/>
            </w:tcBorders>
            <w:shd w:val="clear" w:color="auto" w:fill="auto"/>
            <w:noWrap/>
            <w:vAlign w:val="bottom"/>
            <w:hideMark/>
          </w:tcPr>
          <w:p w14:paraId="314CBB3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Kappos L, Gold R, Arnold DL, Bar-Or A, Giovannoni G et al. (2014) Quality of life outcomes with BG-12 (dimethyl fumarate) in patients with relapsing-remitting multiple sclerosis: The DEFINE study. Multiple Sclerosis 20 (2): 243-252.</w:t>
            </w:r>
          </w:p>
        </w:tc>
      </w:tr>
      <w:tr w:rsidR="00406AEC" w:rsidRPr="00406AEC" w14:paraId="3345EDD0" w14:textId="77777777" w:rsidTr="00406AEC">
        <w:trPr>
          <w:trHeight w:val="300"/>
        </w:trPr>
        <w:tc>
          <w:tcPr>
            <w:tcW w:w="9360" w:type="dxa"/>
            <w:tcBorders>
              <w:top w:val="nil"/>
              <w:left w:val="nil"/>
              <w:bottom w:val="nil"/>
              <w:right w:val="nil"/>
            </w:tcBorders>
            <w:shd w:val="clear" w:color="auto" w:fill="auto"/>
            <w:noWrap/>
            <w:vAlign w:val="bottom"/>
            <w:hideMark/>
          </w:tcPr>
          <w:p w14:paraId="084AA91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Li D, Calabresi PA, O'Connor P, Bar-Or A et al. (2011) Ocrelizumab in relapsing-remitting multiple sclerosis: A phase 2,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placebo-controlled,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trial. The Lancet 378 (9805): 1779-1787.</w:t>
            </w:r>
          </w:p>
        </w:tc>
      </w:tr>
      <w:tr w:rsidR="00406AEC" w:rsidRPr="00406AEC" w14:paraId="363138AE" w14:textId="77777777" w:rsidTr="00406AEC">
        <w:trPr>
          <w:trHeight w:val="300"/>
        </w:trPr>
        <w:tc>
          <w:tcPr>
            <w:tcW w:w="9360" w:type="dxa"/>
            <w:tcBorders>
              <w:top w:val="nil"/>
              <w:left w:val="nil"/>
              <w:bottom w:val="nil"/>
              <w:right w:val="nil"/>
            </w:tcBorders>
            <w:shd w:val="clear" w:color="auto" w:fill="auto"/>
            <w:noWrap/>
            <w:vAlign w:val="bottom"/>
            <w:hideMark/>
          </w:tcPr>
          <w:p w14:paraId="1CC1143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Polman C,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Thompson A, Beckmann K et al. (2001) Final analysis of the European multicenter trial on IFNbeta-1b in secondary-progressive MS. Neurology 57 (11): 1969-1975.</w:t>
            </w:r>
          </w:p>
        </w:tc>
      </w:tr>
      <w:tr w:rsidR="00406AEC" w:rsidRPr="00406AEC" w14:paraId="680DB009" w14:textId="77777777" w:rsidTr="00406AEC">
        <w:trPr>
          <w:trHeight w:val="300"/>
        </w:trPr>
        <w:tc>
          <w:tcPr>
            <w:tcW w:w="9360" w:type="dxa"/>
            <w:tcBorders>
              <w:top w:val="nil"/>
              <w:left w:val="nil"/>
              <w:bottom w:val="nil"/>
              <w:right w:val="nil"/>
            </w:tcBorders>
            <w:shd w:val="clear" w:color="auto" w:fill="auto"/>
            <w:noWrap/>
            <w:vAlign w:val="bottom"/>
            <w:hideMark/>
          </w:tcPr>
          <w:p w14:paraId="1958359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Polman C,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Thompson A, Dahlke F (1998) Placebo-controlled </w:t>
            </w:r>
            <w:proofErr w:type="spellStart"/>
            <w:r w:rsidRPr="00406AEC">
              <w:rPr>
                <w:rFonts w:ascii="Times New Roman" w:eastAsia="Times New Roman" w:hAnsi="Times New Roman" w:cs="Times New Roman"/>
                <w:color w:val="000000"/>
                <w:szCs w:val="22"/>
              </w:rPr>
              <w:t>multicentre</w:t>
            </w:r>
            <w:proofErr w:type="spellEnd"/>
            <w:r w:rsidRPr="00406AEC">
              <w:rPr>
                <w:rFonts w:ascii="Times New Roman" w:eastAsia="Times New Roman" w:hAnsi="Times New Roman" w:cs="Times New Roman"/>
                <w:color w:val="000000"/>
                <w:szCs w:val="22"/>
              </w:rPr>
              <w:t xml:space="preserve">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trial of interferon beta-1b in treatment of secondary progressive multiple sclerosis. Lancet 352 (9139): 1491-1497.</w:t>
            </w:r>
          </w:p>
        </w:tc>
      </w:tr>
      <w:tr w:rsidR="00406AEC" w:rsidRPr="00406AEC" w14:paraId="29273316" w14:textId="77777777" w:rsidTr="00406AEC">
        <w:trPr>
          <w:trHeight w:val="300"/>
        </w:trPr>
        <w:tc>
          <w:tcPr>
            <w:tcW w:w="9360" w:type="dxa"/>
            <w:tcBorders>
              <w:top w:val="nil"/>
              <w:left w:val="nil"/>
              <w:bottom w:val="nil"/>
              <w:right w:val="nil"/>
            </w:tcBorders>
            <w:shd w:val="clear" w:color="auto" w:fill="auto"/>
            <w:noWrap/>
            <w:vAlign w:val="bottom"/>
            <w:hideMark/>
          </w:tcPr>
          <w:p w14:paraId="7027279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Radue EW, Sprenger T,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Freedman M et al. (2015) Effect of fingolimod on the revised, more comprehensive measure of no evidence of disease activity and worsening (NEDA-4) at 12 and 24 months. European journal of neurology 22 (477): </w:t>
            </w:r>
          </w:p>
        </w:tc>
      </w:tr>
      <w:tr w:rsidR="00406AEC" w:rsidRPr="00406AEC" w14:paraId="205B570E" w14:textId="77777777" w:rsidTr="00406AEC">
        <w:trPr>
          <w:trHeight w:val="300"/>
        </w:trPr>
        <w:tc>
          <w:tcPr>
            <w:tcW w:w="9360" w:type="dxa"/>
            <w:tcBorders>
              <w:top w:val="nil"/>
              <w:left w:val="nil"/>
              <w:bottom w:val="nil"/>
              <w:right w:val="nil"/>
            </w:tcBorders>
            <w:shd w:val="clear" w:color="auto" w:fill="auto"/>
            <w:noWrap/>
            <w:vAlign w:val="bottom"/>
            <w:hideMark/>
          </w:tcPr>
          <w:p w14:paraId="5FDF9B7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Kappos L, </w:t>
            </w:r>
            <w:proofErr w:type="spellStart"/>
            <w:r w:rsidRPr="00406AEC">
              <w:rPr>
                <w:rFonts w:ascii="Times New Roman" w:eastAsia="Times New Roman" w:hAnsi="Times New Roman" w:cs="Times New Roman"/>
                <w:color w:val="000000"/>
                <w:szCs w:val="22"/>
              </w:rPr>
              <w:t>Traboulsee</w:t>
            </w:r>
            <w:proofErr w:type="spellEnd"/>
            <w:r w:rsidRPr="00406AEC">
              <w:rPr>
                <w:rFonts w:ascii="Times New Roman" w:eastAsia="Times New Roman" w:hAnsi="Times New Roman" w:cs="Times New Roman"/>
                <w:color w:val="000000"/>
                <w:szCs w:val="22"/>
              </w:rPr>
              <w:t xml:space="preserve"> AL, Arnold DL, Bar-Or A, Hartung HP et al. (2016) Ocrelizumab no evidence of disease activity (NEDA) status at 96 weeks in patients with relapsing multiple sclerosis: analysis of the Phase III Double-blind, double-dummy, interferon beta-1a-controlled OPERA I and OPERA II Studies. Swiss medical weekly 146 </w:t>
            </w:r>
          </w:p>
        </w:tc>
      </w:tr>
      <w:tr w:rsidR="00406AEC" w:rsidRPr="00406AEC" w14:paraId="66F854B7" w14:textId="77777777" w:rsidTr="00406AEC">
        <w:trPr>
          <w:trHeight w:val="300"/>
        </w:trPr>
        <w:tc>
          <w:tcPr>
            <w:tcW w:w="9360" w:type="dxa"/>
            <w:tcBorders>
              <w:top w:val="nil"/>
              <w:left w:val="nil"/>
              <w:bottom w:val="nil"/>
              <w:right w:val="nil"/>
            </w:tcBorders>
            <w:shd w:val="clear" w:color="auto" w:fill="auto"/>
            <w:noWrap/>
            <w:vAlign w:val="bottom"/>
            <w:hideMark/>
          </w:tcPr>
          <w:p w14:paraId="6B278A7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Khatri B,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Comi G, Jin J, Francis G et al. Fingolimod treatment increases the proportion of patients who are free from disease activity in multiple sclerosis compared to IFN-B1A: Results from a phase 3, active-controlled study (TRANSFORMS). Neurology 78 (1 </w:t>
            </w:r>
            <w:r w:rsidRPr="00406AEC">
              <w:rPr>
                <w:rFonts w:ascii="Times New Roman" w:eastAsia="Times New Roman" w:hAnsi="Times New Roman" w:cs="Times New Roman"/>
                <w:color w:val="000000"/>
                <w:szCs w:val="22"/>
              </w:rPr>
              <w:lastRenderedPageBreak/>
              <w:t>Meeting Abstract): CONFERENCE START: 2012 Apr 2021 CONFERENCE END: 2012 Apr 2028.</w:t>
            </w:r>
          </w:p>
        </w:tc>
      </w:tr>
      <w:tr w:rsidR="00406AEC" w:rsidRPr="00406AEC" w14:paraId="5374BFE7" w14:textId="77777777" w:rsidTr="00406AEC">
        <w:trPr>
          <w:trHeight w:val="300"/>
        </w:trPr>
        <w:tc>
          <w:tcPr>
            <w:tcW w:w="9360" w:type="dxa"/>
            <w:tcBorders>
              <w:top w:val="nil"/>
              <w:left w:val="nil"/>
              <w:bottom w:val="nil"/>
              <w:right w:val="nil"/>
            </w:tcBorders>
            <w:shd w:val="clear" w:color="auto" w:fill="auto"/>
            <w:noWrap/>
            <w:vAlign w:val="bottom"/>
            <w:hideMark/>
          </w:tcPr>
          <w:p w14:paraId="5FD6EDF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Kieseier</w:t>
            </w:r>
            <w:proofErr w:type="spellEnd"/>
            <w:r w:rsidRPr="00406AEC">
              <w:rPr>
                <w:rFonts w:ascii="Times New Roman" w:eastAsia="Times New Roman" w:hAnsi="Times New Roman" w:cs="Times New Roman"/>
                <w:color w:val="000000"/>
                <w:szCs w:val="22"/>
              </w:rPr>
              <w:t xml:space="preserve"> B, Calabresi P, Liu S, Zhu Y, You X et al. Effect of peginterferon beta-1a on disability progression in patients with relapsing remitting multiple sclerosis: Year 1 data from the pivotal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223.</w:t>
            </w:r>
          </w:p>
        </w:tc>
      </w:tr>
      <w:tr w:rsidR="00406AEC" w:rsidRPr="00406AEC" w14:paraId="3EEA5FB8" w14:textId="77777777" w:rsidTr="00406AEC">
        <w:trPr>
          <w:trHeight w:val="300"/>
        </w:trPr>
        <w:tc>
          <w:tcPr>
            <w:tcW w:w="9360" w:type="dxa"/>
            <w:tcBorders>
              <w:top w:val="nil"/>
              <w:left w:val="nil"/>
              <w:bottom w:val="nil"/>
              <w:right w:val="nil"/>
            </w:tcBorders>
            <w:shd w:val="clear" w:color="auto" w:fill="auto"/>
            <w:noWrap/>
            <w:vAlign w:val="bottom"/>
            <w:hideMark/>
          </w:tcPr>
          <w:p w14:paraId="40F2D53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Calabresi P, Song T, Zhu Y, Hung S et al. Safety and tolerability of peginterferon beta-1a in patients with relapsing-remitting multiple sclerosis: Data from the pivotal phase 3 ADVANCE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19 (11 SUPPL. 1): 493.</w:t>
            </w:r>
          </w:p>
        </w:tc>
      </w:tr>
      <w:tr w:rsidR="00406AEC" w:rsidRPr="00406AEC" w14:paraId="47A9E262" w14:textId="77777777" w:rsidTr="00406AEC">
        <w:trPr>
          <w:trHeight w:val="300"/>
        </w:trPr>
        <w:tc>
          <w:tcPr>
            <w:tcW w:w="9360" w:type="dxa"/>
            <w:tcBorders>
              <w:top w:val="nil"/>
              <w:left w:val="nil"/>
              <w:bottom w:val="nil"/>
              <w:right w:val="nil"/>
            </w:tcBorders>
            <w:shd w:val="clear" w:color="auto" w:fill="auto"/>
            <w:noWrap/>
            <w:vAlign w:val="bottom"/>
            <w:hideMark/>
          </w:tcPr>
          <w:p w14:paraId="4066ED4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Kinter E,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Phillips G et al. (2014) Peginterferon beta-1a reduces the psychological impact of multiple sclerosis relapses: Results from the ADVANCE study. Journal of Neurology 261 (31): </w:t>
            </w:r>
          </w:p>
        </w:tc>
      </w:tr>
      <w:tr w:rsidR="00406AEC" w:rsidRPr="00406AEC" w14:paraId="5B239B87" w14:textId="77777777" w:rsidTr="00406AEC">
        <w:trPr>
          <w:trHeight w:val="300"/>
        </w:trPr>
        <w:tc>
          <w:tcPr>
            <w:tcW w:w="9360" w:type="dxa"/>
            <w:tcBorders>
              <w:top w:val="nil"/>
              <w:left w:val="nil"/>
              <w:bottom w:val="nil"/>
              <w:right w:val="nil"/>
            </w:tcBorders>
            <w:shd w:val="clear" w:color="auto" w:fill="auto"/>
            <w:noWrap/>
            <w:vAlign w:val="bottom"/>
            <w:hideMark/>
          </w:tcPr>
          <w:p w14:paraId="5B5EB3C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Kita M, Fox RJ, Phillips JT, Hutchinson M,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Effects of BG-12 on quality of life in patients with relapsing-remitting multiple sclerosis: Findings from the CONFIRM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254.</w:t>
            </w:r>
          </w:p>
        </w:tc>
      </w:tr>
      <w:tr w:rsidR="00406AEC" w:rsidRPr="00406AEC" w14:paraId="5FD60102" w14:textId="77777777" w:rsidTr="00406AEC">
        <w:trPr>
          <w:trHeight w:val="300"/>
        </w:trPr>
        <w:tc>
          <w:tcPr>
            <w:tcW w:w="9360" w:type="dxa"/>
            <w:tcBorders>
              <w:top w:val="nil"/>
              <w:left w:val="nil"/>
              <w:bottom w:val="nil"/>
              <w:right w:val="nil"/>
            </w:tcBorders>
            <w:shd w:val="clear" w:color="auto" w:fill="auto"/>
            <w:noWrap/>
            <w:vAlign w:val="bottom"/>
            <w:hideMark/>
          </w:tcPr>
          <w:p w14:paraId="001279C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Kita M, Fox RJ, Phillips JT, Hutchinson M,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et al. Effects of BG-12 on quality of life in relapsing-remitting multiple sclerosis: Findings from the phase 3 confirm study. Value in health 15 (7): A556.</w:t>
            </w:r>
          </w:p>
        </w:tc>
      </w:tr>
      <w:tr w:rsidR="00406AEC" w:rsidRPr="00406AEC" w14:paraId="62E347DB" w14:textId="77777777" w:rsidTr="00406AEC">
        <w:trPr>
          <w:trHeight w:val="300"/>
        </w:trPr>
        <w:tc>
          <w:tcPr>
            <w:tcW w:w="9360" w:type="dxa"/>
            <w:tcBorders>
              <w:top w:val="nil"/>
              <w:left w:val="nil"/>
              <w:bottom w:val="nil"/>
              <w:right w:val="nil"/>
            </w:tcBorders>
            <w:shd w:val="clear" w:color="auto" w:fill="auto"/>
            <w:noWrap/>
            <w:vAlign w:val="bottom"/>
            <w:hideMark/>
          </w:tcPr>
          <w:p w14:paraId="2FF19B6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Knobler RL, Greenstein JI, Johnson KP, Lublin FD, Panitch HS et al. (1993) Systemic recombinant human interferon-beta treatment of relapsing-remitting multiple sclerosis: Pilot study analysis and six-year follow-up. Journal of Interferon Research 13 (5): 333-340.</w:t>
            </w:r>
          </w:p>
        </w:tc>
      </w:tr>
      <w:tr w:rsidR="00406AEC" w:rsidRPr="00406AEC" w14:paraId="300BFE04" w14:textId="77777777" w:rsidTr="00406AEC">
        <w:trPr>
          <w:trHeight w:val="300"/>
        </w:trPr>
        <w:tc>
          <w:tcPr>
            <w:tcW w:w="9360" w:type="dxa"/>
            <w:tcBorders>
              <w:top w:val="nil"/>
              <w:left w:val="nil"/>
              <w:bottom w:val="nil"/>
              <w:right w:val="nil"/>
            </w:tcBorders>
            <w:shd w:val="clear" w:color="auto" w:fill="auto"/>
            <w:noWrap/>
            <w:vAlign w:val="bottom"/>
            <w:hideMark/>
          </w:tcPr>
          <w:p w14:paraId="4448986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Koch MW, Mostert J, </w:t>
            </w:r>
            <w:proofErr w:type="spellStart"/>
            <w:r w:rsidRPr="00406AEC">
              <w:rPr>
                <w:rFonts w:ascii="Times New Roman" w:eastAsia="Times New Roman" w:hAnsi="Times New Roman" w:cs="Times New Roman"/>
                <w:color w:val="000000"/>
                <w:szCs w:val="22"/>
              </w:rPr>
              <w:t>Repovic</w:t>
            </w:r>
            <w:proofErr w:type="spellEnd"/>
            <w:r w:rsidRPr="00406AEC">
              <w:rPr>
                <w:rFonts w:ascii="Times New Roman" w:eastAsia="Times New Roman" w:hAnsi="Times New Roman" w:cs="Times New Roman"/>
                <w:color w:val="000000"/>
                <w:szCs w:val="22"/>
              </w:rPr>
              <w:t xml:space="preserve"> P, Bowen JD, </w:t>
            </w:r>
            <w:proofErr w:type="spellStart"/>
            <w:r w:rsidRPr="00406AEC">
              <w:rPr>
                <w:rFonts w:ascii="Times New Roman" w:eastAsia="Times New Roman" w:hAnsi="Times New Roman" w:cs="Times New Roman"/>
                <w:color w:val="000000"/>
                <w:szCs w:val="22"/>
              </w:rPr>
              <w:t>Uitdehaag</w:t>
            </w:r>
            <w:proofErr w:type="spellEnd"/>
            <w:r w:rsidRPr="00406AEC">
              <w:rPr>
                <w:rFonts w:ascii="Times New Roman" w:eastAsia="Times New Roman" w:hAnsi="Times New Roman" w:cs="Times New Roman"/>
                <w:color w:val="000000"/>
                <w:szCs w:val="22"/>
              </w:rPr>
              <w:t xml:space="preserve"> B et al. (2021) Is the Symbol Digit Modalities Test a useful outcome in secondary progressive multiple sclerosis? European journal of neurology 28 (6): 2115-2120.</w:t>
            </w:r>
          </w:p>
        </w:tc>
      </w:tr>
      <w:tr w:rsidR="00406AEC" w:rsidRPr="00406AEC" w14:paraId="7F7F77A5" w14:textId="77777777" w:rsidTr="00406AEC">
        <w:trPr>
          <w:trHeight w:val="300"/>
        </w:trPr>
        <w:tc>
          <w:tcPr>
            <w:tcW w:w="9360" w:type="dxa"/>
            <w:tcBorders>
              <w:top w:val="nil"/>
              <w:left w:val="nil"/>
              <w:bottom w:val="nil"/>
              <w:right w:val="nil"/>
            </w:tcBorders>
            <w:shd w:val="clear" w:color="auto" w:fill="auto"/>
            <w:noWrap/>
            <w:vAlign w:val="bottom"/>
            <w:hideMark/>
          </w:tcPr>
          <w:p w14:paraId="571C9B5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O'Connor P, Hohlfeld R, Zhang-Auberson L, Von Rosenstiel P et al. (2014) Impact of prior treatment status and reasons for discontinuation on the efficacy and safety of fingolimod: Subgroup analyses of the Fingolimod Research Evaluating Effects of Daily Oral Therapy in Multiple Sclerosis (FREEDOMS) study. Multiple Sclerosis and Related Disorders 3 (3): 341-349.</w:t>
            </w:r>
          </w:p>
        </w:tc>
      </w:tr>
      <w:tr w:rsidR="00406AEC" w:rsidRPr="00406AEC" w14:paraId="10132109" w14:textId="77777777" w:rsidTr="00406AEC">
        <w:trPr>
          <w:trHeight w:val="300"/>
        </w:trPr>
        <w:tc>
          <w:tcPr>
            <w:tcW w:w="9360" w:type="dxa"/>
            <w:tcBorders>
              <w:top w:val="nil"/>
              <w:left w:val="nil"/>
              <w:bottom w:val="nil"/>
              <w:right w:val="nil"/>
            </w:tcBorders>
            <w:shd w:val="clear" w:color="auto" w:fill="auto"/>
            <w:noWrap/>
            <w:vAlign w:val="bottom"/>
            <w:hideMark/>
          </w:tcPr>
          <w:p w14:paraId="581DF37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Kremenchutzky</w:t>
            </w:r>
            <w:proofErr w:type="spellEnd"/>
            <w:r w:rsidRPr="00406AEC">
              <w:rPr>
                <w:rFonts w:ascii="Times New Roman" w:eastAsia="Times New Roman" w:hAnsi="Times New Roman" w:cs="Times New Roman"/>
                <w:color w:val="000000"/>
                <w:szCs w:val="22"/>
              </w:rPr>
              <w:t xml:space="preserve"> M, O'Connor PW, Wolinsky 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et al. (2012) More MS patients remain free from disease activity with teriflunomide versus placebo in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a phase III trial. Annals of Neurology 72 (7): </w:t>
            </w:r>
          </w:p>
        </w:tc>
      </w:tr>
      <w:tr w:rsidR="00406AEC" w:rsidRPr="00406AEC" w14:paraId="657E72C0" w14:textId="77777777" w:rsidTr="00406AEC">
        <w:trPr>
          <w:trHeight w:val="300"/>
        </w:trPr>
        <w:tc>
          <w:tcPr>
            <w:tcW w:w="9360" w:type="dxa"/>
            <w:tcBorders>
              <w:top w:val="nil"/>
              <w:left w:val="nil"/>
              <w:bottom w:val="nil"/>
              <w:right w:val="nil"/>
            </w:tcBorders>
            <w:shd w:val="clear" w:color="auto" w:fill="auto"/>
            <w:noWrap/>
            <w:vAlign w:val="bottom"/>
            <w:hideMark/>
          </w:tcPr>
          <w:p w14:paraId="48E71E3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LaGanke</w:t>
            </w:r>
            <w:proofErr w:type="spellEnd"/>
            <w:r w:rsidRPr="00406AEC">
              <w:rPr>
                <w:rFonts w:ascii="Times New Roman" w:eastAsia="Times New Roman" w:hAnsi="Times New Roman" w:cs="Times New Roman"/>
                <w:color w:val="000000"/>
                <w:szCs w:val="22"/>
              </w:rPr>
              <w:t xml:space="preserve"> C, Arnold D, Cohen J, Coles A,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Adverse event profile of alemtuzumab over time in active relapsing-remitting multiple sclerosis patients who experienced disease activity while on prior therapy (CARE-MS II).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431C2BB0" w14:textId="77777777" w:rsidTr="00406AEC">
        <w:trPr>
          <w:trHeight w:val="300"/>
        </w:trPr>
        <w:tc>
          <w:tcPr>
            <w:tcW w:w="9360" w:type="dxa"/>
            <w:tcBorders>
              <w:top w:val="nil"/>
              <w:left w:val="nil"/>
              <w:bottom w:val="nil"/>
              <w:right w:val="nil"/>
            </w:tcBorders>
            <w:shd w:val="clear" w:color="auto" w:fill="auto"/>
            <w:noWrap/>
            <w:vAlign w:val="bottom"/>
            <w:hideMark/>
          </w:tcPr>
          <w:p w14:paraId="3F0522F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Langdon D, Penner IK, Calabrese P, Cutter G, Haring D et al. (2016) Fingolimod effects on PASAT scores in RRMS and relation of patient characteristics to PASAT. European journal of neurology Conference: 2nd congress of the </w:t>
            </w:r>
            <w:proofErr w:type="spellStart"/>
            <w:r w:rsidRPr="00406AEC">
              <w:rPr>
                <w:rFonts w:ascii="Times New Roman" w:eastAsia="Times New Roman" w:hAnsi="Times New Roman" w:cs="Times New Roman"/>
                <w:color w:val="000000"/>
                <w:szCs w:val="22"/>
              </w:rPr>
              <w:t>european</w:t>
            </w:r>
            <w:proofErr w:type="spellEnd"/>
            <w:r w:rsidRPr="00406AEC">
              <w:rPr>
                <w:rFonts w:ascii="Times New Roman" w:eastAsia="Times New Roman" w:hAnsi="Times New Roman" w:cs="Times New Roman"/>
                <w:color w:val="000000"/>
                <w:szCs w:val="22"/>
              </w:rPr>
              <w:t xml:space="preserve"> academy of neurology Copenhagen </w:t>
            </w:r>
            <w:proofErr w:type="spellStart"/>
            <w:r w:rsidRPr="00406AEC">
              <w:rPr>
                <w:rFonts w:ascii="Times New Roman" w:eastAsia="Times New Roman" w:hAnsi="Times New Roman" w:cs="Times New Roman"/>
                <w:color w:val="000000"/>
                <w:szCs w:val="22"/>
              </w:rPr>
              <w:t>denmark</w:t>
            </w:r>
            <w:proofErr w:type="spellEnd"/>
            <w:r w:rsidRPr="00406AEC">
              <w:rPr>
                <w:rFonts w:ascii="Times New Roman" w:eastAsia="Times New Roman" w:hAnsi="Times New Roman" w:cs="Times New Roman"/>
                <w:color w:val="000000"/>
                <w:szCs w:val="22"/>
              </w:rPr>
              <w:t xml:space="preserve"> Conference start 23 414-415.</w:t>
            </w:r>
          </w:p>
        </w:tc>
      </w:tr>
      <w:tr w:rsidR="00406AEC" w:rsidRPr="00406AEC" w14:paraId="5A479849" w14:textId="77777777" w:rsidTr="00406AEC">
        <w:trPr>
          <w:trHeight w:val="300"/>
        </w:trPr>
        <w:tc>
          <w:tcPr>
            <w:tcW w:w="9360" w:type="dxa"/>
            <w:tcBorders>
              <w:top w:val="nil"/>
              <w:left w:val="nil"/>
              <w:bottom w:val="nil"/>
              <w:right w:val="nil"/>
            </w:tcBorders>
            <w:shd w:val="clear" w:color="auto" w:fill="auto"/>
            <w:noWrap/>
            <w:vAlign w:val="bottom"/>
            <w:hideMark/>
          </w:tcPr>
          <w:p w14:paraId="2AC4C85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Lublin F, Cofield S, Cutter G, Salter A, Wang J et al. </w:t>
            </w:r>
            <w:proofErr w:type="spellStart"/>
            <w:r w:rsidRPr="00406AEC">
              <w:rPr>
                <w:rFonts w:ascii="Times New Roman" w:eastAsia="Times New Roman" w:hAnsi="Times New Roman" w:cs="Times New Roman"/>
                <w:color w:val="000000"/>
                <w:szCs w:val="22"/>
              </w:rPr>
              <w:t>Edss</w:t>
            </w:r>
            <w:proofErr w:type="spellEnd"/>
            <w:r w:rsidRPr="00406AEC">
              <w:rPr>
                <w:rFonts w:ascii="Times New Roman" w:eastAsia="Times New Roman" w:hAnsi="Times New Roman" w:cs="Times New Roman"/>
                <w:color w:val="000000"/>
                <w:szCs w:val="22"/>
              </w:rPr>
              <w:t xml:space="preserve"> changes in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Blinded, 7-year extension results for progression and improvement.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231D5315" w14:textId="77777777" w:rsidTr="00406AEC">
        <w:trPr>
          <w:trHeight w:val="300"/>
        </w:trPr>
        <w:tc>
          <w:tcPr>
            <w:tcW w:w="9360" w:type="dxa"/>
            <w:tcBorders>
              <w:top w:val="nil"/>
              <w:left w:val="nil"/>
              <w:bottom w:val="nil"/>
              <w:right w:val="nil"/>
            </w:tcBorders>
            <w:shd w:val="clear" w:color="auto" w:fill="auto"/>
            <w:noWrap/>
            <w:vAlign w:val="bottom"/>
            <w:hideMark/>
          </w:tcPr>
          <w:p w14:paraId="07AA161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Lublin F, Cofield S, Cutter G, Salter A, Wang J et al. Relapse activity in the </w:t>
            </w:r>
            <w:proofErr w:type="spellStart"/>
            <w:r w:rsidRPr="00406AEC">
              <w:rPr>
                <w:rFonts w:ascii="Times New Roman" w:eastAsia="Times New Roman" w:hAnsi="Times New Roman" w:cs="Times New Roman"/>
                <w:color w:val="000000"/>
                <w:szCs w:val="22"/>
              </w:rPr>
              <w:t>combirx</w:t>
            </w:r>
            <w:proofErr w:type="spellEnd"/>
            <w:r w:rsidRPr="00406AEC">
              <w:rPr>
                <w:rFonts w:ascii="Times New Roman" w:eastAsia="Times New Roman" w:hAnsi="Times New Roman" w:cs="Times New Roman"/>
                <w:color w:val="000000"/>
                <w:szCs w:val="22"/>
              </w:rPr>
              <w:t xml:space="preserve"> trial: Blinded, 7-year extension results.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73918CB9" w14:textId="77777777" w:rsidTr="00406AEC">
        <w:trPr>
          <w:trHeight w:val="300"/>
        </w:trPr>
        <w:tc>
          <w:tcPr>
            <w:tcW w:w="9360" w:type="dxa"/>
            <w:tcBorders>
              <w:top w:val="nil"/>
              <w:left w:val="nil"/>
              <w:bottom w:val="nil"/>
              <w:right w:val="nil"/>
            </w:tcBorders>
            <w:shd w:val="clear" w:color="auto" w:fill="auto"/>
            <w:noWrap/>
            <w:vAlign w:val="bottom"/>
            <w:hideMark/>
          </w:tcPr>
          <w:p w14:paraId="37091C5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Lublin FD, Cutter G, Giovannoni G, Pace A, Campbell NR et al. (2014) Natalizumab reduces relapse clinical severity and improves relapse recovery in MS. Multiple Sclerosis and Related Disorders 3 (6): 705-711.</w:t>
            </w:r>
          </w:p>
        </w:tc>
      </w:tr>
      <w:tr w:rsidR="00406AEC" w:rsidRPr="00406AEC" w14:paraId="271270B9" w14:textId="77777777" w:rsidTr="00406AEC">
        <w:trPr>
          <w:trHeight w:val="300"/>
        </w:trPr>
        <w:tc>
          <w:tcPr>
            <w:tcW w:w="9360" w:type="dxa"/>
            <w:tcBorders>
              <w:top w:val="nil"/>
              <w:left w:val="nil"/>
              <w:bottom w:val="nil"/>
              <w:right w:val="nil"/>
            </w:tcBorders>
            <w:shd w:val="clear" w:color="auto" w:fill="auto"/>
            <w:noWrap/>
            <w:vAlign w:val="bottom"/>
            <w:hideMark/>
          </w:tcPr>
          <w:p w14:paraId="31D081D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Lycke J, Arnold DL, Cohen JA, Coles AJ,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(2013) Adverse event profile of alemtuzumab over time in treatment-naive patients with early, active relapsing-remitting multiple sclerosis (RRMS; CARE-MS I study). Journal of the Neurological Sciences 333 (21): </w:t>
            </w:r>
          </w:p>
        </w:tc>
      </w:tr>
      <w:tr w:rsidR="00406AEC" w:rsidRPr="00406AEC" w14:paraId="55443D82" w14:textId="77777777" w:rsidTr="00406AEC">
        <w:trPr>
          <w:trHeight w:val="300"/>
        </w:trPr>
        <w:tc>
          <w:tcPr>
            <w:tcW w:w="9360" w:type="dxa"/>
            <w:tcBorders>
              <w:top w:val="nil"/>
              <w:left w:val="nil"/>
              <w:bottom w:val="nil"/>
              <w:right w:val="nil"/>
            </w:tcBorders>
            <w:shd w:val="clear" w:color="auto" w:fill="auto"/>
            <w:noWrap/>
            <w:vAlign w:val="bottom"/>
            <w:hideMark/>
          </w:tcPr>
          <w:p w14:paraId="097B2B9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Macdonell R, Stangel M, Maurer M, </w:t>
            </w:r>
            <w:proofErr w:type="spellStart"/>
            <w:r w:rsidRPr="00406AEC">
              <w:rPr>
                <w:rFonts w:ascii="Times New Roman" w:eastAsia="Times New Roman" w:hAnsi="Times New Roman" w:cs="Times New Roman"/>
                <w:color w:val="000000"/>
                <w:szCs w:val="22"/>
              </w:rPr>
              <w:t>Dukovic</w:t>
            </w:r>
            <w:proofErr w:type="spellEnd"/>
            <w:r w:rsidRPr="00406AEC">
              <w:rPr>
                <w:rFonts w:ascii="Times New Roman" w:eastAsia="Times New Roman" w:hAnsi="Times New Roman" w:cs="Times New Roman"/>
                <w:color w:val="000000"/>
                <w:szCs w:val="22"/>
              </w:rPr>
              <w:t xml:space="preserve"> D,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et al. (2015) Teriflunomide shows consistent clinical efficacy on severe relapses across two phase 3 trials in patients with relapsing forms of multiple sclerosis, </w:t>
            </w:r>
            <w:proofErr w:type="spellStart"/>
            <w:r w:rsidRPr="00406AEC">
              <w:rPr>
                <w:rFonts w:ascii="Times New Roman" w:eastAsia="Times New Roman" w:hAnsi="Times New Roman" w:cs="Times New Roman"/>
                <w:color w:val="000000"/>
                <w:szCs w:val="22"/>
              </w:rPr>
              <w:t>temso</w:t>
            </w:r>
            <w:proofErr w:type="spellEnd"/>
            <w:r w:rsidRPr="00406AEC">
              <w:rPr>
                <w:rFonts w:ascii="Times New Roman" w:eastAsia="Times New Roman" w:hAnsi="Times New Roman" w:cs="Times New Roman"/>
                <w:color w:val="000000"/>
                <w:szCs w:val="22"/>
              </w:rPr>
              <w:t xml:space="preserve"> and tower. Neurology 84 (18): </w:t>
            </w:r>
          </w:p>
        </w:tc>
      </w:tr>
      <w:tr w:rsidR="00406AEC" w:rsidRPr="00406AEC" w14:paraId="1C8CDB5F" w14:textId="77777777" w:rsidTr="00406AEC">
        <w:trPr>
          <w:trHeight w:val="300"/>
        </w:trPr>
        <w:tc>
          <w:tcPr>
            <w:tcW w:w="9360" w:type="dxa"/>
            <w:tcBorders>
              <w:top w:val="nil"/>
              <w:left w:val="nil"/>
              <w:bottom w:val="nil"/>
              <w:right w:val="nil"/>
            </w:tcBorders>
            <w:shd w:val="clear" w:color="auto" w:fill="auto"/>
            <w:noWrap/>
            <w:vAlign w:val="bottom"/>
            <w:hideMark/>
          </w:tcPr>
          <w:p w14:paraId="35F8958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Margolin D, </w:t>
            </w:r>
            <w:proofErr w:type="spellStart"/>
            <w:r w:rsidRPr="00406AEC">
              <w:rPr>
                <w:rFonts w:ascii="Times New Roman" w:eastAsia="Times New Roman" w:hAnsi="Times New Roman" w:cs="Times New Roman"/>
                <w:color w:val="000000"/>
                <w:szCs w:val="22"/>
              </w:rPr>
              <w:t>Kieseier</w:t>
            </w:r>
            <w:proofErr w:type="spellEnd"/>
            <w:r w:rsidRPr="00406AEC">
              <w:rPr>
                <w:rFonts w:ascii="Times New Roman" w:eastAsia="Times New Roman" w:hAnsi="Times New Roman" w:cs="Times New Roman"/>
                <w:color w:val="000000"/>
                <w:szCs w:val="22"/>
              </w:rPr>
              <w:t xml:space="preserve"> B, Palmer J,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Alemtuzumab has similar efficacy and safety in active relapsing-remitting multiple sclerosis (RRMS) patients who were treatment-naive or who relapsed on prior therapy. Neurology 82 (10 SUPPL. 1): CONFERENCE START: 2014 Apr 2026 CONFERENCE END: 2014 May 2013.</w:t>
            </w:r>
          </w:p>
        </w:tc>
      </w:tr>
      <w:tr w:rsidR="00406AEC" w:rsidRPr="00406AEC" w14:paraId="42D60966" w14:textId="77777777" w:rsidTr="00406AEC">
        <w:trPr>
          <w:trHeight w:val="300"/>
        </w:trPr>
        <w:tc>
          <w:tcPr>
            <w:tcW w:w="9360" w:type="dxa"/>
            <w:tcBorders>
              <w:top w:val="nil"/>
              <w:left w:val="nil"/>
              <w:bottom w:val="nil"/>
              <w:right w:val="nil"/>
            </w:tcBorders>
            <w:shd w:val="clear" w:color="auto" w:fill="auto"/>
            <w:noWrap/>
            <w:vAlign w:val="bottom"/>
            <w:hideMark/>
          </w:tcPr>
          <w:p w14:paraId="62C88CF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AE, Macdonell R, Comi G, Freedman MS, Kappos L et al. (2014) Teriflunomide reduces relapses with sequelae and relapses leading to hospitalizations: results from the TOWER study. Journal of Neurology 28 </w:t>
            </w:r>
          </w:p>
        </w:tc>
      </w:tr>
      <w:tr w:rsidR="00406AEC" w:rsidRPr="00406AEC" w14:paraId="5692F475" w14:textId="77777777" w:rsidTr="00406AEC">
        <w:trPr>
          <w:trHeight w:val="300"/>
        </w:trPr>
        <w:tc>
          <w:tcPr>
            <w:tcW w:w="9360" w:type="dxa"/>
            <w:tcBorders>
              <w:top w:val="nil"/>
              <w:left w:val="nil"/>
              <w:bottom w:val="nil"/>
              <w:right w:val="nil"/>
            </w:tcBorders>
            <w:shd w:val="clear" w:color="auto" w:fill="auto"/>
            <w:noWrap/>
            <w:vAlign w:val="bottom"/>
            <w:hideMark/>
          </w:tcPr>
          <w:p w14:paraId="2833641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Miller AE, O'Connor P, Wolinsky JS,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Kappos L et al. (2012) Pre-specified subgroup analyses of a placebo-controlled phase III trial (TEMSO) of oral teriflunomide in relapsing multiple sclerosis. Multiple Sclerosis 18 (11): 1625-1632.</w:t>
            </w:r>
          </w:p>
        </w:tc>
      </w:tr>
      <w:tr w:rsidR="00406AEC" w:rsidRPr="00406AEC" w14:paraId="7DE430BA" w14:textId="77777777" w:rsidTr="00406AEC">
        <w:trPr>
          <w:trHeight w:val="300"/>
        </w:trPr>
        <w:tc>
          <w:tcPr>
            <w:tcW w:w="9360" w:type="dxa"/>
            <w:tcBorders>
              <w:top w:val="nil"/>
              <w:left w:val="nil"/>
              <w:bottom w:val="nil"/>
              <w:right w:val="nil"/>
            </w:tcBorders>
            <w:shd w:val="clear" w:color="auto" w:fill="auto"/>
            <w:noWrap/>
            <w:vAlign w:val="bottom"/>
            <w:hideMark/>
          </w:tcPr>
          <w:p w14:paraId="5EB9184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Miller DM, Weinstock-Guttman B, Bourdette D, You X, Foulds P et al. (2011) Change in quality of life in patients with relapsing-remitting multiple sclerosis over 2 years in relation to other clinical parameters: Results from a trial of intramuscular interferon beta-1a. Multiple sclerosis journal 17 (6): 734-742.</w:t>
            </w:r>
          </w:p>
        </w:tc>
      </w:tr>
      <w:tr w:rsidR="00406AEC" w:rsidRPr="00406AEC" w14:paraId="2B85FBC8" w14:textId="77777777" w:rsidTr="00406AEC">
        <w:trPr>
          <w:trHeight w:val="300"/>
        </w:trPr>
        <w:tc>
          <w:tcPr>
            <w:tcW w:w="9360" w:type="dxa"/>
            <w:tcBorders>
              <w:top w:val="nil"/>
              <w:left w:val="nil"/>
              <w:bottom w:val="nil"/>
              <w:right w:val="nil"/>
            </w:tcBorders>
            <w:shd w:val="clear" w:color="auto" w:fill="auto"/>
            <w:noWrap/>
            <w:vAlign w:val="bottom"/>
            <w:hideMark/>
          </w:tcPr>
          <w:p w14:paraId="362E5BD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Mokhber</w:t>
            </w:r>
            <w:proofErr w:type="spellEnd"/>
            <w:r w:rsidRPr="00406AEC">
              <w:rPr>
                <w:rFonts w:ascii="Times New Roman" w:eastAsia="Times New Roman" w:hAnsi="Times New Roman" w:cs="Times New Roman"/>
                <w:color w:val="000000"/>
                <w:szCs w:val="22"/>
              </w:rPr>
              <w:t xml:space="preserve"> N, </w:t>
            </w:r>
            <w:proofErr w:type="spellStart"/>
            <w:r w:rsidRPr="00406AEC">
              <w:rPr>
                <w:rFonts w:ascii="Times New Roman" w:eastAsia="Times New Roman" w:hAnsi="Times New Roman" w:cs="Times New Roman"/>
                <w:color w:val="000000"/>
                <w:szCs w:val="22"/>
              </w:rPr>
              <w:t>Azarpazhooh</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Orouji</w:t>
            </w:r>
            <w:proofErr w:type="spellEnd"/>
            <w:r w:rsidRPr="00406AEC">
              <w:rPr>
                <w:rFonts w:ascii="Times New Roman" w:eastAsia="Times New Roman" w:hAnsi="Times New Roman" w:cs="Times New Roman"/>
                <w:color w:val="000000"/>
                <w:szCs w:val="22"/>
              </w:rPr>
              <w:t xml:space="preserve"> E, Khorram B, </w:t>
            </w:r>
            <w:proofErr w:type="spellStart"/>
            <w:r w:rsidRPr="00406AEC">
              <w:rPr>
                <w:rFonts w:ascii="Times New Roman" w:eastAsia="Times New Roman" w:hAnsi="Times New Roman" w:cs="Times New Roman"/>
                <w:color w:val="000000"/>
                <w:szCs w:val="22"/>
              </w:rPr>
              <w:t>Modares</w:t>
            </w:r>
            <w:proofErr w:type="spellEnd"/>
            <w:r w:rsidRPr="00406AEC">
              <w:rPr>
                <w:rFonts w:ascii="Times New Roman" w:eastAsia="Times New Roman" w:hAnsi="Times New Roman" w:cs="Times New Roman"/>
                <w:color w:val="000000"/>
                <w:szCs w:val="22"/>
              </w:rPr>
              <w:t xml:space="preserve"> Gharavi M et al. (2015) Therapeutic effect of Avonex, Rebif and </w:t>
            </w:r>
            <w:proofErr w:type="spellStart"/>
            <w:r w:rsidRPr="00406AEC">
              <w:rPr>
                <w:rFonts w:ascii="Times New Roman" w:eastAsia="Times New Roman" w:hAnsi="Times New Roman" w:cs="Times New Roman"/>
                <w:color w:val="000000"/>
                <w:szCs w:val="22"/>
              </w:rPr>
              <w:t>Betaferon</w:t>
            </w:r>
            <w:proofErr w:type="spellEnd"/>
            <w:r w:rsidRPr="00406AEC">
              <w:rPr>
                <w:rFonts w:ascii="Times New Roman" w:eastAsia="Times New Roman" w:hAnsi="Times New Roman" w:cs="Times New Roman"/>
                <w:color w:val="000000"/>
                <w:szCs w:val="22"/>
              </w:rPr>
              <w:t xml:space="preserve"> on quality of life in multiple sclerosis. Psychiatry and Clinical Neurosciences 69 (10): 649-657.</w:t>
            </w:r>
          </w:p>
        </w:tc>
      </w:tr>
      <w:tr w:rsidR="00406AEC" w:rsidRPr="00406AEC" w14:paraId="2E97EB1D" w14:textId="77777777" w:rsidTr="00406AEC">
        <w:trPr>
          <w:trHeight w:val="300"/>
        </w:trPr>
        <w:tc>
          <w:tcPr>
            <w:tcW w:w="9360" w:type="dxa"/>
            <w:tcBorders>
              <w:top w:val="nil"/>
              <w:left w:val="nil"/>
              <w:bottom w:val="nil"/>
              <w:right w:val="nil"/>
            </w:tcBorders>
            <w:shd w:val="clear" w:color="auto" w:fill="auto"/>
            <w:noWrap/>
            <w:vAlign w:val="bottom"/>
            <w:hideMark/>
          </w:tcPr>
          <w:p w14:paraId="4E18F5B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Mokhber</w:t>
            </w:r>
            <w:proofErr w:type="spellEnd"/>
            <w:r w:rsidRPr="00406AEC">
              <w:rPr>
                <w:rFonts w:ascii="Times New Roman" w:eastAsia="Times New Roman" w:hAnsi="Times New Roman" w:cs="Times New Roman"/>
                <w:color w:val="000000"/>
                <w:szCs w:val="22"/>
              </w:rPr>
              <w:t xml:space="preserve"> N, </w:t>
            </w:r>
            <w:proofErr w:type="spellStart"/>
            <w:r w:rsidRPr="00406AEC">
              <w:rPr>
                <w:rFonts w:ascii="Times New Roman" w:eastAsia="Times New Roman" w:hAnsi="Times New Roman" w:cs="Times New Roman"/>
                <w:color w:val="000000"/>
                <w:szCs w:val="22"/>
              </w:rPr>
              <w:t>Azarpazhooh</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Orouji</w:t>
            </w:r>
            <w:proofErr w:type="spellEnd"/>
            <w:r w:rsidRPr="00406AEC">
              <w:rPr>
                <w:rFonts w:ascii="Times New Roman" w:eastAsia="Times New Roman" w:hAnsi="Times New Roman" w:cs="Times New Roman"/>
                <w:color w:val="000000"/>
                <w:szCs w:val="22"/>
              </w:rPr>
              <w:t xml:space="preserve"> E, Rao SM, Khorram B et al. (2014) Cognitive dysfunction in patients with multiple sclerosis treated with different types of interferon beta: A randomized clinical trial. Journal of the Neurological Sciences 342 (1-2): 16-20.</w:t>
            </w:r>
          </w:p>
        </w:tc>
      </w:tr>
      <w:tr w:rsidR="00406AEC" w:rsidRPr="00406AEC" w14:paraId="0FB54B40" w14:textId="77777777" w:rsidTr="00406AEC">
        <w:trPr>
          <w:trHeight w:val="300"/>
        </w:trPr>
        <w:tc>
          <w:tcPr>
            <w:tcW w:w="9360" w:type="dxa"/>
            <w:tcBorders>
              <w:top w:val="nil"/>
              <w:left w:val="nil"/>
              <w:bottom w:val="nil"/>
              <w:right w:val="nil"/>
            </w:tcBorders>
            <w:shd w:val="clear" w:color="auto" w:fill="auto"/>
            <w:noWrap/>
            <w:vAlign w:val="bottom"/>
            <w:hideMark/>
          </w:tcPr>
          <w:p w14:paraId="15238BC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Montalban X, Arnold DL, Weber MS, Staikov I, Piasecka-</w:t>
            </w:r>
            <w:proofErr w:type="spellStart"/>
            <w:r w:rsidRPr="00406AEC">
              <w:rPr>
                <w:rFonts w:ascii="Times New Roman" w:eastAsia="Times New Roman" w:hAnsi="Times New Roman" w:cs="Times New Roman"/>
                <w:color w:val="000000"/>
                <w:szCs w:val="22"/>
              </w:rPr>
              <w:t>Stryczynska</w:t>
            </w:r>
            <w:proofErr w:type="spellEnd"/>
            <w:r w:rsidRPr="00406AEC">
              <w:rPr>
                <w:rFonts w:ascii="Times New Roman" w:eastAsia="Times New Roman" w:hAnsi="Times New Roman" w:cs="Times New Roman"/>
                <w:color w:val="000000"/>
                <w:szCs w:val="22"/>
              </w:rPr>
              <w:t xml:space="preserve"> K et al. (2019) Placebo-controlled trial of an oral BTK inhibitor in multiple sclerosis. New England Journal of Medicine 380 (25): 2406-2417.</w:t>
            </w:r>
          </w:p>
        </w:tc>
      </w:tr>
      <w:tr w:rsidR="00406AEC" w:rsidRPr="00406AEC" w14:paraId="64369344" w14:textId="77777777" w:rsidTr="00406AEC">
        <w:trPr>
          <w:trHeight w:val="300"/>
        </w:trPr>
        <w:tc>
          <w:tcPr>
            <w:tcW w:w="9360" w:type="dxa"/>
            <w:tcBorders>
              <w:top w:val="nil"/>
              <w:left w:val="nil"/>
              <w:bottom w:val="nil"/>
              <w:right w:val="nil"/>
            </w:tcBorders>
            <w:shd w:val="clear" w:color="auto" w:fill="auto"/>
            <w:noWrap/>
            <w:vAlign w:val="bottom"/>
            <w:hideMark/>
          </w:tcPr>
          <w:p w14:paraId="39148B7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Montalban X, Cohen J, </w:t>
            </w:r>
            <w:proofErr w:type="spellStart"/>
            <w:r w:rsidRPr="00406AEC">
              <w:rPr>
                <w:rFonts w:ascii="Times New Roman" w:eastAsia="Times New Roman" w:hAnsi="Times New Roman" w:cs="Times New Roman"/>
                <w:color w:val="000000"/>
                <w:szCs w:val="22"/>
              </w:rPr>
              <w:t>Barkhof</w:t>
            </w:r>
            <w:proofErr w:type="spellEnd"/>
            <w:r w:rsidRPr="00406AEC">
              <w:rPr>
                <w:rFonts w:ascii="Times New Roman" w:eastAsia="Times New Roman" w:hAnsi="Times New Roman" w:cs="Times New Roman"/>
                <w:color w:val="000000"/>
                <w:szCs w:val="22"/>
              </w:rPr>
              <w:t xml:space="preserve"> F, Khatri B, Hartung H et al. (2015) Effect of fingolimod versus interferonbeta1a on no evidence of disease activity or worsening (NEDA-4) in the transforms study. Neurology 84 (18): </w:t>
            </w:r>
          </w:p>
        </w:tc>
      </w:tr>
      <w:tr w:rsidR="00406AEC" w:rsidRPr="00406AEC" w14:paraId="075670E6" w14:textId="77777777" w:rsidTr="00406AEC">
        <w:trPr>
          <w:trHeight w:val="300"/>
        </w:trPr>
        <w:tc>
          <w:tcPr>
            <w:tcW w:w="9360" w:type="dxa"/>
            <w:tcBorders>
              <w:top w:val="nil"/>
              <w:left w:val="nil"/>
              <w:bottom w:val="nil"/>
              <w:right w:val="nil"/>
            </w:tcBorders>
            <w:shd w:val="clear" w:color="auto" w:fill="auto"/>
            <w:noWrap/>
            <w:vAlign w:val="bottom"/>
            <w:hideMark/>
          </w:tcPr>
          <w:p w14:paraId="1CBC856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Moreau T, Margolin DH, Kasten L, Singer B Alemtuzumab improves quality of life in relapsing remitting multiple sclerosis patients who relapsed on prior therapy: 3-year follow-up of CARE-MS II.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20 (1 SUPPL. 1): 86.</w:t>
            </w:r>
          </w:p>
        </w:tc>
      </w:tr>
      <w:tr w:rsidR="00406AEC" w:rsidRPr="00406AEC" w14:paraId="2220110D" w14:textId="77777777" w:rsidTr="00406AEC">
        <w:trPr>
          <w:trHeight w:val="300"/>
        </w:trPr>
        <w:tc>
          <w:tcPr>
            <w:tcW w:w="9360" w:type="dxa"/>
            <w:tcBorders>
              <w:top w:val="nil"/>
              <w:left w:val="nil"/>
              <w:bottom w:val="nil"/>
              <w:right w:val="nil"/>
            </w:tcBorders>
            <w:shd w:val="clear" w:color="auto" w:fill="auto"/>
            <w:noWrap/>
            <w:vAlign w:val="bottom"/>
            <w:hideMark/>
          </w:tcPr>
          <w:p w14:paraId="1A35EF0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Naismith RT, </w:t>
            </w:r>
            <w:proofErr w:type="spellStart"/>
            <w:r w:rsidRPr="00406AEC">
              <w:rPr>
                <w:rFonts w:ascii="Times New Roman" w:eastAsia="Times New Roman" w:hAnsi="Times New Roman" w:cs="Times New Roman"/>
                <w:color w:val="000000"/>
                <w:szCs w:val="22"/>
              </w:rPr>
              <w:t>Wundes</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Ziemssen</w:t>
            </w:r>
            <w:proofErr w:type="spellEnd"/>
            <w:r w:rsidRPr="00406AEC">
              <w:rPr>
                <w:rFonts w:ascii="Times New Roman" w:eastAsia="Times New Roman" w:hAnsi="Times New Roman" w:cs="Times New Roman"/>
                <w:color w:val="000000"/>
                <w:szCs w:val="22"/>
              </w:rPr>
              <w:t xml:space="preserve"> T, </w:t>
            </w:r>
            <w:proofErr w:type="spellStart"/>
            <w:r w:rsidRPr="00406AEC">
              <w:rPr>
                <w:rFonts w:ascii="Times New Roman" w:eastAsia="Times New Roman" w:hAnsi="Times New Roman" w:cs="Times New Roman"/>
                <w:color w:val="000000"/>
                <w:szCs w:val="22"/>
              </w:rPr>
              <w:t>Jasinska</w:t>
            </w:r>
            <w:proofErr w:type="spellEnd"/>
            <w:r w:rsidRPr="00406AEC">
              <w:rPr>
                <w:rFonts w:ascii="Times New Roman" w:eastAsia="Times New Roman" w:hAnsi="Times New Roman" w:cs="Times New Roman"/>
                <w:color w:val="000000"/>
                <w:szCs w:val="22"/>
              </w:rPr>
              <w:t xml:space="preserve"> E, Freedman MS et al. (2020) Diroximel Fumarate Demonstrates an Improved Gastrointestinal Tolerability Profile Compared with Dimethyl Fumarate in Patients with Relapsing-Remitting Multiple Sclerosis: Results from the Randomized, Double-Blind, Phase III EVOLVE-MS-2 Study. CNS drugs 34 (2): 185-196.</w:t>
            </w:r>
          </w:p>
        </w:tc>
      </w:tr>
      <w:tr w:rsidR="00406AEC" w:rsidRPr="00406AEC" w14:paraId="448868E5" w14:textId="77777777" w:rsidTr="00406AEC">
        <w:trPr>
          <w:trHeight w:val="300"/>
        </w:trPr>
        <w:tc>
          <w:tcPr>
            <w:tcW w:w="9360" w:type="dxa"/>
            <w:tcBorders>
              <w:top w:val="nil"/>
              <w:left w:val="nil"/>
              <w:bottom w:val="nil"/>
              <w:right w:val="nil"/>
            </w:tcBorders>
            <w:shd w:val="clear" w:color="auto" w:fill="auto"/>
            <w:noWrap/>
            <w:vAlign w:val="bottom"/>
            <w:hideMark/>
          </w:tcPr>
          <w:p w14:paraId="433ADEF6"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Newsome SD, Guo S, </w:t>
            </w:r>
            <w:proofErr w:type="spellStart"/>
            <w:r w:rsidRPr="00406AEC">
              <w:rPr>
                <w:rFonts w:ascii="Times New Roman" w:eastAsia="Times New Roman" w:hAnsi="Times New Roman" w:cs="Times New Roman"/>
                <w:color w:val="000000"/>
                <w:szCs w:val="22"/>
              </w:rPr>
              <w:t>Altincatal</w:t>
            </w:r>
            <w:proofErr w:type="spellEnd"/>
            <w:r w:rsidRPr="00406AEC">
              <w:rPr>
                <w:rFonts w:ascii="Times New Roman" w:eastAsia="Times New Roman" w:hAnsi="Times New Roman" w:cs="Times New Roman"/>
                <w:color w:val="000000"/>
                <w:szCs w:val="22"/>
              </w:rPr>
              <w:t xml:space="preserve"> A, </w:t>
            </w:r>
            <w:proofErr w:type="spellStart"/>
            <w:r w:rsidRPr="00406AEC">
              <w:rPr>
                <w:rFonts w:ascii="Times New Roman" w:eastAsia="Times New Roman" w:hAnsi="Times New Roman" w:cs="Times New Roman"/>
                <w:color w:val="000000"/>
                <w:szCs w:val="22"/>
              </w:rPr>
              <w:t>Proskorovsky</w:t>
            </w:r>
            <w:proofErr w:type="spellEnd"/>
            <w:r w:rsidRPr="00406AEC">
              <w:rPr>
                <w:rFonts w:ascii="Times New Roman" w:eastAsia="Times New Roman" w:hAnsi="Times New Roman" w:cs="Times New Roman"/>
                <w:color w:val="000000"/>
                <w:szCs w:val="22"/>
              </w:rPr>
              <w:t xml:space="preserve"> I, Kinter E et al. (2015) Impact of peginterferon beta-1a and disease factors on quality of life in multiple sclerosis. Multiple Sclerosis and Related Disorders 4 (4): 350-357.</w:t>
            </w:r>
          </w:p>
        </w:tc>
      </w:tr>
      <w:tr w:rsidR="00406AEC" w:rsidRPr="00406AEC" w14:paraId="1829636F" w14:textId="77777777" w:rsidTr="00406AEC">
        <w:trPr>
          <w:trHeight w:val="300"/>
        </w:trPr>
        <w:tc>
          <w:tcPr>
            <w:tcW w:w="9360" w:type="dxa"/>
            <w:tcBorders>
              <w:top w:val="nil"/>
              <w:left w:val="nil"/>
              <w:bottom w:val="nil"/>
              <w:right w:val="nil"/>
            </w:tcBorders>
            <w:shd w:val="clear" w:color="auto" w:fill="auto"/>
            <w:noWrap/>
            <w:vAlign w:val="bottom"/>
            <w:hideMark/>
          </w:tcPr>
          <w:p w14:paraId="402CF7C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O'Connor P, Comi G, Freedman MS, Miller AE, Kappos L et al. (2016) Long-term safety and efficacy of teriflunomide. Neurology 86 (10): 920-930.</w:t>
            </w:r>
          </w:p>
        </w:tc>
      </w:tr>
      <w:tr w:rsidR="00406AEC" w:rsidRPr="00406AEC" w14:paraId="344BF788" w14:textId="77777777" w:rsidTr="00406AEC">
        <w:trPr>
          <w:trHeight w:val="300"/>
        </w:trPr>
        <w:tc>
          <w:tcPr>
            <w:tcW w:w="9360" w:type="dxa"/>
            <w:tcBorders>
              <w:top w:val="nil"/>
              <w:left w:val="nil"/>
              <w:bottom w:val="nil"/>
              <w:right w:val="nil"/>
            </w:tcBorders>
            <w:shd w:val="clear" w:color="auto" w:fill="auto"/>
            <w:noWrap/>
            <w:vAlign w:val="bottom"/>
            <w:hideMark/>
          </w:tcPr>
          <w:p w14:paraId="06D85545"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O'Connor P, Lublin F, Wolinsky J, Comi G,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et al. Teriflunomide reduces relapse-related sequelae, </w:t>
            </w:r>
            <w:proofErr w:type="gramStart"/>
            <w:r w:rsidRPr="00406AEC">
              <w:rPr>
                <w:rFonts w:ascii="Times New Roman" w:eastAsia="Times New Roman" w:hAnsi="Times New Roman" w:cs="Times New Roman"/>
                <w:color w:val="000000"/>
                <w:szCs w:val="22"/>
              </w:rPr>
              <w:t>hospitalizations</w:t>
            </w:r>
            <w:proofErr w:type="gramEnd"/>
            <w:r w:rsidRPr="00406AEC">
              <w:rPr>
                <w:rFonts w:ascii="Times New Roman" w:eastAsia="Times New Roman" w:hAnsi="Times New Roman" w:cs="Times New Roman"/>
                <w:color w:val="000000"/>
                <w:szCs w:val="22"/>
              </w:rPr>
              <w:t xml:space="preserve"> and corticosteroid use: A post-HOC analysis of the phase 3 tower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520D4A84" w14:textId="77777777" w:rsidTr="00406AEC">
        <w:trPr>
          <w:trHeight w:val="300"/>
        </w:trPr>
        <w:tc>
          <w:tcPr>
            <w:tcW w:w="9360" w:type="dxa"/>
            <w:tcBorders>
              <w:top w:val="nil"/>
              <w:left w:val="nil"/>
              <w:bottom w:val="nil"/>
              <w:right w:val="nil"/>
            </w:tcBorders>
            <w:shd w:val="clear" w:color="auto" w:fill="auto"/>
            <w:noWrap/>
            <w:vAlign w:val="bottom"/>
            <w:hideMark/>
          </w:tcPr>
          <w:p w14:paraId="6163F07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O'Connor P, Wolinsky JS,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Kappos L et al. Extension of a phase III trial (TEMSO) of oral teriflunomide in multiple sclerosis with relapses: Clinical and MRI data 5 years after initial </w:t>
            </w:r>
            <w:proofErr w:type="spellStart"/>
            <w:r w:rsidRPr="00406AEC">
              <w:rPr>
                <w:rFonts w:ascii="Times New Roman" w:eastAsia="Times New Roman" w:hAnsi="Times New Roman" w:cs="Times New Roman"/>
                <w:color w:val="000000"/>
                <w:szCs w:val="22"/>
              </w:rPr>
              <w:t>randomisation</w:t>
            </w:r>
            <w:proofErr w:type="spellEnd"/>
            <w:r w:rsidRPr="00406AEC">
              <w:rPr>
                <w:rFonts w:ascii="Times New Roman" w:eastAsia="Times New Roman" w:hAnsi="Times New Roman" w:cs="Times New Roman"/>
                <w:color w:val="000000"/>
                <w:szCs w:val="22"/>
              </w:rPr>
              <w:t>.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S414-S415.</w:t>
            </w:r>
          </w:p>
        </w:tc>
      </w:tr>
      <w:tr w:rsidR="00406AEC" w:rsidRPr="00406AEC" w14:paraId="417B2338" w14:textId="77777777" w:rsidTr="00406AEC">
        <w:trPr>
          <w:trHeight w:val="300"/>
        </w:trPr>
        <w:tc>
          <w:tcPr>
            <w:tcW w:w="9360" w:type="dxa"/>
            <w:tcBorders>
              <w:top w:val="nil"/>
              <w:left w:val="nil"/>
              <w:bottom w:val="nil"/>
              <w:right w:val="nil"/>
            </w:tcBorders>
            <w:shd w:val="clear" w:color="auto" w:fill="auto"/>
            <w:noWrap/>
            <w:vAlign w:val="bottom"/>
            <w:hideMark/>
          </w:tcPr>
          <w:p w14:paraId="62F08DC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O'Connor PW, Lublin FD, Wolinsky JS,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et al. (2013) Teriflunomide reduces relapse-related neurological sequelae, </w:t>
            </w:r>
            <w:proofErr w:type="gramStart"/>
            <w:r w:rsidRPr="00406AEC">
              <w:rPr>
                <w:rFonts w:ascii="Times New Roman" w:eastAsia="Times New Roman" w:hAnsi="Times New Roman" w:cs="Times New Roman"/>
                <w:color w:val="000000"/>
                <w:szCs w:val="22"/>
              </w:rPr>
              <w:t>hospitalizations</w:t>
            </w:r>
            <w:proofErr w:type="gramEnd"/>
            <w:r w:rsidRPr="00406AEC">
              <w:rPr>
                <w:rFonts w:ascii="Times New Roman" w:eastAsia="Times New Roman" w:hAnsi="Times New Roman" w:cs="Times New Roman"/>
                <w:color w:val="000000"/>
                <w:szCs w:val="22"/>
              </w:rPr>
              <w:t xml:space="preserve"> and steroid use. Journal of Neurology 260 (10): 2472-2480.</w:t>
            </w:r>
          </w:p>
        </w:tc>
      </w:tr>
      <w:tr w:rsidR="00406AEC" w:rsidRPr="00406AEC" w14:paraId="06CD1189" w14:textId="77777777" w:rsidTr="00406AEC">
        <w:trPr>
          <w:trHeight w:val="300"/>
        </w:trPr>
        <w:tc>
          <w:tcPr>
            <w:tcW w:w="9360" w:type="dxa"/>
            <w:tcBorders>
              <w:top w:val="nil"/>
              <w:left w:val="nil"/>
              <w:bottom w:val="nil"/>
              <w:right w:val="nil"/>
            </w:tcBorders>
            <w:shd w:val="clear" w:color="auto" w:fill="auto"/>
            <w:noWrap/>
            <w:vAlign w:val="bottom"/>
            <w:hideMark/>
          </w:tcPr>
          <w:p w14:paraId="2C02E9B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Oh J, Walker B, Giovannoni G, Jack D, Nolting A et al. (2021) Treatment-emergent adverse events occurring early in the treatment course of cladribine tablets in two phase 3 trials in multiple sclerosis. Multiple Sclerosis Journal - Experimental, Translational and Clinical 7 (3): </w:t>
            </w:r>
          </w:p>
        </w:tc>
      </w:tr>
      <w:tr w:rsidR="00406AEC" w:rsidRPr="00406AEC" w14:paraId="52E9CE7E" w14:textId="77777777" w:rsidTr="00406AEC">
        <w:trPr>
          <w:trHeight w:val="300"/>
        </w:trPr>
        <w:tc>
          <w:tcPr>
            <w:tcW w:w="9360" w:type="dxa"/>
            <w:tcBorders>
              <w:top w:val="nil"/>
              <w:left w:val="nil"/>
              <w:bottom w:val="nil"/>
              <w:right w:val="nil"/>
            </w:tcBorders>
            <w:shd w:val="clear" w:color="auto" w:fill="auto"/>
            <w:noWrap/>
            <w:vAlign w:val="bottom"/>
            <w:hideMark/>
          </w:tcPr>
          <w:p w14:paraId="0426788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Olsson T, Boster A, Fernandez O, Freedman MS, </w:t>
            </w:r>
            <w:proofErr w:type="spellStart"/>
            <w:r w:rsidRPr="00406AEC">
              <w:rPr>
                <w:rFonts w:ascii="Times New Roman" w:eastAsia="Times New Roman" w:hAnsi="Times New Roman" w:cs="Times New Roman"/>
                <w:color w:val="000000"/>
                <w:szCs w:val="22"/>
              </w:rPr>
              <w:t>Pozzilli</w:t>
            </w:r>
            <w:proofErr w:type="spellEnd"/>
            <w:r w:rsidRPr="00406AEC">
              <w:rPr>
                <w:rFonts w:ascii="Times New Roman" w:eastAsia="Times New Roman" w:hAnsi="Times New Roman" w:cs="Times New Roman"/>
                <w:color w:val="000000"/>
                <w:szCs w:val="22"/>
              </w:rPr>
              <w:t xml:space="preserve"> C et al. Efficacy and safety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an oral, selective sphingosine 1-phosphate receptor-1 modulator, in patients with relapsing-remitting multiple sclerosis: Results from a phase IIb,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trial.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(4 SUPPL. 1): 49-50.</w:t>
            </w:r>
          </w:p>
        </w:tc>
      </w:tr>
      <w:tr w:rsidR="00406AEC" w:rsidRPr="00406AEC" w14:paraId="17FB78D5" w14:textId="77777777" w:rsidTr="00406AEC">
        <w:trPr>
          <w:trHeight w:val="300"/>
        </w:trPr>
        <w:tc>
          <w:tcPr>
            <w:tcW w:w="9360" w:type="dxa"/>
            <w:tcBorders>
              <w:top w:val="nil"/>
              <w:left w:val="nil"/>
              <w:bottom w:val="nil"/>
              <w:right w:val="nil"/>
            </w:tcBorders>
            <w:shd w:val="clear" w:color="auto" w:fill="auto"/>
            <w:noWrap/>
            <w:vAlign w:val="bottom"/>
            <w:hideMark/>
          </w:tcPr>
          <w:p w14:paraId="6EA3AB9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Panitch H (2004) Interferon beta-1b in secondary progressive MS: Results from a 3-year controlled study. Neurology 63 (10): 1788-1795.</w:t>
            </w:r>
          </w:p>
        </w:tc>
      </w:tr>
      <w:tr w:rsidR="00406AEC" w:rsidRPr="00406AEC" w14:paraId="21FC51E6" w14:textId="77777777" w:rsidTr="00406AEC">
        <w:trPr>
          <w:trHeight w:val="300"/>
        </w:trPr>
        <w:tc>
          <w:tcPr>
            <w:tcW w:w="9360" w:type="dxa"/>
            <w:tcBorders>
              <w:top w:val="nil"/>
              <w:left w:val="nil"/>
              <w:bottom w:val="nil"/>
              <w:right w:val="nil"/>
            </w:tcBorders>
            <w:shd w:val="clear" w:color="auto" w:fill="auto"/>
            <w:noWrap/>
            <w:vAlign w:val="bottom"/>
            <w:hideMark/>
          </w:tcPr>
          <w:p w14:paraId="2557524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Panitch H, Goodin D, Francis G, Chang P, Coyle P et al. (2005) Benefits of high-dose, high-frequency interferon beta-1a in relapsing-remitting multiple sclerosis are sustained to 16 months: Final comparative results of the EVIDENCE trial. Journal of the Neurological Sciences 239 (1): 67-74.</w:t>
            </w:r>
          </w:p>
        </w:tc>
      </w:tr>
      <w:tr w:rsidR="00406AEC" w:rsidRPr="00406AEC" w14:paraId="65581017" w14:textId="77777777" w:rsidTr="00406AEC">
        <w:trPr>
          <w:trHeight w:val="300"/>
        </w:trPr>
        <w:tc>
          <w:tcPr>
            <w:tcW w:w="9360" w:type="dxa"/>
            <w:tcBorders>
              <w:top w:val="nil"/>
              <w:left w:val="nil"/>
              <w:bottom w:val="nil"/>
              <w:right w:val="nil"/>
            </w:tcBorders>
            <w:shd w:val="clear" w:color="auto" w:fill="auto"/>
            <w:noWrap/>
            <w:vAlign w:val="bottom"/>
            <w:hideMark/>
          </w:tcPr>
          <w:p w14:paraId="67DEB1C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Polman CH, O'Connor PW,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 Hutchinson M, Kappos L et al. (2006) A randomized, placebo-controlled trial of natalizumab for relapsing multiple sclerosis. New England Journal of Medicine 354 (9): 899-910.</w:t>
            </w:r>
          </w:p>
        </w:tc>
      </w:tr>
      <w:tr w:rsidR="00406AEC" w:rsidRPr="00406AEC" w14:paraId="61703982" w14:textId="77777777" w:rsidTr="00406AEC">
        <w:trPr>
          <w:trHeight w:val="300"/>
        </w:trPr>
        <w:tc>
          <w:tcPr>
            <w:tcW w:w="9360" w:type="dxa"/>
            <w:tcBorders>
              <w:top w:val="nil"/>
              <w:left w:val="nil"/>
              <w:bottom w:val="nil"/>
              <w:right w:val="nil"/>
            </w:tcBorders>
            <w:shd w:val="clear" w:color="auto" w:fill="auto"/>
            <w:noWrap/>
            <w:vAlign w:val="bottom"/>
            <w:hideMark/>
          </w:tcPr>
          <w:p w14:paraId="7E6E1D8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Rammohan K, Giovannoni G, Comi G, Cook S, Rieckmann P et al. (2012) Cladribine tablets for relapsing-remitting multiple sclerosis: Efficacy across patient subgroups from the phase III CLARITY study. Multiple Sclerosis and Related Disorders 1 (1): 49-54.</w:t>
            </w:r>
          </w:p>
        </w:tc>
      </w:tr>
      <w:tr w:rsidR="00406AEC" w:rsidRPr="00406AEC" w14:paraId="24EE7C3A" w14:textId="77777777" w:rsidTr="00406AEC">
        <w:trPr>
          <w:trHeight w:val="300"/>
        </w:trPr>
        <w:tc>
          <w:tcPr>
            <w:tcW w:w="9360" w:type="dxa"/>
            <w:tcBorders>
              <w:top w:val="nil"/>
              <w:left w:val="nil"/>
              <w:bottom w:val="nil"/>
              <w:right w:val="nil"/>
            </w:tcBorders>
            <w:shd w:val="clear" w:color="auto" w:fill="auto"/>
            <w:noWrap/>
            <w:vAlign w:val="bottom"/>
            <w:hideMark/>
          </w:tcPr>
          <w:p w14:paraId="295B0C2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Rieckmann P, Boyko A,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w:t>
            </w:r>
            <w:proofErr w:type="spellStart"/>
            <w:r w:rsidRPr="00406AEC">
              <w:rPr>
                <w:rFonts w:ascii="Times New Roman" w:eastAsia="Times New Roman" w:hAnsi="Times New Roman" w:cs="Times New Roman"/>
                <w:color w:val="000000"/>
                <w:szCs w:val="22"/>
              </w:rPr>
              <w:t>Zivadinov</w:t>
            </w:r>
            <w:proofErr w:type="spellEnd"/>
            <w:r w:rsidRPr="00406AEC">
              <w:rPr>
                <w:rFonts w:ascii="Times New Roman" w:eastAsia="Times New Roman" w:hAnsi="Times New Roman" w:cs="Times New Roman"/>
                <w:color w:val="000000"/>
                <w:szCs w:val="22"/>
              </w:rPr>
              <w:t xml:space="preserve"> R, Khan O Reduction of RRMS disease activity with a three times weekly regimen of glatiramer acetate 40 mg injection: A post hoc analysis from the gala study.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392D7B9C" w14:textId="77777777" w:rsidTr="00406AEC">
        <w:trPr>
          <w:trHeight w:val="300"/>
        </w:trPr>
        <w:tc>
          <w:tcPr>
            <w:tcW w:w="9360" w:type="dxa"/>
            <w:tcBorders>
              <w:top w:val="nil"/>
              <w:left w:val="nil"/>
              <w:bottom w:val="nil"/>
              <w:right w:val="nil"/>
            </w:tcBorders>
            <w:shd w:val="clear" w:color="auto" w:fill="auto"/>
            <w:noWrap/>
            <w:vAlign w:val="bottom"/>
            <w:hideMark/>
          </w:tcPr>
          <w:p w14:paraId="6C209628"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Rudick RA, Goodkin DE, Jacobs LD, </w:t>
            </w:r>
            <w:proofErr w:type="spellStart"/>
            <w:r w:rsidRPr="00406AEC">
              <w:rPr>
                <w:rFonts w:ascii="Times New Roman" w:eastAsia="Times New Roman" w:hAnsi="Times New Roman" w:cs="Times New Roman"/>
                <w:color w:val="000000"/>
                <w:szCs w:val="22"/>
              </w:rPr>
              <w:t>Cookfair</w:t>
            </w:r>
            <w:proofErr w:type="spellEnd"/>
            <w:r w:rsidRPr="00406AEC">
              <w:rPr>
                <w:rFonts w:ascii="Times New Roman" w:eastAsia="Times New Roman" w:hAnsi="Times New Roman" w:cs="Times New Roman"/>
                <w:color w:val="000000"/>
                <w:szCs w:val="22"/>
              </w:rPr>
              <w:t xml:space="preserve"> DL, Herndon RM et al. (1997) Impact of interferon beta-1a on neurologic disability in relapsing multiple sclerosis. Neurology 49 (2): 358-363.</w:t>
            </w:r>
          </w:p>
        </w:tc>
      </w:tr>
      <w:tr w:rsidR="00406AEC" w:rsidRPr="00406AEC" w14:paraId="15C61420" w14:textId="77777777" w:rsidTr="00406AEC">
        <w:trPr>
          <w:trHeight w:val="300"/>
        </w:trPr>
        <w:tc>
          <w:tcPr>
            <w:tcW w:w="9360" w:type="dxa"/>
            <w:tcBorders>
              <w:top w:val="nil"/>
              <w:left w:val="nil"/>
              <w:bottom w:val="nil"/>
              <w:right w:val="nil"/>
            </w:tcBorders>
            <w:shd w:val="clear" w:color="auto" w:fill="auto"/>
            <w:noWrap/>
            <w:vAlign w:val="bottom"/>
            <w:hideMark/>
          </w:tcPr>
          <w:p w14:paraId="20EBEBE9"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Rudick RA, Miller D, Hass S, Hutchinson M, Calabresi PA et al. (2007) Health-related quality of life in multiple sclerosis: Effects of natalizumab. Annals of Neurology 62 (4): 335-346.</w:t>
            </w:r>
          </w:p>
        </w:tc>
      </w:tr>
      <w:tr w:rsidR="00406AEC" w:rsidRPr="00406AEC" w14:paraId="4DBA29A6" w14:textId="77777777" w:rsidTr="00406AEC">
        <w:trPr>
          <w:trHeight w:val="300"/>
        </w:trPr>
        <w:tc>
          <w:tcPr>
            <w:tcW w:w="9360" w:type="dxa"/>
            <w:tcBorders>
              <w:top w:val="nil"/>
              <w:left w:val="nil"/>
              <w:bottom w:val="nil"/>
              <w:right w:val="nil"/>
            </w:tcBorders>
            <w:shd w:val="clear" w:color="auto" w:fill="auto"/>
            <w:noWrap/>
            <w:vAlign w:val="bottom"/>
            <w:hideMark/>
          </w:tcPr>
          <w:p w14:paraId="6AFED83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Kikuchi S, </w:t>
            </w:r>
            <w:proofErr w:type="spellStart"/>
            <w:r w:rsidRPr="00406AEC">
              <w:rPr>
                <w:rFonts w:ascii="Times New Roman" w:eastAsia="Times New Roman" w:hAnsi="Times New Roman" w:cs="Times New Roman"/>
                <w:color w:val="000000"/>
                <w:szCs w:val="22"/>
              </w:rPr>
              <w:t>Itoyama</w:t>
            </w:r>
            <w:proofErr w:type="spellEnd"/>
            <w:r w:rsidRPr="00406AEC">
              <w:rPr>
                <w:rFonts w:ascii="Times New Roman" w:eastAsia="Times New Roman" w:hAnsi="Times New Roman" w:cs="Times New Roman"/>
                <w:color w:val="000000"/>
                <w:szCs w:val="22"/>
              </w:rPr>
              <w:t xml:space="preserve"> Y, Hao Q, Kurosawa T et al. (2012) A randomized, controlled trial of fingolimod (FTY720) in Japanese patients with multiple sclerosis. Multiple sclerosis journal 18 (9): 1269-1277.</w:t>
            </w:r>
          </w:p>
        </w:tc>
      </w:tr>
      <w:tr w:rsidR="00406AEC" w:rsidRPr="00406AEC" w14:paraId="1E11B44A" w14:textId="77777777" w:rsidTr="00406AEC">
        <w:trPr>
          <w:trHeight w:val="300"/>
        </w:trPr>
        <w:tc>
          <w:tcPr>
            <w:tcW w:w="9360" w:type="dxa"/>
            <w:tcBorders>
              <w:top w:val="nil"/>
              <w:left w:val="nil"/>
              <w:bottom w:val="nil"/>
              <w:right w:val="nil"/>
            </w:tcBorders>
            <w:shd w:val="clear" w:color="auto" w:fill="auto"/>
            <w:noWrap/>
            <w:vAlign w:val="bottom"/>
            <w:hideMark/>
          </w:tcPr>
          <w:p w14:paraId="79DC937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Kikuchi S, </w:t>
            </w:r>
            <w:proofErr w:type="spellStart"/>
            <w:r w:rsidRPr="00406AEC">
              <w:rPr>
                <w:rFonts w:ascii="Times New Roman" w:eastAsia="Times New Roman" w:hAnsi="Times New Roman" w:cs="Times New Roman"/>
                <w:color w:val="000000"/>
                <w:szCs w:val="22"/>
              </w:rPr>
              <w:t>Itoyama</w:t>
            </w:r>
            <w:proofErr w:type="spellEnd"/>
            <w:r w:rsidRPr="00406AEC">
              <w:rPr>
                <w:rFonts w:ascii="Times New Roman" w:eastAsia="Times New Roman" w:hAnsi="Times New Roman" w:cs="Times New Roman"/>
                <w:color w:val="000000"/>
                <w:szCs w:val="22"/>
              </w:rPr>
              <w:t xml:space="preserve"> Y, Hao Q, Kurosawa T et al. Oral fingolimod (FTY720) in Japanese patients with relapsing multiple sclerosis: Results of a 6-month,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double-blind, placebo-controlled, phase 2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S418-S419.</w:t>
            </w:r>
          </w:p>
        </w:tc>
      </w:tr>
      <w:tr w:rsidR="00406AEC" w:rsidRPr="00406AEC" w14:paraId="78D51F6E" w14:textId="77777777" w:rsidTr="00406AEC">
        <w:trPr>
          <w:trHeight w:val="300"/>
        </w:trPr>
        <w:tc>
          <w:tcPr>
            <w:tcW w:w="9360" w:type="dxa"/>
            <w:tcBorders>
              <w:top w:val="nil"/>
              <w:left w:val="nil"/>
              <w:bottom w:val="nil"/>
              <w:right w:val="nil"/>
            </w:tcBorders>
            <w:shd w:val="clear" w:color="auto" w:fill="auto"/>
            <w:noWrap/>
            <w:vAlign w:val="bottom"/>
            <w:hideMark/>
          </w:tcPr>
          <w:p w14:paraId="283E4B2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Yamamura T, Kondo T, Yun J, Yang M et al. (2016) Placebo-controlled Phase 3 study of delayed-release dimethyl fumarate in patients with relapsing multiple sclerosis from Asia-Pacific and other countries. Multiple Sclerosis 22 (280): </w:t>
            </w:r>
          </w:p>
        </w:tc>
      </w:tr>
      <w:tr w:rsidR="00406AEC" w:rsidRPr="00406AEC" w14:paraId="2BE85156" w14:textId="77777777" w:rsidTr="00406AEC">
        <w:trPr>
          <w:trHeight w:val="300"/>
        </w:trPr>
        <w:tc>
          <w:tcPr>
            <w:tcW w:w="9360" w:type="dxa"/>
            <w:tcBorders>
              <w:top w:val="nil"/>
              <w:left w:val="nil"/>
              <w:bottom w:val="nil"/>
              <w:right w:val="nil"/>
            </w:tcBorders>
            <w:shd w:val="clear" w:color="auto" w:fill="auto"/>
            <w:noWrap/>
            <w:vAlign w:val="bottom"/>
            <w:hideMark/>
          </w:tcPr>
          <w:p w14:paraId="2323B52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Saida T, Yamamura T, Kondo T, Yun J, Yang M et al. (2019) A randomized placebo-controlled trial of delayed-release dimethyl fumarate in patients with relapsing-remitting multiple sclerosis from East Asia and other countries. BMC Neurology 19 (1): </w:t>
            </w:r>
          </w:p>
        </w:tc>
      </w:tr>
      <w:tr w:rsidR="00406AEC" w:rsidRPr="00406AEC" w14:paraId="2F2B3624" w14:textId="77777777" w:rsidTr="00406AEC">
        <w:trPr>
          <w:trHeight w:val="300"/>
        </w:trPr>
        <w:tc>
          <w:tcPr>
            <w:tcW w:w="9360" w:type="dxa"/>
            <w:tcBorders>
              <w:top w:val="nil"/>
              <w:left w:val="nil"/>
              <w:bottom w:val="nil"/>
              <w:right w:val="nil"/>
            </w:tcBorders>
            <w:shd w:val="clear" w:color="auto" w:fill="auto"/>
            <w:noWrap/>
            <w:vAlign w:val="bottom"/>
            <w:hideMark/>
          </w:tcPr>
          <w:p w14:paraId="0A85196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Sandberg-</w:t>
            </w:r>
            <w:proofErr w:type="spellStart"/>
            <w:r w:rsidRPr="00406AEC">
              <w:rPr>
                <w:rFonts w:ascii="Times New Roman" w:eastAsia="Times New Roman" w:hAnsi="Times New Roman" w:cs="Times New Roman"/>
                <w:color w:val="000000"/>
                <w:szCs w:val="22"/>
              </w:rPr>
              <w:t>Wollheim</w:t>
            </w:r>
            <w:proofErr w:type="spellEnd"/>
            <w:r w:rsidRPr="00406AEC">
              <w:rPr>
                <w:rFonts w:ascii="Times New Roman" w:eastAsia="Times New Roman" w:hAnsi="Times New Roman" w:cs="Times New Roman"/>
                <w:color w:val="000000"/>
                <w:szCs w:val="22"/>
              </w:rPr>
              <w:t xml:space="preserve"> M, Bever C, Carter J, </w:t>
            </w:r>
            <w:proofErr w:type="spellStart"/>
            <w:r w:rsidRPr="00406AEC">
              <w:rPr>
                <w:rFonts w:ascii="Times New Roman" w:eastAsia="Times New Roman" w:hAnsi="Times New Roman" w:cs="Times New Roman"/>
                <w:color w:val="000000"/>
                <w:szCs w:val="22"/>
              </w:rPr>
              <w:t>Farkkila</w:t>
            </w:r>
            <w:proofErr w:type="spellEnd"/>
            <w:r w:rsidRPr="00406AEC">
              <w:rPr>
                <w:rFonts w:ascii="Times New Roman" w:eastAsia="Times New Roman" w:hAnsi="Times New Roman" w:cs="Times New Roman"/>
                <w:color w:val="000000"/>
                <w:szCs w:val="22"/>
              </w:rPr>
              <w:t xml:space="preserve"> M, Hurwitz B et al. (2005) Comparative tolerance of IFN beta-1a regimens in patients with relapsing multiple sclerosis. The EVIDENCE </w:t>
            </w:r>
            <w:proofErr w:type="gramStart"/>
            <w:r w:rsidRPr="00406AEC">
              <w:rPr>
                <w:rFonts w:ascii="Times New Roman" w:eastAsia="Times New Roman" w:hAnsi="Times New Roman" w:cs="Times New Roman"/>
                <w:color w:val="000000"/>
                <w:szCs w:val="22"/>
              </w:rPr>
              <w:t>study</w:t>
            </w:r>
            <w:proofErr w:type="gramEnd"/>
            <w:r w:rsidRPr="00406AEC">
              <w:rPr>
                <w:rFonts w:ascii="Times New Roman" w:eastAsia="Times New Roman" w:hAnsi="Times New Roman" w:cs="Times New Roman"/>
                <w:color w:val="000000"/>
                <w:szCs w:val="22"/>
              </w:rPr>
              <w:t>. Journal of Neurology 252 (1): 8-13.</w:t>
            </w:r>
          </w:p>
        </w:tc>
      </w:tr>
      <w:tr w:rsidR="00406AEC" w:rsidRPr="00406AEC" w14:paraId="5F7C98CB" w14:textId="77777777" w:rsidTr="00406AEC">
        <w:trPr>
          <w:trHeight w:val="300"/>
        </w:trPr>
        <w:tc>
          <w:tcPr>
            <w:tcW w:w="9360" w:type="dxa"/>
            <w:tcBorders>
              <w:top w:val="nil"/>
              <w:left w:val="nil"/>
              <w:bottom w:val="nil"/>
              <w:right w:val="nil"/>
            </w:tcBorders>
            <w:shd w:val="clear" w:color="auto" w:fill="auto"/>
            <w:noWrap/>
            <w:vAlign w:val="bottom"/>
            <w:hideMark/>
          </w:tcPr>
          <w:p w14:paraId="27C8DABF"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Schwid SR, Panitch HS (2007) Full results of the Evidence of Interferon Dose-Response-European North American Comparative Efficacy (EVIDENCE) study: A multicenter, randomized, assessor-blinded comparison of low-dose weekly versus high-dose, high-frequency interferon beta-1a for relapsing multiple sclerosis. Clinical Therapeutics 29 (9): 2031-2048.</w:t>
            </w:r>
          </w:p>
        </w:tc>
      </w:tr>
      <w:tr w:rsidR="00406AEC" w:rsidRPr="00406AEC" w14:paraId="43BD0E4F" w14:textId="77777777" w:rsidTr="00406AEC">
        <w:trPr>
          <w:trHeight w:val="300"/>
        </w:trPr>
        <w:tc>
          <w:tcPr>
            <w:tcW w:w="9360" w:type="dxa"/>
            <w:tcBorders>
              <w:top w:val="nil"/>
              <w:left w:val="nil"/>
              <w:bottom w:val="nil"/>
              <w:right w:val="nil"/>
            </w:tcBorders>
            <w:shd w:val="clear" w:color="auto" w:fill="auto"/>
            <w:noWrap/>
            <w:vAlign w:val="bottom"/>
            <w:hideMark/>
          </w:tcPr>
          <w:p w14:paraId="49FE818E"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Gold R, Kappos L, Bar-Or A, Arnold D et al. Safety and tolerability of BG-12 in the phase 3 DEFINE trial in patients with relapsing-remitting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17 (10 SUPPL. 1): S451.</w:t>
            </w:r>
          </w:p>
        </w:tc>
      </w:tr>
      <w:tr w:rsidR="00406AEC" w:rsidRPr="00406AEC" w14:paraId="53B17A47" w14:textId="77777777" w:rsidTr="00406AEC">
        <w:trPr>
          <w:trHeight w:val="300"/>
        </w:trPr>
        <w:tc>
          <w:tcPr>
            <w:tcW w:w="9360" w:type="dxa"/>
            <w:tcBorders>
              <w:top w:val="nil"/>
              <w:left w:val="nil"/>
              <w:bottom w:val="nil"/>
              <w:right w:val="nil"/>
            </w:tcBorders>
            <w:shd w:val="clear" w:color="auto" w:fill="auto"/>
            <w:noWrap/>
            <w:vAlign w:val="bottom"/>
            <w:hideMark/>
          </w:tcPr>
          <w:p w14:paraId="46DAD1D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Sibley WA (1995) Interferon beta-1b in the treatment of multiple sclerosis: Final outcome of the randomized controlled trial. Neurology 45 (7): 1277-1285.</w:t>
            </w:r>
          </w:p>
        </w:tc>
      </w:tr>
      <w:tr w:rsidR="00406AEC" w:rsidRPr="00406AEC" w14:paraId="31503AEA" w14:textId="77777777" w:rsidTr="00406AEC">
        <w:trPr>
          <w:trHeight w:val="300"/>
        </w:trPr>
        <w:tc>
          <w:tcPr>
            <w:tcW w:w="9360" w:type="dxa"/>
            <w:tcBorders>
              <w:top w:val="nil"/>
              <w:left w:val="nil"/>
              <w:bottom w:val="nil"/>
              <w:right w:val="nil"/>
            </w:tcBorders>
            <w:shd w:val="clear" w:color="auto" w:fill="auto"/>
            <w:noWrap/>
            <w:vAlign w:val="bottom"/>
            <w:hideMark/>
          </w:tcPr>
          <w:p w14:paraId="5AACC6B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Singer B, Bandari D, Cascione M, </w:t>
            </w:r>
            <w:proofErr w:type="spellStart"/>
            <w:r w:rsidRPr="00406AEC">
              <w:rPr>
                <w:rFonts w:ascii="Times New Roman" w:eastAsia="Times New Roman" w:hAnsi="Times New Roman" w:cs="Times New Roman"/>
                <w:color w:val="000000"/>
                <w:szCs w:val="22"/>
              </w:rPr>
              <w:t>LaGanke</w:t>
            </w:r>
            <w:proofErr w:type="spellEnd"/>
            <w:r w:rsidRPr="00406AEC">
              <w:rPr>
                <w:rFonts w:ascii="Times New Roman" w:eastAsia="Times New Roman" w:hAnsi="Times New Roman" w:cs="Times New Roman"/>
                <w:color w:val="000000"/>
                <w:szCs w:val="22"/>
              </w:rPr>
              <w:t xml:space="preserve"> C, Huddlestone J et al. (2012) Comparative injection-site pain and tolerability of subcutaneous serum-free formulation of interferonbeta-1a versus subcutaneous interferonbeta-1b: Results of the randomized, multicenter, Phase </w:t>
            </w:r>
            <w:proofErr w:type="spellStart"/>
            <w:r w:rsidRPr="00406AEC">
              <w:rPr>
                <w:rFonts w:ascii="Times New Roman" w:eastAsia="Times New Roman" w:hAnsi="Times New Roman" w:cs="Times New Roman"/>
                <w:color w:val="000000"/>
                <w:szCs w:val="22"/>
              </w:rPr>
              <w:t>IIIb</w:t>
            </w:r>
            <w:proofErr w:type="spellEnd"/>
            <w:r w:rsidRPr="00406AEC">
              <w:rPr>
                <w:rFonts w:ascii="Times New Roman" w:eastAsia="Times New Roman" w:hAnsi="Times New Roman" w:cs="Times New Roman"/>
                <w:color w:val="000000"/>
                <w:szCs w:val="22"/>
              </w:rPr>
              <w:t xml:space="preserve"> REFORMS study. BMC Neurology 12 (no pagination) </w:t>
            </w:r>
          </w:p>
        </w:tc>
      </w:tr>
      <w:tr w:rsidR="00406AEC" w:rsidRPr="00406AEC" w14:paraId="4FD091A2" w14:textId="77777777" w:rsidTr="00406AEC">
        <w:trPr>
          <w:trHeight w:val="300"/>
        </w:trPr>
        <w:tc>
          <w:tcPr>
            <w:tcW w:w="9360" w:type="dxa"/>
            <w:tcBorders>
              <w:top w:val="nil"/>
              <w:left w:val="nil"/>
              <w:bottom w:val="nil"/>
              <w:right w:val="nil"/>
            </w:tcBorders>
            <w:shd w:val="clear" w:color="auto" w:fill="auto"/>
            <w:noWrap/>
            <w:vAlign w:val="bottom"/>
            <w:hideMark/>
          </w:tcPr>
          <w:p w14:paraId="6DF0F41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lastRenderedPageBreak/>
              <w:t>Sormani</w:t>
            </w:r>
            <w:proofErr w:type="spellEnd"/>
            <w:r w:rsidRPr="00406AEC">
              <w:rPr>
                <w:rFonts w:ascii="Times New Roman" w:eastAsia="Times New Roman" w:hAnsi="Times New Roman" w:cs="Times New Roman"/>
                <w:color w:val="000000"/>
                <w:szCs w:val="22"/>
              </w:rPr>
              <w:t xml:space="preserve"> MP, Giovannoni G, Rammohan K, Leist T, Coyle PK et al. (2021) Analysis of frequency and severity of relapses in multiple sclerosis patients treated with cladribine tablets or placebo: The CLARITY and CLARITY Extension studies. Multiple sclerosis journal </w:t>
            </w:r>
          </w:p>
        </w:tc>
      </w:tr>
      <w:tr w:rsidR="00406AEC" w:rsidRPr="00406AEC" w14:paraId="5268EBFC" w14:textId="77777777" w:rsidTr="00406AEC">
        <w:trPr>
          <w:trHeight w:val="300"/>
        </w:trPr>
        <w:tc>
          <w:tcPr>
            <w:tcW w:w="9360" w:type="dxa"/>
            <w:tcBorders>
              <w:top w:val="nil"/>
              <w:left w:val="nil"/>
              <w:bottom w:val="nil"/>
              <w:right w:val="nil"/>
            </w:tcBorders>
            <w:shd w:val="clear" w:color="auto" w:fill="auto"/>
            <w:noWrap/>
            <w:vAlign w:val="bottom"/>
            <w:hideMark/>
          </w:tcPr>
          <w:p w14:paraId="0F6FE320"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Sprenger T, </w:t>
            </w:r>
            <w:proofErr w:type="spellStart"/>
            <w:r w:rsidRPr="00406AEC">
              <w:rPr>
                <w:rFonts w:ascii="Times New Roman" w:eastAsia="Times New Roman" w:hAnsi="Times New Roman" w:cs="Times New Roman"/>
                <w:color w:val="000000"/>
                <w:szCs w:val="22"/>
              </w:rPr>
              <w:t>Burcklen</w:t>
            </w:r>
            <w:proofErr w:type="spellEnd"/>
            <w:r w:rsidRPr="00406AEC">
              <w:rPr>
                <w:rFonts w:ascii="Times New Roman" w:eastAsia="Times New Roman" w:hAnsi="Times New Roman" w:cs="Times New Roman"/>
                <w:color w:val="000000"/>
                <w:szCs w:val="22"/>
              </w:rPr>
              <w:t xml:space="preserve"> M, Freedman MS, Fox R, </w:t>
            </w:r>
            <w:proofErr w:type="spellStart"/>
            <w:r w:rsidRPr="00406AEC">
              <w:rPr>
                <w:rFonts w:ascii="Times New Roman" w:eastAsia="Times New Roman" w:hAnsi="Times New Roman" w:cs="Times New Roman"/>
                <w:color w:val="000000"/>
                <w:szCs w:val="22"/>
              </w:rPr>
              <w:t>Havrdova</w:t>
            </w:r>
            <w:proofErr w:type="spellEnd"/>
            <w:r w:rsidRPr="00406AEC">
              <w:rPr>
                <w:rFonts w:ascii="Times New Roman" w:eastAsia="Times New Roman" w:hAnsi="Times New Roman" w:cs="Times New Roman"/>
                <w:color w:val="000000"/>
                <w:szCs w:val="22"/>
              </w:rPr>
              <w:t xml:space="preserve"> EK et al. (2020) Safety and tolerability of </w:t>
            </w:r>
            <w:proofErr w:type="spellStart"/>
            <w:r w:rsidRPr="00406AEC">
              <w:rPr>
                <w:rFonts w:ascii="Times New Roman" w:eastAsia="Times New Roman" w:hAnsi="Times New Roman" w:cs="Times New Roman"/>
                <w:color w:val="000000"/>
                <w:szCs w:val="22"/>
              </w:rPr>
              <w:t>ponesimod</w:t>
            </w:r>
            <w:proofErr w:type="spellEnd"/>
            <w:r w:rsidRPr="00406AEC">
              <w:rPr>
                <w:rFonts w:ascii="Times New Roman" w:eastAsia="Times New Roman" w:hAnsi="Times New Roman" w:cs="Times New Roman"/>
                <w:color w:val="000000"/>
                <w:szCs w:val="22"/>
              </w:rPr>
              <w:t xml:space="preserve"> compared to teriflunomide in patients with relapsing multiple sclerosis: results of the randomized, active-controlled, double-blind, parallel-group phase 3 optimum study. Neurology 94 (15): </w:t>
            </w:r>
          </w:p>
        </w:tc>
      </w:tr>
      <w:tr w:rsidR="00406AEC" w:rsidRPr="00406AEC" w14:paraId="0033220D" w14:textId="77777777" w:rsidTr="00406AEC">
        <w:trPr>
          <w:trHeight w:val="300"/>
        </w:trPr>
        <w:tc>
          <w:tcPr>
            <w:tcW w:w="9360" w:type="dxa"/>
            <w:tcBorders>
              <w:top w:val="nil"/>
              <w:left w:val="nil"/>
              <w:bottom w:val="nil"/>
              <w:right w:val="nil"/>
            </w:tcBorders>
            <w:shd w:val="clear" w:color="auto" w:fill="auto"/>
            <w:noWrap/>
            <w:vAlign w:val="bottom"/>
            <w:hideMark/>
          </w:tcPr>
          <w:p w14:paraId="1E320694"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Sprenger T, Comi G, Lebrun-Frenay C, Park M, Chinchilla D et al. (2018) Investigating the effect of teriflunomide on diffuse brain tissue damage in the phase 3 TEMSO study. Multiple sclerosis journal 24 (2): 485-486.</w:t>
            </w:r>
          </w:p>
        </w:tc>
      </w:tr>
      <w:tr w:rsidR="00406AEC" w:rsidRPr="00406AEC" w14:paraId="64781D1C" w14:textId="77777777" w:rsidTr="00406AEC">
        <w:trPr>
          <w:trHeight w:val="300"/>
        </w:trPr>
        <w:tc>
          <w:tcPr>
            <w:tcW w:w="9360" w:type="dxa"/>
            <w:tcBorders>
              <w:top w:val="nil"/>
              <w:left w:val="nil"/>
              <w:bottom w:val="nil"/>
              <w:right w:val="nil"/>
            </w:tcBorders>
            <w:shd w:val="clear" w:color="auto" w:fill="auto"/>
            <w:noWrap/>
            <w:vAlign w:val="bottom"/>
            <w:hideMark/>
          </w:tcPr>
          <w:p w14:paraId="44AE0EB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Stuve O, </w:t>
            </w:r>
            <w:proofErr w:type="spellStart"/>
            <w:r w:rsidRPr="00406AEC">
              <w:rPr>
                <w:rFonts w:ascii="Times New Roman" w:eastAsia="Times New Roman" w:hAnsi="Times New Roman" w:cs="Times New Roman"/>
                <w:color w:val="000000"/>
                <w:szCs w:val="22"/>
              </w:rPr>
              <w:t>Selmaj</w:t>
            </w:r>
            <w:proofErr w:type="spellEnd"/>
            <w:r w:rsidRPr="00406AEC">
              <w:rPr>
                <w:rFonts w:ascii="Times New Roman" w:eastAsia="Times New Roman" w:hAnsi="Times New Roman" w:cs="Times New Roman"/>
                <w:color w:val="000000"/>
                <w:szCs w:val="22"/>
              </w:rPr>
              <w:t xml:space="preserve"> K, Li D, Hartung HP, Hemmer B et al. BAF312, a selective sphingosine-1-phosphate receptor modulator improves MRI and clinical outcomes in relapsing-remitting multiple sclerosis (RRMS). Neurology 78 (1 Meeting Abstract): CONFERENCE START: 2012 Apr 2021 CONFERENCE END: 2012 Apr 2028.</w:t>
            </w:r>
          </w:p>
        </w:tc>
      </w:tr>
      <w:tr w:rsidR="00406AEC" w:rsidRPr="00406AEC" w14:paraId="2DC0C31B" w14:textId="77777777" w:rsidTr="00406AEC">
        <w:trPr>
          <w:trHeight w:val="300"/>
        </w:trPr>
        <w:tc>
          <w:tcPr>
            <w:tcW w:w="9360" w:type="dxa"/>
            <w:tcBorders>
              <w:top w:val="nil"/>
              <w:left w:val="nil"/>
              <w:bottom w:val="nil"/>
              <w:right w:val="nil"/>
            </w:tcBorders>
            <w:shd w:val="clear" w:color="auto" w:fill="auto"/>
            <w:noWrap/>
            <w:vAlign w:val="bottom"/>
            <w:hideMark/>
          </w:tcPr>
          <w:p w14:paraId="6F01A917"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Traboulsee A, Li DKB, Cascione M, Fang J,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et al. (2018) Effect of interferon beta-1a subcutaneously three times weekly on clinical and radiological measures and no evidence of disease activity status in patients with relapsing-remitting multiple sclerosis at year 1 11 Medical and Health Sciences 1103 Clinical Sciences. BMC Neurology 18 (1): </w:t>
            </w:r>
          </w:p>
        </w:tc>
      </w:tr>
      <w:tr w:rsidR="00406AEC" w:rsidRPr="00406AEC" w14:paraId="270232BE" w14:textId="77777777" w:rsidTr="00406AEC">
        <w:trPr>
          <w:trHeight w:val="300"/>
        </w:trPr>
        <w:tc>
          <w:tcPr>
            <w:tcW w:w="9360" w:type="dxa"/>
            <w:tcBorders>
              <w:top w:val="nil"/>
              <w:left w:val="nil"/>
              <w:bottom w:val="nil"/>
              <w:right w:val="nil"/>
            </w:tcBorders>
            <w:shd w:val="clear" w:color="auto" w:fill="auto"/>
            <w:noWrap/>
            <w:vAlign w:val="bottom"/>
            <w:hideMark/>
          </w:tcPr>
          <w:p w14:paraId="57099E1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Twyman C, Montalban X, Arnold D, Cohen J, Coles A et al. Relapse outcomes with alemtuzumab vs IFNB-1A in active relapsing-remitting multiple sclerosis patients who experienced disease activity while on prior therapy (CARE-MS II). Neurology 80 (1 </w:t>
            </w:r>
            <w:proofErr w:type="spellStart"/>
            <w:r w:rsidRPr="00406AEC">
              <w:rPr>
                <w:rFonts w:ascii="Times New Roman" w:eastAsia="Times New Roman" w:hAnsi="Times New Roman" w:cs="Times New Roman"/>
                <w:color w:val="000000"/>
                <w:szCs w:val="22"/>
              </w:rPr>
              <w:t>MeetingAbstracts</w:t>
            </w:r>
            <w:proofErr w:type="spellEnd"/>
            <w:r w:rsidRPr="00406AEC">
              <w:rPr>
                <w:rFonts w:ascii="Times New Roman" w:eastAsia="Times New Roman" w:hAnsi="Times New Roman" w:cs="Times New Roman"/>
                <w:color w:val="000000"/>
                <w:szCs w:val="22"/>
              </w:rPr>
              <w:t>): CONFERENCE START: 2013 Mar 2016 CONFERENCE END: 2013 Mar 2023.</w:t>
            </w:r>
          </w:p>
        </w:tc>
      </w:tr>
      <w:tr w:rsidR="00406AEC" w:rsidRPr="00406AEC" w14:paraId="27F1C81E" w14:textId="77777777" w:rsidTr="00406AEC">
        <w:trPr>
          <w:trHeight w:val="300"/>
        </w:trPr>
        <w:tc>
          <w:tcPr>
            <w:tcW w:w="9360" w:type="dxa"/>
            <w:tcBorders>
              <w:top w:val="nil"/>
              <w:left w:val="nil"/>
              <w:bottom w:val="nil"/>
              <w:right w:val="nil"/>
            </w:tcBorders>
            <w:shd w:val="clear" w:color="auto" w:fill="auto"/>
            <w:noWrap/>
            <w:vAlign w:val="bottom"/>
            <w:hideMark/>
          </w:tcPr>
          <w:p w14:paraId="1A6175D2"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Veneziano A, Cutter G, Al-Banna M, Rossi S, Zakharova M et al. (2017) Higher medication satisfaction and treatment adherence in relapsing-remitting multiple sclerosis patients treated with glatiramer acetate 40 mg/ml three-times weekly compared with 20 mg/ml daily: 6-month results of the CONFIDENCE study. Multiple sclerosis journal 23 (3): 641-642.</w:t>
            </w:r>
          </w:p>
        </w:tc>
      </w:tr>
      <w:tr w:rsidR="00406AEC" w:rsidRPr="00406AEC" w14:paraId="13C2E0DC" w14:textId="77777777" w:rsidTr="00406AEC">
        <w:trPr>
          <w:trHeight w:val="300"/>
        </w:trPr>
        <w:tc>
          <w:tcPr>
            <w:tcW w:w="9360" w:type="dxa"/>
            <w:tcBorders>
              <w:top w:val="nil"/>
              <w:left w:val="nil"/>
              <w:bottom w:val="nil"/>
              <w:right w:val="nil"/>
            </w:tcBorders>
            <w:shd w:val="clear" w:color="auto" w:fill="auto"/>
            <w:noWrap/>
            <w:vAlign w:val="bottom"/>
            <w:hideMark/>
          </w:tcPr>
          <w:p w14:paraId="0196DDAD"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Czlonkowska</w:t>
            </w:r>
            <w:proofErr w:type="spellEnd"/>
            <w:r w:rsidRPr="00406AEC">
              <w:rPr>
                <w:rFonts w:ascii="Times New Roman" w:eastAsia="Times New Roman" w:hAnsi="Times New Roman" w:cs="Times New Roman"/>
                <w:color w:val="000000"/>
                <w:szCs w:val="22"/>
              </w:rPr>
              <w:t xml:space="preserve"> A, Grimaldi LM,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et al. (2013) Teriflunomide versus subcutaneous interferon beta-1a in patients with relapsing multiple sclerosis: a </w:t>
            </w:r>
            <w:proofErr w:type="spellStart"/>
            <w:r w:rsidRPr="00406AEC">
              <w:rPr>
                <w:rFonts w:ascii="Times New Roman" w:eastAsia="Times New Roman" w:hAnsi="Times New Roman" w:cs="Times New Roman"/>
                <w:color w:val="000000"/>
                <w:szCs w:val="22"/>
              </w:rPr>
              <w:t>randomised</w:t>
            </w:r>
            <w:proofErr w:type="spellEnd"/>
            <w:r w:rsidRPr="00406AEC">
              <w:rPr>
                <w:rFonts w:ascii="Times New Roman" w:eastAsia="Times New Roman" w:hAnsi="Times New Roman" w:cs="Times New Roman"/>
                <w:color w:val="000000"/>
                <w:szCs w:val="22"/>
              </w:rPr>
              <w:t xml:space="preserve">, controlled phase 3 trial. </w:t>
            </w:r>
          </w:p>
        </w:tc>
      </w:tr>
      <w:tr w:rsidR="00406AEC" w:rsidRPr="00406AEC" w14:paraId="46F853E6" w14:textId="77777777" w:rsidTr="00406AEC">
        <w:trPr>
          <w:trHeight w:val="300"/>
        </w:trPr>
        <w:tc>
          <w:tcPr>
            <w:tcW w:w="9360" w:type="dxa"/>
            <w:tcBorders>
              <w:top w:val="nil"/>
              <w:left w:val="nil"/>
              <w:bottom w:val="nil"/>
              <w:right w:val="nil"/>
            </w:tcBorders>
            <w:shd w:val="clear" w:color="auto" w:fill="auto"/>
            <w:noWrap/>
            <w:vAlign w:val="bottom"/>
            <w:hideMark/>
          </w:tcPr>
          <w:p w14:paraId="36391571"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w:t>
            </w:r>
            <w:proofErr w:type="spellStart"/>
            <w:r w:rsidRPr="00406AEC">
              <w:rPr>
                <w:rFonts w:ascii="Times New Roman" w:eastAsia="Times New Roman" w:hAnsi="Times New Roman" w:cs="Times New Roman"/>
                <w:color w:val="000000"/>
                <w:szCs w:val="22"/>
              </w:rPr>
              <w:t>Czlonkowska</w:t>
            </w:r>
            <w:proofErr w:type="spellEnd"/>
            <w:r w:rsidRPr="00406AEC">
              <w:rPr>
                <w:rFonts w:ascii="Times New Roman" w:eastAsia="Times New Roman" w:hAnsi="Times New Roman" w:cs="Times New Roman"/>
                <w:color w:val="000000"/>
                <w:szCs w:val="22"/>
              </w:rPr>
              <w:t xml:space="preserve"> A, Grimaldi LM, </w:t>
            </w:r>
            <w:proofErr w:type="spellStart"/>
            <w:r w:rsidRPr="00406AEC">
              <w:rPr>
                <w:rFonts w:ascii="Times New Roman" w:eastAsia="Times New Roman" w:hAnsi="Times New Roman" w:cs="Times New Roman"/>
                <w:color w:val="000000"/>
                <w:szCs w:val="22"/>
              </w:rPr>
              <w:t>Confavreux</w:t>
            </w:r>
            <w:proofErr w:type="spellEnd"/>
            <w:r w:rsidRPr="00406AEC">
              <w:rPr>
                <w:rFonts w:ascii="Times New Roman" w:eastAsia="Times New Roman" w:hAnsi="Times New Roman" w:cs="Times New Roman"/>
                <w:color w:val="000000"/>
                <w:szCs w:val="22"/>
              </w:rPr>
              <w:t xml:space="preserve"> C, Comi G et al. A multicenter, randomized, </w:t>
            </w:r>
            <w:proofErr w:type="spellStart"/>
            <w:r w:rsidRPr="00406AEC">
              <w:rPr>
                <w:rFonts w:ascii="Times New Roman" w:eastAsia="Times New Roman" w:hAnsi="Times New Roman" w:cs="Times New Roman"/>
                <w:color w:val="000000"/>
                <w:szCs w:val="22"/>
              </w:rPr>
              <w:t>parallelgroup</w:t>
            </w:r>
            <w:proofErr w:type="spellEnd"/>
            <w:r w:rsidRPr="00406AEC">
              <w:rPr>
                <w:rFonts w:ascii="Times New Roman" w:eastAsia="Times New Roman" w:hAnsi="Times New Roman" w:cs="Times New Roman"/>
                <w:color w:val="000000"/>
                <w:szCs w:val="22"/>
              </w:rPr>
              <w:t>, rater-blinded study comparing the effectiveness and safety of teriflunomide and subcutaneous interferon beta-1a in patients with relapsing multiple sclerosis.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18 (9): S9-S10.</w:t>
            </w:r>
          </w:p>
        </w:tc>
      </w:tr>
      <w:tr w:rsidR="00406AEC" w:rsidRPr="00406AEC" w14:paraId="7C6D2E0B" w14:textId="77777777" w:rsidTr="00406AEC">
        <w:trPr>
          <w:trHeight w:val="300"/>
        </w:trPr>
        <w:tc>
          <w:tcPr>
            <w:tcW w:w="9360" w:type="dxa"/>
            <w:tcBorders>
              <w:top w:val="nil"/>
              <w:left w:val="nil"/>
              <w:bottom w:val="nil"/>
              <w:right w:val="nil"/>
            </w:tcBorders>
            <w:shd w:val="clear" w:color="auto" w:fill="auto"/>
            <w:noWrap/>
            <w:vAlign w:val="bottom"/>
            <w:hideMark/>
          </w:tcPr>
          <w:p w14:paraId="3FB7776C"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proofErr w:type="spellStart"/>
            <w:r w:rsidRPr="00406AEC">
              <w:rPr>
                <w:rFonts w:ascii="Times New Roman" w:eastAsia="Times New Roman" w:hAnsi="Times New Roman" w:cs="Times New Roman"/>
                <w:color w:val="000000"/>
                <w:szCs w:val="22"/>
              </w:rPr>
              <w:t>Vermersch</w:t>
            </w:r>
            <w:proofErr w:type="spellEnd"/>
            <w:r w:rsidRPr="00406AEC">
              <w:rPr>
                <w:rFonts w:ascii="Times New Roman" w:eastAsia="Times New Roman" w:hAnsi="Times New Roman" w:cs="Times New Roman"/>
                <w:color w:val="000000"/>
                <w:szCs w:val="22"/>
              </w:rPr>
              <w:t xml:space="preserve"> P, Galazka A, </w:t>
            </w:r>
            <w:proofErr w:type="spellStart"/>
            <w:r w:rsidRPr="00406AEC">
              <w:rPr>
                <w:rFonts w:ascii="Times New Roman" w:eastAsia="Times New Roman" w:hAnsi="Times New Roman" w:cs="Times New Roman"/>
                <w:color w:val="000000"/>
                <w:szCs w:val="22"/>
              </w:rPr>
              <w:t>Dangond</w:t>
            </w:r>
            <w:proofErr w:type="spellEnd"/>
            <w:r w:rsidRPr="00406AEC">
              <w:rPr>
                <w:rFonts w:ascii="Times New Roman" w:eastAsia="Times New Roman" w:hAnsi="Times New Roman" w:cs="Times New Roman"/>
                <w:color w:val="000000"/>
                <w:szCs w:val="22"/>
              </w:rPr>
              <w:t xml:space="preserve"> F, Damian D, Wong SL et al. (2020) Efficacy of cladribine tablets in high disease activity patients with relapsing multiple sclerosis: Post hoc analysis of subgroups with and without prior disease-modifying drug treatment. Current Medical Research and Opinion 1.</w:t>
            </w:r>
          </w:p>
        </w:tc>
      </w:tr>
      <w:tr w:rsidR="00406AEC" w:rsidRPr="00406AEC" w14:paraId="37306AF0" w14:textId="77777777" w:rsidTr="00406AEC">
        <w:trPr>
          <w:trHeight w:val="300"/>
        </w:trPr>
        <w:tc>
          <w:tcPr>
            <w:tcW w:w="9360" w:type="dxa"/>
            <w:tcBorders>
              <w:top w:val="nil"/>
              <w:left w:val="nil"/>
              <w:bottom w:val="nil"/>
              <w:right w:val="nil"/>
            </w:tcBorders>
            <w:shd w:val="clear" w:color="auto" w:fill="auto"/>
            <w:noWrap/>
            <w:vAlign w:val="bottom"/>
            <w:hideMark/>
          </w:tcPr>
          <w:p w14:paraId="038C449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Weinstein A, Schwid SIL, Schiffer RB, McDermott MP, Giang DW et al. (1999) Neuropsychologic status in multiple sclerosis after treatment with glatiramer. Archives of neurology 56 (3): 319-324.</w:t>
            </w:r>
          </w:p>
        </w:tc>
      </w:tr>
      <w:tr w:rsidR="00406AEC" w:rsidRPr="00406AEC" w14:paraId="631530B9" w14:textId="77777777" w:rsidTr="00406AEC">
        <w:trPr>
          <w:trHeight w:val="300"/>
        </w:trPr>
        <w:tc>
          <w:tcPr>
            <w:tcW w:w="9360" w:type="dxa"/>
            <w:tcBorders>
              <w:top w:val="nil"/>
              <w:left w:val="nil"/>
              <w:bottom w:val="nil"/>
              <w:right w:val="nil"/>
            </w:tcBorders>
            <w:shd w:val="clear" w:color="auto" w:fill="auto"/>
            <w:noWrap/>
            <w:vAlign w:val="bottom"/>
            <w:hideMark/>
          </w:tcPr>
          <w:p w14:paraId="57834C5B"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 xml:space="preserve">Wolinsky JS, Borresen TE, Dietrich DW, Wynn D, Sidi Y et al. (2015) GLACIER: An open-label, randomized, multicenter study to assess the safety and tolerability of glatiramer </w:t>
            </w:r>
            <w:r w:rsidRPr="00406AEC">
              <w:rPr>
                <w:rFonts w:ascii="Times New Roman" w:eastAsia="Times New Roman" w:hAnsi="Times New Roman" w:cs="Times New Roman"/>
                <w:color w:val="000000"/>
                <w:szCs w:val="22"/>
              </w:rPr>
              <w:lastRenderedPageBreak/>
              <w:t>acetate 40 mg three-times weekly versus 20 mg daily in patients with relapsing-remitting multiple sclerosis. Multiple Sclerosis and Related Disorders 4 (4): 370-376.</w:t>
            </w:r>
          </w:p>
        </w:tc>
      </w:tr>
      <w:tr w:rsidR="00406AEC" w:rsidRPr="00406AEC" w14:paraId="41D870B1" w14:textId="77777777" w:rsidTr="00406AEC">
        <w:trPr>
          <w:trHeight w:val="300"/>
        </w:trPr>
        <w:tc>
          <w:tcPr>
            <w:tcW w:w="9360" w:type="dxa"/>
            <w:tcBorders>
              <w:top w:val="nil"/>
              <w:left w:val="nil"/>
              <w:bottom w:val="nil"/>
              <w:right w:val="nil"/>
            </w:tcBorders>
            <w:shd w:val="clear" w:color="auto" w:fill="auto"/>
            <w:noWrap/>
            <w:vAlign w:val="bottom"/>
            <w:hideMark/>
          </w:tcPr>
          <w:p w14:paraId="3EFB181A"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lastRenderedPageBreak/>
              <w:t xml:space="preserve">Wolinsky JS, Freedman MS, Thangavelu K, </w:t>
            </w:r>
            <w:proofErr w:type="spellStart"/>
            <w:r w:rsidRPr="00406AEC">
              <w:rPr>
                <w:rFonts w:ascii="Times New Roman" w:eastAsia="Times New Roman" w:hAnsi="Times New Roman" w:cs="Times New Roman"/>
                <w:color w:val="000000"/>
                <w:szCs w:val="22"/>
              </w:rPr>
              <w:t>Truffinet</w:t>
            </w:r>
            <w:proofErr w:type="spellEnd"/>
            <w:r w:rsidRPr="00406AEC">
              <w:rPr>
                <w:rFonts w:ascii="Times New Roman" w:eastAsia="Times New Roman" w:hAnsi="Times New Roman" w:cs="Times New Roman"/>
                <w:color w:val="000000"/>
                <w:szCs w:val="22"/>
              </w:rPr>
              <w:t xml:space="preserve"> P, Rufi P et al. Efficacy of teriflunomide treatment in achieving no evidence of disease activity in the TEMSO long-term extension study. Multiple sclerosis (</w:t>
            </w:r>
            <w:proofErr w:type="spellStart"/>
            <w:r w:rsidRPr="00406AEC">
              <w:rPr>
                <w:rFonts w:ascii="Times New Roman" w:eastAsia="Times New Roman" w:hAnsi="Times New Roman" w:cs="Times New Roman"/>
                <w:color w:val="000000"/>
                <w:szCs w:val="22"/>
              </w:rPr>
              <w:t>Houndmills</w:t>
            </w:r>
            <w:proofErr w:type="spellEnd"/>
            <w:r w:rsidRPr="00406AEC">
              <w:rPr>
                <w:rFonts w:ascii="Times New Roman" w:eastAsia="Times New Roman" w:hAnsi="Times New Roman" w:cs="Times New Roman"/>
                <w:color w:val="000000"/>
                <w:szCs w:val="22"/>
              </w:rPr>
              <w:t>, Basingstoke, England) 23 (11 SUPPL. 1): 534-535.</w:t>
            </w:r>
          </w:p>
        </w:tc>
      </w:tr>
      <w:tr w:rsidR="00406AEC" w:rsidRPr="00406AEC" w14:paraId="5D1DB3CF" w14:textId="77777777" w:rsidTr="00406AEC">
        <w:trPr>
          <w:trHeight w:val="300"/>
        </w:trPr>
        <w:tc>
          <w:tcPr>
            <w:tcW w:w="9360" w:type="dxa"/>
            <w:tcBorders>
              <w:top w:val="nil"/>
              <w:left w:val="nil"/>
              <w:bottom w:val="nil"/>
              <w:right w:val="nil"/>
            </w:tcBorders>
            <w:shd w:val="clear" w:color="auto" w:fill="auto"/>
            <w:noWrap/>
            <w:vAlign w:val="bottom"/>
            <w:hideMark/>
          </w:tcPr>
          <w:p w14:paraId="27680893" w14:textId="77777777" w:rsidR="00406AEC" w:rsidRPr="00406AEC" w:rsidRDefault="00406AEC" w:rsidP="00223A29">
            <w:pPr>
              <w:pStyle w:val="ListParagraph"/>
              <w:numPr>
                <w:ilvl w:val="0"/>
                <w:numId w:val="25"/>
              </w:numPr>
              <w:spacing w:line="240" w:lineRule="auto"/>
              <w:rPr>
                <w:rFonts w:ascii="Times New Roman" w:eastAsia="Times New Roman" w:hAnsi="Times New Roman" w:cs="Times New Roman"/>
                <w:color w:val="000000"/>
                <w:szCs w:val="22"/>
              </w:rPr>
            </w:pPr>
            <w:r w:rsidRPr="00406AEC">
              <w:rPr>
                <w:rFonts w:ascii="Times New Roman" w:eastAsia="Times New Roman" w:hAnsi="Times New Roman" w:cs="Times New Roman"/>
                <w:color w:val="000000"/>
                <w:szCs w:val="22"/>
              </w:rPr>
              <w:t>Wong SL, Aldrige J, Hettle R, Khurana IS, Siddiqui MK (2018) Analysis of 6-month confirmed disability progression in RRMS patients treated with subcutaneous interferon beta-1a. Multiple sclerosis journal 24 (1): 32-.</w:t>
            </w:r>
          </w:p>
        </w:tc>
      </w:tr>
    </w:tbl>
    <w:p w14:paraId="59B73B55" w14:textId="77777777" w:rsidR="00756815" w:rsidRPr="00406AEC" w:rsidRDefault="00756815" w:rsidP="00756815">
      <w:pPr>
        <w:rPr>
          <w:rFonts w:ascii="Times New Roman" w:hAnsi="Times New Roman" w:cs="Times New Roman"/>
          <w:lang w:bidi="ar-SA"/>
        </w:rPr>
      </w:pPr>
    </w:p>
    <w:p w14:paraId="143C298D" w14:textId="2D7B8DCC" w:rsidR="00756815" w:rsidRDefault="00756815" w:rsidP="00756815">
      <w:pPr>
        <w:rPr>
          <w:lang w:bidi="ar-SA"/>
        </w:rPr>
      </w:pPr>
    </w:p>
    <w:p w14:paraId="3D9897E2" w14:textId="6D1686BE" w:rsidR="00756815" w:rsidRPr="00756815" w:rsidRDefault="00756815" w:rsidP="00756815">
      <w:pPr>
        <w:rPr>
          <w:lang w:bidi="ar-SA"/>
        </w:rPr>
        <w:sectPr w:rsidR="00756815" w:rsidRPr="00756815" w:rsidSect="0087352C">
          <w:pgSz w:w="12240" w:h="15840"/>
          <w:pgMar w:top="1440" w:right="1440" w:bottom="1440" w:left="1440" w:header="720" w:footer="720" w:gutter="0"/>
          <w:cols w:space="720"/>
          <w:docGrid w:linePitch="360"/>
        </w:sectPr>
      </w:pPr>
    </w:p>
    <w:p w14:paraId="5F232965" w14:textId="26FFBBAB" w:rsidR="00DC12BB" w:rsidRPr="00A14942" w:rsidRDefault="00DC12BB" w:rsidP="00223A29">
      <w:pPr>
        <w:pStyle w:val="Heading1"/>
        <w:pageBreakBefore/>
        <w:ind w:left="965" w:hanging="965"/>
        <w:rPr>
          <w:rFonts w:ascii="Times New Roman" w:hAnsi="Times New Roman" w:cs="Times New Roman"/>
        </w:rPr>
      </w:pPr>
      <w:bookmarkStart w:id="23" w:name="_Toc130240188"/>
      <w:r w:rsidRPr="00A14942">
        <w:rPr>
          <w:rFonts w:ascii="Times New Roman" w:hAnsi="Times New Roman" w:cs="Times New Roman"/>
        </w:rPr>
        <w:lastRenderedPageBreak/>
        <w:t>Indirect treatment comparison feasibility assessment</w:t>
      </w:r>
      <w:bookmarkEnd w:id="23"/>
    </w:p>
    <w:p w14:paraId="50840B45" w14:textId="34BD91C2" w:rsidR="00DC12BB" w:rsidRDefault="00DC12BB" w:rsidP="00223A29">
      <w:pPr>
        <w:pStyle w:val="Heading2"/>
        <w:rPr>
          <w:rFonts w:ascii="Times New Roman" w:hAnsi="Times New Roman" w:cs="Times New Roman"/>
        </w:rPr>
      </w:pPr>
      <w:bookmarkStart w:id="24" w:name="_Toc130240189"/>
      <w:r w:rsidRPr="00A14942">
        <w:rPr>
          <w:rFonts w:ascii="Times New Roman" w:hAnsi="Times New Roman" w:cs="Times New Roman"/>
        </w:rPr>
        <w:t>Study characteristics</w:t>
      </w:r>
      <w:bookmarkEnd w:id="24"/>
    </w:p>
    <w:tbl>
      <w:tblPr>
        <w:tblW w:w="14238" w:type="dxa"/>
        <w:tblLook w:val="04A0" w:firstRow="1" w:lastRow="0" w:firstColumn="1" w:lastColumn="0" w:noHBand="0" w:noVBand="1"/>
      </w:tblPr>
      <w:tblGrid>
        <w:gridCol w:w="1327"/>
        <w:gridCol w:w="346"/>
        <w:gridCol w:w="346"/>
        <w:gridCol w:w="349"/>
        <w:gridCol w:w="707"/>
        <w:gridCol w:w="608"/>
        <w:gridCol w:w="682"/>
        <w:gridCol w:w="726"/>
        <w:gridCol w:w="493"/>
        <w:gridCol w:w="551"/>
        <w:gridCol w:w="553"/>
        <w:gridCol w:w="690"/>
        <w:gridCol w:w="789"/>
        <w:gridCol w:w="996"/>
        <w:gridCol w:w="584"/>
        <w:gridCol w:w="584"/>
        <w:gridCol w:w="584"/>
        <w:gridCol w:w="584"/>
        <w:gridCol w:w="584"/>
        <w:gridCol w:w="584"/>
        <w:gridCol w:w="587"/>
        <w:gridCol w:w="1025"/>
      </w:tblGrid>
      <w:tr w:rsidR="00E126C7" w:rsidRPr="00E126C7" w14:paraId="54DDA515" w14:textId="77777777" w:rsidTr="00E83127">
        <w:trPr>
          <w:trHeight w:val="222"/>
        </w:trPr>
        <w:tc>
          <w:tcPr>
            <w:tcW w:w="1327" w:type="dxa"/>
            <w:vMerge w:val="restart"/>
            <w:tcBorders>
              <w:top w:val="single" w:sz="8" w:space="0" w:color="auto"/>
              <w:left w:val="single" w:sz="8" w:space="0" w:color="auto"/>
              <w:bottom w:val="single" w:sz="4" w:space="0" w:color="000000"/>
              <w:right w:val="single" w:sz="8" w:space="0" w:color="auto"/>
            </w:tcBorders>
            <w:shd w:val="clear" w:color="auto" w:fill="auto"/>
            <w:noWrap/>
            <w:vAlign w:val="center"/>
            <w:hideMark/>
          </w:tcPr>
          <w:p w14:paraId="25CB2B5D"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 </w:t>
            </w:r>
          </w:p>
        </w:tc>
        <w:tc>
          <w:tcPr>
            <w:tcW w:w="1748" w:type="dxa"/>
            <w:gridSpan w:val="4"/>
            <w:tcBorders>
              <w:top w:val="single" w:sz="8" w:space="0" w:color="auto"/>
              <w:left w:val="nil"/>
              <w:bottom w:val="single" w:sz="4" w:space="0" w:color="auto"/>
              <w:right w:val="single" w:sz="8" w:space="0" w:color="000000"/>
            </w:tcBorders>
            <w:shd w:val="clear" w:color="auto" w:fill="auto"/>
            <w:noWrap/>
            <w:vAlign w:val="center"/>
            <w:hideMark/>
          </w:tcPr>
          <w:p w14:paraId="7E4B548A"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Trial Phase</w:t>
            </w:r>
          </w:p>
        </w:tc>
        <w:tc>
          <w:tcPr>
            <w:tcW w:w="2016"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2AF73675"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Blinding</w:t>
            </w:r>
          </w:p>
        </w:tc>
        <w:tc>
          <w:tcPr>
            <w:tcW w:w="1597"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68F0F7F3"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Trial Duration</w:t>
            </w:r>
          </w:p>
        </w:tc>
        <w:tc>
          <w:tcPr>
            <w:tcW w:w="2475"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7F65101F"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Geography</w:t>
            </w:r>
          </w:p>
        </w:tc>
        <w:tc>
          <w:tcPr>
            <w:tcW w:w="4091" w:type="dxa"/>
            <w:gridSpan w:val="7"/>
            <w:tcBorders>
              <w:top w:val="single" w:sz="8" w:space="0" w:color="auto"/>
              <w:left w:val="nil"/>
              <w:bottom w:val="single" w:sz="4" w:space="0" w:color="auto"/>
              <w:right w:val="single" w:sz="8" w:space="0" w:color="000000"/>
            </w:tcBorders>
            <w:shd w:val="clear" w:color="auto" w:fill="auto"/>
            <w:noWrap/>
            <w:vAlign w:val="center"/>
            <w:hideMark/>
          </w:tcPr>
          <w:p w14:paraId="63287636"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Enroll Commencement</w:t>
            </w:r>
          </w:p>
        </w:tc>
        <w:tc>
          <w:tcPr>
            <w:tcW w:w="984" w:type="dxa"/>
            <w:vMerge w:val="restart"/>
            <w:tcBorders>
              <w:top w:val="single" w:sz="8" w:space="0" w:color="auto"/>
              <w:left w:val="single" w:sz="8" w:space="0" w:color="auto"/>
              <w:bottom w:val="single" w:sz="4" w:space="0" w:color="000000"/>
              <w:right w:val="single" w:sz="8" w:space="0" w:color="auto"/>
            </w:tcBorders>
            <w:shd w:val="clear" w:color="auto" w:fill="auto"/>
            <w:noWrap/>
            <w:vAlign w:val="center"/>
            <w:hideMark/>
          </w:tcPr>
          <w:p w14:paraId="224BE6B0"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N (randomized)</w:t>
            </w:r>
          </w:p>
        </w:tc>
      </w:tr>
      <w:tr w:rsidR="00E126C7" w:rsidRPr="00E126C7" w14:paraId="67FC31C6" w14:textId="77777777" w:rsidTr="00E83127">
        <w:trPr>
          <w:trHeight w:val="222"/>
        </w:trPr>
        <w:tc>
          <w:tcPr>
            <w:tcW w:w="1327" w:type="dxa"/>
            <w:vMerge/>
            <w:tcBorders>
              <w:top w:val="single" w:sz="8" w:space="0" w:color="auto"/>
              <w:left w:val="single" w:sz="8" w:space="0" w:color="auto"/>
              <w:bottom w:val="single" w:sz="4" w:space="0" w:color="000000"/>
              <w:right w:val="single" w:sz="8" w:space="0" w:color="auto"/>
            </w:tcBorders>
            <w:vAlign w:val="center"/>
            <w:hideMark/>
          </w:tcPr>
          <w:p w14:paraId="56130AD7" w14:textId="77777777" w:rsidR="00E126C7" w:rsidRPr="00E126C7" w:rsidRDefault="00E126C7" w:rsidP="00E126C7">
            <w:pPr>
              <w:spacing w:after="0" w:line="240" w:lineRule="auto"/>
              <w:rPr>
                <w:rFonts w:ascii="Times New Roman" w:eastAsia="Times New Roman" w:hAnsi="Times New Roman" w:cs="Times New Roman"/>
                <w:b/>
                <w:bCs/>
                <w:color w:val="000000"/>
                <w:sz w:val="14"/>
                <w:szCs w:val="14"/>
              </w:rPr>
            </w:pPr>
          </w:p>
        </w:tc>
        <w:tc>
          <w:tcPr>
            <w:tcW w:w="346" w:type="dxa"/>
            <w:tcBorders>
              <w:top w:val="nil"/>
              <w:left w:val="nil"/>
              <w:bottom w:val="single" w:sz="4" w:space="0" w:color="auto"/>
              <w:right w:val="single" w:sz="4" w:space="0" w:color="auto"/>
            </w:tcBorders>
            <w:shd w:val="clear" w:color="auto" w:fill="auto"/>
            <w:noWrap/>
            <w:vAlign w:val="center"/>
            <w:hideMark/>
          </w:tcPr>
          <w:p w14:paraId="3393CFBE" w14:textId="625F7B60"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w:t>
            </w:r>
          </w:p>
        </w:tc>
        <w:tc>
          <w:tcPr>
            <w:tcW w:w="346" w:type="dxa"/>
            <w:tcBorders>
              <w:top w:val="nil"/>
              <w:left w:val="nil"/>
              <w:bottom w:val="single" w:sz="4" w:space="0" w:color="auto"/>
              <w:right w:val="single" w:sz="4" w:space="0" w:color="auto"/>
            </w:tcBorders>
            <w:shd w:val="clear" w:color="auto" w:fill="auto"/>
            <w:noWrap/>
            <w:vAlign w:val="center"/>
            <w:hideMark/>
          </w:tcPr>
          <w:p w14:paraId="48958C9B" w14:textId="52EDFC6D"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3</w:t>
            </w:r>
          </w:p>
        </w:tc>
        <w:tc>
          <w:tcPr>
            <w:tcW w:w="349" w:type="dxa"/>
            <w:tcBorders>
              <w:top w:val="nil"/>
              <w:left w:val="nil"/>
              <w:bottom w:val="single" w:sz="4" w:space="0" w:color="auto"/>
              <w:right w:val="nil"/>
            </w:tcBorders>
            <w:shd w:val="clear" w:color="auto" w:fill="auto"/>
            <w:noWrap/>
            <w:vAlign w:val="center"/>
            <w:hideMark/>
          </w:tcPr>
          <w:p w14:paraId="2C3FF552" w14:textId="1DE34600"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4</w:t>
            </w:r>
          </w:p>
        </w:tc>
        <w:tc>
          <w:tcPr>
            <w:tcW w:w="707" w:type="dxa"/>
            <w:tcBorders>
              <w:top w:val="nil"/>
              <w:left w:val="single" w:sz="4" w:space="0" w:color="auto"/>
              <w:bottom w:val="single" w:sz="4" w:space="0" w:color="auto"/>
              <w:right w:val="single" w:sz="8" w:space="0" w:color="auto"/>
            </w:tcBorders>
            <w:shd w:val="clear" w:color="auto" w:fill="auto"/>
            <w:noWrap/>
            <w:vAlign w:val="center"/>
            <w:hideMark/>
          </w:tcPr>
          <w:p w14:paraId="2CB30A8E" w14:textId="4E8D8A0F"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Unclear</w:t>
            </w:r>
          </w:p>
        </w:tc>
        <w:tc>
          <w:tcPr>
            <w:tcW w:w="608" w:type="dxa"/>
            <w:tcBorders>
              <w:top w:val="nil"/>
              <w:left w:val="nil"/>
              <w:bottom w:val="single" w:sz="4" w:space="0" w:color="auto"/>
              <w:right w:val="single" w:sz="4" w:space="0" w:color="auto"/>
            </w:tcBorders>
            <w:shd w:val="clear" w:color="auto" w:fill="auto"/>
            <w:noWrap/>
            <w:vAlign w:val="center"/>
            <w:hideMark/>
          </w:tcPr>
          <w:p w14:paraId="6BA8B32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Open-label</w:t>
            </w:r>
          </w:p>
        </w:tc>
        <w:tc>
          <w:tcPr>
            <w:tcW w:w="682" w:type="dxa"/>
            <w:tcBorders>
              <w:top w:val="nil"/>
              <w:left w:val="nil"/>
              <w:bottom w:val="single" w:sz="4" w:space="0" w:color="auto"/>
              <w:right w:val="single" w:sz="4" w:space="0" w:color="auto"/>
            </w:tcBorders>
            <w:shd w:val="clear" w:color="auto" w:fill="auto"/>
            <w:noWrap/>
            <w:vAlign w:val="center"/>
            <w:hideMark/>
          </w:tcPr>
          <w:p w14:paraId="41EE3A5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Single-blinded</w:t>
            </w:r>
          </w:p>
        </w:tc>
        <w:tc>
          <w:tcPr>
            <w:tcW w:w="726" w:type="dxa"/>
            <w:tcBorders>
              <w:top w:val="nil"/>
              <w:left w:val="nil"/>
              <w:bottom w:val="single" w:sz="4" w:space="0" w:color="auto"/>
              <w:right w:val="single" w:sz="8" w:space="0" w:color="auto"/>
            </w:tcBorders>
            <w:shd w:val="clear" w:color="auto" w:fill="auto"/>
            <w:noWrap/>
            <w:vAlign w:val="center"/>
            <w:hideMark/>
          </w:tcPr>
          <w:p w14:paraId="6B40B44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Double-blinded</w:t>
            </w:r>
          </w:p>
        </w:tc>
        <w:tc>
          <w:tcPr>
            <w:tcW w:w="493" w:type="dxa"/>
            <w:tcBorders>
              <w:top w:val="nil"/>
              <w:left w:val="nil"/>
              <w:bottom w:val="single" w:sz="4" w:space="0" w:color="auto"/>
              <w:right w:val="nil"/>
            </w:tcBorders>
            <w:shd w:val="clear" w:color="auto" w:fill="auto"/>
            <w:noWrap/>
            <w:vAlign w:val="center"/>
            <w:hideMark/>
          </w:tcPr>
          <w:p w14:paraId="2C50189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&lt;1 year</w:t>
            </w:r>
          </w:p>
        </w:tc>
        <w:tc>
          <w:tcPr>
            <w:tcW w:w="551" w:type="dxa"/>
            <w:tcBorders>
              <w:top w:val="nil"/>
              <w:left w:val="nil"/>
              <w:bottom w:val="single" w:sz="4" w:space="0" w:color="auto"/>
              <w:right w:val="nil"/>
            </w:tcBorders>
            <w:shd w:val="clear" w:color="auto" w:fill="auto"/>
            <w:noWrap/>
            <w:vAlign w:val="center"/>
            <w:hideMark/>
          </w:tcPr>
          <w:p w14:paraId="17CC908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1-2 years</w:t>
            </w:r>
          </w:p>
        </w:tc>
        <w:tc>
          <w:tcPr>
            <w:tcW w:w="553" w:type="dxa"/>
            <w:tcBorders>
              <w:top w:val="nil"/>
              <w:left w:val="nil"/>
              <w:bottom w:val="single" w:sz="4" w:space="0" w:color="auto"/>
              <w:right w:val="nil"/>
            </w:tcBorders>
            <w:shd w:val="clear" w:color="auto" w:fill="auto"/>
            <w:noWrap/>
            <w:vAlign w:val="center"/>
            <w:hideMark/>
          </w:tcPr>
          <w:p w14:paraId="1DD0866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&gt;2 years</w:t>
            </w:r>
          </w:p>
        </w:tc>
        <w:tc>
          <w:tcPr>
            <w:tcW w:w="690" w:type="dxa"/>
            <w:tcBorders>
              <w:top w:val="nil"/>
              <w:left w:val="single" w:sz="8" w:space="0" w:color="auto"/>
              <w:bottom w:val="single" w:sz="4" w:space="0" w:color="auto"/>
              <w:right w:val="single" w:sz="4" w:space="0" w:color="auto"/>
            </w:tcBorders>
            <w:shd w:val="clear" w:color="auto" w:fill="auto"/>
            <w:noWrap/>
            <w:vAlign w:val="center"/>
            <w:hideMark/>
          </w:tcPr>
          <w:p w14:paraId="63C1A3B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Single country</w:t>
            </w:r>
          </w:p>
        </w:tc>
        <w:tc>
          <w:tcPr>
            <w:tcW w:w="789" w:type="dxa"/>
            <w:tcBorders>
              <w:top w:val="nil"/>
              <w:left w:val="nil"/>
              <w:bottom w:val="single" w:sz="4" w:space="0" w:color="auto"/>
              <w:right w:val="single" w:sz="4" w:space="0" w:color="auto"/>
            </w:tcBorders>
            <w:shd w:val="clear" w:color="auto" w:fill="auto"/>
            <w:noWrap/>
            <w:vAlign w:val="center"/>
            <w:hideMark/>
          </w:tcPr>
          <w:p w14:paraId="16B386F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Single continent</w:t>
            </w:r>
          </w:p>
        </w:tc>
        <w:tc>
          <w:tcPr>
            <w:tcW w:w="996" w:type="dxa"/>
            <w:tcBorders>
              <w:top w:val="nil"/>
              <w:left w:val="nil"/>
              <w:bottom w:val="single" w:sz="4" w:space="0" w:color="auto"/>
              <w:right w:val="single" w:sz="8" w:space="0" w:color="auto"/>
            </w:tcBorders>
            <w:shd w:val="clear" w:color="auto" w:fill="auto"/>
            <w:noWrap/>
            <w:vAlign w:val="center"/>
            <w:hideMark/>
          </w:tcPr>
          <w:p w14:paraId="004C9A0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International</w:t>
            </w:r>
          </w:p>
        </w:tc>
        <w:tc>
          <w:tcPr>
            <w:tcW w:w="584" w:type="dxa"/>
            <w:tcBorders>
              <w:top w:val="nil"/>
              <w:left w:val="nil"/>
              <w:bottom w:val="single" w:sz="4" w:space="0" w:color="auto"/>
              <w:right w:val="single" w:sz="4" w:space="0" w:color="auto"/>
            </w:tcBorders>
            <w:shd w:val="clear" w:color="auto" w:fill="auto"/>
            <w:noWrap/>
            <w:vAlign w:val="center"/>
            <w:hideMark/>
          </w:tcPr>
          <w:p w14:paraId="15BCD2A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1985-1990</w:t>
            </w:r>
          </w:p>
        </w:tc>
        <w:tc>
          <w:tcPr>
            <w:tcW w:w="584" w:type="dxa"/>
            <w:tcBorders>
              <w:top w:val="nil"/>
              <w:left w:val="nil"/>
              <w:bottom w:val="single" w:sz="4" w:space="0" w:color="auto"/>
              <w:right w:val="single" w:sz="4" w:space="0" w:color="auto"/>
            </w:tcBorders>
            <w:shd w:val="clear" w:color="auto" w:fill="auto"/>
            <w:noWrap/>
            <w:vAlign w:val="center"/>
            <w:hideMark/>
          </w:tcPr>
          <w:p w14:paraId="07EA5D0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1991-1995</w:t>
            </w:r>
          </w:p>
        </w:tc>
        <w:tc>
          <w:tcPr>
            <w:tcW w:w="584" w:type="dxa"/>
            <w:tcBorders>
              <w:top w:val="nil"/>
              <w:left w:val="nil"/>
              <w:bottom w:val="single" w:sz="4" w:space="0" w:color="auto"/>
              <w:right w:val="single" w:sz="4" w:space="0" w:color="auto"/>
            </w:tcBorders>
            <w:shd w:val="clear" w:color="auto" w:fill="auto"/>
            <w:noWrap/>
            <w:vAlign w:val="center"/>
            <w:hideMark/>
          </w:tcPr>
          <w:p w14:paraId="44FF061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1996-2000</w:t>
            </w:r>
          </w:p>
        </w:tc>
        <w:tc>
          <w:tcPr>
            <w:tcW w:w="584" w:type="dxa"/>
            <w:tcBorders>
              <w:top w:val="nil"/>
              <w:left w:val="nil"/>
              <w:bottom w:val="single" w:sz="4" w:space="0" w:color="auto"/>
              <w:right w:val="single" w:sz="4" w:space="0" w:color="auto"/>
            </w:tcBorders>
            <w:shd w:val="clear" w:color="auto" w:fill="auto"/>
            <w:noWrap/>
            <w:vAlign w:val="center"/>
            <w:hideMark/>
          </w:tcPr>
          <w:p w14:paraId="0699E07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2001-2005</w:t>
            </w:r>
          </w:p>
        </w:tc>
        <w:tc>
          <w:tcPr>
            <w:tcW w:w="584" w:type="dxa"/>
            <w:tcBorders>
              <w:top w:val="nil"/>
              <w:left w:val="nil"/>
              <w:bottom w:val="single" w:sz="4" w:space="0" w:color="auto"/>
              <w:right w:val="single" w:sz="4" w:space="0" w:color="auto"/>
            </w:tcBorders>
            <w:shd w:val="clear" w:color="auto" w:fill="auto"/>
            <w:noWrap/>
            <w:vAlign w:val="center"/>
            <w:hideMark/>
          </w:tcPr>
          <w:p w14:paraId="5844995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2006-2010</w:t>
            </w:r>
          </w:p>
        </w:tc>
        <w:tc>
          <w:tcPr>
            <w:tcW w:w="584" w:type="dxa"/>
            <w:tcBorders>
              <w:top w:val="nil"/>
              <w:left w:val="nil"/>
              <w:bottom w:val="single" w:sz="4" w:space="0" w:color="auto"/>
              <w:right w:val="single" w:sz="4" w:space="0" w:color="auto"/>
            </w:tcBorders>
            <w:shd w:val="clear" w:color="auto" w:fill="auto"/>
            <w:noWrap/>
            <w:vAlign w:val="center"/>
            <w:hideMark/>
          </w:tcPr>
          <w:p w14:paraId="5ABC226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2011-2015</w:t>
            </w:r>
          </w:p>
        </w:tc>
        <w:tc>
          <w:tcPr>
            <w:tcW w:w="587" w:type="dxa"/>
            <w:tcBorders>
              <w:top w:val="nil"/>
              <w:left w:val="nil"/>
              <w:bottom w:val="single" w:sz="4" w:space="0" w:color="auto"/>
              <w:right w:val="single" w:sz="8" w:space="0" w:color="auto"/>
            </w:tcBorders>
            <w:shd w:val="clear" w:color="auto" w:fill="auto"/>
            <w:noWrap/>
            <w:vAlign w:val="center"/>
            <w:hideMark/>
          </w:tcPr>
          <w:p w14:paraId="7E7FD9C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2016-2020</w:t>
            </w:r>
          </w:p>
        </w:tc>
        <w:tc>
          <w:tcPr>
            <w:tcW w:w="984" w:type="dxa"/>
            <w:vMerge/>
            <w:tcBorders>
              <w:top w:val="single" w:sz="8" w:space="0" w:color="auto"/>
              <w:left w:val="single" w:sz="8" w:space="0" w:color="auto"/>
              <w:bottom w:val="single" w:sz="4" w:space="0" w:color="000000"/>
              <w:right w:val="single" w:sz="8" w:space="0" w:color="auto"/>
            </w:tcBorders>
            <w:vAlign w:val="center"/>
            <w:hideMark/>
          </w:tcPr>
          <w:p w14:paraId="09D26869" w14:textId="77777777" w:rsidR="00E126C7" w:rsidRPr="00E126C7" w:rsidRDefault="00E126C7" w:rsidP="00E126C7">
            <w:pPr>
              <w:spacing w:after="0" w:line="240" w:lineRule="auto"/>
              <w:rPr>
                <w:rFonts w:ascii="Times New Roman" w:eastAsia="Times New Roman" w:hAnsi="Times New Roman" w:cs="Times New Roman"/>
                <w:b/>
                <w:bCs/>
                <w:color w:val="000000"/>
                <w:sz w:val="14"/>
                <w:szCs w:val="14"/>
              </w:rPr>
            </w:pPr>
          </w:p>
        </w:tc>
      </w:tr>
      <w:tr w:rsidR="00E126C7" w:rsidRPr="00E126C7" w14:paraId="5C00909E"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510E6A8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ADVANCE</w:t>
            </w:r>
          </w:p>
        </w:tc>
        <w:tc>
          <w:tcPr>
            <w:tcW w:w="346" w:type="dxa"/>
            <w:tcBorders>
              <w:top w:val="nil"/>
              <w:left w:val="nil"/>
              <w:bottom w:val="nil"/>
              <w:right w:val="nil"/>
            </w:tcBorders>
            <w:shd w:val="clear" w:color="auto" w:fill="auto"/>
            <w:noWrap/>
            <w:vAlign w:val="center"/>
            <w:hideMark/>
          </w:tcPr>
          <w:p w14:paraId="3119583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345B19E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25FD11B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789DD48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59EE1A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1E841E8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4D93C30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38AF02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2CF139C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3D424AF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33424D4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119C7AF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3B24F53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3E1443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44037D2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4E5F6D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53BB1F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E26D6A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2305858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25E17DF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56AA3D5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1516</w:t>
            </w:r>
          </w:p>
        </w:tc>
      </w:tr>
      <w:tr w:rsidR="00E126C7" w:rsidRPr="00E126C7" w14:paraId="19E3F9DF"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1CB8DEF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AFFIRM</w:t>
            </w:r>
          </w:p>
        </w:tc>
        <w:tc>
          <w:tcPr>
            <w:tcW w:w="346" w:type="dxa"/>
            <w:tcBorders>
              <w:top w:val="nil"/>
              <w:left w:val="nil"/>
              <w:bottom w:val="nil"/>
              <w:right w:val="nil"/>
            </w:tcBorders>
            <w:shd w:val="clear" w:color="auto" w:fill="auto"/>
            <w:noWrap/>
            <w:vAlign w:val="center"/>
            <w:hideMark/>
          </w:tcPr>
          <w:p w14:paraId="7B4E238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FB52F8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64EC5CA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5AAC399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1C29CFB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0B12570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59A08BB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7F1BE65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C602D5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40B809C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90" w:type="dxa"/>
            <w:tcBorders>
              <w:top w:val="nil"/>
              <w:left w:val="single" w:sz="8" w:space="0" w:color="auto"/>
              <w:bottom w:val="nil"/>
              <w:right w:val="nil"/>
            </w:tcBorders>
            <w:shd w:val="clear" w:color="auto" w:fill="auto"/>
            <w:noWrap/>
            <w:vAlign w:val="center"/>
            <w:hideMark/>
          </w:tcPr>
          <w:p w14:paraId="6F5C8A9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4C3D6E2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996" w:type="dxa"/>
            <w:tcBorders>
              <w:top w:val="nil"/>
              <w:left w:val="nil"/>
              <w:bottom w:val="nil"/>
              <w:right w:val="single" w:sz="8" w:space="0" w:color="auto"/>
            </w:tcBorders>
            <w:shd w:val="clear" w:color="auto" w:fill="auto"/>
            <w:noWrap/>
            <w:vAlign w:val="center"/>
            <w:hideMark/>
          </w:tcPr>
          <w:p w14:paraId="6BB81AC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10E8E04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0F0A11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A60CA0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E32F36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73B0FBE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7BDAB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7274EFA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0B1AB02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942</w:t>
            </w:r>
          </w:p>
        </w:tc>
      </w:tr>
      <w:tr w:rsidR="00E126C7" w:rsidRPr="00E126C7" w14:paraId="72E390DA"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59F59A9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ASCLEPIOS I</w:t>
            </w:r>
          </w:p>
        </w:tc>
        <w:tc>
          <w:tcPr>
            <w:tcW w:w="346" w:type="dxa"/>
            <w:tcBorders>
              <w:top w:val="nil"/>
              <w:left w:val="nil"/>
              <w:bottom w:val="nil"/>
              <w:right w:val="nil"/>
            </w:tcBorders>
            <w:shd w:val="clear" w:color="auto" w:fill="auto"/>
            <w:noWrap/>
            <w:vAlign w:val="center"/>
            <w:hideMark/>
          </w:tcPr>
          <w:p w14:paraId="3E3907C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2CECEEA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188B88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3BF8EE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57EE1FD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65484E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21EA05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29DC44D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024971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56A277B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31D6889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0E41BCD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0AF5D38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3C1AD7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0827FDD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1417AD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81184B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31DEDD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E3A831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75C2BF7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984" w:type="dxa"/>
            <w:tcBorders>
              <w:top w:val="nil"/>
              <w:left w:val="nil"/>
              <w:bottom w:val="nil"/>
              <w:right w:val="single" w:sz="8" w:space="0" w:color="auto"/>
            </w:tcBorders>
            <w:shd w:val="clear" w:color="auto" w:fill="auto"/>
            <w:noWrap/>
            <w:vAlign w:val="center"/>
            <w:hideMark/>
          </w:tcPr>
          <w:p w14:paraId="4B395E4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927</w:t>
            </w:r>
          </w:p>
        </w:tc>
      </w:tr>
      <w:tr w:rsidR="00E126C7" w:rsidRPr="00E126C7" w14:paraId="53C988E2"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1F38F61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ASCLEPIOS II</w:t>
            </w:r>
          </w:p>
        </w:tc>
        <w:tc>
          <w:tcPr>
            <w:tcW w:w="346" w:type="dxa"/>
            <w:tcBorders>
              <w:top w:val="nil"/>
              <w:left w:val="nil"/>
              <w:bottom w:val="nil"/>
              <w:right w:val="nil"/>
            </w:tcBorders>
            <w:shd w:val="clear" w:color="auto" w:fill="auto"/>
            <w:noWrap/>
            <w:vAlign w:val="center"/>
            <w:hideMark/>
          </w:tcPr>
          <w:p w14:paraId="674532E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64BEDF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099996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6423DBC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4EB30C1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45E32A3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36D8513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23B133E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021EFB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10F68A3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D220D9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7E6F517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0F95EBC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582C9C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058459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175B3E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B83D27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B2D79B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AA2551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50A6380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984" w:type="dxa"/>
            <w:tcBorders>
              <w:top w:val="nil"/>
              <w:left w:val="nil"/>
              <w:bottom w:val="nil"/>
              <w:right w:val="single" w:sz="8" w:space="0" w:color="auto"/>
            </w:tcBorders>
            <w:shd w:val="clear" w:color="auto" w:fill="auto"/>
            <w:noWrap/>
            <w:vAlign w:val="center"/>
            <w:hideMark/>
          </w:tcPr>
          <w:p w14:paraId="13C04FF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955</w:t>
            </w:r>
          </w:p>
        </w:tc>
      </w:tr>
      <w:tr w:rsidR="00E126C7" w:rsidRPr="00E126C7" w14:paraId="09427428" w14:textId="77777777" w:rsidTr="00E83127">
        <w:trPr>
          <w:trHeight w:val="234"/>
        </w:trPr>
        <w:tc>
          <w:tcPr>
            <w:tcW w:w="1327" w:type="dxa"/>
            <w:tcBorders>
              <w:top w:val="nil"/>
              <w:left w:val="single" w:sz="8" w:space="0" w:color="auto"/>
              <w:bottom w:val="nil"/>
              <w:right w:val="single" w:sz="8" w:space="0" w:color="auto"/>
            </w:tcBorders>
            <w:shd w:val="clear" w:color="auto" w:fill="auto"/>
            <w:noWrap/>
            <w:vAlign w:val="center"/>
            <w:hideMark/>
          </w:tcPr>
          <w:p w14:paraId="7595161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ASSESS</w:t>
            </w:r>
          </w:p>
        </w:tc>
        <w:tc>
          <w:tcPr>
            <w:tcW w:w="346" w:type="dxa"/>
            <w:tcBorders>
              <w:top w:val="nil"/>
              <w:left w:val="nil"/>
              <w:bottom w:val="nil"/>
              <w:right w:val="nil"/>
            </w:tcBorders>
            <w:shd w:val="clear" w:color="auto" w:fill="auto"/>
            <w:noWrap/>
            <w:vAlign w:val="center"/>
            <w:hideMark/>
          </w:tcPr>
          <w:p w14:paraId="737EA32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5C465E7E" w14:textId="429F7C9B"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xml:space="preserve">X </w:t>
            </w:r>
            <w:proofErr w:type="spellStart"/>
            <w:r>
              <w:rPr>
                <w:rFonts w:ascii="Times New Roman" w:eastAsia="Times New Roman" w:hAnsi="Times New Roman" w:cs="Times New Roman"/>
                <w:sz w:val="14"/>
                <w:szCs w:val="14"/>
              </w:rPr>
              <w:t>X</w:t>
            </w:r>
            <w:proofErr w:type="spellEnd"/>
          </w:p>
        </w:tc>
        <w:tc>
          <w:tcPr>
            <w:tcW w:w="349" w:type="dxa"/>
            <w:tcBorders>
              <w:top w:val="nil"/>
              <w:left w:val="nil"/>
              <w:bottom w:val="nil"/>
              <w:right w:val="nil"/>
            </w:tcBorders>
            <w:shd w:val="clear" w:color="auto" w:fill="auto"/>
            <w:noWrap/>
            <w:vAlign w:val="center"/>
            <w:hideMark/>
          </w:tcPr>
          <w:p w14:paraId="12A3F8B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37886D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07EC007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03DACA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7B88C88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49819E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0CABD04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3662EE5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0C5E6DA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1DA2592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78439FD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558A19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443B588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3C0CC0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65FE1D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768B36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6B7414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6F4FDF8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663E90B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1064</w:t>
            </w:r>
          </w:p>
        </w:tc>
      </w:tr>
      <w:tr w:rsidR="00E126C7" w:rsidRPr="00E126C7" w14:paraId="70963205"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556ED46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BEYOND</w:t>
            </w:r>
          </w:p>
        </w:tc>
        <w:tc>
          <w:tcPr>
            <w:tcW w:w="346" w:type="dxa"/>
            <w:tcBorders>
              <w:top w:val="nil"/>
              <w:left w:val="nil"/>
              <w:bottom w:val="nil"/>
              <w:right w:val="nil"/>
            </w:tcBorders>
            <w:shd w:val="clear" w:color="auto" w:fill="auto"/>
            <w:noWrap/>
            <w:vAlign w:val="center"/>
            <w:hideMark/>
          </w:tcPr>
          <w:p w14:paraId="17D87F1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67915EB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4EEC656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5DFA299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611A0FD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3FDDCB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3AC92A2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526431E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8DC3DA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6436AA8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90" w:type="dxa"/>
            <w:tcBorders>
              <w:top w:val="nil"/>
              <w:left w:val="single" w:sz="8" w:space="0" w:color="auto"/>
              <w:bottom w:val="nil"/>
              <w:right w:val="nil"/>
            </w:tcBorders>
            <w:shd w:val="clear" w:color="auto" w:fill="auto"/>
            <w:noWrap/>
            <w:vAlign w:val="center"/>
            <w:hideMark/>
          </w:tcPr>
          <w:p w14:paraId="2038DBF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405BE4F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206C3EE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73B54B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0D29E04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A8EA1F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CE78EB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A59E49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5A3F31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6DB1789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4C6C44B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2244</w:t>
            </w:r>
          </w:p>
        </w:tc>
      </w:tr>
      <w:tr w:rsidR="00E126C7" w:rsidRPr="00E126C7" w14:paraId="2645582A"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4D09D37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BRAVO</w:t>
            </w:r>
          </w:p>
        </w:tc>
        <w:tc>
          <w:tcPr>
            <w:tcW w:w="346" w:type="dxa"/>
            <w:tcBorders>
              <w:top w:val="nil"/>
              <w:left w:val="nil"/>
              <w:bottom w:val="nil"/>
              <w:right w:val="nil"/>
            </w:tcBorders>
            <w:shd w:val="clear" w:color="auto" w:fill="auto"/>
            <w:noWrap/>
            <w:vAlign w:val="center"/>
            <w:hideMark/>
          </w:tcPr>
          <w:p w14:paraId="0D025A9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2E593A7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30243C7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792FC61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38D04B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29EE8A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3F35F92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14A3BC2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87641D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1BC7CF5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B6ACD7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2B5A492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41B4D94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2001B2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691FC23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26AF0F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BAB92B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02865E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8DA1D3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329FC01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3598140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1331</w:t>
            </w:r>
          </w:p>
        </w:tc>
      </w:tr>
      <w:tr w:rsidR="00E126C7" w:rsidRPr="00E126C7" w14:paraId="7E531AC1"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4D54144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CAMMS223</w:t>
            </w:r>
          </w:p>
        </w:tc>
        <w:tc>
          <w:tcPr>
            <w:tcW w:w="346" w:type="dxa"/>
            <w:tcBorders>
              <w:top w:val="nil"/>
              <w:left w:val="nil"/>
              <w:bottom w:val="nil"/>
              <w:right w:val="nil"/>
            </w:tcBorders>
            <w:shd w:val="clear" w:color="auto" w:fill="auto"/>
            <w:noWrap/>
            <w:vAlign w:val="center"/>
            <w:hideMark/>
          </w:tcPr>
          <w:p w14:paraId="2D99E90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6" w:type="dxa"/>
            <w:tcBorders>
              <w:top w:val="nil"/>
              <w:left w:val="nil"/>
              <w:bottom w:val="nil"/>
              <w:right w:val="nil"/>
            </w:tcBorders>
            <w:shd w:val="clear" w:color="auto" w:fill="auto"/>
            <w:noWrap/>
            <w:vAlign w:val="center"/>
            <w:hideMark/>
          </w:tcPr>
          <w:p w14:paraId="048D0B6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349" w:type="dxa"/>
            <w:tcBorders>
              <w:top w:val="nil"/>
              <w:left w:val="nil"/>
              <w:bottom w:val="nil"/>
              <w:right w:val="nil"/>
            </w:tcBorders>
            <w:shd w:val="clear" w:color="auto" w:fill="auto"/>
            <w:noWrap/>
            <w:vAlign w:val="center"/>
            <w:hideMark/>
          </w:tcPr>
          <w:p w14:paraId="31FB5D2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1331D99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A746A3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5F1A9D7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26" w:type="dxa"/>
            <w:tcBorders>
              <w:top w:val="nil"/>
              <w:left w:val="nil"/>
              <w:bottom w:val="nil"/>
              <w:right w:val="single" w:sz="8" w:space="0" w:color="auto"/>
            </w:tcBorders>
            <w:shd w:val="clear" w:color="auto" w:fill="auto"/>
            <w:noWrap/>
            <w:vAlign w:val="center"/>
            <w:hideMark/>
          </w:tcPr>
          <w:p w14:paraId="1B17929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72601CD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C408BA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033B3EA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90" w:type="dxa"/>
            <w:tcBorders>
              <w:top w:val="nil"/>
              <w:left w:val="single" w:sz="8" w:space="0" w:color="auto"/>
              <w:bottom w:val="nil"/>
              <w:right w:val="nil"/>
            </w:tcBorders>
            <w:shd w:val="clear" w:color="auto" w:fill="auto"/>
            <w:noWrap/>
            <w:vAlign w:val="center"/>
            <w:hideMark/>
          </w:tcPr>
          <w:p w14:paraId="12DF0ED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1249323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1D1825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4271B7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1F8DFB8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4F7B91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E83BC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2EE3A05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D8A1C2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66666D5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027C86F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334</w:t>
            </w:r>
          </w:p>
        </w:tc>
      </w:tr>
      <w:tr w:rsidR="00E126C7" w:rsidRPr="00E126C7" w14:paraId="23BE38C3" w14:textId="77777777" w:rsidTr="00E83127">
        <w:trPr>
          <w:trHeight w:val="222"/>
        </w:trPr>
        <w:tc>
          <w:tcPr>
            <w:tcW w:w="1327" w:type="dxa"/>
            <w:tcBorders>
              <w:top w:val="nil"/>
              <w:left w:val="single" w:sz="8" w:space="0" w:color="auto"/>
              <w:bottom w:val="nil"/>
              <w:right w:val="single" w:sz="8" w:space="0" w:color="auto"/>
            </w:tcBorders>
            <w:shd w:val="clear" w:color="auto" w:fill="auto"/>
            <w:vAlign w:val="center"/>
            <w:hideMark/>
          </w:tcPr>
          <w:p w14:paraId="55365A9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CARE-MS I</w:t>
            </w:r>
          </w:p>
        </w:tc>
        <w:tc>
          <w:tcPr>
            <w:tcW w:w="346" w:type="dxa"/>
            <w:tcBorders>
              <w:top w:val="nil"/>
              <w:left w:val="nil"/>
              <w:bottom w:val="nil"/>
              <w:right w:val="nil"/>
            </w:tcBorders>
            <w:shd w:val="clear" w:color="auto" w:fill="auto"/>
            <w:noWrap/>
            <w:vAlign w:val="center"/>
            <w:hideMark/>
          </w:tcPr>
          <w:p w14:paraId="213D789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346" w:type="dxa"/>
            <w:tcBorders>
              <w:top w:val="nil"/>
              <w:left w:val="nil"/>
              <w:bottom w:val="nil"/>
              <w:right w:val="nil"/>
            </w:tcBorders>
            <w:shd w:val="clear" w:color="auto" w:fill="auto"/>
            <w:noWrap/>
            <w:vAlign w:val="center"/>
            <w:hideMark/>
          </w:tcPr>
          <w:p w14:paraId="4E47313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1C38AD7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456403A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28EBF6F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7F6DC2B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26" w:type="dxa"/>
            <w:tcBorders>
              <w:top w:val="nil"/>
              <w:left w:val="nil"/>
              <w:bottom w:val="nil"/>
              <w:right w:val="single" w:sz="8" w:space="0" w:color="auto"/>
            </w:tcBorders>
            <w:shd w:val="clear" w:color="auto" w:fill="auto"/>
            <w:noWrap/>
            <w:vAlign w:val="center"/>
            <w:hideMark/>
          </w:tcPr>
          <w:p w14:paraId="30D3925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3FA0EAF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1B61FE4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19641A9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305D134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7DB997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53FED45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7224438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743E6D0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9EA66C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07514F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6B3190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FD5248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7EE7EF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22D6C13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581</w:t>
            </w:r>
          </w:p>
        </w:tc>
      </w:tr>
      <w:tr w:rsidR="00E126C7" w:rsidRPr="00E126C7" w14:paraId="27C02439"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5394610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CARE-MS II</w:t>
            </w:r>
          </w:p>
        </w:tc>
        <w:tc>
          <w:tcPr>
            <w:tcW w:w="346" w:type="dxa"/>
            <w:tcBorders>
              <w:top w:val="nil"/>
              <w:left w:val="nil"/>
              <w:bottom w:val="nil"/>
              <w:right w:val="nil"/>
            </w:tcBorders>
            <w:shd w:val="clear" w:color="auto" w:fill="auto"/>
            <w:noWrap/>
            <w:vAlign w:val="center"/>
            <w:hideMark/>
          </w:tcPr>
          <w:p w14:paraId="7E5A979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475699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5760D6D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391EE23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0D9A90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6936693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26" w:type="dxa"/>
            <w:tcBorders>
              <w:top w:val="nil"/>
              <w:left w:val="nil"/>
              <w:bottom w:val="nil"/>
              <w:right w:val="single" w:sz="8" w:space="0" w:color="auto"/>
            </w:tcBorders>
            <w:shd w:val="clear" w:color="auto" w:fill="auto"/>
            <w:noWrap/>
            <w:vAlign w:val="center"/>
            <w:hideMark/>
          </w:tcPr>
          <w:p w14:paraId="676ECC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20B6972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17D25F1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7C976CC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83492D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73F3054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4D1E11D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5A0376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3E7A6EB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9F7405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D6B66B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C4FC3D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B1998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0007CE1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4678EA4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840</w:t>
            </w:r>
          </w:p>
        </w:tc>
      </w:tr>
      <w:tr w:rsidR="00E126C7" w:rsidRPr="00E126C7" w14:paraId="7D500C9E"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113A66F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CONFIRM</w:t>
            </w:r>
          </w:p>
        </w:tc>
        <w:tc>
          <w:tcPr>
            <w:tcW w:w="346" w:type="dxa"/>
            <w:tcBorders>
              <w:top w:val="nil"/>
              <w:left w:val="nil"/>
              <w:bottom w:val="nil"/>
              <w:right w:val="nil"/>
            </w:tcBorders>
            <w:shd w:val="clear" w:color="auto" w:fill="auto"/>
            <w:noWrap/>
            <w:vAlign w:val="center"/>
            <w:hideMark/>
          </w:tcPr>
          <w:p w14:paraId="088BE2E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98D5A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3ED556A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196B595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464FD37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7F7093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1CD7D82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1F8C998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FE99FF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70AA7FC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7F3CB6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3ED01D5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51027F6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67DE62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97082B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C53AD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1258E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8CA31D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FE8267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6818264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018242F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1430</w:t>
            </w:r>
          </w:p>
        </w:tc>
      </w:tr>
      <w:tr w:rsidR="00E126C7" w:rsidRPr="00E126C7" w14:paraId="5326E28E"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0300F22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COPOLYMER 1</w:t>
            </w:r>
          </w:p>
        </w:tc>
        <w:tc>
          <w:tcPr>
            <w:tcW w:w="346" w:type="dxa"/>
            <w:tcBorders>
              <w:top w:val="nil"/>
              <w:left w:val="nil"/>
              <w:bottom w:val="nil"/>
              <w:right w:val="nil"/>
            </w:tcBorders>
            <w:shd w:val="clear" w:color="auto" w:fill="auto"/>
            <w:noWrap/>
            <w:vAlign w:val="center"/>
            <w:hideMark/>
          </w:tcPr>
          <w:p w14:paraId="56567EA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4F44FD1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24AE76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53FD807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3F35AE1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096595C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26" w:type="dxa"/>
            <w:tcBorders>
              <w:top w:val="nil"/>
              <w:left w:val="nil"/>
              <w:bottom w:val="nil"/>
              <w:right w:val="single" w:sz="8" w:space="0" w:color="auto"/>
            </w:tcBorders>
            <w:shd w:val="clear" w:color="auto" w:fill="auto"/>
            <w:noWrap/>
            <w:vAlign w:val="center"/>
            <w:hideMark/>
          </w:tcPr>
          <w:p w14:paraId="192FEE2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5ED109F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147920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05DAF6B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3C36772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89" w:type="dxa"/>
            <w:tcBorders>
              <w:top w:val="nil"/>
              <w:left w:val="nil"/>
              <w:bottom w:val="nil"/>
              <w:right w:val="nil"/>
            </w:tcBorders>
            <w:shd w:val="clear" w:color="auto" w:fill="auto"/>
            <w:noWrap/>
            <w:vAlign w:val="center"/>
            <w:hideMark/>
          </w:tcPr>
          <w:p w14:paraId="1087173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2992B4A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7C2A624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010953A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DDAEBE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29A077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A1E3FA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57C72B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224A6F5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C9D21D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251</w:t>
            </w:r>
          </w:p>
        </w:tc>
      </w:tr>
      <w:tr w:rsidR="00E126C7" w:rsidRPr="00E126C7" w14:paraId="260909C3"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15CE520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DEFINE</w:t>
            </w:r>
          </w:p>
        </w:tc>
        <w:tc>
          <w:tcPr>
            <w:tcW w:w="346" w:type="dxa"/>
            <w:tcBorders>
              <w:top w:val="nil"/>
              <w:left w:val="nil"/>
              <w:bottom w:val="nil"/>
              <w:right w:val="nil"/>
            </w:tcBorders>
            <w:shd w:val="clear" w:color="auto" w:fill="auto"/>
            <w:noWrap/>
            <w:vAlign w:val="center"/>
            <w:hideMark/>
          </w:tcPr>
          <w:p w14:paraId="272EAF3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4504997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5C7F29F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1579BF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AA5F2A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4B5B14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002FAF3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406112C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671AB2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06397FF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66EFDD7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1B0FB57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44B12F2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C6BE43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321E9FB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BE12C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86F7DD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83B98B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415D943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3E0CF57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23212D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1237</w:t>
            </w:r>
          </w:p>
        </w:tc>
      </w:tr>
      <w:tr w:rsidR="00E126C7" w:rsidRPr="00E126C7" w14:paraId="3E9F05C5"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43C840E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roofErr w:type="spellStart"/>
            <w:r w:rsidRPr="00E126C7">
              <w:rPr>
                <w:rFonts w:ascii="Times New Roman" w:eastAsia="Times New Roman" w:hAnsi="Times New Roman" w:cs="Times New Roman"/>
                <w:color w:val="000000"/>
                <w:sz w:val="14"/>
                <w:szCs w:val="14"/>
              </w:rPr>
              <w:t>Eur</w:t>
            </w:r>
            <w:proofErr w:type="spellEnd"/>
            <w:r w:rsidRPr="00E126C7">
              <w:rPr>
                <w:rFonts w:ascii="Times New Roman" w:eastAsia="Times New Roman" w:hAnsi="Times New Roman" w:cs="Times New Roman"/>
                <w:color w:val="000000"/>
                <w:sz w:val="14"/>
                <w:szCs w:val="14"/>
              </w:rPr>
              <w:t>/Can GA</w:t>
            </w:r>
          </w:p>
        </w:tc>
        <w:tc>
          <w:tcPr>
            <w:tcW w:w="346" w:type="dxa"/>
            <w:tcBorders>
              <w:top w:val="nil"/>
              <w:left w:val="nil"/>
              <w:bottom w:val="nil"/>
              <w:right w:val="nil"/>
            </w:tcBorders>
            <w:shd w:val="clear" w:color="auto" w:fill="auto"/>
            <w:noWrap/>
            <w:vAlign w:val="center"/>
            <w:hideMark/>
          </w:tcPr>
          <w:p w14:paraId="746EA73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54111B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349" w:type="dxa"/>
            <w:tcBorders>
              <w:top w:val="nil"/>
              <w:left w:val="nil"/>
              <w:bottom w:val="nil"/>
              <w:right w:val="nil"/>
            </w:tcBorders>
            <w:shd w:val="clear" w:color="auto" w:fill="auto"/>
            <w:noWrap/>
            <w:vAlign w:val="center"/>
            <w:hideMark/>
          </w:tcPr>
          <w:p w14:paraId="2F61A46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4FEE057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08" w:type="dxa"/>
            <w:tcBorders>
              <w:top w:val="nil"/>
              <w:left w:val="nil"/>
              <w:bottom w:val="nil"/>
              <w:right w:val="nil"/>
            </w:tcBorders>
            <w:shd w:val="clear" w:color="auto" w:fill="auto"/>
            <w:noWrap/>
            <w:vAlign w:val="center"/>
            <w:hideMark/>
          </w:tcPr>
          <w:p w14:paraId="7953DF6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21AF19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55718F9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009DD8F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1" w:type="dxa"/>
            <w:tcBorders>
              <w:top w:val="nil"/>
              <w:left w:val="nil"/>
              <w:bottom w:val="nil"/>
              <w:right w:val="nil"/>
            </w:tcBorders>
            <w:shd w:val="clear" w:color="auto" w:fill="auto"/>
            <w:noWrap/>
            <w:vAlign w:val="center"/>
            <w:hideMark/>
          </w:tcPr>
          <w:p w14:paraId="4299380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0B0806A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4DF4990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3BA053C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10BABAC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669C5B0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175DFE1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BEA195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2EDBF0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6A772E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0EF545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1884753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2C90808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239</w:t>
            </w:r>
          </w:p>
        </w:tc>
      </w:tr>
      <w:tr w:rsidR="00E126C7" w:rsidRPr="00E126C7" w14:paraId="5878014B"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75AD2AC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FREEDOMS</w:t>
            </w:r>
          </w:p>
        </w:tc>
        <w:tc>
          <w:tcPr>
            <w:tcW w:w="346" w:type="dxa"/>
            <w:tcBorders>
              <w:top w:val="nil"/>
              <w:left w:val="nil"/>
              <w:bottom w:val="nil"/>
              <w:right w:val="nil"/>
            </w:tcBorders>
            <w:shd w:val="clear" w:color="auto" w:fill="auto"/>
            <w:noWrap/>
            <w:vAlign w:val="center"/>
            <w:hideMark/>
          </w:tcPr>
          <w:p w14:paraId="0F4F412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6E8350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3EBFCE4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5F59FCF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1A4A9B4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3B32A1F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207C780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621511E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5D5C02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2DDA302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26759DE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0937BC6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3A437D3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4A27202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A09B0C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0D024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C20AA2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C2BB62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3F74A1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10E2F5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6DF12DD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1272</w:t>
            </w:r>
          </w:p>
        </w:tc>
      </w:tr>
      <w:tr w:rsidR="00E126C7" w:rsidRPr="00E126C7" w14:paraId="495A1B7C"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0ED68E0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FREEDOMS II</w:t>
            </w:r>
          </w:p>
        </w:tc>
        <w:tc>
          <w:tcPr>
            <w:tcW w:w="346" w:type="dxa"/>
            <w:tcBorders>
              <w:top w:val="nil"/>
              <w:left w:val="nil"/>
              <w:bottom w:val="nil"/>
              <w:right w:val="nil"/>
            </w:tcBorders>
            <w:shd w:val="clear" w:color="auto" w:fill="auto"/>
            <w:noWrap/>
            <w:vAlign w:val="center"/>
            <w:hideMark/>
          </w:tcPr>
          <w:p w14:paraId="5812D4E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657F0E5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5655163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1941045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6E5002F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0E8FF3D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438A34A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2813CC2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1A8CD9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288C663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2D391BA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02E7865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07190D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6719387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4D98857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F44F90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412505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DA2034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B64D8E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06E186B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4F9AC7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1083</w:t>
            </w:r>
          </w:p>
        </w:tc>
      </w:tr>
      <w:tr w:rsidR="00E126C7" w:rsidRPr="00E126C7" w14:paraId="3834961F"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20DD3E1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GALA</w:t>
            </w:r>
          </w:p>
        </w:tc>
        <w:tc>
          <w:tcPr>
            <w:tcW w:w="346" w:type="dxa"/>
            <w:tcBorders>
              <w:top w:val="nil"/>
              <w:left w:val="nil"/>
              <w:bottom w:val="nil"/>
              <w:right w:val="nil"/>
            </w:tcBorders>
            <w:shd w:val="clear" w:color="auto" w:fill="auto"/>
            <w:noWrap/>
            <w:vAlign w:val="center"/>
            <w:hideMark/>
          </w:tcPr>
          <w:p w14:paraId="62A49EB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606AF8C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02D6B9A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029CB0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501DBC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1FE3DA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03509F1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46F3F56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181AEF5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5C5C31B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7ED4A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45416A0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798D04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31FB354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0D37B93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DCA27D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F670BF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F41F62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08D8C6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614F97C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457F1AD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1404</w:t>
            </w:r>
          </w:p>
        </w:tc>
      </w:tr>
      <w:tr w:rsidR="00E126C7" w:rsidRPr="00E126C7" w14:paraId="00C1C330"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center"/>
            <w:hideMark/>
          </w:tcPr>
          <w:p w14:paraId="5470071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GATE</w:t>
            </w:r>
          </w:p>
        </w:tc>
        <w:tc>
          <w:tcPr>
            <w:tcW w:w="346" w:type="dxa"/>
            <w:tcBorders>
              <w:top w:val="nil"/>
              <w:left w:val="nil"/>
              <w:bottom w:val="nil"/>
              <w:right w:val="nil"/>
            </w:tcBorders>
            <w:shd w:val="clear" w:color="auto" w:fill="auto"/>
            <w:noWrap/>
            <w:vAlign w:val="center"/>
            <w:hideMark/>
          </w:tcPr>
          <w:p w14:paraId="68CBEEE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2997BB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052D281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30674B1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05B800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7EF81E3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0FAC1D8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58F51C6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1" w:type="dxa"/>
            <w:tcBorders>
              <w:top w:val="nil"/>
              <w:left w:val="nil"/>
              <w:bottom w:val="nil"/>
              <w:right w:val="nil"/>
            </w:tcBorders>
            <w:shd w:val="clear" w:color="auto" w:fill="auto"/>
            <w:noWrap/>
            <w:vAlign w:val="center"/>
            <w:hideMark/>
          </w:tcPr>
          <w:p w14:paraId="4E4F983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5E909A4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6C7A82A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32F2649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180978F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3E72E84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9460DB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F88ED1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2FD3DE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83C0AE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27B06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34C399D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4EF0A39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796</w:t>
            </w:r>
          </w:p>
        </w:tc>
      </w:tr>
      <w:tr w:rsidR="00E126C7" w:rsidRPr="00E126C7" w14:paraId="3BD19F77"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2469B34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GOLDEN</w:t>
            </w:r>
          </w:p>
        </w:tc>
        <w:tc>
          <w:tcPr>
            <w:tcW w:w="346" w:type="dxa"/>
            <w:tcBorders>
              <w:top w:val="nil"/>
              <w:left w:val="nil"/>
              <w:bottom w:val="nil"/>
              <w:right w:val="nil"/>
            </w:tcBorders>
            <w:shd w:val="clear" w:color="auto" w:fill="auto"/>
            <w:noWrap/>
            <w:vAlign w:val="center"/>
            <w:hideMark/>
          </w:tcPr>
          <w:p w14:paraId="0610408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388953A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349" w:type="dxa"/>
            <w:tcBorders>
              <w:top w:val="nil"/>
              <w:left w:val="nil"/>
              <w:bottom w:val="nil"/>
              <w:right w:val="nil"/>
            </w:tcBorders>
            <w:shd w:val="clear" w:color="auto" w:fill="auto"/>
            <w:noWrap/>
            <w:vAlign w:val="center"/>
            <w:hideMark/>
          </w:tcPr>
          <w:p w14:paraId="075BEC0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07" w:type="dxa"/>
            <w:tcBorders>
              <w:top w:val="nil"/>
              <w:left w:val="nil"/>
              <w:bottom w:val="nil"/>
              <w:right w:val="single" w:sz="8" w:space="0" w:color="auto"/>
            </w:tcBorders>
            <w:shd w:val="clear" w:color="auto" w:fill="auto"/>
            <w:noWrap/>
            <w:vAlign w:val="center"/>
            <w:hideMark/>
          </w:tcPr>
          <w:p w14:paraId="6C799D8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109E3D7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2" w:type="dxa"/>
            <w:tcBorders>
              <w:top w:val="nil"/>
              <w:left w:val="nil"/>
              <w:bottom w:val="nil"/>
              <w:right w:val="nil"/>
            </w:tcBorders>
            <w:shd w:val="clear" w:color="auto" w:fill="auto"/>
            <w:noWrap/>
            <w:vAlign w:val="center"/>
            <w:hideMark/>
          </w:tcPr>
          <w:p w14:paraId="21A8887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5989458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023E35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2788CC9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461E818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1B5BBE0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2996164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996" w:type="dxa"/>
            <w:tcBorders>
              <w:top w:val="nil"/>
              <w:left w:val="nil"/>
              <w:bottom w:val="nil"/>
              <w:right w:val="single" w:sz="8" w:space="0" w:color="auto"/>
            </w:tcBorders>
            <w:shd w:val="clear" w:color="auto" w:fill="auto"/>
            <w:noWrap/>
            <w:vAlign w:val="center"/>
            <w:hideMark/>
          </w:tcPr>
          <w:p w14:paraId="7DE114F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3EEEB8B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67308AD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C4BFFF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AA7DC6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34C0542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169677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53B2E70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1566E4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157</w:t>
            </w:r>
          </w:p>
        </w:tc>
      </w:tr>
      <w:tr w:rsidR="00E126C7" w:rsidRPr="00E126C7" w14:paraId="4DCC6188"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73DF73D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MSCRG</w:t>
            </w:r>
          </w:p>
        </w:tc>
        <w:tc>
          <w:tcPr>
            <w:tcW w:w="346" w:type="dxa"/>
            <w:tcBorders>
              <w:top w:val="nil"/>
              <w:left w:val="nil"/>
              <w:bottom w:val="nil"/>
              <w:right w:val="nil"/>
            </w:tcBorders>
            <w:shd w:val="clear" w:color="auto" w:fill="auto"/>
            <w:noWrap/>
            <w:vAlign w:val="center"/>
            <w:hideMark/>
          </w:tcPr>
          <w:p w14:paraId="5E6CEB1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1384548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349" w:type="dxa"/>
            <w:tcBorders>
              <w:top w:val="nil"/>
              <w:left w:val="nil"/>
              <w:bottom w:val="nil"/>
              <w:right w:val="nil"/>
            </w:tcBorders>
            <w:shd w:val="clear" w:color="auto" w:fill="auto"/>
            <w:noWrap/>
            <w:vAlign w:val="center"/>
            <w:hideMark/>
          </w:tcPr>
          <w:p w14:paraId="56ABCA8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707" w:type="dxa"/>
            <w:tcBorders>
              <w:top w:val="nil"/>
              <w:left w:val="nil"/>
              <w:bottom w:val="nil"/>
              <w:right w:val="single" w:sz="8" w:space="0" w:color="auto"/>
            </w:tcBorders>
            <w:shd w:val="clear" w:color="auto" w:fill="auto"/>
            <w:noWrap/>
            <w:vAlign w:val="center"/>
            <w:hideMark/>
          </w:tcPr>
          <w:p w14:paraId="1786B208"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608" w:type="dxa"/>
            <w:tcBorders>
              <w:top w:val="nil"/>
              <w:left w:val="nil"/>
              <w:bottom w:val="nil"/>
              <w:right w:val="nil"/>
            </w:tcBorders>
            <w:shd w:val="clear" w:color="auto" w:fill="auto"/>
            <w:noWrap/>
            <w:vAlign w:val="center"/>
            <w:hideMark/>
          </w:tcPr>
          <w:p w14:paraId="2568ADD5"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682" w:type="dxa"/>
            <w:tcBorders>
              <w:top w:val="nil"/>
              <w:left w:val="nil"/>
              <w:bottom w:val="nil"/>
              <w:right w:val="nil"/>
            </w:tcBorders>
            <w:shd w:val="clear" w:color="auto" w:fill="auto"/>
            <w:noWrap/>
            <w:vAlign w:val="center"/>
            <w:hideMark/>
          </w:tcPr>
          <w:p w14:paraId="3BE17E73"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p>
        </w:tc>
        <w:tc>
          <w:tcPr>
            <w:tcW w:w="726" w:type="dxa"/>
            <w:tcBorders>
              <w:top w:val="nil"/>
              <w:left w:val="nil"/>
              <w:bottom w:val="nil"/>
              <w:right w:val="single" w:sz="8" w:space="0" w:color="auto"/>
            </w:tcBorders>
            <w:shd w:val="clear" w:color="auto" w:fill="auto"/>
            <w:noWrap/>
            <w:vAlign w:val="center"/>
            <w:hideMark/>
          </w:tcPr>
          <w:p w14:paraId="54BCD2D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493" w:type="dxa"/>
            <w:tcBorders>
              <w:top w:val="nil"/>
              <w:left w:val="nil"/>
              <w:bottom w:val="nil"/>
              <w:right w:val="nil"/>
            </w:tcBorders>
            <w:shd w:val="clear" w:color="auto" w:fill="auto"/>
            <w:noWrap/>
            <w:vAlign w:val="center"/>
            <w:hideMark/>
          </w:tcPr>
          <w:p w14:paraId="6AF1BD33"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551" w:type="dxa"/>
            <w:tcBorders>
              <w:top w:val="nil"/>
              <w:left w:val="nil"/>
              <w:bottom w:val="nil"/>
              <w:right w:val="nil"/>
            </w:tcBorders>
            <w:shd w:val="clear" w:color="auto" w:fill="auto"/>
            <w:noWrap/>
            <w:vAlign w:val="center"/>
            <w:hideMark/>
          </w:tcPr>
          <w:p w14:paraId="56F43CB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553" w:type="dxa"/>
            <w:tcBorders>
              <w:top w:val="nil"/>
              <w:left w:val="nil"/>
              <w:bottom w:val="nil"/>
              <w:right w:val="single" w:sz="8" w:space="0" w:color="auto"/>
            </w:tcBorders>
            <w:shd w:val="clear" w:color="auto" w:fill="auto"/>
            <w:noWrap/>
            <w:vAlign w:val="center"/>
            <w:hideMark/>
          </w:tcPr>
          <w:p w14:paraId="72CA4DF6"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690" w:type="dxa"/>
            <w:tcBorders>
              <w:top w:val="nil"/>
              <w:left w:val="nil"/>
              <w:bottom w:val="nil"/>
              <w:right w:val="nil"/>
            </w:tcBorders>
            <w:shd w:val="clear" w:color="auto" w:fill="auto"/>
            <w:noWrap/>
            <w:vAlign w:val="center"/>
            <w:hideMark/>
          </w:tcPr>
          <w:p w14:paraId="561DBE8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789" w:type="dxa"/>
            <w:tcBorders>
              <w:top w:val="nil"/>
              <w:left w:val="nil"/>
              <w:bottom w:val="nil"/>
              <w:right w:val="nil"/>
            </w:tcBorders>
            <w:shd w:val="clear" w:color="auto" w:fill="auto"/>
            <w:noWrap/>
            <w:vAlign w:val="center"/>
            <w:hideMark/>
          </w:tcPr>
          <w:p w14:paraId="4E22BA6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996" w:type="dxa"/>
            <w:tcBorders>
              <w:top w:val="nil"/>
              <w:left w:val="nil"/>
              <w:bottom w:val="nil"/>
              <w:right w:val="single" w:sz="8" w:space="0" w:color="auto"/>
            </w:tcBorders>
            <w:shd w:val="clear" w:color="auto" w:fill="auto"/>
            <w:noWrap/>
            <w:vAlign w:val="center"/>
            <w:hideMark/>
          </w:tcPr>
          <w:p w14:paraId="2554C859" w14:textId="77777777" w:rsidR="00E126C7" w:rsidRPr="00E126C7" w:rsidRDefault="00E126C7" w:rsidP="00E126C7">
            <w:pPr>
              <w:spacing w:after="0" w:line="240" w:lineRule="auto"/>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584" w:type="dxa"/>
            <w:tcBorders>
              <w:top w:val="nil"/>
              <w:left w:val="nil"/>
              <w:bottom w:val="nil"/>
              <w:right w:val="nil"/>
            </w:tcBorders>
            <w:shd w:val="clear" w:color="auto" w:fill="auto"/>
            <w:noWrap/>
            <w:vAlign w:val="center"/>
            <w:hideMark/>
          </w:tcPr>
          <w:p w14:paraId="4096BF2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584" w:type="dxa"/>
            <w:tcBorders>
              <w:top w:val="nil"/>
              <w:left w:val="nil"/>
              <w:bottom w:val="nil"/>
              <w:right w:val="nil"/>
            </w:tcBorders>
            <w:shd w:val="clear" w:color="auto" w:fill="auto"/>
            <w:noWrap/>
            <w:vAlign w:val="center"/>
            <w:hideMark/>
          </w:tcPr>
          <w:p w14:paraId="722FCCD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584" w:type="dxa"/>
            <w:tcBorders>
              <w:top w:val="nil"/>
              <w:left w:val="nil"/>
              <w:bottom w:val="nil"/>
              <w:right w:val="nil"/>
            </w:tcBorders>
            <w:shd w:val="clear" w:color="auto" w:fill="auto"/>
            <w:noWrap/>
            <w:vAlign w:val="center"/>
            <w:hideMark/>
          </w:tcPr>
          <w:p w14:paraId="2ED29BF1"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0B530CF"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21E613F"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28584E2"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7" w:type="dxa"/>
            <w:tcBorders>
              <w:top w:val="nil"/>
              <w:left w:val="nil"/>
              <w:bottom w:val="nil"/>
              <w:right w:val="nil"/>
            </w:tcBorders>
            <w:shd w:val="clear" w:color="auto" w:fill="auto"/>
            <w:noWrap/>
            <w:vAlign w:val="center"/>
            <w:hideMark/>
          </w:tcPr>
          <w:p w14:paraId="57478128"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984" w:type="dxa"/>
            <w:tcBorders>
              <w:top w:val="nil"/>
              <w:left w:val="single" w:sz="8" w:space="0" w:color="auto"/>
              <w:bottom w:val="nil"/>
              <w:right w:val="single" w:sz="8" w:space="0" w:color="auto"/>
            </w:tcBorders>
            <w:shd w:val="clear" w:color="auto" w:fill="auto"/>
            <w:noWrap/>
            <w:vAlign w:val="center"/>
            <w:hideMark/>
          </w:tcPr>
          <w:p w14:paraId="6D32B81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301</w:t>
            </w:r>
          </w:p>
        </w:tc>
      </w:tr>
      <w:tr w:rsidR="00E126C7" w:rsidRPr="00E126C7" w14:paraId="427F6EA8"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34C673E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OPERA I</w:t>
            </w:r>
          </w:p>
        </w:tc>
        <w:tc>
          <w:tcPr>
            <w:tcW w:w="346" w:type="dxa"/>
            <w:tcBorders>
              <w:top w:val="nil"/>
              <w:left w:val="nil"/>
              <w:bottom w:val="nil"/>
              <w:right w:val="nil"/>
            </w:tcBorders>
            <w:shd w:val="clear" w:color="auto" w:fill="auto"/>
            <w:noWrap/>
            <w:vAlign w:val="center"/>
            <w:hideMark/>
          </w:tcPr>
          <w:p w14:paraId="3C59220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427C7BA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3CA1A11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1FAD07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4C0E62C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5EEF6D7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22464E0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7E2C7BC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0B951FD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72F43F5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1F2E050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4384C30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573AAE5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13E644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19974C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72285C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2724C0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5DA84C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B23910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0E801DE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6408D92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821</w:t>
            </w:r>
          </w:p>
        </w:tc>
      </w:tr>
      <w:tr w:rsidR="00E126C7" w:rsidRPr="00E126C7" w14:paraId="02476209"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2DC4F36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OPERA II</w:t>
            </w:r>
          </w:p>
        </w:tc>
        <w:tc>
          <w:tcPr>
            <w:tcW w:w="346" w:type="dxa"/>
            <w:tcBorders>
              <w:top w:val="nil"/>
              <w:left w:val="nil"/>
              <w:bottom w:val="nil"/>
              <w:right w:val="nil"/>
            </w:tcBorders>
            <w:shd w:val="clear" w:color="auto" w:fill="auto"/>
            <w:noWrap/>
            <w:vAlign w:val="center"/>
            <w:hideMark/>
          </w:tcPr>
          <w:p w14:paraId="77BB98F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2E89CB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60D1EA7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701D593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30F42F0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22BC10C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23DD87B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04ABC83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4D2C35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33FEFC5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58238F2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6737236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49552F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63FDFE9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221D05D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E7666F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F590BB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6233A3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107DBF9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432C4C7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57D483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835</w:t>
            </w:r>
          </w:p>
        </w:tc>
      </w:tr>
      <w:tr w:rsidR="00E126C7" w:rsidRPr="00E126C7" w14:paraId="09207106"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0788ABC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OPTIMUM</w:t>
            </w:r>
          </w:p>
        </w:tc>
        <w:tc>
          <w:tcPr>
            <w:tcW w:w="346" w:type="dxa"/>
            <w:tcBorders>
              <w:top w:val="nil"/>
              <w:left w:val="nil"/>
              <w:bottom w:val="nil"/>
              <w:right w:val="nil"/>
            </w:tcBorders>
            <w:shd w:val="clear" w:color="auto" w:fill="auto"/>
            <w:noWrap/>
            <w:vAlign w:val="center"/>
            <w:hideMark/>
          </w:tcPr>
          <w:p w14:paraId="2132566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232949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01F5CF3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4E1C328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2ACB8C0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5DC7979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4D0FA51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6C3E564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2E7FB3B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741F0F1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90" w:type="dxa"/>
            <w:tcBorders>
              <w:top w:val="nil"/>
              <w:left w:val="single" w:sz="8" w:space="0" w:color="auto"/>
              <w:bottom w:val="nil"/>
              <w:right w:val="nil"/>
            </w:tcBorders>
            <w:shd w:val="clear" w:color="auto" w:fill="auto"/>
            <w:noWrap/>
            <w:vAlign w:val="center"/>
            <w:hideMark/>
          </w:tcPr>
          <w:p w14:paraId="6692860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1E2C758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2AA4FA8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62CFCD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56ED9DF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4D244A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41A19E4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041E65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B2E0AD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2063C54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2E9444C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1133</w:t>
            </w:r>
          </w:p>
        </w:tc>
      </w:tr>
      <w:tr w:rsidR="00E126C7" w:rsidRPr="00E126C7" w14:paraId="6FE987EE"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3C9CB30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RADIANCE B</w:t>
            </w:r>
          </w:p>
        </w:tc>
        <w:tc>
          <w:tcPr>
            <w:tcW w:w="346" w:type="dxa"/>
            <w:tcBorders>
              <w:top w:val="nil"/>
              <w:left w:val="nil"/>
              <w:bottom w:val="nil"/>
              <w:right w:val="nil"/>
            </w:tcBorders>
            <w:shd w:val="clear" w:color="auto" w:fill="auto"/>
            <w:noWrap/>
            <w:vAlign w:val="center"/>
            <w:hideMark/>
          </w:tcPr>
          <w:p w14:paraId="628C975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4697AEB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44176E5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51F0C5B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1CDEBE1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282FA82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4752258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357570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75723F2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3AED7BC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43B18B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0D33600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06F7F41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715BE06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6CBBFB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29DC74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9F2C1B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0FF4C6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D23B73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2E383C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3E70293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1320</w:t>
            </w:r>
          </w:p>
        </w:tc>
      </w:tr>
      <w:tr w:rsidR="00E126C7" w:rsidRPr="00E126C7" w14:paraId="436E67FC"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6D109FB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REGARD</w:t>
            </w:r>
          </w:p>
        </w:tc>
        <w:tc>
          <w:tcPr>
            <w:tcW w:w="346" w:type="dxa"/>
            <w:tcBorders>
              <w:top w:val="nil"/>
              <w:left w:val="nil"/>
              <w:bottom w:val="nil"/>
              <w:right w:val="nil"/>
            </w:tcBorders>
            <w:shd w:val="clear" w:color="auto" w:fill="auto"/>
            <w:noWrap/>
            <w:vAlign w:val="center"/>
            <w:hideMark/>
          </w:tcPr>
          <w:p w14:paraId="31CBD27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73563F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349" w:type="dxa"/>
            <w:tcBorders>
              <w:top w:val="nil"/>
              <w:left w:val="nil"/>
              <w:bottom w:val="nil"/>
              <w:right w:val="nil"/>
            </w:tcBorders>
            <w:shd w:val="clear" w:color="auto" w:fill="auto"/>
            <w:noWrap/>
            <w:vAlign w:val="center"/>
            <w:hideMark/>
          </w:tcPr>
          <w:p w14:paraId="4EC3802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07" w:type="dxa"/>
            <w:tcBorders>
              <w:top w:val="nil"/>
              <w:left w:val="nil"/>
              <w:bottom w:val="nil"/>
              <w:right w:val="single" w:sz="8" w:space="0" w:color="auto"/>
            </w:tcBorders>
            <w:shd w:val="clear" w:color="auto" w:fill="auto"/>
            <w:noWrap/>
            <w:vAlign w:val="center"/>
            <w:hideMark/>
          </w:tcPr>
          <w:p w14:paraId="3D188FD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252267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2" w:type="dxa"/>
            <w:tcBorders>
              <w:top w:val="nil"/>
              <w:left w:val="nil"/>
              <w:bottom w:val="nil"/>
              <w:right w:val="nil"/>
            </w:tcBorders>
            <w:shd w:val="clear" w:color="auto" w:fill="auto"/>
            <w:noWrap/>
            <w:vAlign w:val="center"/>
            <w:hideMark/>
          </w:tcPr>
          <w:p w14:paraId="549B298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5F96039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93" w:type="dxa"/>
            <w:tcBorders>
              <w:top w:val="nil"/>
              <w:left w:val="nil"/>
              <w:bottom w:val="nil"/>
              <w:right w:val="nil"/>
            </w:tcBorders>
            <w:shd w:val="clear" w:color="auto" w:fill="auto"/>
            <w:noWrap/>
            <w:vAlign w:val="center"/>
            <w:hideMark/>
          </w:tcPr>
          <w:p w14:paraId="19141A3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333D599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53A39C0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46A570A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53E0057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543EB30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0466AC4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71EBAAA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8FED5D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635E2E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2F2376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E7772E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477FFA7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13B9368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764</w:t>
            </w:r>
          </w:p>
        </w:tc>
      </w:tr>
      <w:tr w:rsidR="00E126C7" w:rsidRPr="00E126C7" w14:paraId="26501CBB"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7D98013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SUNBEAM</w:t>
            </w:r>
          </w:p>
        </w:tc>
        <w:tc>
          <w:tcPr>
            <w:tcW w:w="346" w:type="dxa"/>
            <w:tcBorders>
              <w:top w:val="nil"/>
              <w:left w:val="nil"/>
              <w:bottom w:val="nil"/>
              <w:right w:val="nil"/>
            </w:tcBorders>
            <w:shd w:val="clear" w:color="auto" w:fill="auto"/>
            <w:noWrap/>
            <w:vAlign w:val="center"/>
            <w:hideMark/>
          </w:tcPr>
          <w:p w14:paraId="4B729C0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06D9844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61B369C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3AEF0C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FCDF60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1B64E9D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096B17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6C7CC64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09CF4B1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nil"/>
              <w:right w:val="nil"/>
            </w:tcBorders>
            <w:shd w:val="clear" w:color="auto" w:fill="auto"/>
            <w:noWrap/>
            <w:vAlign w:val="center"/>
            <w:hideMark/>
          </w:tcPr>
          <w:p w14:paraId="70816F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690" w:type="dxa"/>
            <w:tcBorders>
              <w:top w:val="nil"/>
              <w:left w:val="single" w:sz="8" w:space="0" w:color="auto"/>
              <w:bottom w:val="nil"/>
              <w:right w:val="nil"/>
            </w:tcBorders>
            <w:shd w:val="clear" w:color="auto" w:fill="auto"/>
            <w:noWrap/>
            <w:vAlign w:val="center"/>
            <w:hideMark/>
          </w:tcPr>
          <w:p w14:paraId="30A8046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38BD57A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52D88E0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58CCFBF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4AEAAAF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7AC973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3323DF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5980523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2AE01E1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7" w:type="dxa"/>
            <w:tcBorders>
              <w:top w:val="nil"/>
              <w:left w:val="nil"/>
              <w:bottom w:val="nil"/>
              <w:right w:val="single" w:sz="8" w:space="0" w:color="auto"/>
            </w:tcBorders>
            <w:shd w:val="clear" w:color="auto" w:fill="auto"/>
            <w:noWrap/>
            <w:vAlign w:val="center"/>
            <w:hideMark/>
          </w:tcPr>
          <w:p w14:paraId="72EF451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6039D93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1346</w:t>
            </w:r>
          </w:p>
        </w:tc>
      </w:tr>
      <w:tr w:rsidR="00E126C7" w:rsidRPr="00E126C7" w14:paraId="4F157F26" w14:textId="77777777" w:rsidTr="00E83127">
        <w:trPr>
          <w:trHeight w:val="222"/>
        </w:trPr>
        <w:tc>
          <w:tcPr>
            <w:tcW w:w="1327" w:type="dxa"/>
            <w:tcBorders>
              <w:top w:val="nil"/>
              <w:left w:val="single" w:sz="8" w:space="0" w:color="auto"/>
              <w:bottom w:val="nil"/>
              <w:right w:val="single" w:sz="8" w:space="0" w:color="auto"/>
            </w:tcBorders>
            <w:shd w:val="clear" w:color="auto" w:fill="auto"/>
            <w:noWrap/>
            <w:vAlign w:val="bottom"/>
            <w:hideMark/>
          </w:tcPr>
          <w:p w14:paraId="6A6AF96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TEMSO</w:t>
            </w:r>
          </w:p>
        </w:tc>
        <w:tc>
          <w:tcPr>
            <w:tcW w:w="346" w:type="dxa"/>
            <w:tcBorders>
              <w:top w:val="nil"/>
              <w:left w:val="nil"/>
              <w:bottom w:val="nil"/>
              <w:right w:val="nil"/>
            </w:tcBorders>
            <w:shd w:val="clear" w:color="auto" w:fill="auto"/>
            <w:noWrap/>
            <w:vAlign w:val="center"/>
            <w:hideMark/>
          </w:tcPr>
          <w:p w14:paraId="24EF3C4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346" w:type="dxa"/>
            <w:tcBorders>
              <w:top w:val="nil"/>
              <w:left w:val="nil"/>
              <w:bottom w:val="nil"/>
              <w:right w:val="nil"/>
            </w:tcBorders>
            <w:shd w:val="clear" w:color="auto" w:fill="auto"/>
            <w:noWrap/>
            <w:vAlign w:val="center"/>
            <w:hideMark/>
          </w:tcPr>
          <w:p w14:paraId="08E8A2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nil"/>
              <w:right w:val="nil"/>
            </w:tcBorders>
            <w:shd w:val="clear" w:color="auto" w:fill="auto"/>
            <w:noWrap/>
            <w:vAlign w:val="center"/>
            <w:hideMark/>
          </w:tcPr>
          <w:p w14:paraId="5FA064C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07" w:type="dxa"/>
            <w:tcBorders>
              <w:top w:val="nil"/>
              <w:left w:val="nil"/>
              <w:bottom w:val="nil"/>
              <w:right w:val="single" w:sz="8" w:space="0" w:color="auto"/>
            </w:tcBorders>
            <w:shd w:val="clear" w:color="auto" w:fill="auto"/>
            <w:noWrap/>
            <w:vAlign w:val="center"/>
            <w:hideMark/>
          </w:tcPr>
          <w:p w14:paraId="274777F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nil"/>
              <w:right w:val="nil"/>
            </w:tcBorders>
            <w:shd w:val="clear" w:color="auto" w:fill="auto"/>
            <w:noWrap/>
            <w:vAlign w:val="center"/>
            <w:hideMark/>
          </w:tcPr>
          <w:p w14:paraId="7BD13B3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nil"/>
              <w:right w:val="nil"/>
            </w:tcBorders>
            <w:shd w:val="clear" w:color="auto" w:fill="auto"/>
            <w:noWrap/>
            <w:vAlign w:val="center"/>
            <w:hideMark/>
          </w:tcPr>
          <w:p w14:paraId="24DA28B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26" w:type="dxa"/>
            <w:tcBorders>
              <w:top w:val="nil"/>
              <w:left w:val="nil"/>
              <w:bottom w:val="nil"/>
              <w:right w:val="single" w:sz="8" w:space="0" w:color="auto"/>
            </w:tcBorders>
            <w:shd w:val="clear" w:color="auto" w:fill="auto"/>
            <w:noWrap/>
            <w:vAlign w:val="center"/>
            <w:hideMark/>
          </w:tcPr>
          <w:p w14:paraId="6059C07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nil"/>
              <w:right w:val="nil"/>
            </w:tcBorders>
            <w:shd w:val="clear" w:color="auto" w:fill="auto"/>
            <w:noWrap/>
            <w:vAlign w:val="center"/>
            <w:hideMark/>
          </w:tcPr>
          <w:p w14:paraId="6E3A4F7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center"/>
            <w:hideMark/>
          </w:tcPr>
          <w:p w14:paraId="4E07F3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center"/>
            <w:hideMark/>
          </w:tcPr>
          <w:p w14:paraId="2223E29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90" w:type="dxa"/>
            <w:tcBorders>
              <w:top w:val="nil"/>
              <w:left w:val="single" w:sz="8" w:space="0" w:color="auto"/>
              <w:bottom w:val="nil"/>
              <w:right w:val="nil"/>
            </w:tcBorders>
            <w:shd w:val="clear" w:color="auto" w:fill="auto"/>
            <w:noWrap/>
            <w:vAlign w:val="center"/>
            <w:hideMark/>
          </w:tcPr>
          <w:p w14:paraId="55B9A61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nil"/>
              <w:right w:val="nil"/>
            </w:tcBorders>
            <w:shd w:val="clear" w:color="auto" w:fill="auto"/>
            <w:noWrap/>
            <w:vAlign w:val="center"/>
            <w:hideMark/>
          </w:tcPr>
          <w:p w14:paraId="4E264A6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996" w:type="dxa"/>
            <w:tcBorders>
              <w:top w:val="nil"/>
              <w:left w:val="nil"/>
              <w:bottom w:val="nil"/>
              <w:right w:val="single" w:sz="8" w:space="0" w:color="auto"/>
            </w:tcBorders>
            <w:shd w:val="clear" w:color="auto" w:fill="auto"/>
            <w:noWrap/>
            <w:vAlign w:val="center"/>
            <w:hideMark/>
          </w:tcPr>
          <w:p w14:paraId="2E0211A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206C66F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nil"/>
              <w:right w:val="nil"/>
            </w:tcBorders>
            <w:shd w:val="clear" w:color="auto" w:fill="auto"/>
            <w:noWrap/>
            <w:vAlign w:val="center"/>
            <w:hideMark/>
          </w:tcPr>
          <w:p w14:paraId="79B72B7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30C036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7EEB215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nil"/>
              <w:right w:val="nil"/>
            </w:tcBorders>
            <w:shd w:val="clear" w:color="auto" w:fill="auto"/>
            <w:noWrap/>
            <w:vAlign w:val="center"/>
            <w:hideMark/>
          </w:tcPr>
          <w:p w14:paraId="1D6A024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center"/>
            <w:hideMark/>
          </w:tcPr>
          <w:p w14:paraId="06E67D9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587" w:type="dxa"/>
            <w:tcBorders>
              <w:top w:val="nil"/>
              <w:left w:val="nil"/>
              <w:bottom w:val="nil"/>
              <w:right w:val="single" w:sz="8" w:space="0" w:color="auto"/>
            </w:tcBorders>
            <w:shd w:val="clear" w:color="auto" w:fill="auto"/>
            <w:noWrap/>
            <w:vAlign w:val="center"/>
            <w:hideMark/>
          </w:tcPr>
          <w:p w14:paraId="536DDA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nil"/>
              <w:right w:val="single" w:sz="8" w:space="0" w:color="auto"/>
            </w:tcBorders>
            <w:shd w:val="clear" w:color="auto" w:fill="auto"/>
            <w:noWrap/>
            <w:vAlign w:val="center"/>
            <w:hideMark/>
          </w:tcPr>
          <w:p w14:paraId="386D2AF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1088</w:t>
            </w:r>
          </w:p>
        </w:tc>
      </w:tr>
      <w:tr w:rsidR="00E126C7" w:rsidRPr="00E126C7" w14:paraId="6079895E" w14:textId="77777777" w:rsidTr="00E83127">
        <w:trPr>
          <w:trHeight w:val="222"/>
        </w:trPr>
        <w:tc>
          <w:tcPr>
            <w:tcW w:w="1327" w:type="dxa"/>
            <w:tcBorders>
              <w:top w:val="nil"/>
              <w:left w:val="single" w:sz="8" w:space="0" w:color="auto"/>
              <w:bottom w:val="single" w:sz="8" w:space="0" w:color="auto"/>
              <w:right w:val="single" w:sz="8" w:space="0" w:color="auto"/>
            </w:tcBorders>
            <w:shd w:val="clear" w:color="auto" w:fill="auto"/>
            <w:noWrap/>
            <w:vAlign w:val="bottom"/>
            <w:hideMark/>
          </w:tcPr>
          <w:p w14:paraId="06BBAA9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TRANSFORMS</w:t>
            </w:r>
          </w:p>
        </w:tc>
        <w:tc>
          <w:tcPr>
            <w:tcW w:w="346" w:type="dxa"/>
            <w:tcBorders>
              <w:top w:val="nil"/>
              <w:left w:val="nil"/>
              <w:bottom w:val="single" w:sz="8" w:space="0" w:color="auto"/>
              <w:right w:val="nil"/>
            </w:tcBorders>
            <w:shd w:val="clear" w:color="auto" w:fill="auto"/>
            <w:noWrap/>
            <w:vAlign w:val="center"/>
            <w:hideMark/>
          </w:tcPr>
          <w:p w14:paraId="688C889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346" w:type="dxa"/>
            <w:tcBorders>
              <w:top w:val="nil"/>
              <w:left w:val="nil"/>
              <w:bottom w:val="single" w:sz="8" w:space="0" w:color="auto"/>
              <w:right w:val="nil"/>
            </w:tcBorders>
            <w:shd w:val="clear" w:color="auto" w:fill="auto"/>
            <w:noWrap/>
            <w:vAlign w:val="center"/>
            <w:hideMark/>
          </w:tcPr>
          <w:p w14:paraId="7261275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349" w:type="dxa"/>
            <w:tcBorders>
              <w:top w:val="nil"/>
              <w:left w:val="nil"/>
              <w:bottom w:val="single" w:sz="8" w:space="0" w:color="auto"/>
              <w:right w:val="nil"/>
            </w:tcBorders>
            <w:shd w:val="clear" w:color="auto" w:fill="auto"/>
            <w:noWrap/>
            <w:vAlign w:val="center"/>
            <w:hideMark/>
          </w:tcPr>
          <w:p w14:paraId="142EA1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07" w:type="dxa"/>
            <w:tcBorders>
              <w:top w:val="nil"/>
              <w:left w:val="nil"/>
              <w:bottom w:val="single" w:sz="8" w:space="0" w:color="auto"/>
              <w:right w:val="single" w:sz="8" w:space="0" w:color="auto"/>
            </w:tcBorders>
            <w:shd w:val="clear" w:color="auto" w:fill="auto"/>
            <w:noWrap/>
            <w:vAlign w:val="center"/>
            <w:hideMark/>
          </w:tcPr>
          <w:p w14:paraId="5C04D8A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08" w:type="dxa"/>
            <w:tcBorders>
              <w:top w:val="nil"/>
              <w:left w:val="nil"/>
              <w:bottom w:val="single" w:sz="8" w:space="0" w:color="auto"/>
              <w:right w:val="nil"/>
            </w:tcBorders>
            <w:shd w:val="clear" w:color="auto" w:fill="auto"/>
            <w:noWrap/>
            <w:vAlign w:val="center"/>
            <w:hideMark/>
          </w:tcPr>
          <w:p w14:paraId="40F7728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82" w:type="dxa"/>
            <w:tcBorders>
              <w:top w:val="nil"/>
              <w:left w:val="nil"/>
              <w:bottom w:val="single" w:sz="8" w:space="0" w:color="auto"/>
              <w:right w:val="nil"/>
            </w:tcBorders>
            <w:shd w:val="clear" w:color="auto" w:fill="auto"/>
            <w:noWrap/>
            <w:vAlign w:val="center"/>
            <w:hideMark/>
          </w:tcPr>
          <w:p w14:paraId="6FF271C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26" w:type="dxa"/>
            <w:tcBorders>
              <w:top w:val="nil"/>
              <w:left w:val="nil"/>
              <w:bottom w:val="single" w:sz="8" w:space="0" w:color="auto"/>
              <w:right w:val="single" w:sz="8" w:space="0" w:color="auto"/>
            </w:tcBorders>
            <w:shd w:val="clear" w:color="auto" w:fill="auto"/>
            <w:noWrap/>
            <w:vAlign w:val="center"/>
            <w:hideMark/>
          </w:tcPr>
          <w:p w14:paraId="4304928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93" w:type="dxa"/>
            <w:tcBorders>
              <w:top w:val="nil"/>
              <w:left w:val="nil"/>
              <w:bottom w:val="single" w:sz="8" w:space="0" w:color="auto"/>
              <w:right w:val="nil"/>
            </w:tcBorders>
            <w:shd w:val="clear" w:color="auto" w:fill="auto"/>
            <w:noWrap/>
            <w:vAlign w:val="center"/>
            <w:hideMark/>
          </w:tcPr>
          <w:p w14:paraId="217507D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51" w:type="dxa"/>
            <w:tcBorders>
              <w:top w:val="nil"/>
              <w:left w:val="nil"/>
              <w:bottom w:val="single" w:sz="8" w:space="0" w:color="auto"/>
              <w:right w:val="nil"/>
            </w:tcBorders>
            <w:shd w:val="clear" w:color="auto" w:fill="auto"/>
            <w:noWrap/>
            <w:vAlign w:val="center"/>
            <w:hideMark/>
          </w:tcPr>
          <w:p w14:paraId="21BAF76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53" w:type="dxa"/>
            <w:tcBorders>
              <w:top w:val="nil"/>
              <w:left w:val="nil"/>
              <w:bottom w:val="single" w:sz="8" w:space="0" w:color="auto"/>
              <w:right w:val="nil"/>
            </w:tcBorders>
            <w:shd w:val="clear" w:color="auto" w:fill="auto"/>
            <w:noWrap/>
            <w:vAlign w:val="center"/>
            <w:hideMark/>
          </w:tcPr>
          <w:p w14:paraId="1CB1457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690" w:type="dxa"/>
            <w:tcBorders>
              <w:top w:val="nil"/>
              <w:left w:val="single" w:sz="8" w:space="0" w:color="auto"/>
              <w:bottom w:val="single" w:sz="8" w:space="0" w:color="auto"/>
              <w:right w:val="nil"/>
            </w:tcBorders>
            <w:shd w:val="clear" w:color="auto" w:fill="auto"/>
            <w:noWrap/>
            <w:vAlign w:val="center"/>
            <w:hideMark/>
          </w:tcPr>
          <w:p w14:paraId="57C3B2E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89" w:type="dxa"/>
            <w:tcBorders>
              <w:top w:val="nil"/>
              <w:left w:val="nil"/>
              <w:bottom w:val="single" w:sz="8" w:space="0" w:color="auto"/>
              <w:right w:val="nil"/>
            </w:tcBorders>
            <w:shd w:val="clear" w:color="auto" w:fill="auto"/>
            <w:noWrap/>
            <w:vAlign w:val="center"/>
            <w:hideMark/>
          </w:tcPr>
          <w:p w14:paraId="09B3811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96" w:type="dxa"/>
            <w:tcBorders>
              <w:top w:val="nil"/>
              <w:left w:val="nil"/>
              <w:bottom w:val="single" w:sz="8" w:space="0" w:color="auto"/>
              <w:right w:val="single" w:sz="8" w:space="0" w:color="auto"/>
            </w:tcBorders>
            <w:shd w:val="clear" w:color="auto" w:fill="auto"/>
            <w:noWrap/>
            <w:vAlign w:val="center"/>
            <w:hideMark/>
          </w:tcPr>
          <w:p w14:paraId="466B3CA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single" w:sz="8" w:space="0" w:color="auto"/>
              <w:right w:val="nil"/>
            </w:tcBorders>
            <w:shd w:val="clear" w:color="auto" w:fill="auto"/>
            <w:noWrap/>
            <w:vAlign w:val="center"/>
            <w:hideMark/>
          </w:tcPr>
          <w:p w14:paraId="1B026D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single" w:sz="8" w:space="0" w:color="auto"/>
              <w:right w:val="nil"/>
            </w:tcBorders>
            <w:shd w:val="clear" w:color="auto" w:fill="auto"/>
            <w:noWrap/>
            <w:vAlign w:val="center"/>
            <w:hideMark/>
          </w:tcPr>
          <w:p w14:paraId="4720F6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single" w:sz="8" w:space="0" w:color="auto"/>
              <w:right w:val="nil"/>
            </w:tcBorders>
            <w:shd w:val="clear" w:color="auto" w:fill="auto"/>
            <w:noWrap/>
            <w:vAlign w:val="center"/>
            <w:hideMark/>
          </w:tcPr>
          <w:p w14:paraId="5696097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single" w:sz="8" w:space="0" w:color="auto"/>
              <w:right w:val="nil"/>
            </w:tcBorders>
            <w:shd w:val="clear" w:color="auto" w:fill="auto"/>
            <w:noWrap/>
            <w:vAlign w:val="center"/>
            <w:hideMark/>
          </w:tcPr>
          <w:p w14:paraId="54F51E9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4" w:type="dxa"/>
            <w:tcBorders>
              <w:top w:val="nil"/>
              <w:left w:val="nil"/>
              <w:bottom w:val="single" w:sz="8" w:space="0" w:color="auto"/>
              <w:right w:val="nil"/>
            </w:tcBorders>
            <w:shd w:val="clear" w:color="auto" w:fill="auto"/>
            <w:noWrap/>
            <w:vAlign w:val="center"/>
            <w:hideMark/>
          </w:tcPr>
          <w:p w14:paraId="5AA3B8A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584" w:type="dxa"/>
            <w:tcBorders>
              <w:top w:val="nil"/>
              <w:left w:val="nil"/>
              <w:bottom w:val="single" w:sz="8" w:space="0" w:color="auto"/>
              <w:right w:val="nil"/>
            </w:tcBorders>
            <w:shd w:val="clear" w:color="auto" w:fill="auto"/>
            <w:noWrap/>
            <w:vAlign w:val="center"/>
            <w:hideMark/>
          </w:tcPr>
          <w:p w14:paraId="55F006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587" w:type="dxa"/>
            <w:tcBorders>
              <w:top w:val="nil"/>
              <w:left w:val="nil"/>
              <w:bottom w:val="single" w:sz="8" w:space="0" w:color="auto"/>
              <w:right w:val="single" w:sz="8" w:space="0" w:color="auto"/>
            </w:tcBorders>
            <w:shd w:val="clear" w:color="auto" w:fill="auto"/>
            <w:noWrap/>
            <w:vAlign w:val="center"/>
            <w:hideMark/>
          </w:tcPr>
          <w:p w14:paraId="74367E4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984" w:type="dxa"/>
            <w:tcBorders>
              <w:top w:val="nil"/>
              <w:left w:val="nil"/>
              <w:bottom w:val="single" w:sz="8" w:space="0" w:color="auto"/>
              <w:right w:val="single" w:sz="8" w:space="0" w:color="auto"/>
            </w:tcBorders>
            <w:shd w:val="clear" w:color="auto" w:fill="auto"/>
            <w:noWrap/>
            <w:vAlign w:val="center"/>
            <w:hideMark/>
          </w:tcPr>
          <w:p w14:paraId="6996FD1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1292</w:t>
            </w:r>
          </w:p>
        </w:tc>
      </w:tr>
      <w:tr w:rsidR="00E126C7" w:rsidRPr="00E126C7" w14:paraId="65012465" w14:textId="77777777" w:rsidTr="00E83127">
        <w:trPr>
          <w:trHeight w:val="222"/>
        </w:trPr>
        <w:tc>
          <w:tcPr>
            <w:tcW w:w="5091" w:type="dxa"/>
            <w:gridSpan w:val="8"/>
            <w:tcBorders>
              <w:top w:val="nil"/>
              <w:left w:val="nil"/>
              <w:bottom w:val="nil"/>
              <w:right w:val="nil"/>
            </w:tcBorders>
            <w:shd w:val="clear" w:color="auto" w:fill="auto"/>
            <w:noWrap/>
            <w:vAlign w:val="bottom"/>
            <w:hideMark/>
          </w:tcPr>
          <w:p w14:paraId="433C7789" w14:textId="79CCCCED" w:rsidR="00E126C7" w:rsidRPr="00E126C7" w:rsidRDefault="00E126C7" w:rsidP="00E126C7">
            <w:pPr>
              <w:spacing w:after="0" w:line="240" w:lineRule="auto"/>
              <w:rPr>
                <w:rFonts w:ascii="Times New Roman" w:eastAsia="Times New Roman" w:hAnsi="Times New Roman" w:cs="Times New Roman"/>
                <w:sz w:val="14"/>
                <w:szCs w:val="14"/>
              </w:rPr>
            </w:pPr>
            <w:r w:rsidRPr="00E126C7">
              <w:rPr>
                <w:rFonts w:ascii="Times New Roman" w:eastAsia="Times New Roman" w:hAnsi="Times New Roman" w:cs="Times New Roman"/>
                <w:color w:val="000000"/>
                <w:sz w:val="14"/>
                <w:szCs w:val="14"/>
              </w:rPr>
              <w:t>* Studies had variable follow-up</w:t>
            </w:r>
            <w:r>
              <w:rPr>
                <w:rFonts w:ascii="Times New Roman" w:eastAsia="Times New Roman" w:hAnsi="Times New Roman" w:cs="Times New Roman"/>
                <w:color w:val="000000"/>
                <w:sz w:val="14"/>
                <w:szCs w:val="14"/>
              </w:rPr>
              <w:t xml:space="preserve">; mean or median </w:t>
            </w:r>
            <w:r w:rsidRPr="00E126C7">
              <w:rPr>
                <w:rFonts w:ascii="Times New Roman" w:eastAsia="Times New Roman" w:hAnsi="Times New Roman" w:cs="Times New Roman"/>
                <w:color w:val="000000"/>
                <w:sz w:val="14"/>
                <w:szCs w:val="14"/>
              </w:rPr>
              <w:t>treatment ration was considered.</w:t>
            </w:r>
          </w:p>
        </w:tc>
        <w:tc>
          <w:tcPr>
            <w:tcW w:w="493" w:type="dxa"/>
            <w:tcBorders>
              <w:top w:val="nil"/>
              <w:left w:val="nil"/>
              <w:bottom w:val="nil"/>
              <w:right w:val="nil"/>
            </w:tcBorders>
            <w:shd w:val="clear" w:color="auto" w:fill="auto"/>
            <w:noWrap/>
            <w:vAlign w:val="bottom"/>
            <w:hideMark/>
          </w:tcPr>
          <w:p w14:paraId="01C2975E"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51" w:type="dxa"/>
            <w:tcBorders>
              <w:top w:val="nil"/>
              <w:left w:val="nil"/>
              <w:bottom w:val="nil"/>
              <w:right w:val="nil"/>
            </w:tcBorders>
            <w:shd w:val="clear" w:color="auto" w:fill="auto"/>
            <w:noWrap/>
            <w:vAlign w:val="bottom"/>
            <w:hideMark/>
          </w:tcPr>
          <w:p w14:paraId="2135A766"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53" w:type="dxa"/>
            <w:tcBorders>
              <w:top w:val="nil"/>
              <w:left w:val="nil"/>
              <w:bottom w:val="nil"/>
              <w:right w:val="nil"/>
            </w:tcBorders>
            <w:shd w:val="clear" w:color="auto" w:fill="auto"/>
            <w:noWrap/>
            <w:vAlign w:val="bottom"/>
            <w:hideMark/>
          </w:tcPr>
          <w:p w14:paraId="2263BB04"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690" w:type="dxa"/>
            <w:tcBorders>
              <w:top w:val="nil"/>
              <w:left w:val="nil"/>
              <w:bottom w:val="nil"/>
              <w:right w:val="nil"/>
            </w:tcBorders>
            <w:shd w:val="clear" w:color="auto" w:fill="auto"/>
            <w:noWrap/>
            <w:vAlign w:val="bottom"/>
            <w:hideMark/>
          </w:tcPr>
          <w:p w14:paraId="670A5374"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789" w:type="dxa"/>
            <w:tcBorders>
              <w:top w:val="nil"/>
              <w:left w:val="nil"/>
              <w:bottom w:val="nil"/>
              <w:right w:val="nil"/>
            </w:tcBorders>
            <w:shd w:val="clear" w:color="auto" w:fill="auto"/>
            <w:noWrap/>
            <w:vAlign w:val="bottom"/>
            <w:hideMark/>
          </w:tcPr>
          <w:p w14:paraId="12308287"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996" w:type="dxa"/>
            <w:tcBorders>
              <w:top w:val="nil"/>
              <w:left w:val="nil"/>
              <w:bottom w:val="nil"/>
              <w:right w:val="nil"/>
            </w:tcBorders>
            <w:shd w:val="clear" w:color="auto" w:fill="auto"/>
            <w:noWrap/>
            <w:vAlign w:val="bottom"/>
            <w:hideMark/>
          </w:tcPr>
          <w:p w14:paraId="6A0C3268"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70F6B6EA"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43D427DE"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3D0A490A"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4EA0D2DB"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0AC60DAE"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4" w:type="dxa"/>
            <w:tcBorders>
              <w:top w:val="nil"/>
              <w:left w:val="nil"/>
              <w:bottom w:val="nil"/>
              <w:right w:val="nil"/>
            </w:tcBorders>
            <w:shd w:val="clear" w:color="auto" w:fill="auto"/>
            <w:noWrap/>
            <w:vAlign w:val="bottom"/>
            <w:hideMark/>
          </w:tcPr>
          <w:p w14:paraId="6B0771D3"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587" w:type="dxa"/>
            <w:tcBorders>
              <w:top w:val="nil"/>
              <w:left w:val="nil"/>
              <w:bottom w:val="nil"/>
              <w:right w:val="nil"/>
            </w:tcBorders>
            <w:shd w:val="clear" w:color="auto" w:fill="auto"/>
            <w:noWrap/>
            <w:vAlign w:val="bottom"/>
            <w:hideMark/>
          </w:tcPr>
          <w:p w14:paraId="17A68C8A" w14:textId="77777777" w:rsidR="00E126C7" w:rsidRPr="00E126C7" w:rsidRDefault="00E126C7" w:rsidP="00E126C7">
            <w:pPr>
              <w:spacing w:after="0" w:line="240" w:lineRule="auto"/>
              <w:rPr>
                <w:rFonts w:ascii="Times New Roman" w:eastAsia="Times New Roman" w:hAnsi="Times New Roman" w:cs="Times New Roman"/>
                <w:sz w:val="14"/>
                <w:szCs w:val="14"/>
              </w:rPr>
            </w:pPr>
          </w:p>
        </w:tc>
        <w:tc>
          <w:tcPr>
            <w:tcW w:w="984" w:type="dxa"/>
            <w:tcBorders>
              <w:top w:val="nil"/>
              <w:left w:val="nil"/>
              <w:bottom w:val="nil"/>
              <w:right w:val="nil"/>
            </w:tcBorders>
            <w:shd w:val="clear" w:color="auto" w:fill="auto"/>
            <w:noWrap/>
            <w:vAlign w:val="bottom"/>
            <w:hideMark/>
          </w:tcPr>
          <w:p w14:paraId="6B6A385C" w14:textId="77777777" w:rsidR="00E126C7" w:rsidRPr="00E126C7" w:rsidRDefault="00E126C7" w:rsidP="00E126C7">
            <w:pPr>
              <w:spacing w:after="0" w:line="240" w:lineRule="auto"/>
              <w:rPr>
                <w:rFonts w:ascii="Times New Roman" w:eastAsia="Times New Roman" w:hAnsi="Times New Roman" w:cs="Times New Roman"/>
                <w:sz w:val="14"/>
                <w:szCs w:val="14"/>
              </w:rPr>
            </w:pPr>
          </w:p>
        </w:tc>
      </w:tr>
    </w:tbl>
    <w:p w14:paraId="678D8F0C" w14:textId="77777777" w:rsidR="00E126C7" w:rsidRPr="00E126C7" w:rsidRDefault="00E126C7" w:rsidP="00E126C7">
      <w:pPr>
        <w:rPr>
          <w:lang w:bidi="ar-SA"/>
        </w:rPr>
      </w:pPr>
    </w:p>
    <w:p w14:paraId="1830EA23" w14:textId="138A0FB3" w:rsidR="00DC12BB" w:rsidRDefault="00DC12BB" w:rsidP="00223A29">
      <w:pPr>
        <w:pStyle w:val="Heading2"/>
        <w:rPr>
          <w:rFonts w:ascii="Times New Roman" w:hAnsi="Times New Roman" w:cs="Times New Roman"/>
        </w:rPr>
      </w:pPr>
      <w:bookmarkStart w:id="25" w:name="_Toc130240190"/>
      <w:r w:rsidRPr="00A14942">
        <w:rPr>
          <w:rFonts w:ascii="Times New Roman" w:hAnsi="Times New Roman" w:cs="Times New Roman"/>
        </w:rPr>
        <w:lastRenderedPageBreak/>
        <w:t>Eligibility criteria</w:t>
      </w:r>
      <w:bookmarkEnd w:id="25"/>
    </w:p>
    <w:tbl>
      <w:tblPr>
        <w:tblW w:w="14286" w:type="dxa"/>
        <w:tblLook w:val="04A0" w:firstRow="1" w:lastRow="0" w:firstColumn="1" w:lastColumn="0" w:noHBand="0" w:noVBand="1"/>
      </w:tblPr>
      <w:tblGrid>
        <w:gridCol w:w="2977"/>
        <w:gridCol w:w="721"/>
        <w:gridCol w:w="681"/>
        <w:gridCol w:w="715"/>
        <w:gridCol w:w="468"/>
        <w:gridCol w:w="1171"/>
        <w:gridCol w:w="1259"/>
        <w:gridCol w:w="1533"/>
        <w:gridCol w:w="1533"/>
        <w:gridCol w:w="1384"/>
        <w:gridCol w:w="1053"/>
        <w:gridCol w:w="791"/>
      </w:tblGrid>
      <w:tr w:rsidR="00E126C7" w:rsidRPr="00E126C7" w14:paraId="0CBC984F" w14:textId="77777777" w:rsidTr="00E126C7">
        <w:trPr>
          <w:trHeight w:val="216"/>
        </w:trPr>
        <w:tc>
          <w:tcPr>
            <w:tcW w:w="2977" w:type="dxa"/>
            <w:vMerge w:val="restart"/>
            <w:tcBorders>
              <w:top w:val="single" w:sz="8" w:space="0" w:color="auto"/>
              <w:left w:val="single" w:sz="8" w:space="0" w:color="auto"/>
              <w:bottom w:val="single" w:sz="4" w:space="0" w:color="000000"/>
              <w:right w:val="single" w:sz="8" w:space="0" w:color="auto"/>
            </w:tcBorders>
            <w:shd w:val="clear" w:color="auto" w:fill="auto"/>
            <w:noWrap/>
            <w:vAlign w:val="center"/>
            <w:hideMark/>
          </w:tcPr>
          <w:p w14:paraId="7B1F5F97"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Trial Name or Identifier</w:t>
            </w:r>
          </w:p>
        </w:tc>
        <w:tc>
          <w:tcPr>
            <w:tcW w:w="2117"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7DA32DB8"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Eligible MS Courses</w:t>
            </w:r>
          </w:p>
        </w:tc>
        <w:tc>
          <w:tcPr>
            <w:tcW w:w="1639"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781DF46F"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EDSS Range</w:t>
            </w:r>
          </w:p>
        </w:tc>
        <w:tc>
          <w:tcPr>
            <w:tcW w:w="5709" w:type="dxa"/>
            <w:gridSpan w:val="4"/>
            <w:tcBorders>
              <w:top w:val="single" w:sz="8" w:space="0" w:color="auto"/>
              <w:left w:val="nil"/>
              <w:bottom w:val="single" w:sz="4" w:space="0" w:color="auto"/>
              <w:right w:val="single" w:sz="8" w:space="0" w:color="000000"/>
            </w:tcBorders>
            <w:shd w:val="clear" w:color="auto" w:fill="auto"/>
            <w:noWrap/>
            <w:vAlign w:val="center"/>
            <w:hideMark/>
          </w:tcPr>
          <w:p w14:paraId="30374B9F"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Age Range</w:t>
            </w:r>
          </w:p>
        </w:tc>
        <w:tc>
          <w:tcPr>
            <w:tcW w:w="1844"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45CF1FF" w14:textId="77777777" w:rsidR="00E126C7" w:rsidRPr="00E126C7" w:rsidRDefault="00E126C7" w:rsidP="00E126C7">
            <w:pPr>
              <w:spacing w:after="0" w:line="240" w:lineRule="auto"/>
              <w:jc w:val="center"/>
              <w:rPr>
                <w:rFonts w:ascii="Times New Roman" w:eastAsia="Times New Roman" w:hAnsi="Times New Roman" w:cs="Times New Roman"/>
                <w:b/>
                <w:bCs/>
                <w:color w:val="000000"/>
                <w:sz w:val="14"/>
                <w:szCs w:val="14"/>
              </w:rPr>
            </w:pPr>
            <w:r w:rsidRPr="00E126C7">
              <w:rPr>
                <w:rFonts w:ascii="Times New Roman" w:eastAsia="Times New Roman" w:hAnsi="Times New Roman" w:cs="Times New Roman"/>
                <w:b/>
                <w:bCs/>
                <w:color w:val="000000"/>
                <w:sz w:val="14"/>
                <w:szCs w:val="14"/>
              </w:rPr>
              <w:t>Prior DMT Exposure</w:t>
            </w:r>
          </w:p>
        </w:tc>
      </w:tr>
      <w:tr w:rsidR="00E126C7" w:rsidRPr="00E126C7" w14:paraId="46EA9615" w14:textId="77777777" w:rsidTr="00E126C7">
        <w:trPr>
          <w:trHeight w:val="216"/>
        </w:trPr>
        <w:tc>
          <w:tcPr>
            <w:tcW w:w="2977" w:type="dxa"/>
            <w:vMerge/>
            <w:tcBorders>
              <w:top w:val="single" w:sz="8" w:space="0" w:color="auto"/>
              <w:left w:val="single" w:sz="8" w:space="0" w:color="auto"/>
              <w:bottom w:val="single" w:sz="4" w:space="0" w:color="000000"/>
              <w:right w:val="single" w:sz="8" w:space="0" w:color="auto"/>
            </w:tcBorders>
            <w:vAlign w:val="center"/>
            <w:hideMark/>
          </w:tcPr>
          <w:p w14:paraId="3A2BCBEB" w14:textId="77777777" w:rsidR="00E126C7" w:rsidRPr="00E126C7" w:rsidRDefault="00E126C7" w:rsidP="00E126C7">
            <w:pPr>
              <w:spacing w:after="0" w:line="240" w:lineRule="auto"/>
              <w:rPr>
                <w:rFonts w:ascii="Times New Roman" w:eastAsia="Times New Roman" w:hAnsi="Times New Roman" w:cs="Times New Roman"/>
                <w:b/>
                <w:bCs/>
                <w:color w:val="000000"/>
                <w:sz w:val="14"/>
                <w:szCs w:val="14"/>
              </w:rPr>
            </w:pPr>
          </w:p>
        </w:tc>
        <w:tc>
          <w:tcPr>
            <w:tcW w:w="721" w:type="dxa"/>
            <w:tcBorders>
              <w:top w:val="nil"/>
              <w:left w:val="nil"/>
              <w:bottom w:val="single" w:sz="4" w:space="0" w:color="auto"/>
              <w:right w:val="single" w:sz="4" w:space="0" w:color="auto"/>
            </w:tcBorders>
            <w:shd w:val="clear" w:color="auto" w:fill="auto"/>
            <w:noWrap/>
            <w:vAlign w:val="center"/>
            <w:hideMark/>
          </w:tcPr>
          <w:p w14:paraId="3D3AB93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RRMS</w:t>
            </w:r>
          </w:p>
        </w:tc>
        <w:tc>
          <w:tcPr>
            <w:tcW w:w="681" w:type="dxa"/>
            <w:tcBorders>
              <w:top w:val="nil"/>
              <w:left w:val="nil"/>
              <w:bottom w:val="single" w:sz="4" w:space="0" w:color="auto"/>
              <w:right w:val="single" w:sz="4" w:space="0" w:color="auto"/>
            </w:tcBorders>
            <w:shd w:val="clear" w:color="auto" w:fill="auto"/>
            <w:noWrap/>
            <w:vAlign w:val="center"/>
            <w:hideMark/>
          </w:tcPr>
          <w:p w14:paraId="10E000F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SPMS</w:t>
            </w:r>
          </w:p>
        </w:tc>
        <w:tc>
          <w:tcPr>
            <w:tcW w:w="715" w:type="dxa"/>
            <w:tcBorders>
              <w:top w:val="nil"/>
              <w:left w:val="nil"/>
              <w:bottom w:val="single" w:sz="4" w:space="0" w:color="auto"/>
              <w:right w:val="single" w:sz="8" w:space="0" w:color="auto"/>
            </w:tcBorders>
            <w:shd w:val="clear" w:color="auto" w:fill="auto"/>
            <w:noWrap/>
            <w:vAlign w:val="center"/>
            <w:hideMark/>
          </w:tcPr>
          <w:p w14:paraId="7C92E8D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PRMS</w:t>
            </w:r>
          </w:p>
        </w:tc>
        <w:tc>
          <w:tcPr>
            <w:tcW w:w="468" w:type="dxa"/>
            <w:tcBorders>
              <w:top w:val="nil"/>
              <w:left w:val="nil"/>
              <w:bottom w:val="single" w:sz="4" w:space="0" w:color="auto"/>
              <w:right w:val="single" w:sz="4" w:space="0" w:color="auto"/>
            </w:tcBorders>
            <w:shd w:val="clear" w:color="auto" w:fill="auto"/>
            <w:noWrap/>
            <w:vAlign w:val="center"/>
            <w:hideMark/>
          </w:tcPr>
          <w:p w14:paraId="2AFB4E6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0-5</w:t>
            </w:r>
          </w:p>
        </w:tc>
        <w:tc>
          <w:tcPr>
            <w:tcW w:w="1171" w:type="dxa"/>
            <w:tcBorders>
              <w:top w:val="nil"/>
              <w:left w:val="nil"/>
              <w:bottom w:val="single" w:sz="4" w:space="0" w:color="auto"/>
              <w:right w:val="single" w:sz="8" w:space="0" w:color="auto"/>
            </w:tcBorders>
            <w:shd w:val="clear" w:color="auto" w:fill="auto"/>
            <w:noWrap/>
            <w:vAlign w:val="center"/>
            <w:hideMark/>
          </w:tcPr>
          <w:p w14:paraId="05FBBE9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Other</w:t>
            </w:r>
          </w:p>
        </w:tc>
        <w:tc>
          <w:tcPr>
            <w:tcW w:w="1259" w:type="dxa"/>
            <w:tcBorders>
              <w:top w:val="nil"/>
              <w:left w:val="nil"/>
              <w:bottom w:val="single" w:sz="4" w:space="0" w:color="auto"/>
              <w:right w:val="single" w:sz="4" w:space="0" w:color="auto"/>
            </w:tcBorders>
            <w:shd w:val="clear" w:color="auto" w:fill="auto"/>
            <w:noWrap/>
            <w:vAlign w:val="center"/>
            <w:hideMark/>
          </w:tcPr>
          <w:p w14:paraId="25CB029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xml:space="preserve">18 </w:t>
            </w:r>
            <w:proofErr w:type="spellStart"/>
            <w:r w:rsidRPr="00E126C7">
              <w:rPr>
                <w:rFonts w:ascii="Times New Roman" w:eastAsia="Times New Roman" w:hAnsi="Times New Roman" w:cs="Times New Roman"/>
                <w:color w:val="000000"/>
                <w:sz w:val="14"/>
                <w:szCs w:val="14"/>
              </w:rPr>
              <w:t>yrs</w:t>
            </w:r>
            <w:proofErr w:type="spellEnd"/>
            <w:r w:rsidRPr="00E126C7">
              <w:rPr>
                <w:rFonts w:ascii="Times New Roman" w:eastAsia="Times New Roman" w:hAnsi="Times New Roman" w:cs="Times New Roman"/>
                <w:color w:val="000000"/>
                <w:sz w:val="14"/>
                <w:szCs w:val="14"/>
              </w:rPr>
              <w:t xml:space="preserve"> minimum</w:t>
            </w:r>
          </w:p>
        </w:tc>
        <w:tc>
          <w:tcPr>
            <w:tcW w:w="1533" w:type="dxa"/>
            <w:tcBorders>
              <w:top w:val="nil"/>
              <w:left w:val="nil"/>
              <w:bottom w:val="single" w:sz="4" w:space="0" w:color="auto"/>
              <w:right w:val="single" w:sz="4" w:space="0" w:color="auto"/>
            </w:tcBorders>
            <w:shd w:val="clear" w:color="auto" w:fill="auto"/>
            <w:noWrap/>
            <w:vAlign w:val="center"/>
            <w:hideMark/>
          </w:tcPr>
          <w:p w14:paraId="782F37F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xml:space="preserve">50-59 </w:t>
            </w:r>
            <w:proofErr w:type="spellStart"/>
            <w:r w:rsidRPr="00E126C7">
              <w:rPr>
                <w:rFonts w:ascii="Times New Roman" w:eastAsia="Times New Roman" w:hAnsi="Times New Roman" w:cs="Times New Roman"/>
                <w:color w:val="000000"/>
                <w:sz w:val="14"/>
                <w:szCs w:val="14"/>
              </w:rPr>
              <w:t>yrs</w:t>
            </w:r>
            <w:proofErr w:type="spellEnd"/>
            <w:r w:rsidRPr="00E126C7">
              <w:rPr>
                <w:rFonts w:ascii="Times New Roman" w:eastAsia="Times New Roman" w:hAnsi="Times New Roman" w:cs="Times New Roman"/>
                <w:color w:val="000000"/>
                <w:sz w:val="14"/>
                <w:szCs w:val="14"/>
              </w:rPr>
              <w:t xml:space="preserve"> maximum</w:t>
            </w:r>
          </w:p>
        </w:tc>
        <w:tc>
          <w:tcPr>
            <w:tcW w:w="1533" w:type="dxa"/>
            <w:tcBorders>
              <w:top w:val="nil"/>
              <w:left w:val="nil"/>
              <w:bottom w:val="single" w:sz="4" w:space="0" w:color="auto"/>
              <w:right w:val="single" w:sz="4" w:space="0" w:color="auto"/>
            </w:tcBorders>
            <w:shd w:val="clear" w:color="auto" w:fill="auto"/>
            <w:noWrap/>
            <w:vAlign w:val="center"/>
            <w:hideMark/>
          </w:tcPr>
          <w:p w14:paraId="4683DCA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xml:space="preserve">60-65 </w:t>
            </w:r>
            <w:proofErr w:type="spellStart"/>
            <w:r w:rsidRPr="00E126C7">
              <w:rPr>
                <w:rFonts w:ascii="Times New Roman" w:eastAsia="Times New Roman" w:hAnsi="Times New Roman" w:cs="Times New Roman"/>
                <w:color w:val="000000"/>
                <w:sz w:val="14"/>
                <w:szCs w:val="14"/>
              </w:rPr>
              <w:t>yrs</w:t>
            </w:r>
            <w:proofErr w:type="spellEnd"/>
            <w:r w:rsidRPr="00E126C7">
              <w:rPr>
                <w:rFonts w:ascii="Times New Roman" w:eastAsia="Times New Roman" w:hAnsi="Times New Roman" w:cs="Times New Roman"/>
                <w:color w:val="000000"/>
                <w:sz w:val="14"/>
                <w:szCs w:val="14"/>
              </w:rPr>
              <w:t xml:space="preserve"> maximum</w:t>
            </w:r>
          </w:p>
        </w:tc>
        <w:tc>
          <w:tcPr>
            <w:tcW w:w="1384" w:type="dxa"/>
            <w:tcBorders>
              <w:top w:val="nil"/>
              <w:left w:val="nil"/>
              <w:bottom w:val="single" w:sz="4" w:space="0" w:color="auto"/>
              <w:right w:val="single" w:sz="8" w:space="0" w:color="auto"/>
            </w:tcBorders>
            <w:shd w:val="clear" w:color="auto" w:fill="auto"/>
            <w:noWrap/>
            <w:vAlign w:val="center"/>
            <w:hideMark/>
          </w:tcPr>
          <w:p w14:paraId="4BB489F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xml:space="preserve">&gt;65 </w:t>
            </w:r>
            <w:proofErr w:type="spellStart"/>
            <w:r w:rsidRPr="00E126C7">
              <w:rPr>
                <w:rFonts w:ascii="Times New Roman" w:eastAsia="Times New Roman" w:hAnsi="Times New Roman" w:cs="Times New Roman"/>
                <w:color w:val="000000"/>
                <w:sz w:val="14"/>
                <w:szCs w:val="14"/>
              </w:rPr>
              <w:t>yrs</w:t>
            </w:r>
            <w:proofErr w:type="spellEnd"/>
            <w:r w:rsidRPr="00E126C7">
              <w:rPr>
                <w:rFonts w:ascii="Times New Roman" w:eastAsia="Times New Roman" w:hAnsi="Times New Roman" w:cs="Times New Roman"/>
                <w:color w:val="000000"/>
                <w:sz w:val="14"/>
                <w:szCs w:val="14"/>
              </w:rPr>
              <w:t xml:space="preserve"> maximum</w:t>
            </w:r>
          </w:p>
        </w:tc>
        <w:tc>
          <w:tcPr>
            <w:tcW w:w="1053" w:type="dxa"/>
            <w:tcBorders>
              <w:top w:val="nil"/>
              <w:left w:val="nil"/>
              <w:bottom w:val="single" w:sz="4" w:space="0" w:color="auto"/>
              <w:right w:val="single" w:sz="4" w:space="0" w:color="auto"/>
            </w:tcBorders>
            <w:shd w:val="clear" w:color="auto" w:fill="auto"/>
            <w:noWrap/>
            <w:vAlign w:val="center"/>
            <w:hideMark/>
          </w:tcPr>
          <w:p w14:paraId="681DDBB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Not allowed</w:t>
            </w:r>
          </w:p>
        </w:tc>
        <w:tc>
          <w:tcPr>
            <w:tcW w:w="791" w:type="dxa"/>
            <w:tcBorders>
              <w:top w:val="nil"/>
              <w:left w:val="nil"/>
              <w:bottom w:val="single" w:sz="4" w:space="0" w:color="auto"/>
              <w:right w:val="single" w:sz="8" w:space="0" w:color="auto"/>
            </w:tcBorders>
            <w:shd w:val="clear" w:color="auto" w:fill="auto"/>
            <w:noWrap/>
            <w:vAlign w:val="center"/>
            <w:hideMark/>
          </w:tcPr>
          <w:p w14:paraId="5C83CA0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Required</w:t>
            </w:r>
          </w:p>
        </w:tc>
      </w:tr>
      <w:tr w:rsidR="00E126C7" w:rsidRPr="00E126C7" w14:paraId="478B7183"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308C832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ADVANCE</w:t>
            </w:r>
          </w:p>
        </w:tc>
        <w:tc>
          <w:tcPr>
            <w:tcW w:w="721" w:type="dxa"/>
            <w:tcBorders>
              <w:top w:val="nil"/>
              <w:left w:val="nil"/>
              <w:bottom w:val="nil"/>
              <w:right w:val="nil"/>
            </w:tcBorders>
            <w:shd w:val="clear" w:color="auto" w:fill="auto"/>
            <w:noWrap/>
            <w:vAlign w:val="center"/>
            <w:hideMark/>
          </w:tcPr>
          <w:p w14:paraId="1990AC7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5E3417C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0F813E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6C41F5B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397C19F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68FDD4D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6CDB962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533" w:type="dxa"/>
            <w:tcBorders>
              <w:top w:val="nil"/>
              <w:left w:val="nil"/>
              <w:bottom w:val="nil"/>
              <w:right w:val="nil"/>
            </w:tcBorders>
            <w:shd w:val="clear" w:color="auto" w:fill="auto"/>
            <w:noWrap/>
            <w:vAlign w:val="center"/>
            <w:hideMark/>
          </w:tcPr>
          <w:p w14:paraId="3F1BF9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384" w:type="dxa"/>
            <w:tcBorders>
              <w:top w:val="nil"/>
              <w:left w:val="nil"/>
              <w:bottom w:val="nil"/>
              <w:right w:val="single" w:sz="8" w:space="0" w:color="auto"/>
            </w:tcBorders>
            <w:shd w:val="clear" w:color="auto" w:fill="auto"/>
            <w:noWrap/>
            <w:vAlign w:val="center"/>
            <w:hideMark/>
          </w:tcPr>
          <w:p w14:paraId="2F382CE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91EA4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821DC68"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4B8E7B2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AFFIRM</w:t>
            </w:r>
          </w:p>
        </w:tc>
        <w:tc>
          <w:tcPr>
            <w:tcW w:w="721" w:type="dxa"/>
            <w:tcBorders>
              <w:top w:val="nil"/>
              <w:left w:val="nil"/>
              <w:bottom w:val="nil"/>
              <w:right w:val="nil"/>
            </w:tcBorders>
            <w:shd w:val="clear" w:color="auto" w:fill="auto"/>
            <w:noWrap/>
            <w:vAlign w:val="center"/>
            <w:hideMark/>
          </w:tcPr>
          <w:p w14:paraId="3417EC8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14D9AA9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7D7261D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28210A3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1690C88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4B6A9F6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547194D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4671FC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33B90F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3F35A5A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66DF8EF1"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16112D3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ASCLEPIOS I</w:t>
            </w:r>
          </w:p>
        </w:tc>
        <w:tc>
          <w:tcPr>
            <w:tcW w:w="721" w:type="dxa"/>
            <w:tcBorders>
              <w:top w:val="nil"/>
              <w:left w:val="nil"/>
              <w:bottom w:val="nil"/>
              <w:right w:val="nil"/>
            </w:tcBorders>
            <w:shd w:val="clear" w:color="auto" w:fill="auto"/>
            <w:noWrap/>
            <w:vAlign w:val="center"/>
            <w:hideMark/>
          </w:tcPr>
          <w:p w14:paraId="2C01647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681" w:type="dxa"/>
            <w:tcBorders>
              <w:top w:val="nil"/>
              <w:left w:val="nil"/>
              <w:bottom w:val="nil"/>
              <w:right w:val="nil"/>
            </w:tcBorders>
            <w:shd w:val="clear" w:color="auto" w:fill="auto"/>
            <w:noWrap/>
            <w:vAlign w:val="center"/>
            <w:hideMark/>
          </w:tcPr>
          <w:p w14:paraId="4C78D56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715" w:type="dxa"/>
            <w:tcBorders>
              <w:top w:val="nil"/>
              <w:left w:val="nil"/>
              <w:bottom w:val="nil"/>
              <w:right w:val="single" w:sz="8" w:space="0" w:color="auto"/>
            </w:tcBorders>
            <w:shd w:val="clear" w:color="auto" w:fill="auto"/>
            <w:noWrap/>
            <w:vAlign w:val="center"/>
            <w:hideMark/>
          </w:tcPr>
          <w:p w14:paraId="529F503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468" w:type="dxa"/>
            <w:tcBorders>
              <w:top w:val="nil"/>
              <w:left w:val="nil"/>
              <w:bottom w:val="nil"/>
              <w:right w:val="nil"/>
            </w:tcBorders>
            <w:shd w:val="clear" w:color="auto" w:fill="auto"/>
            <w:noWrap/>
            <w:vAlign w:val="center"/>
            <w:hideMark/>
          </w:tcPr>
          <w:p w14:paraId="44D4531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171" w:type="dxa"/>
            <w:tcBorders>
              <w:top w:val="nil"/>
              <w:left w:val="nil"/>
              <w:bottom w:val="nil"/>
              <w:right w:val="single" w:sz="8" w:space="0" w:color="auto"/>
            </w:tcBorders>
            <w:shd w:val="clear" w:color="auto" w:fill="auto"/>
            <w:noWrap/>
            <w:vAlign w:val="center"/>
            <w:hideMark/>
          </w:tcPr>
          <w:p w14:paraId="2084C41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259" w:type="dxa"/>
            <w:tcBorders>
              <w:top w:val="nil"/>
              <w:left w:val="nil"/>
              <w:bottom w:val="nil"/>
              <w:right w:val="nil"/>
            </w:tcBorders>
            <w:shd w:val="clear" w:color="auto" w:fill="auto"/>
            <w:noWrap/>
            <w:vAlign w:val="center"/>
            <w:hideMark/>
          </w:tcPr>
          <w:p w14:paraId="20648B2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center"/>
            <w:hideMark/>
          </w:tcPr>
          <w:p w14:paraId="4C3BA30C"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center"/>
            <w:hideMark/>
          </w:tcPr>
          <w:p w14:paraId="26EAE691"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1384" w:type="dxa"/>
            <w:tcBorders>
              <w:top w:val="nil"/>
              <w:left w:val="nil"/>
              <w:bottom w:val="nil"/>
              <w:right w:val="single" w:sz="8" w:space="0" w:color="auto"/>
            </w:tcBorders>
            <w:shd w:val="clear" w:color="auto" w:fill="auto"/>
            <w:noWrap/>
            <w:vAlign w:val="center"/>
            <w:hideMark/>
          </w:tcPr>
          <w:p w14:paraId="1C9C0F0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29F9954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NR</w:t>
            </w:r>
          </w:p>
        </w:tc>
      </w:tr>
      <w:tr w:rsidR="00E126C7" w:rsidRPr="00E126C7" w14:paraId="40C5D695"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297B937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ASCLEPIOS II</w:t>
            </w:r>
          </w:p>
        </w:tc>
        <w:tc>
          <w:tcPr>
            <w:tcW w:w="721" w:type="dxa"/>
            <w:tcBorders>
              <w:top w:val="nil"/>
              <w:left w:val="nil"/>
              <w:bottom w:val="nil"/>
              <w:right w:val="nil"/>
            </w:tcBorders>
            <w:shd w:val="clear" w:color="auto" w:fill="auto"/>
            <w:noWrap/>
            <w:vAlign w:val="center"/>
            <w:hideMark/>
          </w:tcPr>
          <w:p w14:paraId="04D4DC8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681" w:type="dxa"/>
            <w:tcBorders>
              <w:top w:val="nil"/>
              <w:left w:val="nil"/>
              <w:bottom w:val="nil"/>
              <w:right w:val="nil"/>
            </w:tcBorders>
            <w:shd w:val="clear" w:color="auto" w:fill="auto"/>
            <w:noWrap/>
            <w:vAlign w:val="center"/>
            <w:hideMark/>
          </w:tcPr>
          <w:p w14:paraId="751CE58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715" w:type="dxa"/>
            <w:tcBorders>
              <w:top w:val="nil"/>
              <w:left w:val="nil"/>
              <w:bottom w:val="nil"/>
              <w:right w:val="single" w:sz="8" w:space="0" w:color="auto"/>
            </w:tcBorders>
            <w:shd w:val="clear" w:color="auto" w:fill="auto"/>
            <w:noWrap/>
            <w:vAlign w:val="center"/>
            <w:hideMark/>
          </w:tcPr>
          <w:p w14:paraId="709E7EF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468" w:type="dxa"/>
            <w:tcBorders>
              <w:top w:val="nil"/>
              <w:left w:val="nil"/>
              <w:bottom w:val="nil"/>
              <w:right w:val="nil"/>
            </w:tcBorders>
            <w:shd w:val="clear" w:color="auto" w:fill="auto"/>
            <w:noWrap/>
            <w:vAlign w:val="center"/>
            <w:hideMark/>
          </w:tcPr>
          <w:p w14:paraId="0B7A1E4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171" w:type="dxa"/>
            <w:tcBorders>
              <w:top w:val="nil"/>
              <w:left w:val="nil"/>
              <w:bottom w:val="nil"/>
              <w:right w:val="single" w:sz="8" w:space="0" w:color="auto"/>
            </w:tcBorders>
            <w:shd w:val="clear" w:color="auto" w:fill="auto"/>
            <w:noWrap/>
            <w:vAlign w:val="center"/>
            <w:hideMark/>
          </w:tcPr>
          <w:p w14:paraId="66E955F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259" w:type="dxa"/>
            <w:tcBorders>
              <w:top w:val="nil"/>
              <w:left w:val="nil"/>
              <w:bottom w:val="nil"/>
              <w:right w:val="nil"/>
            </w:tcBorders>
            <w:shd w:val="clear" w:color="auto" w:fill="auto"/>
            <w:noWrap/>
            <w:vAlign w:val="center"/>
            <w:hideMark/>
          </w:tcPr>
          <w:p w14:paraId="20932D4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center"/>
            <w:hideMark/>
          </w:tcPr>
          <w:p w14:paraId="493D137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center"/>
            <w:hideMark/>
          </w:tcPr>
          <w:p w14:paraId="4720ED8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1384" w:type="dxa"/>
            <w:tcBorders>
              <w:top w:val="nil"/>
              <w:left w:val="nil"/>
              <w:bottom w:val="nil"/>
              <w:right w:val="single" w:sz="8" w:space="0" w:color="auto"/>
            </w:tcBorders>
            <w:shd w:val="clear" w:color="auto" w:fill="auto"/>
            <w:noWrap/>
            <w:vAlign w:val="center"/>
            <w:hideMark/>
          </w:tcPr>
          <w:p w14:paraId="55448B4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41A0616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NR</w:t>
            </w:r>
          </w:p>
        </w:tc>
      </w:tr>
      <w:tr w:rsidR="00E126C7" w:rsidRPr="00E126C7" w14:paraId="071CF9E3"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00C5D90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ASSESS</w:t>
            </w:r>
          </w:p>
        </w:tc>
        <w:tc>
          <w:tcPr>
            <w:tcW w:w="721" w:type="dxa"/>
            <w:tcBorders>
              <w:top w:val="nil"/>
              <w:left w:val="nil"/>
              <w:bottom w:val="nil"/>
              <w:right w:val="nil"/>
            </w:tcBorders>
            <w:shd w:val="clear" w:color="auto" w:fill="auto"/>
            <w:noWrap/>
            <w:vAlign w:val="center"/>
            <w:hideMark/>
          </w:tcPr>
          <w:p w14:paraId="41231B7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7AE2444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55615F9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139DB00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171" w:type="dxa"/>
            <w:tcBorders>
              <w:top w:val="nil"/>
              <w:left w:val="nil"/>
              <w:bottom w:val="nil"/>
              <w:right w:val="single" w:sz="8" w:space="0" w:color="auto"/>
            </w:tcBorders>
            <w:shd w:val="clear" w:color="auto" w:fill="auto"/>
            <w:noWrap/>
            <w:vAlign w:val="center"/>
            <w:hideMark/>
          </w:tcPr>
          <w:p w14:paraId="2376B38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 (0-6.0)</w:t>
            </w:r>
          </w:p>
        </w:tc>
        <w:tc>
          <w:tcPr>
            <w:tcW w:w="1259" w:type="dxa"/>
            <w:tcBorders>
              <w:top w:val="nil"/>
              <w:left w:val="nil"/>
              <w:bottom w:val="nil"/>
              <w:right w:val="nil"/>
            </w:tcBorders>
            <w:shd w:val="clear" w:color="auto" w:fill="auto"/>
            <w:noWrap/>
            <w:vAlign w:val="center"/>
            <w:hideMark/>
          </w:tcPr>
          <w:p w14:paraId="1BD29B6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9A0E2A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533" w:type="dxa"/>
            <w:tcBorders>
              <w:top w:val="nil"/>
              <w:left w:val="nil"/>
              <w:bottom w:val="nil"/>
              <w:right w:val="nil"/>
            </w:tcBorders>
            <w:shd w:val="clear" w:color="auto" w:fill="auto"/>
            <w:noWrap/>
            <w:vAlign w:val="center"/>
            <w:hideMark/>
          </w:tcPr>
          <w:p w14:paraId="2C244D3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384" w:type="dxa"/>
            <w:tcBorders>
              <w:top w:val="nil"/>
              <w:left w:val="nil"/>
              <w:bottom w:val="nil"/>
              <w:right w:val="single" w:sz="8" w:space="0" w:color="auto"/>
            </w:tcBorders>
            <w:shd w:val="clear" w:color="auto" w:fill="auto"/>
            <w:noWrap/>
            <w:vAlign w:val="center"/>
            <w:hideMark/>
          </w:tcPr>
          <w:p w14:paraId="07B3903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0EAFBE1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7E83D5C8"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DAB386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BEYOND</w:t>
            </w:r>
          </w:p>
        </w:tc>
        <w:tc>
          <w:tcPr>
            <w:tcW w:w="721" w:type="dxa"/>
            <w:tcBorders>
              <w:top w:val="nil"/>
              <w:left w:val="nil"/>
              <w:bottom w:val="nil"/>
              <w:right w:val="nil"/>
            </w:tcBorders>
            <w:shd w:val="clear" w:color="auto" w:fill="auto"/>
            <w:noWrap/>
            <w:vAlign w:val="center"/>
            <w:hideMark/>
          </w:tcPr>
          <w:p w14:paraId="2C9FB77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064D0C7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54E333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2B3017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6F0DD90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014AEAC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321DD86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3E03571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130B56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053" w:type="dxa"/>
            <w:tcBorders>
              <w:top w:val="nil"/>
              <w:left w:val="nil"/>
              <w:bottom w:val="nil"/>
              <w:right w:val="nil"/>
            </w:tcBorders>
            <w:shd w:val="clear" w:color="auto" w:fill="auto"/>
            <w:noWrap/>
            <w:vAlign w:val="center"/>
            <w:hideMark/>
          </w:tcPr>
          <w:p w14:paraId="64AC20C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91" w:type="dxa"/>
            <w:tcBorders>
              <w:top w:val="nil"/>
              <w:left w:val="nil"/>
              <w:bottom w:val="nil"/>
              <w:right w:val="single" w:sz="8" w:space="0" w:color="auto"/>
            </w:tcBorders>
            <w:shd w:val="clear" w:color="auto" w:fill="auto"/>
            <w:noWrap/>
            <w:vAlign w:val="center"/>
            <w:hideMark/>
          </w:tcPr>
          <w:p w14:paraId="3A7390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r>
      <w:tr w:rsidR="00E126C7" w:rsidRPr="00E126C7" w14:paraId="5BC90803"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22AD4BE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BRAVO</w:t>
            </w:r>
          </w:p>
        </w:tc>
        <w:tc>
          <w:tcPr>
            <w:tcW w:w="721" w:type="dxa"/>
            <w:tcBorders>
              <w:top w:val="nil"/>
              <w:left w:val="nil"/>
              <w:bottom w:val="nil"/>
              <w:right w:val="nil"/>
            </w:tcBorders>
            <w:shd w:val="clear" w:color="auto" w:fill="auto"/>
            <w:noWrap/>
            <w:vAlign w:val="center"/>
            <w:hideMark/>
          </w:tcPr>
          <w:p w14:paraId="6D4676B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434576D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5AEC011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2AF204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21B1F07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426234E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4C948CE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9EE9E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523C2A7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69361B7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7B3DB219"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4A453C1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CAMMS223</w:t>
            </w:r>
          </w:p>
        </w:tc>
        <w:tc>
          <w:tcPr>
            <w:tcW w:w="721" w:type="dxa"/>
            <w:tcBorders>
              <w:top w:val="nil"/>
              <w:left w:val="nil"/>
              <w:bottom w:val="nil"/>
              <w:right w:val="nil"/>
            </w:tcBorders>
            <w:shd w:val="clear" w:color="auto" w:fill="auto"/>
            <w:noWrap/>
            <w:vAlign w:val="center"/>
            <w:hideMark/>
          </w:tcPr>
          <w:p w14:paraId="5D2053B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3C38873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5FA947B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7C310A6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171" w:type="dxa"/>
            <w:tcBorders>
              <w:top w:val="nil"/>
              <w:left w:val="nil"/>
              <w:bottom w:val="nil"/>
              <w:right w:val="single" w:sz="8" w:space="0" w:color="auto"/>
            </w:tcBorders>
            <w:shd w:val="clear" w:color="auto" w:fill="auto"/>
            <w:noWrap/>
            <w:vAlign w:val="center"/>
            <w:hideMark/>
          </w:tcPr>
          <w:p w14:paraId="0069D4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 (&lt;3)</w:t>
            </w:r>
          </w:p>
        </w:tc>
        <w:tc>
          <w:tcPr>
            <w:tcW w:w="5709" w:type="dxa"/>
            <w:gridSpan w:val="4"/>
            <w:tcBorders>
              <w:top w:val="nil"/>
              <w:left w:val="nil"/>
              <w:bottom w:val="nil"/>
              <w:right w:val="single" w:sz="8" w:space="0" w:color="000000"/>
            </w:tcBorders>
            <w:shd w:val="clear" w:color="auto" w:fill="auto"/>
            <w:noWrap/>
            <w:vAlign w:val="center"/>
            <w:hideMark/>
          </w:tcPr>
          <w:p w14:paraId="7704A27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Criteria NR, adult population</w:t>
            </w:r>
          </w:p>
        </w:tc>
        <w:tc>
          <w:tcPr>
            <w:tcW w:w="1053" w:type="dxa"/>
            <w:tcBorders>
              <w:top w:val="nil"/>
              <w:left w:val="nil"/>
              <w:bottom w:val="nil"/>
              <w:right w:val="nil"/>
            </w:tcBorders>
            <w:shd w:val="clear" w:color="auto" w:fill="auto"/>
            <w:noWrap/>
            <w:vAlign w:val="center"/>
            <w:hideMark/>
          </w:tcPr>
          <w:p w14:paraId="07D98F4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91" w:type="dxa"/>
            <w:tcBorders>
              <w:top w:val="nil"/>
              <w:left w:val="nil"/>
              <w:bottom w:val="nil"/>
              <w:right w:val="single" w:sz="8" w:space="0" w:color="auto"/>
            </w:tcBorders>
            <w:shd w:val="clear" w:color="auto" w:fill="auto"/>
            <w:noWrap/>
            <w:vAlign w:val="center"/>
            <w:hideMark/>
          </w:tcPr>
          <w:p w14:paraId="405AECD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r>
      <w:tr w:rsidR="00E126C7" w:rsidRPr="00E126C7" w14:paraId="094B4B87" w14:textId="77777777" w:rsidTr="00E126C7">
        <w:trPr>
          <w:trHeight w:val="216"/>
        </w:trPr>
        <w:tc>
          <w:tcPr>
            <w:tcW w:w="2977" w:type="dxa"/>
            <w:tcBorders>
              <w:top w:val="nil"/>
              <w:left w:val="single" w:sz="8" w:space="0" w:color="auto"/>
              <w:bottom w:val="nil"/>
              <w:right w:val="single" w:sz="8" w:space="0" w:color="auto"/>
            </w:tcBorders>
            <w:shd w:val="clear" w:color="auto" w:fill="auto"/>
            <w:vAlign w:val="center"/>
            <w:hideMark/>
          </w:tcPr>
          <w:p w14:paraId="08E664C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CARE-MS I</w:t>
            </w:r>
          </w:p>
        </w:tc>
        <w:tc>
          <w:tcPr>
            <w:tcW w:w="721" w:type="dxa"/>
            <w:tcBorders>
              <w:top w:val="nil"/>
              <w:left w:val="nil"/>
              <w:bottom w:val="nil"/>
              <w:right w:val="nil"/>
            </w:tcBorders>
            <w:shd w:val="clear" w:color="auto" w:fill="auto"/>
            <w:noWrap/>
            <w:vAlign w:val="center"/>
            <w:hideMark/>
          </w:tcPr>
          <w:p w14:paraId="09B56F0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10712AA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607CEFC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3406785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171" w:type="dxa"/>
            <w:tcBorders>
              <w:top w:val="nil"/>
              <w:left w:val="nil"/>
              <w:bottom w:val="nil"/>
              <w:right w:val="single" w:sz="8" w:space="0" w:color="auto"/>
            </w:tcBorders>
            <w:shd w:val="clear" w:color="auto" w:fill="auto"/>
            <w:noWrap/>
            <w:vAlign w:val="center"/>
            <w:hideMark/>
          </w:tcPr>
          <w:p w14:paraId="7744329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 (&lt;3)</w:t>
            </w:r>
          </w:p>
        </w:tc>
        <w:tc>
          <w:tcPr>
            <w:tcW w:w="1259" w:type="dxa"/>
            <w:tcBorders>
              <w:top w:val="nil"/>
              <w:left w:val="nil"/>
              <w:bottom w:val="nil"/>
              <w:right w:val="nil"/>
            </w:tcBorders>
            <w:shd w:val="clear" w:color="auto" w:fill="auto"/>
            <w:noWrap/>
            <w:vAlign w:val="center"/>
            <w:hideMark/>
          </w:tcPr>
          <w:p w14:paraId="0E54DA0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683C904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67924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06BE26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053" w:type="dxa"/>
            <w:tcBorders>
              <w:top w:val="nil"/>
              <w:left w:val="nil"/>
              <w:bottom w:val="nil"/>
              <w:right w:val="nil"/>
            </w:tcBorders>
            <w:shd w:val="clear" w:color="auto" w:fill="auto"/>
            <w:noWrap/>
            <w:vAlign w:val="center"/>
            <w:hideMark/>
          </w:tcPr>
          <w:p w14:paraId="65D855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xml:space="preserve">X </w:t>
            </w:r>
          </w:p>
        </w:tc>
        <w:tc>
          <w:tcPr>
            <w:tcW w:w="791" w:type="dxa"/>
            <w:tcBorders>
              <w:top w:val="nil"/>
              <w:left w:val="nil"/>
              <w:bottom w:val="nil"/>
              <w:right w:val="single" w:sz="8" w:space="0" w:color="auto"/>
            </w:tcBorders>
            <w:shd w:val="clear" w:color="auto" w:fill="auto"/>
            <w:noWrap/>
            <w:vAlign w:val="center"/>
            <w:hideMark/>
          </w:tcPr>
          <w:p w14:paraId="374FBE7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r>
      <w:tr w:rsidR="00E126C7" w:rsidRPr="00E126C7" w14:paraId="1BB4B6A9"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289D418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CARE-MS II</w:t>
            </w:r>
          </w:p>
        </w:tc>
        <w:tc>
          <w:tcPr>
            <w:tcW w:w="721" w:type="dxa"/>
            <w:tcBorders>
              <w:top w:val="nil"/>
              <w:left w:val="nil"/>
              <w:bottom w:val="nil"/>
              <w:right w:val="nil"/>
            </w:tcBorders>
            <w:shd w:val="clear" w:color="auto" w:fill="auto"/>
            <w:noWrap/>
            <w:vAlign w:val="center"/>
            <w:hideMark/>
          </w:tcPr>
          <w:p w14:paraId="33E7967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5683EC1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1E05AD5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5AD79A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1C5A8D2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58E5F37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8BA4EC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6E6D491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7199C98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053" w:type="dxa"/>
            <w:tcBorders>
              <w:top w:val="nil"/>
              <w:left w:val="nil"/>
              <w:bottom w:val="nil"/>
              <w:right w:val="nil"/>
            </w:tcBorders>
            <w:shd w:val="clear" w:color="auto" w:fill="auto"/>
            <w:noWrap/>
            <w:vAlign w:val="center"/>
            <w:hideMark/>
          </w:tcPr>
          <w:p w14:paraId="33D60A1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91" w:type="dxa"/>
            <w:tcBorders>
              <w:top w:val="nil"/>
              <w:left w:val="nil"/>
              <w:bottom w:val="nil"/>
              <w:right w:val="single" w:sz="8" w:space="0" w:color="auto"/>
            </w:tcBorders>
            <w:shd w:val="clear" w:color="auto" w:fill="auto"/>
            <w:noWrap/>
            <w:vAlign w:val="center"/>
            <w:hideMark/>
          </w:tcPr>
          <w:p w14:paraId="354E663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r>
      <w:tr w:rsidR="00E126C7" w:rsidRPr="00E126C7" w14:paraId="1A0942ED"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ED020F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CONFIRM</w:t>
            </w:r>
          </w:p>
        </w:tc>
        <w:tc>
          <w:tcPr>
            <w:tcW w:w="721" w:type="dxa"/>
            <w:tcBorders>
              <w:top w:val="nil"/>
              <w:left w:val="nil"/>
              <w:bottom w:val="nil"/>
              <w:right w:val="nil"/>
            </w:tcBorders>
            <w:shd w:val="clear" w:color="auto" w:fill="auto"/>
            <w:noWrap/>
            <w:vAlign w:val="center"/>
            <w:hideMark/>
          </w:tcPr>
          <w:p w14:paraId="118DD76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098DA0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195EA12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5E59365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1F86E4B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150178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4816A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3DFEF7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60F38EC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7AB8AE7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1A0A6404"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0594D2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xml:space="preserve">COPOLYMER 1 </w:t>
            </w:r>
          </w:p>
        </w:tc>
        <w:tc>
          <w:tcPr>
            <w:tcW w:w="721" w:type="dxa"/>
            <w:tcBorders>
              <w:top w:val="nil"/>
              <w:left w:val="nil"/>
              <w:bottom w:val="nil"/>
              <w:right w:val="nil"/>
            </w:tcBorders>
            <w:shd w:val="clear" w:color="auto" w:fill="auto"/>
            <w:noWrap/>
            <w:vAlign w:val="center"/>
            <w:hideMark/>
          </w:tcPr>
          <w:p w14:paraId="2CF1767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465B383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348815D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63BA584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7ED99C1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7D45372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450" w:type="dxa"/>
            <w:gridSpan w:val="3"/>
            <w:tcBorders>
              <w:top w:val="nil"/>
              <w:left w:val="nil"/>
              <w:bottom w:val="nil"/>
              <w:right w:val="single" w:sz="8" w:space="0" w:color="000000"/>
            </w:tcBorders>
            <w:shd w:val="clear" w:color="auto" w:fill="auto"/>
            <w:noWrap/>
            <w:vAlign w:val="center"/>
            <w:hideMark/>
          </w:tcPr>
          <w:p w14:paraId="6362B50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45 years maximum</w:t>
            </w:r>
          </w:p>
        </w:tc>
        <w:tc>
          <w:tcPr>
            <w:tcW w:w="1844" w:type="dxa"/>
            <w:gridSpan w:val="2"/>
            <w:tcBorders>
              <w:top w:val="nil"/>
              <w:left w:val="nil"/>
              <w:bottom w:val="nil"/>
              <w:right w:val="single" w:sz="8" w:space="0" w:color="000000"/>
            </w:tcBorders>
            <w:shd w:val="clear" w:color="auto" w:fill="auto"/>
            <w:noWrap/>
            <w:vAlign w:val="center"/>
            <w:hideMark/>
          </w:tcPr>
          <w:p w14:paraId="5CC8AFB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75630275"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1BABA115"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DEFINE</w:t>
            </w:r>
          </w:p>
        </w:tc>
        <w:tc>
          <w:tcPr>
            <w:tcW w:w="721" w:type="dxa"/>
            <w:tcBorders>
              <w:top w:val="nil"/>
              <w:left w:val="nil"/>
              <w:bottom w:val="nil"/>
              <w:right w:val="nil"/>
            </w:tcBorders>
            <w:shd w:val="clear" w:color="auto" w:fill="auto"/>
            <w:noWrap/>
            <w:vAlign w:val="center"/>
            <w:hideMark/>
          </w:tcPr>
          <w:p w14:paraId="224F5BE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5984718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4903F0A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373421B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65FF3F2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0C269FC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40CD2CC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1A3B95B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7AEAD1D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D80E87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922ADF7"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2622B8D"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roofErr w:type="spellStart"/>
            <w:r w:rsidRPr="00E126C7">
              <w:rPr>
                <w:rFonts w:ascii="Times New Roman" w:eastAsia="Times New Roman" w:hAnsi="Times New Roman" w:cs="Times New Roman"/>
                <w:color w:val="000000"/>
                <w:sz w:val="14"/>
                <w:szCs w:val="14"/>
              </w:rPr>
              <w:t>Eur</w:t>
            </w:r>
            <w:proofErr w:type="spellEnd"/>
            <w:r w:rsidRPr="00E126C7">
              <w:rPr>
                <w:rFonts w:ascii="Times New Roman" w:eastAsia="Times New Roman" w:hAnsi="Times New Roman" w:cs="Times New Roman"/>
                <w:color w:val="000000"/>
                <w:sz w:val="14"/>
                <w:szCs w:val="14"/>
              </w:rPr>
              <w:t>/Can GA</w:t>
            </w:r>
          </w:p>
        </w:tc>
        <w:tc>
          <w:tcPr>
            <w:tcW w:w="721" w:type="dxa"/>
            <w:tcBorders>
              <w:top w:val="nil"/>
              <w:left w:val="nil"/>
              <w:bottom w:val="nil"/>
              <w:right w:val="nil"/>
            </w:tcBorders>
            <w:shd w:val="clear" w:color="auto" w:fill="auto"/>
            <w:noWrap/>
            <w:vAlign w:val="center"/>
            <w:hideMark/>
          </w:tcPr>
          <w:p w14:paraId="3B2DB38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634D7D9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2ED7D6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293EACB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6475DF6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1909096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AB98B3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B1F2AB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45B708A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9D485E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C200941"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1278A08B"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FREEDOMS</w:t>
            </w:r>
          </w:p>
        </w:tc>
        <w:tc>
          <w:tcPr>
            <w:tcW w:w="721" w:type="dxa"/>
            <w:tcBorders>
              <w:top w:val="nil"/>
              <w:left w:val="nil"/>
              <w:bottom w:val="nil"/>
              <w:right w:val="nil"/>
            </w:tcBorders>
            <w:shd w:val="clear" w:color="auto" w:fill="auto"/>
            <w:noWrap/>
            <w:vAlign w:val="center"/>
            <w:hideMark/>
          </w:tcPr>
          <w:p w14:paraId="38B3B6B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617613A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09DCC0D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74DEC36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20FB5BA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65F8CF1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152D9DF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1212DDB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78CF563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452A8AE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7D2B47C7"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440FB8B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FREEDOMS II</w:t>
            </w:r>
          </w:p>
        </w:tc>
        <w:tc>
          <w:tcPr>
            <w:tcW w:w="721" w:type="dxa"/>
            <w:tcBorders>
              <w:top w:val="nil"/>
              <w:left w:val="nil"/>
              <w:bottom w:val="nil"/>
              <w:right w:val="nil"/>
            </w:tcBorders>
            <w:shd w:val="clear" w:color="auto" w:fill="auto"/>
            <w:noWrap/>
            <w:vAlign w:val="center"/>
            <w:hideMark/>
          </w:tcPr>
          <w:p w14:paraId="2A2DFD8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4162FA1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0D21B92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61C8AA6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6A3D920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5717C5E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460FDA9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69421BD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831DA8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B99FA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216A4B3"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006D8A3E"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GALA</w:t>
            </w:r>
          </w:p>
        </w:tc>
        <w:tc>
          <w:tcPr>
            <w:tcW w:w="721" w:type="dxa"/>
            <w:tcBorders>
              <w:top w:val="nil"/>
              <w:left w:val="nil"/>
              <w:bottom w:val="nil"/>
              <w:right w:val="nil"/>
            </w:tcBorders>
            <w:shd w:val="clear" w:color="auto" w:fill="auto"/>
            <w:noWrap/>
            <w:vAlign w:val="center"/>
            <w:hideMark/>
          </w:tcPr>
          <w:p w14:paraId="055D243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61426A6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4BF9E23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4C6975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04BF88E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42F48AF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3A841FA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9BE9E5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0CE09B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B57605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536F76BE"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39B90D0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GATE</w:t>
            </w:r>
          </w:p>
        </w:tc>
        <w:tc>
          <w:tcPr>
            <w:tcW w:w="721" w:type="dxa"/>
            <w:tcBorders>
              <w:top w:val="nil"/>
              <w:left w:val="nil"/>
              <w:bottom w:val="nil"/>
              <w:right w:val="nil"/>
            </w:tcBorders>
            <w:shd w:val="clear" w:color="auto" w:fill="auto"/>
            <w:noWrap/>
            <w:vAlign w:val="center"/>
            <w:hideMark/>
          </w:tcPr>
          <w:p w14:paraId="0B352FD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12783BD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299C9BE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7816670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0E7B5D8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2DBF996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A6CAEF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6818D4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5314C7A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5F3D72F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4B3D720D"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62B462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GOLDEN</w:t>
            </w:r>
          </w:p>
        </w:tc>
        <w:tc>
          <w:tcPr>
            <w:tcW w:w="721" w:type="dxa"/>
            <w:tcBorders>
              <w:top w:val="nil"/>
              <w:left w:val="nil"/>
              <w:bottom w:val="nil"/>
              <w:right w:val="nil"/>
            </w:tcBorders>
            <w:shd w:val="clear" w:color="auto" w:fill="auto"/>
            <w:noWrap/>
            <w:vAlign w:val="center"/>
            <w:hideMark/>
          </w:tcPr>
          <w:p w14:paraId="752EBB3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1CD18C7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2E07915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735EBE9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14C1C15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682288B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FE375C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533" w:type="dxa"/>
            <w:tcBorders>
              <w:top w:val="nil"/>
              <w:left w:val="nil"/>
              <w:bottom w:val="nil"/>
              <w:right w:val="nil"/>
            </w:tcBorders>
            <w:shd w:val="clear" w:color="auto" w:fill="auto"/>
            <w:noWrap/>
            <w:vAlign w:val="center"/>
            <w:hideMark/>
          </w:tcPr>
          <w:p w14:paraId="2429131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384" w:type="dxa"/>
            <w:tcBorders>
              <w:top w:val="nil"/>
              <w:left w:val="nil"/>
              <w:bottom w:val="nil"/>
              <w:right w:val="single" w:sz="8" w:space="0" w:color="auto"/>
            </w:tcBorders>
            <w:shd w:val="clear" w:color="auto" w:fill="auto"/>
            <w:noWrap/>
            <w:vAlign w:val="center"/>
            <w:hideMark/>
          </w:tcPr>
          <w:p w14:paraId="56CEA9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51552A1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B8CB731"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bottom"/>
            <w:hideMark/>
          </w:tcPr>
          <w:p w14:paraId="0F4D3C8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MSCRG</w:t>
            </w:r>
          </w:p>
        </w:tc>
        <w:tc>
          <w:tcPr>
            <w:tcW w:w="2117" w:type="dxa"/>
            <w:gridSpan w:val="3"/>
            <w:tcBorders>
              <w:top w:val="nil"/>
              <w:left w:val="nil"/>
              <w:bottom w:val="nil"/>
              <w:right w:val="single" w:sz="8" w:space="0" w:color="000000"/>
            </w:tcBorders>
            <w:shd w:val="clear" w:color="auto" w:fill="auto"/>
            <w:noWrap/>
            <w:vAlign w:val="bottom"/>
            <w:hideMark/>
          </w:tcPr>
          <w:p w14:paraId="2118F9A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Relapsing MS</w:t>
            </w:r>
          </w:p>
        </w:tc>
        <w:tc>
          <w:tcPr>
            <w:tcW w:w="468" w:type="dxa"/>
            <w:tcBorders>
              <w:top w:val="nil"/>
              <w:left w:val="nil"/>
              <w:bottom w:val="nil"/>
              <w:right w:val="nil"/>
            </w:tcBorders>
            <w:shd w:val="clear" w:color="auto" w:fill="auto"/>
            <w:noWrap/>
            <w:vAlign w:val="bottom"/>
            <w:hideMark/>
          </w:tcPr>
          <w:p w14:paraId="562DCB3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171" w:type="dxa"/>
            <w:tcBorders>
              <w:top w:val="nil"/>
              <w:left w:val="nil"/>
              <w:bottom w:val="nil"/>
              <w:right w:val="single" w:sz="8" w:space="0" w:color="auto"/>
            </w:tcBorders>
            <w:shd w:val="clear" w:color="auto" w:fill="auto"/>
            <w:noWrap/>
            <w:vAlign w:val="bottom"/>
            <w:hideMark/>
          </w:tcPr>
          <w:p w14:paraId="35D8DCA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 (1-3.5)</w:t>
            </w:r>
          </w:p>
        </w:tc>
        <w:tc>
          <w:tcPr>
            <w:tcW w:w="1259" w:type="dxa"/>
            <w:tcBorders>
              <w:top w:val="nil"/>
              <w:left w:val="nil"/>
              <w:bottom w:val="nil"/>
              <w:right w:val="nil"/>
            </w:tcBorders>
            <w:shd w:val="clear" w:color="auto" w:fill="auto"/>
            <w:noWrap/>
            <w:vAlign w:val="bottom"/>
            <w:hideMark/>
          </w:tcPr>
          <w:p w14:paraId="5B9517C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bottom"/>
            <w:hideMark/>
          </w:tcPr>
          <w:p w14:paraId="01BE20D6"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X</w:t>
            </w:r>
          </w:p>
        </w:tc>
        <w:tc>
          <w:tcPr>
            <w:tcW w:w="1533" w:type="dxa"/>
            <w:tcBorders>
              <w:top w:val="nil"/>
              <w:left w:val="nil"/>
              <w:bottom w:val="nil"/>
              <w:right w:val="nil"/>
            </w:tcBorders>
            <w:shd w:val="clear" w:color="auto" w:fill="auto"/>
            <w:noWrap/>
            <w:vAlign w:val="bottom"/>
            <w:hideMark/>
          </w:tcPr>
          <w:p w14:paraId="75FE68A9"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p>
        </w:tc>
        <w:tc>
          <w:tcPr>
            <w:tcW w:w="1384" w:type="dxa"/>
            <w:tcBorders>
              <w:top w:val="nil"/>
              <w:left w:val="nil"/>
              <w:bottom w:val="nil"/>
              <w:right w:val="single" w:sz="8" w:space="0" w:color="auto"/>
            </w:tcBorders>
            <w:shd w:val="clear" w:color="auto" w:fill="auto"/>
            <w:noWrap/>
            <w:vAlign w:val="bottom"/>
            <w:hideMark/>
          </w:tcPr>
          <w:p w14:paraId="3C022112"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 </w:t>
            </w:r>
          </w:p>
        </w:tc>
        <w:tc>
          <w:tcPr>
            <w:tcW w:w="1844" w:type="dxa"/>
            <w:gridSpan w:val="2"/>
            <w:tcBorders>
              <w:top w:val="nil"/>
              <w:left w:val="nil"/>
              <w:bottom w:val="nil"/>
              <w:right w:val="single" w:sz="8" w:space="0" w:color="000000"/>
            </w:tcBorders>
            <w:shd w:val="clear" w:color="auto" w:fill="auto"/>
            <w:noWrap/>
            <w:vAlign w:val="bottom"/>
            <w:hideMark/>
          </w:tcPr>
          <w:p w14:paraId="38BB7BE4"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NR</w:t>
            </w:r>
          </w:p>
        </w:tc>
      </w:tr>
      <w:tr w:rsidR="00E126C7" w:rsidRPr="00E126C7" w14:paraId="44D9A443"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305C92B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OPERA I</w:t>
            </w:r>
          </w:p>
        </w:tc>
        <w:tc>
          <w:tcPr>
            <w:tcW w:w="2117" w:type="dxa"/>
            <w:gridSpan w:val="3"/>
            <w:tcBorders>
              <w:top w:val="nil"/>
              <w:left w:val="nil"/>
              <w:bottom w:val="nil"/>
              <w:right w:val="single" w:sz="8" w:space="0" w:color="000000"/>
            </w:tcBorders>
            <w:shd w:val="clear" w:color="auto" w:fill="auto"/>
            <w:noWrap/>
            <w:vAlign w:val="center"/>
            <w:hideMark/>
          </w:tcPr>
          <w:p w14:paraId="6A754DF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Relapsing MS</w:t>
            </w:r>
          </w:p>
        </w:tc>
        <w:tc>
          <w:tcPr>
            <w:tcW w:w="468" w:type="dxa"/>
            <w:tcBorders>
              <w:top w:val="nil"/>
              <w:left w:val="nil"/>
              <w:bottom w:val="nil"/>
              <w:right w:val="nil"/>
            </w:tcBorders>
            <w:shd w:val="clear" w:color="auto" w:fill="auto"/>
            <w:noWrap/>
            <w:vAlign w:val="center"/>
            <w:hideMark/>
          </w:tcPr>
          <w:p w14:paraId="313E0F7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34E454A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369026E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5331CB3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384D6ED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0DA13B7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7D73218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5000988C"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6C7F79FA"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OPERA II</w:t>
            </w:r>
          </w:p>
        </w:tc>
        <w:tc>
          <w:tcPr>
            <w:tcW w:w="2117" w:type="dxa"/>
            <w:gridSpan w:val="3"/>
            <w:tcBorders>
              <w:top w:val="nil"/>
              <w:left w:val="nil"/>
              <w:bottom w:val="nil"/>
              <w:right w:val="single" w:sz="8" w:space="0" w:color="000000"/>
            </w:tcBorders>
            <w:shd w:val="clear" w:color="auto" w:fill="auto"/>
            <w:noWrap/>
            <w:vAlign w:val="center"/>
            <w:hideMark/>
          </w:tcPr>
          <w:p w14:paraId="71774B4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Relapsing MS</w:t>
            </w:r>
          </w:p>
        </w:tc>
        <w:tc>
          <w:tcPr>
            <w:tcW w:w="468" w:type="dxa"/>
            <w:tcBorders>
              <w:top w:val="nil"/>
              <w:left w:val="nil"/>
              <w:bottom w:val="nil"/>
              <w:right w:val="nil"/>
            </w:tcBorders>
            <w:shd w:val="clear" w:color="auto" w:fill="auto"/>
            <w:noWrap/>
            <w:vAlign w:val="center"/>
            <w:hideMark/>
          </w:tcPr>
          <w:p w14:paraId="088FCC8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0FA5C92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6623D2C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7594FA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851276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2C60CE8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18DF77B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3B704182"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41E9105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OPTIMUM</w:t>
            </w:r>
          </w:p>
        </w:tc>
        <w:tc>
          <w:tcPr>
            <w:tcW w:w="721" w:type="dxa"/>
            <w:tcBorders>
              <w:top w:val="nil"/>
              <w:left w:val="nil"/>
              <w:bottom w:val="nil"/>
              <w:right w:val="nil"/>
            </w:tcBorders>
            <w:shd w:val="clear" w:color="auto" w:fill="auto"/>
            <w:noWrap/>
            <w:vAlign w:val="center"/>
            <w:hideMark/>
          </w:tcPr>
          <w:p w14:paraId="2525DA5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3836F10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15" w:type="dxa"/>
            <w:tcBorders>
              <w:top w:val="nil"/>
              <w:left w:val="nil"/>
              <w:bottom w:val="nil"/>
              <w:right w:val="single" w:sz="8" w:space="0" w:color="auto"/>
            </w:tcBorders>
            <w:shd w:val="clear" w:color="auto" w:fill="auto"/>
            <w:noWrap/>
            <w:vAlign w:val="center"/>
            <w:hideMark/>
          </w:tcPr>
          <w:p w14:paraId="2ECAAD0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305CEAE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77ACF92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41DE7D4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F798E7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455B84D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6303C72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22FC12F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1AA9AFE7"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5C8DDF68"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RADIANCE B</w:t>
            </w:r>
          </w:p>
        </w:tc>
        <w:tc>
          <w:tcPr>
            <w:tcW w:w="721" w:type="dxa"/>
            <w:tcBorders>
              <w:top w:val="nil"/>
              <w:left w:val="nil"/>
              <w:bottom w:val="nil"/>
              <w:right w:val="nil"/>
            </w:tcBorders>
            <w:shd w:val="clear" w:color="auto" w:fill="auto"/>
            <w:noWrap/>
            <w:vAlign w:val="center"/>
            <w:hideMark/>
          </w:tcPr>
          <w:p w14:paraId="49C0880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7A302A7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15" w:type="dxa"/>
            <w:tcBorders>
              <w:top w:val="nil"/>
              <w:left w:val="nil"/>
              <w:bottom w:val="nil"/>
              <w:right w:val="single" w:sz="8" w:space="0" w:color="auto"/>
            </w:tcBorders>
            <w:shd w:val="clear" w:color="auto" w:fill="auto"/>
            <w:noWrap/>
            <w:vAlign w:val="center"/>
            <w:hideMark/>
          </w:tcPr>
          <w:p w14:paraId="24D93B7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68" w:type="dxa"/>
            <w:tcBorders>
              <w:top w:val="nil"/>
              <w:left w:val="nil"/>
              <w:bottom w:val="nil"/>
              <w:right w:val="nil"/>
            </w:tcBorders>
            <w:shd w:val="clear" w:color="auto" w:fill="auto"/>
            <w:noWrap/>
            <w:vAlign w:val="center"/>
            <w:hideMark/>
          </w:tcPr>
          <w:p w14:paraId="3CCA4AC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37A356E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1049FF5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01D5662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2BCACD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nil"/>
            </w:tcBorders>
            <w:shd w:val="clear" w:color="auto" w:fill="auto"/>
            <w:noWrap/>
            <w:vAlign w:val="center"/>
            <w:hideMark/>
          </w:tcPr>
          <w:p w14:paraId="4B3EFF8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844" w:type="dxa"/>
            <w:gridSpan w:val="2"/>
            <w:tcBorders>
              <w:top w:val="nil"/>
              <w:left w:val="single" w:sz="8" w:space="0" w:color="auto"/>
              <w:bottom w:val="nil"/>
              <w:right w:val="single" w:sz="8" w:space="0" w:color="000000"/>
            </w:tcBorders>
            <w:shd w:val="clear" w:color="auto" w:fill="auto"/>
            <w:noWrap/>
            <w:vAlign w:val="center"/>
            <w:hideMark/>
          </w:tcPr>
          <w:p w14:paraId="4ADCFB83"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3BBAC879"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7ACDE630"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REGARD</w:t>
            </w:r>
          </w:p>
        </w:tc>
        <w:tc>
          <w:tcPr>
            <w:tcW w:w="721" w:type="dxa"/>
            <w:tcBorders>
              <w:top w:val="nil"/>
              <w:left w:val="nil"/>
              <w:bottom w:val="nil"/>
              <w:right w:val="nil"/>
            </w:tcBorders>
            <w:shd w:val="clear" w:color="auto" w:fill="auto"/>
            <w:noWrap/>
            <w:vAlign w:val="center"/>
            <w:hideMark/>
          </w:tcPr>
          <w:p w14:paraId="4804C54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7A105EB2"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715" w:type="dxa"/>
            <w:tcBorders>
              <w:top w:val="nil"/>
              <w:left w:val="nil"/>
              <w:bottom w:val="nil"/>
              <w:right w:val="single" w:sz="8" w:space="0" w:color="auto"/>
            </w:tcBorders>
            <w:shd w:val="clear" w:color="auto" w:fill="auto"/>
            <w:noWrap/>
            <w:vAlign w:val="center"/>
            <w:hideMark/>
          </w:tcPr>
          <w:p w14:paraId="610DDE2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nil"/>
              <w:right w:val="nil"/>
            </w:tcBorders>
            <w:shd w:val="clear" w:color="auto" w:fill="auto"/>
            <w:noWrap/>
            <w:vAlign w:val="center"/>
            <w:hideMark/>
          </w:tcPr>
          <w:p w14:paraId="6C116CF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738D386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0BB9EC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76B230E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533" w:type="dxa"/>
            <w:tcBorders>
              <w:top w:val="nil"/>
              <w:left w:val="nil"/>
              <w:bottom w:val="nil"/>
              <w:right w:val="nil"/>
            </w:tcBorders>
            <w:shd w:val="clear" w:color="auto" w:fill="auto"/>
            <w:noWrap/>
            <w:vAlign w:val="center"/>
            <w:hideMark/>
          </w:tcPr>
          <w:p w14:paraId="2D0A0DC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384" w:type="dxa"/>
            <w:tcBorders>
              <w:top w:val="nil"/>
              <w:left w:val="nil"/>
              <w:bottom w:val="nil"/>
              <w:right w:val="single" w:sz="8" w:space="0" w:color="auto"/>
            </w:tcBorders>
            <w:shd w:val="clear" w:color="auto" w:fill="auto"/>
            <w:noWrap/>
            <w:vAlign w:val="center"/>
            <w:hideMark/>
          </w:tcPr>
          <w:p w14:paraId="75BFE781"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5E2139F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054AB7B7"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07A9A5D3"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SUNBEAM</w:t>
            </w:r>
          </w:p>
        </w:tc>
        <w:tc>
          <w:tcPr>
            <w:tcW w:w="721" w:type="dxa"/>
            <w:tcBorders>
              <w:top w:val="nil"/>
              <w:left w:val="nil"/>
              <w:bottom w:val="nil"/>
              <w:right w:val="nil"/>
            </w:tcBorders>
            <w:shd w:val="clear" w:color="auto" w:fill="auto"/>
            <w:noWrap/>
            <w:vAlign w:val="center"/>
            <w:hideMark/>
          </w:tcPr>
          <w:p w14:paraId="124B374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6A94EF1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15" w:type="dxa"/>
            <w:tcBorders>
              <w:top w:val="nil"/>
              <w:left w:val="nil"/>
              <w:bottom w:val="nil"/>
              <w:right w:val="single" w:sz="8" w:space="0" w:color="auto"/>
            </w:tcBorders>
            <w:shd w:val="clear" w:color="auto" w:fill="auto"/>
            <w:noWrap/>
            <w:vAlign w:val="center"/>
            <w:hideMark/>
          </w:tcPr>
          <w:p w14:paraId="6EA5440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68" w:type="dxa"/>
            <w:tcBorders>
              <w:top w:val="nil"/>
              <w:left w:val="nil"/>
              <w:bottom w:val="nil"/>
              <w:right w:val="nil"/>
            </w:tcBorders>
            <w:shd w:val="clear" w:color="auto" w:fill="auto"/>
            <w:noWrap/>
            <w:vAlign w:val="center"/>
            <w:hideMark/>
          </w:tcPr>
          <w:p w14:paraId="5530D33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4D2377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64ABCB14"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D9AA1D9"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03FC4A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4968AEDC"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5009067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30912A9F" w14:textId="77777777" w:rsidTr="00E126C7">
        <w:trPr>
          <w:trHeight w:val="216"/>
        </w:trPr>
        <w:tc>
          <w:tcPr>
            <w:tcW w:w="2977" w:type="dxa"/>
            <w:tcBorders>
              <w:top w:val="nil"/>
              <w:left w:val="single" w:sz="8" w:space="0" w:color="auto"/>
              <w:bottom w:val="nil"/>
              <w:right w:val="single" w:sz="8" w:space="0" w:color="auto"/>
            </w:tcBorders>
            <w:shd w:val="clear" w:color="auto" w:fill="auto"/>
            <w:noWrap/>
            <w:vAlign w:val="center"/>
            <w:hideMark/>
          </w:tcPr>
          <w:p w14:paraId="1E7693D7"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TEMSO</w:t>
            </w:r>
          </w:p>
        </w:tc>
        <w:tc>
          <w:tcPr>
            <w:tcW w:w="721" w:type="dxa"/>
            <w:tcBorders>
              <w:top w:val="nil"/>
              <w:left w:val="nil"/>
              <w:bottom w:val="nil"/>
              <w:right w:val="nil"/>
            </w:tcBorders>
            <w:shd w:val="clear" w:color="auto" w:fill="auto"/>
            <w:noWrap/>
            <w:vAlign w:val="center"/>
            <w:hideMark/>
          </w:tcPr>
          <w:p w14:paraId="461266F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nil"/>
              <w:right w:val="nil"/>
            </w:tcBorders>
            <w:shd w:val="clear" w:color="auto" w:fill="auto"/>
            <w:noWrap/>
            <w:vAlign w:val="center"/>
            <w:hideMark/>
          </w:tcPr>
          <w:p w14:paraId="4B04CCA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715" w:type="dxa"/>
            <w:tcBorders>
              <w:top w:val="nil"/>
              <w:left w:val="nil"/>
              <w:bottom w:val="nil"/>
              <w:right w:val="single" w:sz="8" w:space="0" w:color="auto"/>
            </w:tcBorders>
            <w:shd w:val="clear" w:color="auto" w:fill="auto"/>
            <w:noWrap/>
            <w:vAlign w:val="center"/>
            <w:hideMark/>
          </w:tcPr>
          <w:p w14:paraId="122AE72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468" w:type="dxa"/>
            <w:tcBorders>
              <w:top w:val="nil"/>
              <w:left w:val="nil"/>
              <w:bottom w:val="nil"/>
              <w:right w:val="nil"/>
            </w:tcBorders>
            <w:shd w:val="clear" w:color="auto" w:fill="auto"/>
            <w:noWrap/>
            <w:vAlign w:val="center"/>
            <w:hideMark/>
          </w:tcPr>
          <w:p w14:paraId="12F177AA"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nil"/>
              <w:right w:val="single" w:sz="8" w:space="0" w:color="auto"/>
            </w:tcBorders>
            <w:shd w:val="clear" w:color="auto" w:fill="auto"/>
            <w:noWrap/>
            <w:vAlign w:val="center"/>
            <w:hideMark/>
          </w:tcPr>
          <w:p w14:paraId="548881B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nil"/>
              <w:right w:val="nil"/>
            </w:tcBorders>
            <w:shd w:val="clear" w:color="auto" w:fill="auto"/>
            <w:noWrap/>
            <w:vAlign w:val="center"/>
            <w:hideMark/>
          </w:tcPr>
          <w:p w14:paraId="13E4EB80"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502B52C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nil"/>
              <w:right w:val="nil"/>
            </w:tcBorders>
            <w:shd w:val="clear" w:color="auto" w:fill="auto"/>
            <w:noWrap/>
            <w:vAlign w:val="center"/>
            <w:hideMark/>
          </w:tcPr>
          <w:p w14:paraId="2914A9B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p>
        </w:tc>
        <w:tc>
          <w:tcPr>
            <w:tcW w:w="1384" w:type="dxa"/>
            <w:tcBorders>
              <w:top w:val="nil"/>
              <w:left w:val="nil"/>
              <w:bottom w:val="nil"/>
              <w:right w:val="single" w:sz="8" w:space="0" w:color="auto"/>
            </w:tcBorders>
            <w:shd w:val="clear" w:color="auto" w:fill="auto"/>
            <w:noWrap/>
            <w:vAlign w:val="center"/>
            <w:hideMark/>
          </w:tcPr>
          <w:p w14:paraId="18BF952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nil"/>
              <w:right w:val="single" w:sz="8" w:space="0" w:color="000000"/>
            </w:tcBorders>
            <w:shd w:val="clear" w:color="auto" w:fill="auto"/>
            <w:noWrap/>
            <w:vAlign w:val="center"/>
            <w:hideMark/>
          </w:tcPr>
          <w:p w14:paraId="08C960B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r w:rsidR="00E126C7" w:rsidRPr="00E126C7" w14:paraId="61DD1059" w14:textId="77777777" w:rsidTr="00E126C7">
        <w:trPr>
          <w:trHeight w:val="216"/>
        </w:trPr>
        <w:tc>
          <w:tcPr>
            <w:tcW w:w="2977" w:type="dxa"/>
            <w:tcBorders>
              <w:top w:val="nil"/>
              <w:left w:val="single" w:sz="8" w:space="0" w:color="auto"/>
              <w:bottom w:val="single" w:sz="8" w:space="0" w:color="auto"/>
              <w:right w:val="single" w:sz="8" w:space="0" w:color="auto"/>
            </w:tcBorders>
            <w:shd w:val="clear" w:color="auto" w:fill="auto"/>
            <w:noWrap/>
            <w:vAlign w:val="center"/>
            <w:hideMark/>
          </w:tcPr>
          <w:p w14:paraId="4C1CE82F" w14:textId="77777777" w:rsidR="00E126C7" w:rsidRPr="00E126C7" w:rsidRDefault="00E126C7" w:rsidP="00E126C7">
            <w:pPr>
              <w:spacing w:after="0" w:line="240" w:lineRule="auto"/>
              <w:jc w:val="center"/>
              <w:rPr>
                <w:rFonts w:ascii="Times New Roman" w:eastAsia="Times New Roman" w:hAnsi="Times New Roman" w:cs="Times New Roman"/>
                <w:color w:val="000000"/>
                <w:sz w:val="14"/>
                <w:szCs w:val="14"/>
              </w:rPr>
            </w:pPr>
            <w:r w:rsidRPr="00E126C7">
              <w:rPr>
                <w:rFonts w:ascii="Times New Roman" w:eastAsia="Times New Roman" w:hAnsi="Times New Roman" w:cs="Times New Roman"/>
                <w:color w:val="000000"/>
                <w:sz w:val="14"/>
                <w:szCs w:val="14"/>
              </w:rPr>
              <w:t>TRANSFORMS</w:t>
            </w:r>
          </w:p>
        </w:tc>
        <w:tc>
          <w:tcPr>
            <w:tcW w:w="721" w:type="dxa"/>
            <w:tcBorders>
              <w:top w:val="nil"/>
              <w:left w:val="nil"/>
              <w:bottom w:val="single" w:sz="8" w:space="0" w:color="auto"/>
              <w:right w:val="nil"/>
            </w:tcBorders>
            <w:shd w:val="clear" w:color="auto" w:fill="auto"/>
            <w:noWrap/>
            <w:vAlign w:val="center"/>
            <w:hideMark/>
          </w:tcPr>
          <w:p w14:paraId="0C04256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681" w:type="dxa"/>
            <w:tcBorders>
              <w:top w:val="nil"/>
              <w:left w:val="nil"/>
              <w:bottom w:val="single" w:sz="8" w:space="0" w:color="auto"/>
              <w:right w:val="nil"/>
            </w:tcBorders>
            <w:shd w:val="clear" w:color="auto" w:fill="auto"/>
            <w:noWrap/>
            <w:vAlign w:val="center"/>
            <w:hideMark/>
          </w:tcPr>
          <w:p w14:paraId="161C6B9D"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715" w:type="dxa"/>
            <w:tcBorders>
              <w:top w:val="nil"/>
              <w:left w:val="nil"/>
              <w:bottom w:val="single" w:sz="8" w:space="0" w:color="auto"/>
              <w:right w:val="single" w:sz="8" w:space="0" w:color="auto"/>
            </w:tcBorders>
            <w:shd w:val="clear" w:color="auto" w:fill="auto"/>
            <w:noWrap/>
            <w:vAlign w:val="center"/>
            <w:hideMark/>
          </w:tcPr>
          <w:p w14:paraId="5B593588"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468" w:type="dxa"/>
            <w:tcBorders>
              <w:top w:val="nil"/>
              <w:left w:val="nil"/>
              <w:bottom w:val="single" w:sz="8" w:space="0" w:color="auto"/>
              <w:right w:val="nil"/>
            </w:tcBorders>
            <w:shd w:val="clear" w:color="auto" w:fill="auto"/>
            <w:noWrap/>
            <w:vAlign w:val="center"/>
            <w:hideMark/>
          </w:tcPr>
          <w:p w14:paraId="086797E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171" w:type="dxa"/>
            <w:tcBorders>
              <w:top w:val="nil"/>
              <w:left w:val="nil"/>
              <w:bottom w:val="single" w:sz="8" w:space="0" w:color="auto"/>
              <w:right w:val="single" w:sz="8" w:space="0" w:color="auto"/>
            </w:tcBorders>
            <w:shd w:val="clear" w:color="auto" w:fill="auto"/>
            <w:noWrap/>
            <w:vAlign w:val="center"/>
            <w:hideMark/>
          </w:tcPr>
          <w:p w14:paraId="093AFED7"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259" w:type="dxa"/>
            <w:tcBorders>
              <w:top w:val="nil"/>
              <w:left w:val="nil"/>
              <w:bottom w:val="single" w:sz="8" w:space="0" w:color="auto"/>
              <w:right w:val="nil"/>
            </w:tcBorders>
            <w:shd w:val="clear" w:color="auto" w:fill="auto"/>
            <w:noWrap/>
            <w:vAlign w:val="center"/>
            <w:hideMark/>
          </w:tcPr>
          <w:p w14:paraId="374F3EFF"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single" w:sz="8" w:space="0" w:color="auto"/>
              <w:right w:val="nil"/>
            </w:tcBorders>
            <w:shd w:val="clear" w:color="auto" w:fill="auto"/>
            <w:noWrap/>
            <w:vAlign w:val="center"/>
            <w:hideMark/>
          </w:tcPr>
          <w:p w14:paraId="76307BA6"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X</w:t>
            </w:r>
          </w:p>
        </w:tc>
        <w:tc>
          <w:tcPr>
            <w:tcW w:w="1533" w:type="dxa"/>
            <w:tcBorders>
              <w:top w:val="nil"/>
              <w:left w:val="nil"/>
              <w:bottom w:val="single" w:sz="8" w:space="0" w:color="auto"/>
              <w:right w:val="nil"/>
            </w:tcBorders>
            <w:shd w:val="clear" w:color="auto" w:fill="auto"/>
            <w:noWrap/>
            <w:vAlign w:val="center"/>
            <w:hideMark/>
          </w:tcPr>
          <w:p w14:paraId="3D04864B"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384" w:type="dxa"/>
            <w:tcBorders>
              <w:top w:val="nil"/>
              <w:left w:val="nil"/>
              <w:bottom w:val="single" w:sz="8" w:space="0" w:color="auto"/>
              <w:right w:val="single" w:sz="8" w:space="0" w:color="auto"/>
            </w:tcBorders>
            <w:shd w:val="clear" w:color="auto" w:fill="auto"/>
            <w:noWrap/>
            <w:vAlign w:val="center"/>
            <w:hideMark/>
          </w:tcPr>
          <w:p w14:paraId="71A0AFCE"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 </w:t>
            </w:r>
          </w:p>
        </w:tc>
        <w:tc>
          <w:tcPr>
            <w:tcW w:w="1844" w:type="dxa"/>
            <w:gridSpan w:val="2"/>
            <w:tcBorders>
              <w:top w:val="nil"/>
              <w:left w:val="nil"/>
              <w:bottom w:val="single" w:sz="8" w:space="0" w:color="auto"/>
              <w:right w:val="single" w:sz="8" w:space="0" w:color="000000"/>
            </w:tcBorders>
            <w:shd w:val="clear" w:color="auto" w:fill="auto"/>
            <w:noWrap/>
            <w:vAlign w:val="center"/>
            <w:hideMark/>
          </w:tcPr>
          <w:p w14:paraId="3C855365" w14:textId="77777777" w:rsidR="00E126C7" w:rsidRPr="00E126C7" w:rsidRDefault="00E126C7" w:rsidP="00E126C7">
            <w:pPr>
              <w:spacing w:after="0" w:line="240" w:lineRule="auto"/>
              <w:jc w:val="center"/>
              <w:rPr>
                <w:rFonts w:ascii="Times New Roman" w:eastAsia="Times New Roman" w:hAnsi="Times New Roman" w:cs="Times New Roman"/>
                <w:sz w:val="14"/>
                <w:szCs w:val="14"/>
              </w:rPr>
            </w:pPr>
            <w:r w:rsidRPr="00E126C7">
              <w:rPr>
                <w:rFonts w:ascii="Times New Roman" w:eastAsia="Times New Roman" w:hAnsi="Times New Roman" w:cs="Times New Roman"/>
                <w:sz w:val="14"/>
                <w:szCs w:val="14"/>
              </w:rPr>
              <w:t>NR</w:t>
            </w:r>
          </w:p>
        </w:tc>
      </w:tr>
    </w:tbl>
    <w:p w14:paraId="32890139" w14:textId="435BC971" w:rsidR="00E126C7" w:rsidRDefault="00E126C7" w:rsidP="00E126C7">
      <w:pPr>
        <w:rPr>
          <w:rFonts w:ascii="Times New Roman" w:hAnsi="Times New Roman" w:cs="Times New Roman"/>
          <w:sz w:val="14"/>
          <w:szCs w:val="14"/>
          <w:lang w:bidi="ar-SA"/>
        </w:rPr>
      </w:pPr>
      <w:r w:rsidRPr="00E126C7">
        <w:rPr>
          <w:rFonts w:ascii="Times New Roman" w:hAnsi="Times New Roman" w:cs="Times New Roman"/>
          <w:sz w:val="14"/>
          <w:szCs w:val="14"/>
          <w:lang w:bidi="ar-SA"/>
        </w:rPr>
        <w:t>*Patients with EDSS scores ranging from 0 to 5.5 were eligible</w:t>
      </w:r>
    </w:p>
    <w:p w14:paraId="334BD3F6" w14:textId="6916F2C5" w:rsidR="009659C5" w:rsidRPr="00E126C7" w:rsidRDefault="009659C5" w:rsidP="00E126C7">
      <w:pPr>
        <w:rPr>
          <w:rFonts w:ascii="Times New Roman" w:hAnsi="Times New Roman" w:cs="Times New Roman"/>
          <w:sz w:val="14"/>
          <w:szCs w:val="14"/>
          <w:lang w:bidi="ar-SA"/>
        </w:rPr>
      </w:pPr>
      <w:r>
        <w:rPr>
          <w:rFonts w:ascii="Times New Roman" w:hAnsi="Times New Roman" w:cs="Times New Roman"/>
          <w:sz w:val="14"/>
          <w:szCs w:val="14"/>
          <w:lang w:bidi="ar-SA"/>
        </w:rPr>
        <w:t xml:space="preserve">Abbreviations: </w:t>
      </w:r>
      <w:r w:rsidR="00966CF2">
        <w:rPr>
          <w:rFonts w:ascii="Times New Roman" w:hAnsi="Times New Roman" w:cs="Times New Roman"/>
          <w:sz w:val="14"/>
          <w:szCs w:val="14"/>
          <w:lang w:bidi="ar-SA"/>
        </w:rPr>
        <w:t xml:space="preserve">DMT = </w:t>
      </w:r>
      <w:r w:rsidR="00F2035A">
        <w:rPr>
          <w:rFonts w:ascii="Times New Roman" w:hAnsi="Times New Roman" w:cs="Times New Roman"/>
          <w:sz w:val="14"/>
          <w:szCs w:val="14"/>
          <w:lang w:bidi="ar-SA"/>
        </w:rPr>
        <w:t>disease modifying therapies</w:t>
      </w:r>
      <w:r w:rsidR="00966CF2">
        <w:rPr>
          <w:rFonts w:ascii="Times New Roman" w:hAnsi="Times New Roman" w:cs="Times New Roman"/>
          <w:sz w:val="14"/>
          <w:szCs w:val="14"/>
          <w:lang w:bidi="ar-SA"/>
        </w:rPr>
        <w:t xml:space="preserve">; EDSS = </w:t>
      </w:r>
      <w:r w:rsidR="00D24820">
        <w:rPr>
          <w:rFonts w:ascii="Times New Roman" w:hAnsi="Times New Roman" w:cs="Times New Roman"/>
          <w:sz w:val="14"/>
          <w:szCs w:val="14"/>
          <w:lang w:bidi="ar-SA"/>
        </w:rPr>
        <w:t>expanded disability status scale</w:t>
      </w:r>
      <w:r w:rsidR="00966CF2">
        <w:rPr>
          <w:rFonts w:ascii="Times New Roman" w:hAnsi="Times New Roman" w:cs="Times New Roman"/>
          <w:sz w:val="14"/>
          <w:szCs w:val="14"/>
          <w:lang w:bidi="ar-SA"/>
        </w:rPr>
        <w:t xml:space="preserve">; MS = </w:t>
      </w:r>
      <w:r w:rsidR="00B02331">
        <w:rPr>
          <w:rFonts w:ascii="Times New Roman" w:hAnsi="Times New Roman" w:cs="Times New Roman"/>
          <w:sz w:val="14"/>
          <w:szCs w:val="14"/>
          <w:lang w:bidi="ar-SA"/>
        </w:rPr>
        <w:t>multiple sclerosis</w:t>
      </w:r>
      <w:r w:rsidR="00966CF2">
        <w:rPr>
          <w:rFonts w:ascii="Times New Roman" w:hAnsi="Times New Roman" w:cs="Times New Roman"/>
          <w:sz w:val="14"/>
          <w:szCs w:val="14"/>
          <w:lang w:bidi="ar-SA"/>
        </w:rPr>
        <w:t xml:space="preserve">; </w:t>
      </w:r>
      <w:r w:rsidR="00EB277E">
        <w:rPr>
          <w:rFonts w:ascii="Times New Roman" w:hAnsi="Times New Roman" w:cs="Times New Roman"/>
          <w:sz w:val="14"/>
          <w:szCs w:val="14"/>
          <w:lang w:bidi="ar-SA"/>
        </w:rPr>
        <w:t xml:space="preserve">NR = not reported; </w:t>
      </w:r>
      <w:r w:rsidR="008B365F" w:rsidRPr="008B365F">
        <w:rPr>
          <w:rFonts w:ascii="Times New Roman" w:hAnsi="Times New Roman" w:cs="Times New Roman"/>
          <w:sz w:val="14"/>
          <w:szCs w:val="14"/>
          <w:lang w:bidi="ar-SA"/>
        </w:rPr>
        <w:t>PRMS = progressive relapsing multiple sclerosis</w:t>
      </w:r>
      <w:r w:rsidR="008B365F">
        <w:rPr>
          <w:rFonts w:ascii="Times New Roman" w:hAnsi="Times New Roman" w:cs="Times New Roman"/>
          <w:sz w:val="14"/>
          <w:szCs w:val="14"/>
          <w:lang w:bidi="ar-SA"/>
        </w:rPr>
        <w:t>;</w:t>
      </w:r>
      <w:r w:rsidR="008B365F" w:rsidRPr="008B365F">
        <w:rPr>
          <w:rFonts w:ascii="Times New Roman" w:hAnsi="Times New Roman" w:cs="Times New Roman"/>
          <w:sz w:val="14"/>
          <w:szCs w:val="14"/>
          <w:lang w:bidi="ar-SA"/>
        </w:rPr>
        <w:t xml:space="preserve"> </w:t>
      </w:r>
      <w:r w:rsidR="00966CF2">
        <w:rPr>
          <w:rFonts w:ascii="Times New Roman" w:hAnsi="Times New Roman" w:cs="Times New Roman"/>
          <w:sz w:val="14"/>
          <w:szCs w:val="14"/>
          <w:lang w:bidi="ar-SA"/>
        </w:rPr>
        <w:t xml:space="preserve">RRMS = </w:t>
      </w:r>
      <w:r w:rsidR="002130EA">
        <w:rPr>
          <w:rFonts w:ascii="Times New Roman" w:hAnsi="Times New Roman" w:cs="Times New Roman"/>
          <w:sz w:val="14"/>
          <w:szCs w:val="14"/>
          <w:lang w:bidi="ar-SA"/>
        </w:rPr>
        <w:t>relapsing remitting multiple sclerosis</w:t>
      </w:r>
      <w:r w:rsidR="00966CF2">
        <w:rPr>
          <w:rFonts w:ascii="Times New Roman" w:hAnsi="Times New Roman" w:cs="Times New Roman"/>
          <w:sz w:val="14"/>
          <w:szCs w:val="14"/>
          <w:lang w:bidi="ar-SA"/>
        </w:rPr>
        <w:t xml:space="preserve">; </w:t>
      </w:r>
      <w:r w:rsidR="008B365F" w:rsidRPr="008B365F">
        <w:rPr>
          <w:rFonts w:ascii="Times New Roman" w:hAnsi="Times New Roman" w:cs="Times New Roman"/>
          <w:sz w:val="14"/>
          <w:szCs w:val="14"/>
          <w:lang w:bidi="ar-SA"/>
        </w:rPr>
        <w:t>SPMS = secondary progressive multiple sclerosis</w:t>
      </w:r>
      <w:r w:rsidR="00966CF2">
        <w:rPr>
          <w:rFonts w:ascii="Times New Roman" w:hAnsi="Times New Roman" w:cs="Times New Roman"/>
          <w:sz w:val="14"/>
          <w:szCs w:val="14"/>
          <w:lang w:bidi="ar-SA"/>
        </w:rPr>
        <w:t xml:space="preserve">; </w:t>
      </w:r>
      <w:r w:rsidR="00570D56">
        <w:rPr>
          <w:rFonts w:ascii="Times New Roman" w:hAnsi="Times New Roman" w:cs="Times New Roman"/>
          <w:sz w:val="14"/>
          <w:szCs w:val="14"/>
          <w:lang w:bidi="ar-SA"/>
        </w:rPr>
        <w:t xml:space="preserve">X = </w:t>
      </w:r>
      <w:proofErr w:type="gramStart"/>
      <w:r w:rsidR="0064259B">
        <w:rPr>
          <w:rFonts w:ascii="Times New Roman" w:hAnsi="Times New Roman" w:cs="Times New Roman"/>
          <w:sz w:val="14"/>
          <w:szCs w:val="14"/>
          <w:lang w:bidi="ar-SA"/>
        </w:rPr>
        <w:t>included</w:t>
      </w:r>
      <w:r w:rsidR="00570D56">
        <w:rPr>
          <w:rFonts w:ascii="Times New Roman" w:hAnsi="Times New Roman" w:cs="Times New Roman"/>
          <w:sz w:val="14"/>
          <w:szCs w:val="14"/>
          <w:lang w:bidi="ar-SA"/>
        </w:rPr>
        <w:t>;</w:t>
      </w:r>
      <w:proofErr w:type="gramEnd"/>
      <w:r w:rsidR="00570D56">
        <w:rPr>
          <w:rFonts w:ascii="Times New Roman" w:hAnsi="Times New Roman" w:cs="Times New Roman"/>
          <w:sz w:val="14"/>
          <w:szCs w:val="14"/>
          <w:lang w:bidi="ar-SA"/>
        </w:rPr>
        <w:t xml:space="preserve"> </w:t>
      </w:r>
      <w:proofErr w:type="spellStart"/>
      <w:r w:rsidR="00966CF2">
        <w:rPr>
          <w:rFonts w:ascii="Times New Roman" w:hAnsi="Times New Roman" w:cs="Times New Roman"/>
          <w:sz w:val="14"/>
          <w:szCs w:val="14"/>
          <w:lang w:bidi="ar-SA"/>
        </w:rPr>
        <w:t>yrs</w:t>
      </w:r>
      <w:proofErr w:type="spellEnd"/>
      <w:r w:rsidR="00966CF2">
        <w:rPr>
          <w:rFonts w:ascii="Times New Roman" w:hAnsi="Times New Roman" w:cs="Times New Roman"/>
          <w:sz w:val="14"/>
          <w:szCs w:val="14"/>
          <w:lang w:bidi="ar-SA"/>
        </w:rPr>
        <w:t xml:space="preserve"> = years.</w:t>
      </w:r>
    </w:p>
    <w:p w14:paraId="1EA07011" w14:textId="77777777" w:rsidR="00DE70AB" w:rsidRDefault="00DE70AB" w:rsidP="00223A29">
      <w:pPr>
        <w:pStyle w:val="Heading2"/>
        <w:pageBreakBefore/>
        <w:ind w:left="965" w:hanging="965"/>
        <w:rPr>
          <w:rFonts w:ascii="Times New Roman" w:hAnsi="Times New Roman" w:cs="Times New Roman"/>
        </w:rPr>
        <w:sectPr w:rsidR="00DE70AB" w:rsidSect="0087352C">
          <w:pgSz w:w="15840" w:h="12240" w:orient="landscape"/>
          <w:pgMar w:top="1440" w:right="1440" w:bottom="1440" w:left="1440" w:header="720" w:footer="720" w:gutter="0"/>
          <w:cols w:space="720"/>
          <w:docGrid w:linePitch="360"/>
        </w:sectPr>
      </w:pPr>
    </w:p>
    <w:p w14:paraId="64CA5B27" w14:textId="1C67558A" w:rsidR="00DC12BB" w:rsidRDefault="00DC12BB" w:rsidP="00223A29">
      <w:pPr>
        <w:pStyle w:val="Heading2"/>
        <w:pageBreakBefore/>
        <w:ind w:left="965" w:hanging="965"/>
        <w:rPr>
          <w:rFonts w:ascii="Times New Roman" w:hAnsi="Times New Roman" w:cs="Times New Roman"/>
        </w:rPr>
      </w:pPr>
      <w:bookmarkStart w:id="26" w:name="_Toc130240191"/>
      <w:r w:rsidRPr="00A14942">
        <w:rPr>
          <w:rFonts w:ascii="Times New Roman" w:hAnsi="Times New Roman" w:cs="Times New Roman"/>
        </w:rPr>
        <w:lastRenderedPageBreak/>
        <w:t>Patient population characteristics</w:t>
      </w:r>
      <w:bookmarkEnd w:id="26"/>
    </w:p>
    <w:p w14:paraId="434953D8" w14:textId="168AF8ED" w:rsidR="00E56C9F" w:rsidRPr="004660DD" w:rsidRDefault="00E56C9F" w:rsidP="00E56C9F">
      <w:pPr>
        <w:rPr>
          <w:rFonts w:ascii="Times New Roman" w:hAnsi="Times New Roman" w:cs="Times New Roman"/>
          <w:lang w:bidi="ar-SA"/>
        </w:rPr>
      </w:pPr>
      <w:r w:rsidRPr="004660DD">
        <w:rPr>
          <w:rFonts w:ascii="Times New Roman" w:hAnsi="Times New Roman" w:cs="Times New Roman"/>
          <w:lang w:bidi="ar-SA"/>
        </w:rPr>
        <w:t>Abbreviations:</w:t>
      </w:r>
      <w:r w:rsidR="00556EE4" w:rsidRPr="004660DD">
        <w:rPr>
          <w:rFonts w:ascii="Times New Roman" w:hAnsi="Times New Roman" w:cs="Times New Roman"/>
          <w:lang w:bidi="ar-SA"/>
        </w:rPr>
        <w:t xml:space="preserve"> </w:t>
      </w:r>
      <w:r w:rsidR="00993240" w:rsidRPr="004660DD">
        <w:rPr>
          <w:rFonts w:ascii="Times New Roman" w:hAnsi="Times New Roman" w:cs="Times New Roman"/>
          <w:lang w:bidi="ar-SA"/>
        </w:rPr>
        <w:t>2W</w:t>
      </w:r>
      <w:r w:rsidR="008D0BB0" w:rsidRPr="004660DD">
        <w:rPr>
          <w:rFonts w:ascii="Times New Roman" w:hAnsi="Times New Roman" w:cs="Times New Roman"/>
          <w:lang w:bidi="ar-SA"/>
        </w:rPr>
        <w:t>/4W/24W</w:t>
      </w:r>
      <w:r w:rsidR="00993240" w:rsidRPr="004660DD">
        <w:rPr>
          <w:rFonts w:ascii="Times New Roman" w:hAnsi="Times New Roman" w:cs="Times New Roman"/>
          <w:lang w:bidi="ar-SA"/>
        </w:rPr>
        <w:t xml:space="preserve"> = every </w:t>
      </w:r>
      <w:r w:rsidR="004712E7" w:rsidRPr="004660DD">
        <w:rPr>
          <w:rFonts w:ascii="Times New Roman" w:hAnsi="Times New Roman" w:cs="Times New Roman"/>
          <w:lang w:bidi="ar-SA"/>
        </w:rPr>
        <w:t>2/4/24 weeks</w:t>
      </w:r>
      <w:r w:rsidR="00993240" w:rsidRPr="004660DD">
        <w:rPr>
          <w:rFonts w:ascii="Times New Roman" w:hAnsi="Times New Roman" w:cs="Times New Roman"/>
          <w:lang w:bidi="ar-SA"/>
        </w:rPr>
        <w:t xml:space="preserve">; </w:t>
      </w:r>
      <w:r w:rsidR="00556EE4" w:rsidRPr="004660DD">
        <w:rPr>
          <w:rFonts w:ascii="Times New Roman" w:hAnsi="Times New Roman" w:cs="Times New Roman"/>
          <w:lang w:bidi="ar-SA"/>
        </w:rPr>
        <w:t xml:space="preserve">ALE = </w:t>
      </w:r>
      <w:r w:rsidR="003A734F" w:rsidRPr="004660DD">
        <w:rPr>
          <w:rFonts w:ascii="Times New Roman" w:hAnsi="Times New Roman" w:cs="Times New Roman"/>
          <w:lang w:bidi="ar-SA"/>
        </w:rPr>
        <w:t>alemtuzumab</w:t>
      </w:r>
      <w:r w:rsidR="00664F8E" w:rsidRPr="004660DD">
        <w:rPr>
          <w:rFonts w:ascii="Times New Roman" w:hAnsi="Times New Roman" w:cs="Times New Roman"/>
          <w:lang w:bidi="ar-SA"/>
        </w:rPr>
        <w:t xml:space="preserve">; </w:t>
      </w:r>
      <w:r w:rsidR="00A945DF" w:rsidRPr="004660DD">
        <w:rPr>
          <w:rFonts w:ascii="Times New Roman" w:hAnsi="Times New Roman" w:cs="Times New Roman"/>
          <w:lang w:bidi="ar-SA"/>
        </w:rPr>
        <w:t xml:space="preserve">ARR = annualized relapse rate; </w:t>
      </w:r>
      <w:r w:rsidR="000D147F" w:rsidRPr="004660DD">
        <w:rPr>
          <w:rFonts w:ascii="Times New Roman" w:hAnsi="Times New Roman" w:cs="Times New Roman"/>
          <w:lang w:bidi="ar-SA"/>
        </w:rPr>
        <w:t xml:space="preserve">DMT = disease modifying therapies; EDSS = expanded disability status scale; </w:t>
      </w:r>
      <w:r w:rsidR="00664F8E" w:rsidRPr="004660DD">
        <w:rPr>
          <w:rFonts w:ascii="Times New Roman" w:hAnsi="Times New Roman" w:cs="Times New Roman"/>
          <w:lang w:bidi="ar-SA"/>
        </w:rPr>
        <w:t xml:space="preserve">FIN = </w:t>
      </w:r>
      <w:r w:rsidR="00831582" w:rsidRPr="004660DD">
        <w:rPr>
          <w:rFonts w:ascii="Times New Roman" w:hAnsi="Times New Roman" w:cs="Times New Roman"/>
          <w:lang w:bidi="ar-SA"/>
        </w:rPr>
        <w:t>fingolimod</w:t>
      </w:r>
      <w:r w:rsidR="00664F8E" w:rsidRPr="004660DD">
        <w:rPr>
          <w:rFonts w:ascii="Times New Roman" w:hAnsi="Times New Roman" w:cs="Times New Roman"/>
          <w:lang w:bidi="ar-SA"/>
        </w:rPr>
        <w:t xml:space="preserve">; GA = </w:t>
      </w:r>
      <w:r w:rsidR="00831582" w:rsidRPr="004660DD">
        <w:rPr>
          <w:rFonts w:ascii="Times New Roman" w:hAnsi="Times New Roman" w:cs="Times New Roman"/>
          <w:lang w:bidi="ar-SA"/>
        </w:rPr>
        <w:t>glatiramer</w:t>
      </w:r>
      <w:r w:rsidR="005351AE" w:rsidRPr="004660DD">
        <w:rPr>
          <w:rFonts w:ascii="Times New Roman" w:hAnsi="Times New Roman" w:cs="Times New Roman"/>
          <w:lang w:bidi="ar-SA"/>
        </w:rPr>
        <w:t xml:space="preserve"> acetate</w:t>
      </w:r>
      <w:r w:rsidR="00664F8E" w:rsidRPr="004660DD">
        <w:rPr>
          <w:rFonts w:ascii="Times New Roman" w:hAnsi="Times New Roman" w:cs="Times New Roman"/>
          <w:lang w:bidi="ar-SA"/>
        </w:rPr>
        <w:t xml:space="preserve">; </w:t>
      </w:r>
      <w:r w:rsidR="0056770A" w:rsidRPr="004660DD">
        <w:rPr>
          <w:rFonts w:ascii="Times New Roman" w:hAnsi="Times New Roman" w:cs="Times New Roman"/>
          <w:lang w:bidi="ar-SA"/>
        </w:rPr>
        <w:t>IFNB</w:t>
      </w:r>
      <w:r w:rsidR="00AE548D" w:rsidRPr="004660DD">
        <w:rPr>
          <w:rFonts w:ascii="Times New Roman" w:hAnsi="Times New Roman" w:cs="Times New Roman"/>
          <w:lang w:bidi="ar-SA"/>
        </w:rPr>
        <w:t>-1a</w:t>
      </w:r>
      <w:r w:rsidR="00A24B3F" w:rsidRPr="004660DD">
        <w:rPr>
          <w:rFonts w:ascii="Times New Roman" w:hAnsi="Times New Roman" w:cs="Times New Roman"/>
          <w:lang w:bidi="ar-SA"/>
        </w:rPr>
        <w:t xml:space="preserve"> </w:t>
      </w:r>
      <w:r w:rsidR="0056770A" w:rsidRPr="004660DD">
        <w:rPr>
          <w:rFonts w:ascii="Times New Roman" w:hAnsi="Times New Roman" w:cs="Times New Roman"/>
          <w:lang w:bidi="ar-SA"/>
        </w:rPr>
        <w:t xml:space="preserve">= </w:t>
      </w:r>
      <w:r w:rsidR="00AE548D" w:rsidRPr="004660DD">
        <w:rPr>
          <w:rFonts w:ascii="Times New Roman" w:hAnsi="Times New Roman" w:cs="Times New Roman"/>
          <w:lang w:bidi="ar-SA"/>
        </w:rPr>
        <w:t xml:space="preserve">interferon </w:t>
      </w:r>
      <w:r w:rsidR="00115C4F" w:rsidRPr="004660DD">
        <w:rPr>
          <w:rFonts w:ascii="Times New Roman" w:hAnsi="Times New Roman" w:cs="Times New Roman"/>
          <w:lang w:bidi="ar-SA"/>
        </w:rPr>
        <w:t>β-1a</w:t>
      </w:r>
      <w:r w:rsidR="0056770A" w:rsidRPr="004660DD">
        <w:rPr>
          <w:rFonts w:ascii="Times New Roman" w:hAnsi="Times New Roman" w:cs="Times New Roman"/>
          <w:lang w:bidi="ar-SA"/>
        </w:rPr>
        <w:t xml:space="preserve">; </w:t>
      </w:r>
      <w:r w:rsidR="00115C4F" w:rsidRPr="004660DD">
        <w:rPr>
          <w:rFonts w:ascii="Times New Roman" w:hAnsi="Times New Roman" w:cs="Times New Roman"/>
          <w:lang w:bidi="ar-SA"/>
        </w:rPr>
        <w:t>IFNB-1b</w:t>
      </w:r>
      <w:r w:rsidR="00A24B3F" w:rsidRPr="004660DD">
        <w:rPr>
          <w:rFonts w:ascii="Times New Roman" w:hAnsi="Times New Roman" w:cs="Times New Roman"/>
          <w:lang w:bidi="ar-SA"/>
        </w:rPr>
        <w:t xml:space="preserve"> </w:t>
      </w:r>
      <w:r w:rsidR="00115C4F" w:rsidRPr="004660DD">
        <w:rPr>
          <w:rFonts w:ascii="Times New Roman" w:hAnsi="Times New Roman" w:cs="Times New Roman"/>
          <w:lang w:bidi="ar-SA"/>
        </w:rPr>
        <w:t xml:space="preserve">= interferon β-1b; </w:t>
      </w:r>
      <w:r w:rsidR="0056770A" w:rsidRPr="004660DD">
        <w:rPr>
          <w:rFonts w:ascii="Times New Roman" w:hAnsi="Times New Roman" w:cs="Times New Roman"/>
          <w:lang w:bidi="ar-SA"/>
        </w:rPr>
        <w:t xml:space="preserve">IM = </w:t>
      </w:r>
      <w:r w:rsidR="00D70C19" w:rsidRPr="004660DD">
        <w:rPr>
          <w:rFonts w:ascii="Times New Roman" w:hAnsi="Times New Roman" w:cs="Times New Roman"/>
          <w:lang w:bidi="ar-SA"/>
        </w:rPr>
        <w:t>intramuscular</w:t>
      </w:r>
      <w:r w:rsidR="0056770A" w:rsidRPr="004660DD">
        <w:rPr>
          <w:rFonts w:ascii="Times New Roman" w:hAnsi="Times New Roman" w:cs="Times New Roman"/>
          <w:lang w:bidi="ar-SA"/>
        </w:rPr>
        <w:t xml:space="preserve">; OCR = </w:t>
      </w:r>
      <w:r w:rsidR="009750C0" w:rsidRPr="004660DD">
        <w:rPr>
          <w:rFonts w:ascii="Times New Roman" w:hAnsi="Times New Roman" w:cs="Times New Roman"/>
          <w:lang w:bidi="ar-SA"/>
        </w:rPr>
        <w:t>ocrelizumab</w:t>
      </w:r>
      <w:r w:rsidR="0056770A" w:rsidRPr="004660DD">
        <w:rPr>
          <w:rFonts w:ascii="Times New Roman" w:hAnsi="Times New Roman" w:cs="Times New Roman"/>
          <w:lang w:bidi="ar-SA"/>
        </w:rPr>
        <w:t xml:space="preserve">; NAT = </w:t>
      </w:r>
      <w:r w:rsidR="00C45A29" w:rsidRPr="004660DD">
        <w:rPr>
          <w:rFonts w:ascii="Times New Roman" w:hAnsi="Times New Roman" w:cs="Times New Roman"/>
          <w:lang w:bidi="ar-SA"/>
        </w:rPr>
        <w:t>natalizumab</w:t>
      </w:r>
      <w:r w:rsidR="0056770A" w:rsidRPr="004660DD">
        <w:rPr>
          <w:rFonts w:ascii="Times New Roman" w:hAnsi="Times New Roman" w:cs="Times New Roman"/>
          <w:lang w:bidi="ar-SA"/>
        </w:rPr>
        <w:t xml:space="preserve">; </w:t>
      </w:r>
      <w:r w:rsidR="0035734B" w:rsidRPr="004660DD">
        <w:rPr>
          <w:rFonts w:ascii="Times New Roman" w:hAnsi="Times New Roman" w:cs="Times New Roman"/>
          <w:lang w:bidi="ar-SA"/>
        </w:rPr>
        <w:t xml:space="preserve">NR = not reported; </w:t>
      </w:r>
      <w:r w:rsidR="0056770A" w:rsidRPr="004660DD">
        <w:rPr>
          <w:rFonts w:ascii="Times New Roman" w:hAnsi="Times New Roman" w:cs="Times New Roman"/>
          <w:lang w:bidi="ar-SA"/>
        </w:rPr>
        <w:t xml:space="preserve">PBO = </w:t>
      </w:r>
      <w:r w:rsidR="0047116A" w:rsidRPr="004660DD">
        <w:rPr>
          <w:rFonts w:ascii="Times New Roman" w:hAnsi="Times New Roman" w:cs="Times New Roman"/>
          <w:lang w:bidi="ar-SA"/>
        </w:rPr>
        <w:t>placebo</w:t>
      </w:r>
      <w:r w:rsidR="0056770A" w:rsidRPr="004660DD">
        <w:rPr>
          <w:rFonts w:ascii="Times New Roman" w:hAnsi="Times New Roman" w:cs="Times New Roman"/>
          <w:lang w:bidi="ar-SA"/>
        </w:rPr>
        <w:t xml:space="preserve">; PEG = </w:t>
      </w:r>
      <w:r w:rsidR="00C45A29" w:rsidRPr="004660DD">
        <w:rPr>
          <w:rFonts w:ascii="Times New Roman" w:hAnsi="Times New Roman" w:cs="Times New Roman"/>
          <w:lang w:bidi="ar-SA"/>
        </w:rPr>
        <w:t xml:space="preserve">peginterferon </w:t>
      </w:r>
      <w:r w:rsidR="004C6C9F" w:rsidRPr="004660DD">
        <w:rPr>
          <w:rFonts w:ascii="Times New Roman" w:hAnsi="Times New Roman" w:cs="Times New Roman"/>
          <w:lang w:bidi="ar-SA"/>
        </w:rPr>
        <w:t>β-1a</w:t>
      </w:r>
      <w:r w:rsidR="0056770A" w:rsidRPr="004660DD">
        <w:rPr>
          <w:rFonts w:ascii="Times New Roman" w:hAnsi="Times New Roman" w:cs="Times New Roman"/>
          <w:lang w:bidi="ar-SA"/>
        </w:rPr>
        <w:t xml:space="preserve">; PON = </w:t>
      </w:r>
      <w:proofErr w:type="spellStart"/>
      <w:r w:rsidR="00D70C19" w:rsidRPr="004660DD">
        <w:rPr>
          <w:rFonts w:ascii="Times New Roman" w:hAnsi="Times New Roman" w:cs="Times New Roman"/>
          <w:lang w:bidi="ar-SA"/>
        </w:rPr>
        <w:t>ponesimod</w:t>
      </w:r>
      <w:proofErr w:type="spellEnd"/>
      <w:r w:rsidR="0056770A" w:rsidRPr="004660DD">
        <w:rPr>
          <w:rFonts w:ascii="Times New Roman" w:hAnsi="Times New Roman" w:cs="Times New Roman"/>
          <w:lang w:bidi="ar-SA"/>
        </w:rPr>
        <w:t xml:space="preserve">; </w:t>
      </w:r>
      <w:r w:rsidR="00664F8E" w:rsidRPr="004660DD">
        <w:rPr>
          <w:rFonts w:ascii="Times New Roman" w:hAnsi="Times New Roman" w:cs="Times New Roman"/>
          <w:lang w:bidi="ar-SA"/>
        </w:rPr>
        <w:t xml:space="preserve">QD = </w:t>
      </w:r>
      <w:r w:rsidR="00CE54C0" w:rsidRPr="004660DD">
        <w:rPr>
          <w:rFonts w:ascii="Times New Roman" w:hAnsi="Times New Roman" w:cs="Times New Roman"/>
          <w:lang w:bidi="ar-SA"/>
        </w:rPr>
        <w:t>every day</w:t>
      </w:r>
      <w:r w:rsidR="00664F8E" w:rsidRPr="004660DD">
        <w:rPr>
          <w:rFonts w:ascii="Times New Roman" w:hAnsi="Times New Roman" w:cs="Times New Roman"/>
          <w:lang w:bidi="ar-SA"/>
        </w:rPr>
        <w:t>;</w:t>
      </w:r>
      <w:r w:rsidR="0056770A" w:rsidRPr="004660DD">
        <w:rPr>
          <w:rFonts w:ascii="Times New Roman" w:hAnsi="Times New Roman" w:cs="Times New Roman"/>
          <w:lang w:bidi="ar-SA"/>
        </w:rPr>
        <w:t xml:space="preserve"> QOD = </w:t>
      </w:r>
      <w:r w:rsidR="00CE54C0" w:rsidRPr="004660DD">
        <w:rPr>
          <w:rFonts w:ascii="Times New Roman" w:hAnsi="Times New Roman" w:cs="Times New Roman"/>
          <w:lang w:bidi="ar-SA"/>
        </w:rPr>
        <w:t>every other day</w:t>
      </w:r>
      <w:r w:rsidR="0056770A" w:rsidRPr="004660DD">
        <w:rPr>
          <w:rFonts w:ascii="Times New Roman" w:hAnsi="Times New Roman" w:cs="Times New Roman"/>
          <w:lang w:bidi="ar-SA"/>
        </w:rPr>
        <w:t xml:space="preserve">; QW = </w:t>
      </w:r>
      <w:r w:rsidR="00D2294B" w:rsidRPr="004660DD">
        <w:rPr>
          <w:rFonts w:ascii="Times New Roman" w:hAnsi="Times New Roman" w:cs="Times New Roman"/>
          <w:lang w:bidi="ar-SA"/>
        </w:rPr>
        <w:t>every week</w:t>
      </w:r>
      <w:r w:rsidR="0056770A" w:rsidRPr="004660DD">
        <w:rPr>
          <w:rFonts w:ascii="Times New Roman" w:hAnsi="Times New Roman" w:cs="Times New Roman"/>
          <w:lang w:bidi="ar-SA"/>
        </w:rPr>
        <w:t xml:space="preserve">; </w:t>
      </w:r>
      <w:r w:rsidR="000D147F" w:rsidRPr="004660DD">
        <w:rPr>
          <w:rFonts w:ascii="Times New Roman" w:hAnsi="Times New Roman" w:cs="Times New Roman"/>
          <w:lang w:bidi="ar-SA"/>
        </w:rPr>
        <w:t xml:space="preserve">RRMS = relapsing remitting multiple sclerosis; </w:t>
      </w:r>
      <w:r w:rsidR="0056770A" w:rsidRPr="004660DD">
        <w:rPr>
          <w:rFonts w:ascii="Times New Roman" w:hAnsi="Times New Roman" w:cs="Times New Roman"/>
          <w:lang w:bidi="ar-SA"/>
        </w:rPr>
        <w:t xml:space="preserve">TER = </w:t>
      </w:r>
      <w:r w:rsidR="00C45A29" w:rsidRPr="004660DD">
        <w:rPr>
          <w:rFonts w:ascii="Times New Roman" w:hAnsi="Times New Roman" w:cs="Times New Roman"/>
          <w:lang w:bidi="ar-SA"/>
        </w:rPr>
        <w:t>teriflunomide</w:t>
      </w:r>
      <w:r w:rsidR="0026501E" w:rsidRPr="004660DD">
        <w:rPr>
          <w:rFonts w:ascii="Times New Roman" w:hAnsi="Times New Roman" w:cs="Times New Roman"/>
          <w:lang w:bidi="ar-SA"/>
        </w:rPr>
        <w:t>.</w:t>
      </w:r>
    </w:p>
    <w:p w14:paraId="630B2DD1" w14:textId="6D80AB9A" w:rsidR="00DE70AB" w:rsidRPr="00DE70AB" w:rsidRDefault="00DE70AB" w:rsidP="00086ECC">
      <w:pPr>
        <w:spacing w:after="0"/>
        <w:ind w:left="720" w:firstLine="720"/>
        <w:rPr>
          <w:rFonts w:ascii="Times New Roman" w:hAnsi="Times New Roman" w:cs="Times New Roman"/>
        </w:rPr>
      </w:pPr>
      <w:r>
        <w:rPr>
          <w:rFonts w:ascii="Times New Roman" w:hAnsi="Times New Roman" w:cs="Times New Roman"/>
        </w:rPr>
        <w:t xml:space="preserve">(A) </w:t>
      </w:r>
      <w:r w:rsidRPr="00DE70AB">
        <w:rPr>
          <w:rFonts w:ascii="Times New Roman" w:hAnsi="Times New Roman" w:cs="Times New Roman"/>
        </w:rPr>
        <w:t>Patient age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 Patient race</w:t>
      </w:r>
    </w:p>
    <w:p w14:paraId="49913441" w14:textId="682EBD35" w:rsidR="00DE70AB" w:rsidRDefault="00DE70AB" w:rsidP="00086ECC">
      <w:pPr>
        <w:spacing w:after="0"/>
      </w:pPr>
      <w:r>
        <w:rPr>
          <w:noProof/>
        </w:rPr>
        <w:drawing>
          <wp:inline distT="0" distB="0" distL="0" distR="0" wp14:anchorId="0D421D96" wp14:editId="5E7C5132">
            <wp:extent cx="2926080" cy="6290945"/>
            <wp:effectExtent l="0" t="0" r="7620" b="0"/>
            <wp:docPr id="1" name="Chart 1">
              <a:extLst xmlns:a="http://schemas.openxmlformats.org/drawingml/2006/main">
                <a:ext uri="{FF2B5EF4-FFF2-40B4-BE49-F238E27FC236}">
                  <a16:creationId xmlns:a16="http://schemas.microsoft.com/office/drawing/2014/main" id="{FCEB0DBF-B427-4E0A-A5FC-24B0633129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t xml:space="preserve">  </w:t>
      </w:r>
      <w:r>
        <w:rPr>
          <w:noProof/>
        </w:rPr>
        <w:drawing>
          <wp:inline distT="0" distB="0" distL="0" distR="0" wp14:anchorId="34E1CFD8" wp14:editId="6243DD6E">
            <wp:extent cx="2926080" cy="6291072"/>
            <wp:effectExtent l="0" t="0" r="7620" b="0"/>
            <wp:docPr id="45" name="Chart 45">
              <a:extLst xmlns:a="http://schemas.openxmlformats.org/drawingml/2006/main">
                <a:ext uri="{FF2B5EF4-FFF2-40B4-BE49-F238E27FC236}">
                  <a16:creationId xmlns:a16="http://schemas.microsoft.com/office/drawing/2014/main" id="{3627FA97-7D65-4A76-90F9-7065FB2301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41D79EF" w14:textId="3E751B31" w:rsidR="00086ECC" w:rsidRPr="00086ECC" w:rsidRDefault="00086ECC" w:rsidP="00DE70AB">
      <w:pPr>
        <w:rPr>
          <w:rFonts w:ascii="Times New Roman" w:hAnsi="Times New Roman" w:cs="Times New Roman"/>
        </w:rPr>
      </w:pPr>
      <w:r w:rsidRPr="00086ECC">
        <w:rPr>
          <w:rFonts w:ascii="Times New Roman" w:hAnsi="Times New Roman" w:cs="Times New Roman"/>
        </w:rPr>
        <w:t>*Median age is reflected</w:t>
      </w:r>
    </w:p>
    <w:p w14:paraId="7224CC08" w14:textId="0A65B335" w:rsidR="00DE70AB" w:rsidRPr="00DE70AB" w:rsidRDefault="00DE70AB" w:rsidP="00DE70AB">
      <w:pPr>
        <w:ind w:left="720" w:firstLine="720"/>
        <w:rPr>
          <w:rFonts w:ascii="Times New Roman" w:hAnsi="Times New Roman" w:cs="Times New Roman"/>
        </w:rPr>
      </w:pPr>
      <w:r>
        <w:rPr>
          <w:rFonts w:ascii="Times New Roman" w:hAnsi="Times New Roman" w:cs="Times New Roman"/>
        </w:rPr>
        <w:lastRenderedPageBreak/>
        <w:t xml:space="preserve">(C) </w:t>
      </w:r>
      <w:r w:rsidRPr="00DE70AB">
        <w:rPr>
          <w:rFonts w:ascii="Times New Roman" w:hAnsi="Times New Roman" w:cs="Times New Roman"/>
        </w:rPr>
        <w:t xml:space="preserve">Patient </w:t>
      </w:r>
      <w:r>
        <w:rPr>
          <w:rFonts w:ascii="Times New Roman" w:hAnsi="Times New Roman" w:cs="Times New Roman"/>
        </w:rPr>
        <w:t>sex</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 Disease subtype</w:t>
      </w:r>
    </w:p>
    <w:p w14:paraId="4F948863" w14:textId="7751DE47" w:rsidR="00DE70AB" w:rsidRDefault="00DE70AB" w:rsidP="00DE70AB">
      <w:r>
        <w:rPr>
          <w:noProof/>
        </w:rPr>
        <w:drawing>
          <wp:inline distT="0" distB="0" distL="0" distR="0" wp14:anchorId="10136F19" wp14:editId="60929EE0">
            <wp:extent cx="2926080" cy="6291072"/>
            <wp:effectExtent l="0" t="0" r="7620" b="0"/>
            <wp:docPr id="46" name="Chart 46">
              <a:extLst xmlns:a="http://schemas.openxmlformats.org/drawingml/2006/main">
                <a:ext uri="{FF2B5EF4-FFF2-40B4-BE49-F238E27FC236}">
                  <a16:creationId xmlns:a16="http://schemas.microsoft.com/office/drawing/2014/main" id="{8CB4BE1C-8BFB-47B8-AD88-EE27777C45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t xml:space="preserve">  </w:t>
      </w:r>
      <w:r>
        <w:rPr>
          <w:noProof/>
        </w:rPr>
        <w:drawing>
          <wp:inline distT="0" distB="0" distL="0" distR="0" wp14:anchorId="2B5F1D26" wp14:editId="73E5D003">
            <wp:extent cx="2926080" cy="6291072"/>
            <wp:effectExtent l="0" t="0" r="7620" b="0"/>
            <wp:docPr id="47" name="Chart 47">
              <a:extLst xmlns:a="http://schemas.openxmlformats.org/drawingml/2006/main">
                <a:ext uri="{FF2B5EF4-FFF2-40B4-BE49-F238E27FC236}">
                  <a16:creationId xmlns:a16="http://schemas.microsoft.com/office/drawing/2014/main" id="{6715C7DD-93DC-45B7-A12E-7A3A375971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7D9CB12" w14:textId="1821FB89" w:rsidR="00DE70AB" w:rsidRDefault="00DE70AB" w:rsidP="00DE70AB">
      <w:pPr>
        <w:ind w:left="720" w:firstLine="720"/>
        <w:rPr>
          <w:rFonts w:ascii="Times New Roman" w:hAnsi="Times New Roman" w:cs="Times New Roman"/>
        </w:rPr>
      </w:pPr>
    </w:p>
    <w:p w14:paraId="6ABB6B71" w14:textId="3315C27E" w:rsidR="004660DD" w:rsidRDefault="004660DD" w:rsidP="00DE70AB">
      <w:pPr>
        <w:ind w:left="720" w:firstLine="720"/>
        <w:rPr>
          <w:rFonts w:ascii="Times New Roman" w:hAnsi="Times New Roman" w:cs="Times New Roman"/>
        </w:rPr>
      </w:pPr>
    </w:p>
    <w:p w14:paraId="64D31996" w14:textId="11898A14" w:rsidR="004660DD" w:rsidRDefault="004660DD" w:rsidP="00DE70AB">
      <w:pPr>
        <w:ind w:left="720" w:firstLine="720"/>
        <w:rPr>
          <w:rFonts w:ascii="Times New Roman" w:hAnsi="Times New Roman" w:cs="Times New Roman"/>
        </w:rPr>
      </w:pPr>
    </w:p>
    <w:p w14:paraId="6482DB09" w14:textId="0B19C3D6" w:rsidR="004660DD" w:rsidRDefault="004660DD" w:rsidP="00DE70AB">
      <w:pPr>
        <w:ind w:left="720" w:firstLine="720"/>
        <w:rPr>
          <w:rFonts w:ascii="Times New Roman" w:hAnsi="Times New Roman" w:cs="Times New Roman"/>
        </w:rPr>
      </w:pPr>
    </w:p>
    <w:p w14:paraId="767A9ADE" w14:textId="58942458" w:rsidR="004660DD" w:rsidRDefault="004660DD" w:rsidP="00DE70AB">
      <w:pPr>
        <w:ind w:left="720" w:firstLine="720"/>
        <w:rPr>
          <w:rFonts w:ascii="Times New Roman" w:hAnsi="Times New Roman" w:cs="Times New Roman"/>
        </w:rPr>
      </w:pPr>
    </w:p>
    <w:p w14:paraId="46431AD0" w14:textId="77777777" w:rsidR="004660DD" w:rsidRDefault="004660DD" w:rsidP="00DE70AB">
      <w:pPr>
        <w:ind w:left="720" w:firstLine="720"/>
        <w:rPr>
          <w:rFonts w:ascii="Times New Roman" w:hAnsi="Times New Roman" w:cs="Times New Roman"/>
        </w:rPr>
      </w:pPr>
    </w:p>
    <w:p w14:paraId="7A98A6DB" w14:textId="40AA4094" w:rsidR="00DE70AB" w:rsidRPr="00DE70AB" w:rsidRDefault="00DE70AB" w:rsidP="00DE70AB">
      <w:pPr>
        <w:rPr>
          <w:rFonts w:ascii="Times New Roman" w:hAnsi="Times New Roman" w:cs="Times New Roman"/>
        </w:rPr>
      </w:pPr>
      <w:r>
        <w:rPr>
          <w:rFonts w:ascii="Times New Roman" w:hAnsi="Times New Roman" w:cs="Times New Roman"/>
        </w:rPr>
        <w:lastRenderedPageBreak/>
        <w:t xml:space="preserve">                    (E) Baseline EDSS Score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(F) Baseline relapse rate</w:t>
      </w:r>
    </w:p>
    <w:p w14:paraId="34CF6B03" w14:textId="77777777" w:rsidR="00DE70AB" w:rsidRDefault="00DE70AB" w:rsidP="00086ECC">
      <w:pPr>
        <w:spacing w:after="0"/>
      </w:pPr>
      <w:r>
        <w:rPr>
          <w:noProof/>
        </w:rPr>
        <w:drawing>
          <wp:inline distT="0" distB="0" distL="0" distR="0" wp14:anchorId="20E10FEA" wp14:editId="5269FEB9">
            <wp:extent cx="2926080" cy="6291072"/>
            <wp:effectExtent l="0" t="0" r="7620" b="0"/>
            <wp:docPr id="48" name="Chart 48">
              <a:extLst xmlns:a="http://schemas.openxmlformats.org/drawingml/2006/main">
                <a:ext uri="{FF2B5EF4-FFF2-40B4-BE49-F238E27FC236}">
                  <a16:creationId xmlns:a16="http://schemas.microsoft.com/office/drawing/2014/main" id="{8F887866-B192-426F-97CF-1F952A4A7F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t xml:space="preserve">  </w:t>
      </w:r>
      <w:r>
        <w:rPr>
          <w:noProof/>
        </w:rPr>
        <w:drawing>
          <wp:inline distT="0" distB="0" distL="0" distR="0" wp14:anchorId="7B3AA451" wp14:editId="475DCDF5">
            <wp:extent cx="2926080" cy="6291072"/>
            <wp:effectExtent l="0" t="0" r="7620" b="0"/>
            <wp:docPr id="49" name="Chart 49">
              <a:extLst xmlns:a="http://schemas.openxmlformats.org/drawingml/2006/main">
                <a:ext uri="{FF2B5EF4-FFF2-40B4-BE49-F238E27FC236}">
                  <a16:creationId xmlns:a16="http://schemas.microsoft.com/office/drawing/2014/main" id="{BFE257C3-9BDD-4D21-9679-97BA1FE903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1B1749A" w14:textId="4670EA22" w:rsidR="00DE70AB" w:rsidRPr="00086ECC" w:rsidRDefault="00086ECC" w:rsidP="00DE70AB">
      <w:pPr>
        <w:rPr>
          <w:rFonts w:ascii="Times New Roman" w:hAnsi="Times New Roman" w:cs="Times New Roman"/>
        </w:rPr>
      </w:pPr>
      <w:r w:rsidRPr="00086ECC">
        <w:rPr>
          <w:rFonts w:ascii="Times New Roman" w:hAnsi="Times New Roman" w:cs="Times New Roman"/>
        </w:rPr>
        <w:t>*Median EDSS score is reflected</w:t>
      </w:r>
    </w:p>
    <w:p w14:paraId="1AF93BC7" w14:textId="66770088" w:rsidR="004660DD" w:rsidRDefault="004660DD" w:rsidP="00DE70AB"/>
    <w:p w14:paraId="7E5C46EE" w14:textId="351A1D62" w:rsidR="004660DD" w:rsidRDefault="004660DD" w:rsidP="00DE70AB"/>
    <w:p w14:paraId="45E61B6F" w14:textId="27B73B35" w:rsidR="004660DD" w:rsidRDefault="004660DD" w:rsidP="00DE70AB"/>
    <w:p w14:paraId="3B67177A" w14:textId="74D2FB02" w:rsidR="004660DD" w:rsidRDefault="004660DD" w:rsidP="00DE70AB"/>
    <w:p w14:paraId="5CF461B4" w14:textId="77777777" w:rsidR="00086ECC" w:rsidRDefault="00086ECC" w:rsidP="00DE70AB"/>
    <w:p w14:paraId="73C037FC" w14:textId="3CB36600" w:rsidR="00DE70AB" w:rsidRPr="00DE70AB" w:rsidRDefault="00DF7EB7" w:rsidP="00DE70AB">
      <w:pPr>
        <w:rPr>
          <w:rFonts w:ascii="Times New Roman" w:hAnsi="Times New Roman" w:cs="Times New Roman"/>
        </w:rPr>
      </w:pPr>
      <w:r>
        <w:rPr>
          <w:rFonts w:ascii="Times New Roman" w:hAnsi="Times New Roman" w:cs="Times New Roman"/>
        </w:rPr>
        <w:lastRenderedPageBreak/>
        <w:t xml:space="preserve">       </w:t>
      </w:r>
      <w:r w:rsidR="00DE70AB" w:rsidRPr="00DE70AB">
        <w:rPr>
          <w:rFonts w:ascii="Times New Roman" w:hAnsi="Times New Roman" w:cs="Times New Roman"/>
        </w:rPr>
        <w:t>(G) History of disease-modifying therapy</w:t>
      </w:r>
    </w:p>
    <w:p w14:paraId="0BF811AC" w14:textId="0ED08CAD" w:rsidR="00DE70AB" w:rsidRPr="00DE70AB" w:rsidRDefault="00DE70AB" w:rsidP="00DE70AB">
      <w:pPr>
        <w:sectPr w:rsidR="00DE70AB" w:rsidRPr="00DE70AB" w:rsidSect="00DE70AB">
          <w:pgSz w:w="12240" w:h="15840"/>
          <w:pgMar w:top="1440" w:right="1440" w:bottom="1440" w:left="1440" w:header="720" w:footer="720" w:gutter="0"/>
          <w:cols w:space="720"/>
          <w:docGrid w:linePitch="360"/>
        </w:sectPr>
      </w:pPr>
      <w:r>
        <w:rPr>
          <w:noProof/>
        </w:rPr>
        <w:drawing>
          <wp:inline distT="0" distB="0" distL="0" distR="0" wp14:anchorId="42C3DF89" wp14:editId="74B3062B">
            <wp:extent cx="2926080" cy="6291072"/>
            <wp:effectExtent l="0" t="0" r="7620" b="0"/>
            <wp:docPr id="50" name="Chart 50">
              <a:extLst xmlns:a="http://schemas.openxmlformats.org/drawingml/2006/main">
                <a:ext uri="{FF2B5EF4-FFF2-40B4-BE49-F238E27FC236}">
                  <a16:creationId xmlns:a16="http://schemas.microsoft.com/office/drawing/2014/main" id="{67821EE5-0A00-4A15-B0D2-782FFAEE1E0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5A8DB67" w14:textId="4C998969" w:rsidR="00DC12BB" w:rsidRDefault="00DC12BB" w:rsidP="00223A29">
      <w:pPr>
        <w:pStyle w:val="Heading2"/>
        <w:rPr>
          <w:rFonts w:ascii="Times New Roman" w:hAnsi="Times New Roman" w:cs="Times New Roman"/>
        </w:rPr>
      </w:pPr>
      <w:bookmarkStart w:id="27" w:name="_Toc130240192"/>
      <w:r w:rsidRPr="00A14942">
        <w:rPr>
          <w:rFonts w:ascii="Times New Roman" w:hAnsi="Times New Roman" w:cs="Times New Roman"/>
        </w:rPr>
        <w:lastRenderedPageBreak/>
        <w:t>Outcome measurement</w:t>
      </w:r>
      <w:bookmarkEnd w:id="27"/>
    </w:p>
    <w:p w14:paraId="67D03C5E" w14:textId="77777777" w:rsidR="008D3568" w:rsidRPr="008D3568" w:rsidRDefault="008D3568" w:rsidP="00223A29">
      <w:pPr>
        <w:pStyle w:val="Heading3"/>
        <w:rPr>
          <w:rFonts w:ascii="Times New Roman" w:hAnsi="Times New Roman" w:cs="Times New Roman"/>
        </w:rPr>
      </w:pPr>
      <w:bookmarkStart w:id="28" w:name="_Toc130240193"/>
      <w:r w:rsidRPr="008D3568">
        <w:rPr>
          <w:rFonts w:ascii="Times New Roman" w:hAnsi="Times New Roman" w:cs="Times New Roman"/>
        </w:rPr>
        <w:t>Techniques for measurement of brain volume loss</w:t>
      </w:r>
      <w:bookmarkEnd w:id="28"/>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305"/>
        <w:gridCol w:w="2305"/>
        <w:gridCol w:w="2686"/>
        <w:gridCol w:w="1944"/>
      </w:tblGrid>
      <w:tr w:rsidR="008D3568" w:rsidRPr="008D3568" w14:paraId="396D4B66" w14:textId="77777777" w:rsidTr="008D3568">
        <w:trPr>
          <w:trHeight w:val="20"/>
        </w:trPr>
        <w:tc>
          <w:tcPr>
            <w:tcW w:w="2305" w:type="dxa"/>
            <w:shd w:val="clear" w:color="auto" w:fill="auto"/>
            <w:tcMar>
              <w:top w:w="72" w:type="dxa"/>
              <w:left w:w="144" w:type="dxa"/>
              <w:bottom w:w="72" w:type="dxa"/>
              <w:right w:w="144" w:type="dxa"/>
            </w:tcMar>
            <w:vAlign w:val="center"/>
            <w:hideMark/>
          </w:tcPr>
          <w:p w14:paraId="57F76EBA" w14:textId="5795F7F3"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b/>
                <w:bCs/>
                <w:sz w:val="16"/>
                <w:szCs w:val="16"/>
                <w:lang w:bidi="ar-SA"/>
              </w:rPr>
              <w:t xml:space="preserve">Structural Image Evaluation using Normalization of Atrophy </w:t>
            </w:r>
            <w:r>
              <w:rPr>
                <w:rFonts w:ascii="Times New Roman" w:hAnsi="Times New Roman" w:cs="Times New Roman"/>
                <w:b/>
                <w:bCs/>
                <w:sz w:val="16"/>
                <w:szCs w:val="16"/>
                <w:lang w:bidi="ar-SA"/>
              </w:rPr>
              <w:t xml:space="preserve">(SIENA; </w:t>
            </w:r>
            <w:r w:rsidRPr="008D3568">
              <w:rPr>
                <w:rFonts w:ascii="Times New Roman" w:hAnsi="Times New Roman" w:cs="Times New Roman"/>
                <w:b/>
                <w:bCs/>
                <w:sz w:val="16"/>
                <w:szCs w:val="16"/>
                <w:lang w:bidi="ar-SA"/>
              </w:rPr>
              <w:t>n = 1</w:t>
            </w:r>
            <w:r>
              <w:rPr>
                <w:rFonts w:ascii="Times New Roman" w:hAnsi="Times New Roman" w:cs="Times New Roman"/>
                <w:b/>
                <w:bCs/>
                <w:sz w:val="16"/>
                <w:szCs w:val="16"/>
                <w:lang w:bidi="ar-SA"/>
              </w:rPr>
              <w:t>7</w:t>
            </w:r>
            <w:r w:rsidRPr="008D3568">
              <w:rPr>
                <w:rFonts w:ascii="Times New Roman" w:hAnsi="Times New Roman" w:cs="Times New Roman"/>
                <w:b/>
                <w:bCs/>
                <w:sz w:val="16"/>
                <w:szCs w:val="16"/>
                <w:lang w:bidi="ar-SA"/>
              </w:rPr>
              <w:t>)</w:t>
            </w:r>
          </w:p>
        </w:tc>
        <w:tc>
          <w:tcPr>
            <w:tcW w:w="2305" w:type="dxa"/>
            <w:shd w:val="clear" w:color="auto" w:fill="auto"/>
            <w:tcMar>
              <w:top w:w="72" w:type="dxa"/>
              <w:left w:w="144" w:type="dxa"/>
              <w:bottom w:w="72" w:type="dxa"/>
              <w:right w:w="144" w:type="dxa"/>
            </w:tcMar>
            <w:vAlign w:val="center"/>
            <w:hideMark/>
          </w:tcPr>
          <w:p w14:paraId="4A5FB361" w14:textId="18A60A33" w:rsidR="008D3568" w:rsidRPr="00144F5E" w:rsidRDefault="008D3568" w:rsidP="008D3568">
            <w:pPr>
              <w:spacing w:after="0" w:line="240" w:lineRule="auto"/>
              <w:rPr>
                <w:rFonts w:ascii="Times New Roman" w:hAnsi="Times New Roman" w:cs="Times New Roman"/>
                <w:sz w:val="16"/>
                <w:szCs w:val="16"/>
                <w:lang w:val="fr-FR" w:bidi="ar-SA"/>
              </w:rPr>
            </w:pPr>
            <w:r w:rsidRPr="00144F5E">
              <w:rPr>
                <w:rFonts w:ascii="Times New Roman" w:hAnsi="Times New Roman" w:cs="Times New Roman"/>
                <w:b/>
                <w:bCs/>
                <w:sz w:val="16"/>
                <w:szCs w:val="16"/>
                <w:lang w:val="fr-FR" w:bidi="ar-SA"/>
              </w:rPr>
              <w:t xml:space="preserve">Brain </w:t>
            </w:r>
            <w:proofErr w:type="spellStart"/>
            <w:r w:rsidRPr="00144F5E">
              <w:rPr>
                <w:rFonts w:ascii="Times New Roman" w:hAnsi="Times New Roman" w:cs="Times New Roman"/>
                <w:b/>
                <w:bCs/>
                <w:sz w:val="16"/>
                <w:szCs w:val="16"/>
                <w:lang w:val="fr-FR" w:bidi="ar-SA"/>
              </w:rPr>
              <w:t>parenchymal</w:t>
            </w:r>
            <w:proofErr w:type="spellEnd"/>
            <w:r w:rsidRPr="00144F5E">
              <w:rPr>
                <w:rFonts w:ascii="Times New Roman" w:hAnsi="Times New Roman" w:cs="Times New Roman"/>
                <w:b/>
                <w:bCs/>
                <w:sz w:val="16"/>
                <w:szCs w:val="16"/>
                <w:lang w:val="fr-FR" w:bidi="ar-SA"/>
              </w:rPr>
              <w:t xml:space="preserve"> fraction (</w:t>
            </w:r>
            <w:proofErr w:type="gramStart"/>
            <w:r w:rsidRPr="00144F5E">
              <w:rPr>
                <w:rFonts w:ascii="Times New Roman" w:hAnsi="Times New Roman" w:cs="Times New Roman"/>
                <w:b/>
                <w:bCs/>
                <w:sz w:val="16"/>
                <w:szCs w:val="16"/>
                <w:lang w:val="fr-FR" w:bidi="ar-SA"/>
              </w:rPr>
              <w:t>BPF;</w:t>
            </w:r>
            <w:proofErr w:type="gramEnd"/>
            <w:r w:rsidRPr="00144F5E">
              <w:rPr>
                <w:rFonts w:ascii="Times New Roman" w:hAnsi="Times New Roman" w:cs="Times New Roman"/>
                <w:b/>
                <w:bCs/>
                <w:sz w:val="16"/>
                <w:szCs w:val="16"/>
                <w:lang w:val="fr-FR" w:bidi="ar-SA"/>
              </w:rPr>
              <w:t xml:space="preserve"> n = 5)</w:t>
            </w:r>
          </w:p>
        </w:tc>
        <w:tc>
          <w:tcPr>
            <w:tcW w:w="2686" w:type="dxa"/>
            <w:shd w:val="clear" w:color="auto" w:fill="auto"/>
            <w:tcMar>
              <w:top w:w="72" w:type="dxa"/>
              <w:left w:w="144" w:type="dxa"/>
              <w:bottom w:w="72" w:type="dxa"/>
              <w:right w:w="144" w:type="dxa"/>
            </w:tcMar>
            <w:vAlign w:val="center"/>
            <w:hideMark/>
          </w:tcPr>
          <w:p w14:paraId="547179F6"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b/>
                <w:bCs/>
                <w:sz w:val="16"/>
                <w:szCs w:val="16"/>
                <w:lang w:bidi="ar-SA"/>
              </w:rPr>
              <w:t>Other (n = 2)</w:t>
            </w:r>
          </w:p>
        </w:tc>
        <w:tc>
          <w:tcPr>
            <w:tcW w:w="1944" w:type="dxa"/>
            <w:shd w:val="clear" w:color="auto" w:fill="auto"/>
            <w:tcMar>
              <w:top w:w="72" w:type="dxa"/>
              <w:left w:w="144" w:type="dxa"/>
              <w:bottom w:w="72" w:type="dxa"/>
              <w:right w:w="144" w:type="dxa"/>
            </w:tcMar>
            <w:vAlign w:val="center"/>
            <w:hideMark/>
          </w:tcPr>
          <w:p w14:paraId="2060B786"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b/>
                <w:bCs/>
                <w:sz w:val="16"/>
                <w:szCs w:val="16"/>
                <w:lang w:bidi="ar-SA"/>
              </w:rPr>
              <w:t>Unclear (n = 4)</w:t>
            </w:r>
          </w:p>
        </w:tc>
      </w:tr>
      <w:tr w:rsidR="008D3568" w:rsidRPr="008D3568" w14:paraId="2DF540D2" w14:textId="77777777" w:rsidTr="008D3568">
        <w:trPr>
          <w:trHeight w:val="20"/>
        </w:trPr>
        <w:tc>
          <w:tcPr>
            <w:tcW w:w="2305" w:type="dxa"/>
            <w:shd w:val="clear" w:color="auto" w:fill="auto"/>
            <w:tcMar>
              <w:top w:w="72" w:type="dxa"/>
              <w:left w:w="144" w:type="dxa"/>
              <w:bottom w:w="72" w:type="dxa"/>
              <w:right w:w="144" w:type="dxa"/>
            </w:tcMar>
            <w:vAlign w:val="center"/>
            <w:hideMark/>
          </w:tcPr>
          <w:p w14:paraId="30F258FA"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BEYOND</w:t>
            </w:r>
          </w:p>
        </w:tc>
        <w:tc>
          <w:tcPr>
            <w:tcW w:w="2305" w:type="dxa"/>
            <w:shd w:val="clear" w:color="auto" w:fill="auto"/>
            <w:tcMar>
              <w:top w:w="72" w:type="dxa"/>
              <w:left w:w="144" w:type="dxa"/>
              <w:bottom w:w="72" w:type="dxa"/>
              <w:right w:w="144" w:type="dxa"/>
            </w:tcMar>
            <w:vAlign w:val="center"/>
            <w:hideMark/>
          </w:tcPr>
          <w:p w14:paraId="5C4C4F40"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AFFIRM</w:t>
            </w:r>
          </w:p>
        </w:tc>
        <w:tc>
          <w:tcPr>
            <w:tcW w:w="2686" w:type="dxa"/>
            <w:shd w:val="clear" w:color="auto" w:fill="auto"/>
            <w:tcMar>
              <w:top w:w="72" w:type="dxa"/>
              <w:left w:w="144" w:type="dxa"/>
              <w:bottom w:w="72" w:type="dxa"/>
              <w:right w:w="144" w:type="dxa"/>
            </w:tcMar>
            <w:vAlign w:val="center"/>
            <w:hideMark/>
          </w:tcPr>
          <w:p w14:paraId="768941AF"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CAMMS223 (supratentorial brain volume; SBV)</w:t>
            </w:r>
          </w:p>
        </w:tc>
        <w:tc>
          <w:tcPr>
            <w:tcW w:w="1944" w:type="dxa"/>
            <w:shd w:val="clear" w:color="auto" w:fill="auto"/>
            <w:tcMar>
              <w:top w:w="72" w:type="dxa"/>
              <w:left w:w="144" w:type="dxa"/>
              <w:bottom w:w="72" w:type="dxa"/>
              <w:right w:w="144" w:type="dxa"/>
            </w:tcMar>
            <w:vAlign w:val="center"/>
            <w:hideMark/>
          </w:tcPr>
          <w:p w14:paraId="0AA9C4F2"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ADVANCE</w:t>
            </w:r>
          </w:p>
        </w:tc>
      </w:tr>
      <w:tr w:rsidR="008D3568" w:rsidRPr="008D3568" w14:paraId="396F0F91" w14:textId="77777777" w:rsidTr="008D3568">
        <w:trPr>
          <w:trHeight w:val="20"/>
        </w:trPr>
        <w:tc>
          <w:tcPr>
            <w:tcW w:w="2305" w:type="dxa"/>
            <w:shd w:val="clear" w:color="auto" w:fill="auto"/>
            <w:tcMar>
              <w:top w:w="72" w:type="dxa"/>
              <w:left w:w="144" w:type="dxa"/>
              <w:bottom w:w="72" w:type="dxa"/>
              <w:right w:w="144" w:type="dxa"/>
            </w:tcMar>
            <w:vAlign w:val="center"/>
            <w:hideMark/>
          </w:tcPr>
          <w:p w14:paraId="34C48804"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BRAVO</w:t>
            </w:r>
          </w:p>
        </w:tc>
        <w:tc>
          <w:tcPr>
            <w:tcW w:w="2305" w:type="dxa"/>
            <w:tcBorders>
              <w:bottom w:val="single" w:sz="4" w:space="0" w:color="auto"/>
            </w:tcBorders>
            <w:shd w:val="clear" w:color="auto" w:fill="auto"/>
            <w:tcMar>
              <w:top w:w="72" w:type="dxa"/>
              <w:left w:w="144" w:type="dxa"/>
              <w:bottom w:w="72" w:type="dxa"/>
              <w:right w:w="144" w:type="dxa"/>
            </w:tcMar>
            <w:vAlign w:val="center"/>
            <w:hideMark/>
          </w:tcPr>
          <w:p w14:paraId="72A2BF1E"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CARE-MS I</w:t>
            </w:r>
          </w:p>
        </w:tc>
        <w:tc>
          <w:tcPr>
            <w:tcW w:w="2686" w:type="dxa"/>
            <w:tcBorders>
              <w:bottom w:val="single" w:sz="4" w:space="0" w:color="auto"/>
            </w:tcBorders>
            <w:shd w:val="clear" w:color="auto" w:fill="auto"/>
            <w:tcMar>
              <w:top w:w="72" w:type="dxa"/>
              <w:left w:w="144" w:type="dxa"/>
              <w:bottom w:w="72" w:type="dxa"/>
              <w:right w:w="144" w:type="dxa"/>
            </w:tcMar>
            <w:vAlign w:val="center"/>
            <w:hideMark/>
          </w:tcPr>
          <w:p w14:paraId="688ACE8B" w14:textId="77777777" w:rsidR="008D3568" w:rsidRPr="008D3568" w:rsidRDefault="008D3568" w:rsidP="008D3568">
            <w:pPr>
              <w:spacing w:after="0" w:line="240" w:lineRule="auto"/>
              <w:rPr>
                <w:rFonts w:ascii="Times New Roman" w:hAnsi="Times New Roman" w:cs="Times New Roman"/>
                <w:sz w:val="16"/>
                <w:szCs w:val="16"/>
                <w:lang w:bidi="ar-SA"/>
              </w:rPr>
            </w:pPr>
            <w:proofErr w:type="spellStart"/>
            <w:r w:rsidRPr="008D3568">
              <w:rPr>
                <w:rFonts w:ascii="Times New Roman" w:hAnsi="Times New Roman" w:cs="Times New Roman"/>
                <w:sz w:val="16"/>
                <w:szCs w:val="16"/>
                <w:lang w:bidi="ar-SA"/>
              </w:rPr>
              <w:t>Eur</w:t>
            </w:r>
            <w:proofErr w:type="spellEnd"/>
            <w:r w:rsidRPr="008D3568">
              <w:rPr>
                <w:rFonts w:ascii="Times New Roman" w:hAnsi="Times New Roman" w:cs="Times New Roman"/>
                <w:sz w:val="16"/>
                <w:szCs w:val="16"/>
                <w:lang w:bidi="ar-SA"/>
              </w:rPr>
              <w:t>/Can GA (central brain volume; CBV)</w:t>
            </w:r>
          </w:p>
        </w:tc>
        <w:tc>
          <w:tcPr>
            <w:tcW w:w="1944" w:type="dxa"/>
            <w:tcBorders>
              <w:bottom w:val="single" w:sz="4" w:space="0" w:color="auto"/>
            </w:tcBorders>
            <w:shd w:val="clear" w:color="auto" w:fill="auto"/>
            <w:tcMar>
              <w:top w:w="72" w:type="dxa"/>
              <w:left w:w="144" w:type="dxa"/>
              <w:bottom w:w="72" w:type="dxa"/>
              <w:right w:w="144" w:type="dxa"/>
            </w:tcMar>
            <w:vAlign w:val="center"/>
            <w:hideMark/>
          </w:tcPr>
          <w:p w14:paraId="30229306"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ASCLEPIOS I</w:t>
            </w:r>
          </w:p>
        </w:tc>
      </w:tr>
      <w:tr w:rsidR="008D3568" w:rsidRPr="008D3568" w14:paraId="6F48F2EA" w14:textId="77777777" w:rsidTr="008D3568">
        <w:trPr>
          <w:trHeight w:val="20"/>
        </w:trPr>
        <w:tc>
          <w:tcPr>
            <w:tcW w:w="2305" w:type="dxa"/>
            <w:shd w:val="clear" w:color="auto" w:fill="auto"/>
            <w:tcMar>
              <w:top w:w="72" w:type="dxa"/>
              <w:left w:w="144" w:type="dxa"/>
              <w:bottom w:w="72" w:type="dxa"/>
              <w:right w:w="144" w:type="dxa"/>
            </w:tcMar>
            <w:vAlign w:val="center"/>
            <w:hideMark/>
          </w:tcPr>
          <w:p w14:paraId="74B504F7" w14:textId="158505E1"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CONFIRM</w:t>
            </w:r>
          </w:p>
        </w:tc>
        <w:tc>
          <w:tcPr>
            <w:tcW w:w="2305" w:type="dxa"/>
            <w:tcBorders>
              <w:right w:val="single" w:sz="4" w:space="0" w:color="auto"/>
            </w:tcBorders>
            <w:shd w:val="clear" w:color="auto" w:fill="auto"/>
            <w:tcMar>
              <w:top w:w="72" w:type="dxa"/>
              <w:left w:w="144" w:type="dxa"/>
              <w:bottom w:w="72" w:type="dxa"/>
              <w:right w:w="144" w:type="dxa"/>
            </w:tcMar>
            <w:vAlign w:val="center"/>
            <w:hideMark/>
          </w:tcPr>
          <w:p w14:paraId="5F8C6905"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CARE-MS II</w:t>
            </w:r>
          </w:p>
        </w:tc>
        <w:tc>
          <w:tcPr>
            <w:tcW w:w="2686"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28A5D73C"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tcBorders>
              <w:left w:val="single" w:sz="4" w:space="0" w:color="auto"/>
            </w:tcBorders>
            <w:shd w:val="clear" w:color="auto" w:fill="auto"/>
            <w:tcMar>
              <w:top w:w="72" w:type="dxa"/>
              <w:left w:w="144" w:type="dxa"/>
              <w:bottom w:w="72" w:type="dxa"/>
              <w:right w:w="144" w:type="dxa"/>
            </w:tcMar>
            <w:vAlign w:val="center"/>
            <w:hideMark/>
          </w:tcPr>
          <w:p w14:paraId="7D3EDA48"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ASCLEPIOS II</w:t>
            </w:r>
          </w:p>
        </w:tc>
      </w:tr>
      <w:tr w:rsidR="008D3568" w:rsidRPr="008D3568" w14:paraId="47615F89" w14:textId="77777777" w:rsidTr="008D3568">
        <w:trPr>
          <w:trHeight w:val="20"/>
        </w:trPr>
        <w:tc>
          <w:tcPr>
            <w:tcW w:w="2305" w:type="dxa"/>
            <w:shd w:val="clear" w:color="auto" w:fill="auto"/>
            <w:tcMar>
              <w:top w:w="72" w:type="dxa"/>
              <w:left w:w="144" w:type="dxa"/>
              <w:bottom w:w="72" w:type="dxa"/>
              <w:right w:w="144" w:type="dxa"/>
            </w:tcMar>
            <w:vAlign w:val="center"/>
          </w:tcPr>
          <w:p w14:paraId="5C9BF776" w14:textId="2B3F3A31"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DEFINE</w:t>
            </w:r>
          </w:p>
        </w:tc>
        <w:tc>
          <w:tcPr>
            <w:tcW w:w="2305" w:type="dxa"/>
            <w:tcBorders>
              <w:right w:val="single" w:sz="4" w:space="0" w:color="auto"/>
            </w:tcBorders>
            <w:shd w:val="clear" w:color="auto" w:fill="auto"/>
            <w:tcMar>
              <w:top w:w="72" w:type="dxa"/>
              <w:left w:w="144" w:type="dxa"/>
              <w:bottom w:w="72" w:type="dxa"/>
              <w:right w:w="144" w:type="dxa"/>
            </w:tcMar>
            <w:vAlign w:val="center"/>
            <w:hideMark/>
          </w:tcPr>
          <w:p w14:paraId="66715ED4" w14:textId="33F819D9" w:rsidR="008D3568" w:rsidRPr="008D3568" w:rsidRDefault="00A30F63" w:rsidP="008D3568">
            <w:pPr>
              <w:spacing w:after="0" w:line="240" w:lineRule="auto"/>
              <w:rPr>
                <w:rFonts w:ascii="Times New Roman" w:hAnsi="Times New Roman" w:cs="Times New Roman"/>
                <w:sz w:val="16"/>
                <w:szCs w:val="16"/>
                <w:lang w:bidi="ar-SA"/>
              </w:rPr>
            </w:pPr>
            <w:r>
              <w:rPr>
                <w:rFonts w:ascii="Times New Roman" w:hAnsi="Times New Roman" w:cs="Times New Roman"/>
                <w:sz w:val="16"/>
                <w:szCs w:val="16"/>
                <w:lang w:bidi="ar-SA"/>
              </w:rPr>
              <w:t>COPOLYMER</w:t>
            </w:r>
            <w:r w:rsidRPr="008D3568">
              <w:rPr>
                <w:rFonts w:ascii="Times New Roman" w:hAnsi="Times New Roman" w:cs="Times New Roman"/>
                <w:sz w:val="16"/>
                <w:szCs w:val="16"/>
                <w:lang w:bidi="ar-SA"/>
              </w:rPr>
              <w:t xml:space="preserve"> </w:t>
            </w:r>
            <w:r w:rsidR="008D3568" w:rsidRPr="008D3568">
              <w:rPr>
                <w:rFonts w:ascii="Times New Roman" w:hAnsi="Times New Roman" w:cs="Times New Roman"/>
                <w:sz w:val="16"/>
                <w:szCs w:val="16"/>
                <w:lang w:bidi="ar-SA"/>
              </w:rPr>
              <w:t>1</w:t>
            </w:r>
          </w:p>
        </w:tc>
        <w:tc>
          <w:tcPr>
            <w:tcW w:w="2686" w:type="dxa"/>
            <w:vMerge/>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264FD99D"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tcBorders>
              <w:left w:val="single" w:sz="4" w:space="0" w:color="auto"/>
              <w:bottom w:val="single" w:sz="4" w:space="0" w:color="auto"/>
            </w:tcBorders>
            <w:shd w:val="clear" w:color="auto" w:fill="auto"/>
            <w:tcMar>
              <w:top w:w="72" w:type="dxa"/>
              <w:left w:w="144" w:type="dxa"/>
              <w:bottom w:w="72" w:type="dxa"/>
              <w:right w:w="144" w:type="dxa"/>
            </w:tcMar>
            <w:vAlign w:val="center"/>
            <w:hideMark/>
          </w:tcPr>
          <w:p w14:paraId="605C1368"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ASSESS</w:t>
            </w:r>
          </w:p>
        </w:tc>
      </w:tr>
      <w:tr w:rsidR="008D3568" w:rsidRPr="008D3568" w14:paraId="54B10412" w14:textId="77777777" w:rsidTr="008D3568">
        <w:trPr>
          <w:trHeight w:val="20"/>
        </w:trPr>
        <w:tc>
          <w:tcPr>
            <w:tcW w:w="2305" w:type="dxa"/>
            <w:shd w:val="clear" w:color="auto" w:fill="auto"/>
            <w:tcMar>
              <w:top w:w="72" w:type="dxa"/>
              <w:left w:w="144" w:type="dxa"/>
              <w:bottom w:w="72" w:type="dxa"/>
              <w:right w:w="144" w:type="dxa"/>
            </w:tcMar>
            <w:vAlign w:val="center"/>
          </w:tcPr>
          <w:p w14:paraId="7D9AF40A" w14:textId="33A83F25"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FREEDOMS</w:t>
            </w:r>
          </w:p>
        </w:tc>
        <w:tc>
          <w:tcPr>
            <w:tcW w:w="2305" w:type="dxa"/>
            <w:tcBorders>
              <w:right w:val="single" w:sz="4" w:space="0" w:color="auto"/>
            </w:tcBorders>
            <w:shd w:val="clear" w:color="auto" w:fill="auto"/>
            <w:tcMar>
              <w:top w:w="72" w:type="dxa"/>
              <w:left w:w="144" w:type="dxa"/>
              <w:bottom w:w="72" w:type="dxa"/>
              <w:right w:w="144" w:type="dxa"/>
            </w:tcMar>
            <w:vAlign w:val="center"/>
            <w:hideMark/>
          </w:tcPr>
          <w:p w14:paraId="3C912BB4"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MSCRG</w:t>
            </w:r>
          </w:p>
        </w:tc>
        <w:tc>
          <w:tcPr>
            <w:tcW w:w="2686" w:type="dxa"/>
            <w:vMerge/>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28466CD6"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tcBorders>
              <w:left w:val="single" w:sz="4" w:space="0" w:color="auto"/>
              <w:bottom w:val="single" w:sz="4" w:space="0" w:color="auto"/>
            </w:tcBorders>
            <w:shd w:val="clear" w:color="auto" w:fill="auto"/>
            <w:tcMar>
              <w:top w:w="72" w:type="dxa"/>
              <w:left w:w="144" w:type="dxa"/>
              <w:bottom w:w="72" w:type="dxa"/>
              <w:right w:w="144" w:type="dxa"/>
            </w:tcMar>
            <w:vAlign w:val="center"/>
            <w:hideMark/>
          </w:tcPr>
          <w:p w14:paraId="30CA1C6B" w14:textId="77777777"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GATE</w:t>
            </w:r>
          </w:p>
        </w:tc>
      </w:tr>
      <w:tr w:rsidR="008D3568" w:rsidRPr="008D3568" w14:paraId="590F1EC8" w14:textId="77777777" w:rsidTr="008D3568">
        <w:trPr>
          <w:trHeight w:val="20"/>
        </w:trPr>
        <w:tc>
          <w:tcPr>
            <w:tcW w:w="2305" w:type="dxa"/>
            <w:shd w:val="clear" w:color="auto" w:fill="auto"/>
            <w:tcMar>
              <w:top w:w="72" w:type="dxa"/>
              <w:left w:w="144" w:type="dxa"/>
              <w:bottom w:w="72" w:type="dxa"/>
              <w:right w:w="144" w:type="dxa"/>
            </w:tcMar>
            <w:vAlign w:val="center"/>
          </w:tcPr>
          <w:p w14:paraId="25F60028" w14:textId="588B4402"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FREEDOMS II</w:t>
            </w:r>
          </w:p>
        </w:tc>
        <w:tc>
          <w:tcPr>
            <w:tcW w:w="2305" w:type="dxa"/>
            <w:vMerge w:val="restart"/>
            <w:tcBorders>
              <w:right w:val="nil"/>
            </w:tcBorders>
            <w:shd w:val="clear" w:color="auto" w:fill="auto"/>
            <w:tcMar>
              <w:top w:w="72" w:type="dxa"/>
              <w:left w:w="144" w:type="dxa"/>
              <w:bottom w:w="72" w:type="dxa"/>
              <w:right w:w="144" w:type="dxa"/>
            </w:tcMar>
            <w:vAlign w:val="center"/>
          </w:tcPr>
          <w:p w14:paraId="6970BB4C" w14:textId="6363E8DC"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24CE385D"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val="restart"/>
            <w:tcBorders>
              <w:top w:val="single" w:sz="4" w:space="0" w:color="auto"/>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165514E4"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41CDB69D" w14:textId="77777777" w:rsidTr="008D3568">
        <w:trPr>
          <w:trHeight w:val="20"/>
        </w:trPr>
        <w:tc>
          <w:tcPr>
            <w:tcW w:w="2305" w:type="dxa"/>
            <w:shd w:val="clear" w:color="auto" w:fill="auto"/>
            <w:tcMar>
              <w:top w:w="72" w:type="dxa"/>
              <w:left w:w="144" w:type="dxa"/>
              <w:bottom w:w="72" w:type="dxa"/>
              <w:right w:w="144" w:type="dxa"/>
            </w:tcMar>
            <w:vAlign w:val="center"/>
          </w:tcPr>
          <w:p w14:paraId="341CC216" w14:textId="71BCEB32"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GALA</w:t>
            </w:r>
          </w:p>
        </w:tc>
        <w:tc>
          <w:tcPr>
            <w:tcW w:w="2305" w:type="dxa"/>
            <w:vMerge/>
            <w:tcBorders>
              <w:right w:val="nil"/>
            </w:tcBorders>
            <w:shd w:val="clear" w:color="auto" w:fill="auto"/>
            <w:tcMar>
              <w:top w:w="72" w:type="dxa"/>
              <w:left w:w="144" w:type="dxa"/>
              <w:bottom w:w="72" w:type="dxa"/>
              <w:right w:w="144" w:type="dxa"/>
            </w:tcMar>
            <w:vAlign w:val="center"/>
            <w:hideMark/>
          </w:tcPr>
          <w:p w14:paraId="4E4EA141"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398D1D98"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75B52808"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35EBE6E9" w14:textId="77777777" w:rsidTr="008D3568">
        <w:trPr>
          <w:trHeight w:val="20"/>
        </w:trPr>
        <w:tc>
          <w:tcPr>
            <w:tcW w:w="2305" w:type="dxa"/>
            <w:shd w:val="clear" w:color="auto" w:fill="auto"/>
            <w:tcMar>
              <w:top w:w="72" w:type="dxa"/>
              <w:left w:w="144" w:type="dxa"/>
              <w:bottom w:w="72" w:type="dxa"/>
              <w:right w:w="144" w:type="dxa"/>
            </w:tcMar>
            <w:vAlign w:val="center"/>
          </w:tcPr>
          <w:p w14:paraId="0BE37AAF" w14:textId="7797E1A2"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GOLDEN</w:t>
            </w:r>
          </w:p>
        </w:tc>
        <w:tc>
          <w:tcPr>
            <w:tcW w:w="2305" w:type="dxa"/>
            <w:vMerge/>
            <w:tcBorders>
              <w:right w:val="nil"/>
            </w:tcBorders>
            <w:shd w:val="clear" w:color="auto" w:fill="auto"/>
            <w:tcMar>
              <w:top w:w="72" w:type="dxa"/>
              <w:left w:w="144" w:type="dxa"/>
              <w:bottom w:w="72" w:type="dxa"/>
              <w:right w:w="144" w:type="dxa"/>
            </w:tcMar>
            <w:vAlign w:val="center"/>
            <w:hideMark/>
          </w:tcPr>
          <w:p w14:paraId="30E6304A"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09D760E0"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26AC2A9F"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33138D81" w14:textId="77777777" w:rsidTr="008D3568">
        <w:trPr>
          <w:trHeight w:val="20"/>
        </w:trPr>
        <w:tc>
          <w:tcPr>
            <w:tcW w:w="2305" w:type="dxa"/>
            <w:shd w:val="clear" w:color="auto" w:fill="auto"/>
            <w:tcMar>
              <w:top w:w="72" w:type="dxa"/>
              <w:left w:w="144" w:type="dxa"/>
              <w:bottom w:w="72" w:type="dxa"/>
              <w:right w:w="144" w:type="dxa"/>
            </w:tcMar>
            <w:vAlign w:val="center"/>
          </w:tcPr>
          <w:p w14:paraId="3606479F" w14:textId="18B80974"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IMPROVE</w:t>
            </w:r>
          </w:p>
        </w:tc>
        <w:tc>
          <w:tcPr>
            <w:tcW w:w="2305" w:type="dxa"/>
            <w:vMerge/>
            <w:tcBorders>
              <w:right w:val="nil"/>
            </w:tcBorders>
            <w:shd w:val="clear" w:color="auto" w:fill="auto"/>
            <w:tcMar>
              <w:top w:w="72" w:type="dxa"/>
              <w:left w:w="144" w:type="dxa"/>
              <w:bottom w:w="72" w:type="dxa"/>
              <w:right w:w="144" w:type="dxa"/>
            </w:tcMar>
            <w:vAlign w:val="center"/>
            <w:hideMark/>
          </w:tcPr>
          <w:p w14:paraId="29F66379"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6C52E216"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42B84A9F"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4D69AD32" w14:textId="77777777" w:rsidTr="008D3568">
        <w:trPr>
          <w:trHeight w:val="20"/>
        </w:trPr>
        <w:tc>
          <w:tcPr>
            <w:tcW w:w="2305" w:type="dxa"/>
            <w:shd w:val="clear" w:color="auto" w:fill="auto"/>
            <w:tcMar>
              <w:top w:w="72" w:type="dxa"/>
              <w:left w:w="144" w:type="dxa"/>
              <w:bottom w:w="72" w:type="dxa"/>
              <w:right w:w="144" w:type="dxa"/>
            </w:tcMar>
            <w:vAlign w:val="center"/>
          </w:tcPr>
          <w:p w14:paraId="10285C3E" w14:textId="674F5585"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OPERA I</w:t>
            </w:r>
          </w:p>
        </w:tc>
        <w:tc>
          <w:tcPr>
            <w:tcW w:w="2305" w:type="dxa"/>
            <w:vMerge/>
            <w:tcBorders>
              <w:right w:val="nil"/>
            </w:tcBorders>
            <w:shd w:val="clear" w:color="auto" w:fill="auto"/>
            <w:tcMar>
              <w:top w:w="72" w:type="dxa"/>
              <w:left w:w="144" w:type="dxa"/>
              <w:bottom w:w="72" w:type="dxa"/>
              <w:right w:w="144" w:type="dxa"/>
            </w:tcMar>
            <w:vAlign w:val="center"/>
            <w:hideMark/>
          </w:tcPr>
          <w:p w14:paraId="776769D9"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555493EE"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28BBF318"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70CAA2FA" w14:textId="77777777" w:rsidTr="008D3568">
        <w:trPr>
          <w:trHeight w:val="20"/>
        </w:trPr>
        <w:tc>
          <w:tcPr>
            <w:tcW w:w="2305" w:type="dxa"/>
            <w:shd w:val="clear" w:color="auto" w:fill="auto"/>
            <w:tcMar>
              <w:top w:w="72" w:type="dxa"/>
              <w:left w:w="144" w:type="dxa"/>
              <w:bottom w:w="72" w:type="dxa"/>
              <w:right w:w="144" w:type="dxa"/>
            </w:tcMar>
            <w:vAlign w:val="center"/>
          </w:tcPr>
          <w:p w14:paraId="6A2629F5" w14:textId="6990B9DD"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OPERA II</w:t>
            </w:r>
          </w:p>
        </w:tc>
        <w:tc>
          <w:tcPr>
            <w:tcW w:w="2305" w:type="dxa"/>
            <w:vMerge/>
            <w:tcBorders>
              <w:right w:val="nil"/>
            </w:tcBorders>
            <w:shd w:val="clear" w:color="auto" w:fill="auto"/>
            <w:tcMar>
              <w:top w:w="72" w:type="dxa"/>
              <w:left w:w="144" w:type="dxa"/>
              <w:bottom w:w="72" w:type="dxa"/>
              <w:right w:w="144" w:type="dxa"/>
            </w:tcMar>
            <w:vAlign w:val="center"/>
            <w:hideMark/>
          </w:tcPr>
          <w:p w14:paraId="55249131"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76E2E1EF"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7902858E"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34B2329A" w14:textId="77777777" w:rsidTr="008D3568">
        <w:trPr>
          <w:trHeight w:val="20"/>
        </w:trPr>
        <w:tc>
          <w:tcPr>
            <w:tcW w:w="2305" w:type="dxa"/>
            <w:shd w:val="clear" w:color="auto" w:fill="auto"/>
            <w:tcMar>
              <w:top w:w="72" w:type="dxa"/>
              <w:left w:w="144" w:type="dxa"/>
              <w:bottom w:w="72" w:type="dxa"/>
              <w:right w:w="144" w:type="dxa"/>
            </w:tcMar>
            <w:vAlign w:val="center"/>
          </w:tcPr>
          <w:p w14:paraId="28DB3D8B" w14:textId="7037385C"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OPTIMUM</w:t>
            </w:r>
          </w:p>
        </w:tc>
        <w:tc>
          <w:tcPr>
            <w:tcW w:w="2305" w:type="dxa"/>
            <w:vMerge/>
            <w:tcBorders>
              <w:right w:val="nil"/>
            </w:tcBorders>
            <w:shd w:val="clear" w:color="auto" w:fill="auto"/>
            <w:tcMar>
              <w:top w:w="72" w:type="dxa"/>
              <w:left w:w="144" w:type="dxa"/>
              <w:bottom w:w="72" w:type="dxa"/>
              <w:right w:w="144" w:type="dxa"/>
            </w:tcMar>
            <w:vAlign w:val="center"/>
            <w:hideMark/>
          </w:tcPr>
          <w:p w14:paraId="7DD4C68C"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66D1ECE2"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1E79760A"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125D2F1C" w14:textId="77777777" w:rsidTr="008D3568">
        <w:trPr>
          <w:trHeight w:val="20"/>
        </w:trPr>
        <w:tc>
          <w:tcPr>
            <w:tcW w:w="2305" w:type="dxa"/>
            <w:shd w:val="clear" w:color="auto" w:fill="auto"/>
            <w:tcMar>
              <w:top w:w="72" w:type="dxa"/>
              <w:left w:w="144" w:type="dxa"/>
              <w:bottom w:w="72" w:type="dxa"/>
              <w:right w:w="144" w:type="dxa"/>
            </w:tcMar>
            <w:vAlign w:val="center"/>
          </w:tcPr>
          <w:p w14:paraId="334C1709" w14:textId="04D5C79B"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RADIANCE B</w:t>
            </w:r>
          </w:p>
        </w:tc>
        <w:tc>
          <w:tcPr>
            <w:tcW w:w="2305" w:type="dxa"/>
            <w:vMerge/>
            <w:tcBorders>
              <w:right w:val="nil"/>
            </w:tcBorders>
            <w:shd w:val="clear" w:color="auto" w:fill="auto"/>
            <w:tcMar>
              <w:top w:w="72" w:type="dxa"/>
              <w:left w:w="144" w:type="dxa"/>
              <w:bottom w:w="72" w:type="dxa"/>
              <w:right w:w="144" w:type="dxa"/>
            </w:tcMar>
            <w:vAlign w:val="center"/>
            <w:hideMark/>
          </w:tcPr>
          <w:p w14:paraId="091C8CFD"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27597BC9"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2EEE9880"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1F324D12" w14:textId="77777777" w:rsidTr="008D3568">
        <w:trPr>
          <w:trHeight w:val="20"/>
        </w:trPr>
        <w:tc>
          <w:tcPr>
            <w:tcW w:w="2305" w:type="dxa"/>
            <w:shd w:val="clear" w:color="auto" w:fill="auto"/>
            <w:tcMar>
              <w:top w:w="72" w:type="dxa"/>
              <w:left w:w="144" w:type="dxa"/>
              <w:bottom w:w="72" w:type="dxa"/>
              <w:right w:w="144" w:type="dxa"/>
            </w:tcMar>
            <w:vAlign w:val="center"/>
          </w:tcPr>
          <w:p w14:paraId="1BE4F906" w14:textId="18574573"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REGARD</w:t>
            </w:r>
          </w:p>
        </w:tc>
        <w:tc>
          <w:tcPr>
            <w:tcW w:w="2305" w:type="dxa"/>
            <w:vMerge/>
            <w:tcBorders>
              <w:right w:val="nil"/>
            </w:tcBorders>
            <w:shd w:val="clear" w:color="auto" w:fill="auto"/>
            <w:tcMar>
              <w:top w:w="72" w:type="dxa"/>
              <w:left w:w="144" w:type="dxa"/>
              <w:bottom w:w="72" w:type="dxa"/>
              <w:right w:w="144" w:type="dxa"/>
            </w:tcMar>
            <w:vAlign w:val="center"/>
            <w:hideMark/>
          </w:tcPr>
          <w:p w14:paraId="3A322955"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316866AA"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0D3757DC"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157B4C1C" w14:textId="77777777" w:rsidTr="008D3568">
        <w:trPr>
          <w:trHeight w:val="20"/>
        </w:trPr>
        <w:tc>
          <w:tcPr>
            <w:tcW w:w="2305" w:type="dxa"/>
            <w:shd w:val="clear" w:color="auto" w:fill="auto"/>
            <w:tcMar>
              <w:top w:w="72" w:type="dxa"/>
              <w:left w:w="144" w:type="dxa"/>
              <w:bottom w:w="72" w:type="dxa"/>
              <w:right w:w="144" w:type="dxa"/>
            </w:tcMar>
            <w:vAlign w:val="center"/>
          </w:tcPr>
          <w:p w14:paraId="67C35D37" w14:textId="671012D5"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SUNBEAM</w:t>
            </w:r>
          </w:p>
        </w:tc>
        <w:tc>
          <w:tcPr>
            <w:tcW w:w="2305" w:type="dxa"/>
            <w:vMerge/>
            <w:tcBorders>
              <w:right w:val="nil"/>
            </w:tcBorders>
            <w:shd w:val="clear" w:color="auto" w:fill="auto"/>
            <w:tcMar>
              <w:top w:w="72" w:type="dxa"/>
              <w:left w:w="144" w:type="dxa"/>
              <w:bottom w:w="72" w:type="dxa"/>
              <w:right w:w="144" w:type="dxa"/>
            </w:tcMar>
            <w:vAlign w:val="center"/>
            <w:hideMark/>
          </w:tcPr>
          <w:p w14:paraId="4CDBF13A"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2CC22DA4"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305DB1D0"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387EEE38" w14:textId="77777777" w:rsidTr="008D3568">
        <w:trPr>
          <w:trHeight w:val="20"/>
        </w:trPr>
        <w:tc>
          <w:tcPr>
            <w:tcW w:w="2305" w:type="dxa"/>
            <w:shd w:val="clear" w:color="auto" w:fill="auto"/>
            <w:tcMar>
              <w:top w:w="72" w:type="dxa"/>
              <w:left w:w="144" w:type="dxa"/>
              <w:bottom w:w="72" w:type="dxa"/>
              <w:right w:w="144" w:type="dxa"/>
            </w:tcMar>
            <w:vAlign w:val="center"/>
          </w:tcPr>
          <w:p w14:paraId="362395F4" w14:textId="6EAF6F36"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TEMSO</w:t>
            </w:r>
          </w:p>
        </w:tc>
        <w:tc>
          <w:tcPr>
            <w:tcW w:w="2305" w:type="dxa"/>
            <w:vMerge/>
            <w:tcBorders>
              <w:right w:val="nil"/>
            </w:tcBorders>
            <w:shd w:val="clear" w:color="auto" w:fill="auto"/>
            <w:tcMar>
              <w:top w:w="72" w:type="dxa"/>
              <w:left w:w="144" w:type="dxa"/>
              <w:bottom w:w="72" w:type="dxa"/>
              <w:right w:w="144" w:type="dxa"/>
            </w:tcMar>
            <w:vAlign w:val="center"/>
            <w:hideMark/>
          </w:tcPr>
          <w:p w14:paraId="0E3C8BEF"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43D0FE94"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43C35ACB" w14:textId="77777777" w:rsidR="008D3568" w:rsidRPr="008D3568" w:rsidRDefault="008D3568" w:rsidP="008D3568">
            <w:pPr>
              <w:spacing w:after="0" w:line="240" w:lineRule="auto"/>
              <w:rPr>
                <w:rFonts w:ascii="Times New Roman" w:hAnsi="Times New Roman" w:cs="Times New Roman"/>
                <w:sz w:val="16"/>
                <w:szCs w:val="16"/>
                <w:lang w:bidi="ar-SA"/>
              </w:rPr>
            </w:pPr>
          </w:p>
        </w:tc>
      </w:tr>
      <w:tr w:rsidR="008D3568" w:rsidRPr="008D3568" w14:paraId="6CBEA790" w14:textId="77777777" w:rsidTr="008D3568">
        <w:trPr>
          <w:trHeight w:val="20"/>
        </w:trPr>
        <w:tc>
          <w:tcPr>
            <w:tcW w:w="2305" w:type="dxa"/>
            <w:shd w:val="clear" w:color="auto" w:fill="auto"/>
            <w:tcMar>
              <w:top w:w="72" w:type="dxa"/>
              <w:left w:w="144" w:type="dxa"/>
              <w:bottom w:w="72" w:type="dxa"/>
              <w:right w:w="144" w:type="dxa"/>
            </w:tcMar>
            <w:vAlign w:val="center"/>
          </w:tcPr>
          <w:p w14:paraId="7885B754" w14:textId="5B4A51CB" w:rsidR="008D3568" w:rsidRPr="008D3568" w:rsidRDefault="008D3568" w:rsidP="008D3568">
            <w:pPr>
              <w:spacing w:after="0" w:line="240" w:lineRule="auto"/>
              <w:rPr>
                <w:rFonts w:ascii="Times New Roman" w:hAnsi="Times New Roman" w:cs="Times New Roman"/>
                <w:sz w:val="16"/>
                <w:szCs w:val="16"/>
                <w:lang w:bidi="ar-SA"/>
              </w:rPr>
            </w:pPr>
            <w:r w:rsidRPr="008D3568">
              <w:rPr>
                <w:rFonts w:ascii="Times New Roman" w:hAnsi="Times New Roman" w:cs="Times New Roman"/>
                <w:sz w:val="16"/>
                <w:szCs w:val="16"/>
                <w:lang w:bidi="ar-SA"/>
              </w:rPr>
              <w:t>TRANSFORMS</w:t>
            </w:r>
          </w:p>
        </w:tc>
        <w:tc>
          <w:tcPr>
            <w:tcW w:w="2305" w:type="dxa"/>
            <w:vMerge/>
            <w:tcBorders>
              <w:right w:val="nil"/>
            </w:tcBorders>
            <w:shd w:val="clear" w:color="auto" w:fill="auto"/>
            <w:tcMar>
              <w:top w:w="72" w:type="dxa"/>
              <w:left w:w="144" w:type="dxa"/>
              <w:bottom w:w="72" w:type="dxa"/>
              <w:right w:w="144" w:type="dxa"/>
            </w:tcMar>
            <w:vAlign w:val="center"/>
            <w:hideMark/>
          </w:tcPr>
          <w:p w14:paraId="3CD6FB51"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2686" w:type="dxa"/>
            <w:vMerge/>
            <w:tcBorders>
              <w:top w:val="nil"/>
              <w:left w:val="nil"/>
              <w:bottom w:val="single" w:sz="4" w:space="0" w:color="auto"/>
              <w:right w:val="nil"/>
            </w:tcBorders>
            <w:shd w:val="clear" w:color="auto" w:fill="auto"/>
            <w:tcMar>
              <w:top w:w="72" w:type="dxa"/>
              <w:left w:w="144" w:type="dxa"/>
              <w:bottom w:w="72" w:type="dxa"/>
              <w:right w:w="144" w:type="dxa"/>
            </w:tcMar>
            <w:vAlign w:val="center"/>
            <w:hideMark/>
          </w:tcPr>
          <w:p w14:paraId="1E741830" w14:textId="77777777" w:rsidR="008D3568" w:rsidRPr="008D3568" w:rsidRDefault="008D3568" w:rsidP="008D3568">
            <w:pPr>
              <w:spacing w:after="0" w:line="240" w:lineRule="auto"/>
              <w:rPr>
                <w:rFonts w:ascii="Times New Roman" w:hAnsi="Times New Roman" w:cs="Times New Roman"/>
                <w:sz w:val="16"/>
                <w:szCs w:val="16"/>
                <w:lang w:bidi="ar-SA"/>
              </w:rPr>
            </w:pPr>
          </w:p>
        </w:tc>
        <w:tc>
          <w:tcPr>
            <w:tcW w:w="1944" w:type="dxa"/>
            <w:vMerge/>
            <w:tcBorders>
              <w:top w:val="nil"/>
              <w:left w:val="nil"/>
              <w:bottom w:val="single" w:sz="4" w:space="0" w:color="auto"/>
              <w:right w:val="single" w:sz="4" w:space="0" w:color="auto"/>
            </w:tcBorders>
            <w:shd w:val="clear" w:color="auto" w:fill="auto"/>
            <w:tcMar>
              <w:top w:w="72" w:type="dxa"/>
              <w:left w:w="144" w:type="dxa"/>
              <w:bottom w:w="72" w:type="dxa"/>
              <w:right w:w="144" w:type="dxa"/>
            </w:tcMar>
            <w:vAlign w:val="center"/>
            <w:hideMark/>
          </w:tcPr>
          <w:p w14:paraId="66D0A108" w14:textId="77777777" w:rsidR="008D3568" w:rsidRPr="008D3568" w:rsidRDefault="008D3568" w:rsidP="008D3568">
            <w:pPr>
              <w:spacing w:after="0" w:line="240" w:lineRule="auto"/>
              <w:rPr>
                <w:rFonts w:ascii="Times New Roman" w:hAnsi="Times New Roman" w:cs="Times New Roman"/>
                <w:sz w:val="16"/>
                <w:szCs w:val="16"/>
                <w:lang w:bidi="ar-SA"/>
              </w:rPr>
            </w:pPr>
          </w:p>
        </w:tc>
      </w:tr>
    </w:tbl>
    <w:p w14:paraId="174FA613" w14:textId="77777777" w:rsidR="008D3568" w:rsidRDefault="008D3568" w:rsidP="008D3568">
      <w:pPr>
        <w:rPr>
          <w:rFonts w:ascii="Times New Roman" w:hAnsi="Times New Roman" w:cs="Times New Roman"/>
          <w:lang w:bidi="ar-SA"/>
        </w:rPr>
      </w:pPr>
    </w:p>
    <w:p w14:paraId="34D6FEF2" w14:textId="660BD0F2" w:rsidR="008D3568" w:rsidRDefault="008D3568" w:rsidP="00223A29">
      <w:pPr>
        <w:pStyle w:val="Heading3"/>
        <w:pageBreakBefore/>
        <w:ind w:left="1368" w:hanging="1368"/>
        <w:rPr>
          <w:rFonts w:ascii="Times New Roman" w:hAnsi="Times New Roman" w:cs="Times New Roman"/>
        </w:rPr>
      </w:pPr>
      <w:bookmarkStart w:id="29" w:name="_Toc130240194"/>
      <w:r w:rsidRPr="008D3568">
        <w:rPr>
          <w:rFonts w:ascii="Times New Roman" w:hAnsi="Times New Roman" w:cs="Times New Roman"/>
        </w:rPr>
        <w:lastRenderedPageBreak/>
        <w:t>Measurement timepoints for brain volume loss</w:t>
      </w:r>
      <w:bookmarkEnd w:id="29"/>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497"/>
        <w:gridCol w:w="1790"/>
        <w:gridCol w:w="1790"/>
        <w:gridCol w:w="1790"/>
        <w:gridCol w:w="1790"/>
      </w:tblGrid>
      <w:tr w:rsidR="00086ECC" w:rsidRPr="008D3568" w14:paraId="7B6657C5" w14:textId="77777777" w:rsidTr="00086ECC">
        <w:trPr>
          <w:trHeight w:val="282"/>
        </w:trPr>
        <w:tc>
          <w:tcPr>
            <w:tcW w:w="2497" w:type="dxa"/>
            <w:shd w:val="clear" w:color="auto" w:fill="auto"/>
            <w:tcMar>
              <w:top w:w="15" w:type="dxa"/>
              <w:left w:w="15" w:type="dxa"/>
              <w:bottom w:w="0" w:type="dxa"/>
              <w:right w:w="15" w:type="dxa"/>
            </w:tcMar>
            <w:vAlign w:val="center"/>
            <w:hideMark/>
          </w:tcPr>
          <w:p w14:paraId="41EDE51D" w14:textId="3A12C895"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b/>
                <w:bCs/>
                <w:sz w:val="16"/>
                <w:szCs w:val="16"/>
                <w:lang w:bidi="ar-SA"/>
              </w:rPr>
              <w:t>Name</w:t>
            </w:r>
          </w:p>
        </w:tc>
        <w:tc>
          <w:tcPr>
            <w:tcW w:w="1790" w:type="dxa"/>
            <w:shd w:val="clear" w:color="auto" w:fill="auto"/>
            <w:tcMar>
              <w:top w:w="15" w:type="dxa"/>
              <w:left w:w="15" w:type="dxa"/>
              <w:bottom w:w="0" w:type="dxa"/>
              <w:right w:w="15" w:type="dxa"/>
            </w:tcMar>
            <w:vAlign w:val="center"/>
            <w:hideMark/>
          </w:tcPr>
          <w:p w14:paraId="3F01E726"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b/>
                <w:bCs/>
                <w:sz w:val="16"/>
                <w:szCs w:val="16"/>
                <w:lang w:bidi="ar-SA"/>
              </w:rPr>
              <w:t>~1 year</w:t>
            </w:r>
          </w:p>
        </w:tc>
        <w:tc>
          <w:tcPr>
            <w:tcW w:w="1790" w:type="dxa"/>
            <w:shd w:val="clear" w:color="auto" w:fill="auto"/>
            <w:tcMar>
              <w:top w:w="15" w:type="dxa"/>
              <w:left w:w="15" w:type="dxa"/>
              <w:bottom w:w="0" w:type="dxa"/>
              <w:right w:w="15" w:type="dxa"/>
            </w:tcMar>
            <w:vAlign w:val="center"/>
            <w:hideMark/>
          </w:tcPr>
          <w:p w14:paraId="470D8388"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b/>
                <w:bCs/>
                <w:sz w:val="16"/>
                <w:szCs w:val="16"/>
                <w:lang w:bidi="ar-SA"/>
              </w:rPr>
              <w:t>~2 year</w:t>
            </w:r>
          </w:p>
        </w:tc>
        <w:tc>
          <w:tcPr>
            <w:tcW w:w="1790" w:type="dxa"/>
            <w:shd w:val="clear" w:color="auto" w:fill="auto"/>
            <w:tcMar>
              <w:top w:w="15" w:type="dxa"/>
              <w:left w:w="15" w:type="dxa"/>
              <w:bottom w:w="0" w:type="dxa"/>
              <w:right w:w="15" w:type="dxa"/>
            </w:tcMar>
            <w:vAlign w:val="center"/>
            <w:hideMark/>
          </w:tcPr>
          <w:p w14:paraId="6C7BD35E"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b/>
                <w:bCs/>
                <w:sz w:val="16"/>
                <w:szCs w:val="16"/>
                <w:lang w:bidi="ar-SA"/>
              </w:rPr>
              <w:t xml:space="preserve">~ 3 </w:t>
            </w:r>
            <w:proofErr w:type="gramStart"/>
            <w:r w:rsidRPr="008D3568">
              <w:rPr>
                <w:rFonts w:ascii="Times New Roman" w:hAnsi="Times New Roman" w:cs="Times New Roman"/>
                <w:b/>
                <w:bCs/>
                <w:sz w:val="16"/>
                <w:szCs w:val="16"/>
                <w:lang w:bidi="ar-SA"/>
              </w:rPr>
              <w:t>year</w:t>
            </w:r>
            <w:proofErr w:type="gramEnd"/>
          </w:p>
        </w:tc>
        <w:tc>
          <w:tcPr>
            <w:tcW w:w="1790" w:type="dxa"/>
            <w:shd w:val="clear" w:color="auto" w:fill="auto"/>
            <w:tcMar>
              <w:top w:w="15" w:type="dxa"/>
              <w:left w:w="15" w:type="dxa"/>
              <w:bottom w:w="0" w:type="dxa"/>
              <w:right w:w="15" w:type="dxa"/>
            </w:tcMar>
            <w:vAlign w:val="center"/>
            <w:hideMark/>
          </w:tcPr>
          <w:p w14:paraId="6568AA9E"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b/>
                <w:bCs/>
                <w:sz w:val="16"/>
                <w:szCs w:val="16"/>
                <w:lang w:bidi="ar-SA"/>
              </w:rPr>
              <w:t>Other</w:t>
            </w:r>
          </w:p>
        </w:tc>
      </w:tr>
      <w:tr w:rsidR="00086ECC" w:rsidRPr="008D3568" w14:paraId="4F4F0D7E" w14:textId="77777777" w:rsidTr="00086ECC">
        <w:trPr>
          <w:trHeight w:val="282"/>
        </w:trPr>
        <w:tc>
          <w:tcPr>
            <w:tcW w:w="2497" w:type="dxa"/>
            <w:shd w:val="clear" w:color="auto" w:fill="auto"/>
            <w:tcMar>
              <w:top w:w="15" w:type="dxa"/>
              <w:left w:w="15" w:type="dxa"/>
              <w:bottom w:w="0" w:type="dxa"/>
              <w:right w:w="15" w:type="dxa"/>
            </w:tcMar>
            <w:vAlign w:val="center"/>
            <w:hideMark/>
          </w:tcPr>
          <w:p w14:paraId="204221BF" w14:textId="5D0BA86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ADVANCE</w:t>
            </w:r>
          </w:p>
        </w:tc>
        <w:tc>
          <w:tcPr>
            <w:tcW w:w="1790" w:type="dxa"/>
            <w:shd w:val="clear" w:color="auto" w:fill="auto"/>
            <w:tcMar>
              <w:top w:w="15" w:type="dxa"/>
              <w:left w:w="15" w:type="dxa"/>
              <w:bottom w:w="0" w:type="dxa"/>
              <w:right w:w="15" w:type="dxa"/>
            </w:tcMar>
            <w:vAlign w:val="center"/>
            <w:hideMark/>
          </w:tcPr>
          <w:p w14:paraId="61801920"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0A50DA16"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5ACB4253"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42BC5D2B"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5C80C3A2" w14:textId="77777777" w:rsidTr="00086ECC">
        <w:trPr>
          <w:trHeight w:val="282"/>
        </w:trPr>
        <w:tc>
          <w:tcPr>
            <w:tcW w:w="2497" w:type="dxa"/>
            <w:shd w:val="clear" w:color="auto" w:fill="auto"/>
            <w:tcMar>
              <w:top w:w="15" w:type="dxa"/>
              <w:left w:w="15" w:type="dxa"/>
              <w:bottom w:w="0" w:type="dxa"/>
              <w:right w:w="15" w:type="dxa"/>
            </w:tcMar>
            <w:vAlign w:val="center"/>
          </w:tcPr>
          <w:p w14:paraId="16D77A7F" w14:textId="6125FF57" w:rsidR="00086ECC" w:rsidRPr="00DF7EB7" w:rsidRDefault="00086ECC" w:rsidP="008D3568">
            <w:pPr>
              <w:spacing w:after="0"/>
              <w:jc w:val="center"/>
              <w:rPr>
                <w:rFonts w:ascii="Times New Roman" w:hAnsi="Times New Roman" w:cs="Times New Roman"/>
                <w:sz w:val="16"/>
                <w:szCs w:val="16"/>
                <w:lang w:bidi="ar-SA"/>
              </w:rPr>
            </w:pPr>
            <w:r w:rsidRPr="00DF7EB7">
              <w:rPr>
                <w:rFonts w:ascii="Times New Roman" w:hAnsi="Times New Roman" w:cs="Times New Roman"/>
                <w:sz w:val="16"/>
                <w:szCs w:val="16"/>
                <w:lang w:bidi="ar-SA"/>
              </w:rPr>
              <w:t>AFFIRM</w:t>
            </w:r>
          </w:p>
        </w:tc>
        <w:tc>
          <w:tcPr>
            <w:tcW w:w="1790" w:type="dxa"/>
            <w:shd w:val="clear" w:color="auto" w:fill="auto"/>
            <w:tcMar>
              <w:top w:w="15" w:type="dxa"/>
              <w:left w:w="15" w:type="dxa"/>
              <w:bottom w:w="0" w:type="dxa"/>
              <w:right w:w="15" w:type="dxa"/>
            </w:tcMar>
            <w:vAlign w:val="center"/>
          </w:tcPr>
          <w:p w14:paraId="3790FBFB" w14:textId="53D16D80" w:rsidR="00086ECC" w:rsidRPr="008D3568" w:rsidRDefault="00086ECC" w:rsidP="008D3568">
            <w:pPr>
              <w:spacing w:after="0"/>
              <w:jc w:val="center"/>
              <w:rPr>
                <w:rFonts w:ascii="Times New Roman" w:hAnsi="Times New Roman" w:cs="Times New Roman"/>
                <w:sz w:val="16"/>
                <w:szCs w:val="16"/>
                <w:lang w:bidi="ar-SA"/>
              </w:rPr>
            </w:pPr>
            <w:r>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501FA3C6" w14:textId="2462B63F" w:rsidR="00086ECC" w:rsidRPr="008D3568" w:rsidRDefault="00086ECC" w:rsidP="008D3568">
            <w:pPr>
              <w:spacing w:after="0"/>
              <w:jc w:val="center"/>
              <w:rPr>
                <w:rFonts w:ascii="Times New Roman" w:hAnsi="Times New Roman" w:cs="Times New Roman"/>
                <w:sz w:val="16"/>
                <w:szCs w:val="16"/>
                <w:lang w:bidi="ar-SA"/>
              </w:rPr>
            </w:pPr>
            <w:r>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68DAC9BB"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C79ECDE"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2257C384" w14:textId="77777777" w:rsidTr="00086ECC">
        <w:trPr>
          <w:trHeight w:val="282"/>
        </w:trPr>
        <w:tc>
          <w:tcPr>
            <w:tcW w:w="2497" w:type="dxa"/>
            <w:shd w:val="clear" w:color="auto" w:fill="auto"/>
            <w:tcMar>
              <w:top w:w="15" w:type="dxa"/>
              <w:left w:w="15" w:type="dxa"/>
              <w:bottom w:w="0" w:type="dxa"/>
              <w:right w:w="15" w:type="dxa"/>
            </w:tcMar>
            <w:vAlign w:val="center"/>
            <w:hideMark/>
          </w:tcPr>
          <w:p w14:paraId="26C57091" w14:textId="2C27F73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ASCLEPIOS I</w:t>
            </w:r>
          </w:p>
        </w:tc>
        <w:tc>
          <w:tcPr>
            <w:tcW w:w="1790" w:type="dxa"/>
            <w:shd w:val="clear" w:color="auto" w:fill="auto"/>
            <w:tcMar>
              <w:top w:w="15" w:type="dxa"/>
              <w:left w:w="15" w:type="dxa"/>
              <w:bottom w:w="0" w:type="dxa"/>
              <w:right w:w="15" w:type="dxa"/>
            </w:tcMar>
            <w:vAlign w:val="center"/>
            <w:hideMark/>
          </w:tcPr>
          <w:p w14:paraId="5D3DAF0C"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22713FCB"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6DA91FD1"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0C36834C"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265D6F38" w14:textId="77777777" w:rsidTr="00086ECC">
        <w:trPr>
          <w:trHeight w:val="282"/>
        </w:trPr>
        <w:tc>
          <w:tcPr>
            <w:tcW w:w="2497" w:type="dxa"/>
            <w:shd w:val="clear" w:color="auto" w:fill="auto"/>
            <w:tcMar>
              <w:top w:w="15" w:type="dxa"/>
              <w:left w:w="15" w:type="dxa"/>
              <w:bottom w:w="0" w:type="dxa"/>
              <w:right w:w="15" w:type="dxa"/>
            </w:tcMar>
            <w:vAlign w:val="center"/>
            <w:hideMark/>
          </w:tcPr>
          <w:p w14:paraId="1BF46EAE" w14:textId="6BA1A604"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ASCLEPIOS II</w:t>
            </w:r>
          </w:p>
        </w:tc>
        <w:tc>
          <w:tcPr>
            <w:tcW w:w="1790" w:type="dxa"/>
            <w:shd w:val="clear" w:color="auto" w:fill="auto"/>
            <w:tcMar>
              <w:top w:w="15" w:type="dxa"/>
              <w:left w:w="15" w:type="dxa"/>
              <w:bottom w:w="0" w:type="dxa"/>
              <w:right w:w="15" w:type="dxa"/>
            </w:tcMar>
            <w:vAlign w:val="center"/>
            <w:hideMark/>
          </w:tcPr>
          <w:p w14:paraId="35486C06"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3664E431"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5793069D"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3E719492"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49E7D45E" w14:textId="77777777" w:rsidTr="00086ECC">
        <w:trPr>
          <w:trHeight w:val="282"/>
        </w:trPr>
        <w:tc>
          <w:tcPr>
            <w:tcW w:w="2497" w:type="dxa"/>
            <w:shd w:val="clear" w:color="auto" w:fill="auto"/>
            <w:tcMar>
              <w:top w:w="15" w:type="dxa"/>
              <w:left w:w="15" w:type="dxa"/>
              <w:bottom w:w="0" w:type="dxa"/>
              <w:right w:w="15" w:type="dxa"/>
            </w:tcMar>
            <w:vAlign w:val="center"/>
            <w:hideMark/>
          </w:tcPr>
          <w:p w14:paraId="69808A70" w14:textId="260F77BF"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ASSESS</w:t>
            </w:r>
          </w:p>
        </w:tc>
        <w:tc>
          <w:tcPr>
            <w:tcW w:w="1790" w:type="dxa"/>
            <w:shd w:val="clear" w:color="auto" w:fill="auto"/>
            <w:tcMar>
              <w:top w:w="15" w:type="dxa"/>
              <w:left w:w="15" w:type="dxa"/>
              <w:bottom w:w="0" w:type="dxa"/>
              <w:right w:w="15" w:type="dxa"/>
            </w:tcMar>
            <w:vAlign w:val="center"/>
            <w:hideMark/>
          </w:tcPr>
          <w:p w14:paraId="0F46039F"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0C059746"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4D891EDD"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2071D43C"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724BF93C" w14:textId="77777777" w:rsidTr="00086ECC">
        <w:trPr>
          <w:trHeight w:val="282"/>
        </w:trPr>
        <w:tc>
          <w:tcPr>
            <w:tcW w:w="2497" w:type="dxa"/>
            <w:shd w:val="clear" w:color="auto" w:fill="auto"/>
            <w:tcMar>
              <w:top w:w="15" w:type="dxa"/>
              <w:left w:w="15" w:type="dxa"/>
              <w:bottom w:w="0" w:type="dxa"/>
              <w:right w:w="15" w:type="dxa"/>
            </w:tcMar>
            <w:vAlign w:val="center"/>
            <w:hideMark/>
          </w:tcPr>
          <w:p w14:paraId="5DCAFA6E" w14:textId="35CB95E0"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BRAVO</w:t>
            </w:r>
          </w:p>
        </w:tc>
        <w:tc>
          <w:tcPr>
            <w:tcW w:w="1790" w:type="dxa"/>
            <w:shd w:val="clear" w:color="auto" w:fill="auto"/>
            <w:tcMar>
              <w:top w:w="15" w:type="dxa"/>
              <w:left w:w="15" w:type="dxa"/>
              <w:bottom w:w="0" w:type="dxa"/>
              <w:right w:w="15" w:type="dxa"/>
            </w:tcMar>
            <w:vAlign w:val="center"/>
            <w:hideMark/>
          </w:tcPr>
          <w:p w14:paraId="56BA7A1D"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4AEB98FB" w14:textId="7777777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hideMark/>
          </w:tcPr>
          <w:p w14:paraId="4B58A4FB"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hideMark/>
          </w:tcPr>
          <w:p w14:paraId="22BE1C2F"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0BD8D8B8" w14:textId="77777777" w:rsidTr="00086ECC">
        <w:trPr>
          <w:trHeight w:val="282"/>
        </w:trPr>
        <w:tc>
          <w:tcPr>
            <w:tcW w:w="2497" w:type="dxa"/>
            <w:shd w:val="clear" w:color="auto" w:fill="auto"/>
            <w:tcMar>
              <w:top w:w="15" w:type="dxa"/>
              <w:left w:w="15" w:type="dxa"/>
              <w:bottom w:w="0" w:type="dxa"/>
              <w:right w:w="15" w:type="dxa"/>
            </w:tcMar>
            <w:vAlign w:val="center"/>
          </w:tcPr>
          <w:p w14:paraId="67A55B8B" w14:textId="371A4ADA" w:rsidR="00086ECC" w:rsidRPr="008D3568" w:rsidRDefault="00086ECC" w:rsidP="008D3568">
            <w:pPr>
              <w:spacing w:after="0"/>
              <w:jc w:val="center"/>
              <w:rPr>
                <w:rFonts w:ascii="Times New Roman" w:hAnsi="Times New Roman" w:cs="Times New Roman"/>
                <w:sz w:val="16"/>
                <w:szCs w:val="16"/>
                <w:lang w:bidi="ar-SA"/>
              </w:rPr>
            </w:pPr>
            <w:r w:rsidRPr="00DF7EB7">
              <w:rPr>
                <w:rFonts w:ascii="Times New Roman" w:hAnsi="Times New Roman" w:cs="Times New Roman"/>
                <w:sz w:val="16"/>
                <w:szCs w:val="16"/>
                <w:lang w:bidi="ar-SA"/>
              </w:rPr>
              <w:t>BEYOND</w:t>
            </w:r>
          </w:p>
        </w:tc>
        <w:tc>
          <w:tcPr>
            <w:tcW w:w="1790" w:type="dxa"/>
            <w:shd w:val="clear" w:color="auto" w:fill="auto"/>
            <w:tcMar>
              <w:top w:w="15" w:type="dxa"/>
              <w:left w:w="15" w:type="dxa"/>
              <w:bottom w:w="0" w:type="dxa"/>
              <w:right w:w="15" w:type="dxa"/>
            </w:tcMar>
            <w:vAlign w:val="center"/>
          </w:tcPr>
          <w:p w14:paraId="55911FD6"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3B7F3EEB" w14:textId="79F65431" w:rsidR="00086ECC" w:rsidRPr="008D3568" w:rsidRDefault="00086ECC" w:rsidP="008D3568">
            <w:pPr>
              <w:spacing w:after="0"/>
              <w:jc w:val="center"/>
              <w:rPr>
                <w:rFonts w:ascii="Times New Roman" w:hAnsi="Times New Roman" w:cs="Times New Roman"/>
                <w:sz w:val="16"/>
                <w:szCs w:val="16"/>
                <w:lang w:bidi="ar-SA"/>
              </w:rPr>
            </w:pPr>
            <w:r>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B9D7F9C" w14:textId="13FB96D4"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4354D08"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0D82F07F" w14:textId="77777777" w:rsidTr="00086ECC">
        <w:trPr>
          <w:trHeight w:val="282"/>
        </w:trPr>
        <w:tc>
          <w:tcPr>
            <w:tcW w:w="2497" w:type="dxa"/>
            <w:shd w:val="clear" w:color="auto" w:fill="auto"/>
            <w:tcMar>
              <w:top w:w="15" w:type="dxa"/>
              <w:left w:w="15" w:type="dxa"/>
              <w:bottom w:w="0" w:type="dxa"/>
              <w:right w:w="15" w:type="dxa"/>
            </w:tcMar>
            <w:vAlign w:val="center"/>
          </w:tcPr>
          <w:p w14:paraId="18FEAFC9" w14:textId="0F95F171"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CAMMS223</w:t>
            </w:r>
          </w:p>
        </w:tc>
        <w:tc>
          <w:tcPr>
            <w:tcW w:w="1790" w:type="dxa"/>
            <w:shd w:val="clear" w:color="auto" w:fill="auto"/>
            <w:tcMar>
              <w:top w:w="15" w:type="dxa"/>
              <w:left w:w="15" w:type="dxa"/>
              <w:bottom w:w="0" w:type="dxa"/>
              <w:right w:w="15" w:type="dxa"/>
            </w:tcMar>
            <w:vAlign w:val="center"/>
          </w:tcPr>
          <w:p w14:paraId="102C4679"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D983BF1" w14:textId="6C5291F6"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44057EE" w14:textId="065C233E"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537A14F6"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376CB8B5" w14:textId="77777777" w:rsidTr="00086ECC">
        <w:trPr>
          <w:trHeight w:val="282"/>
        </w:trPr>
        <w:tc>
          <w:tcPr>
            <w:tcW w:w="2497" w:type="dxa"/>
            <w:shd w:val="clear" w:color="auto" w:fill="auto"/>
            <w:tcMar>
              <w:top w:w="15" w:type="dxa"/>
              <w:left w:w="15" w:type="dxa"/>
              <w:bottom w:w="0" w:type="dxa"/>
              <w:right w:w="15" w:type="dxa"/>
            </w:tcMar>
            <w:vAlign w:val="center"/>
          </w:tcPr>
          <w:p w14:paraId="7350E46B" w14:textId="17C0B4ED"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CARE-MS I</w:t>
            </w:r>
          </w:p>
        </w:tc>
        <w:tc>
          <w:tcPr>
            <w:tcW w:w="1790" w:type="dxa"/>
            <w:shd w:val="clear" w:color="auto" w:fill="auto"/>
            <w:tcMar>
              <w:top w:w="15" w:type="dxa"/>
              <w:left w:w="15" w:type="dxa"/>
              <w:bottom w:w="0" w:type="dxa"/>
              <w:right w:w="15" w:type="dxa"/>
            </w:tcMar>
            <w:vAlign w:val="center"/>
          </w:tcPr>
          <w:p w14:paraId="1F0BBECB"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0A329F2" w14:textId="56E9B2CD"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2E8CF0BC"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FFC26E3"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43DC673B" w14:textId="77777777" w:rsidTr="00086ECC">
        <w:trPr>
          <w:trHeight w:val="282"/>
        </w:trPr>
        <w:tc>
          <w:tcPr>
            <w:tcW w:w="2497" w:type="dxa"/>
            <w:shd w:val="clear" w:color="auto" w:fill="auto"/>
            <w:tcMar>
              <w:top w:w="15" w:type="dxa"/>
              <w:left w:w="15" w:type="dxa"/>
              <w:bottom w:w="0" w:type="dxa"/>
              <w:right w:w="15" w:type="dxa"/>
            </w:tcMar>
            <w:vAlign w:val="center"/>
          </w:tcPr>
          <w:p w14:paraId="4B29DBEC" w14:textId="5E7D3FFB"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CARE-MS II</w:t>
            </w:r>
          </w:p>
        </w:tc>
        <w:tc>
          <w:tcPr>
            <w:tcW w:w="1790" w:type="dxa"/>
            <w:shd w:val="clear" w:color="auto" w:fill="auto"/>
            <w:tcMar>
              <w:top w:w="15" w:type="dxa"/>
              <w:left w:w="15" w:type="dxa"/>
              <w:bottom w:w="0" w:type="dxa"/>
              <w:right w:w="15" w:type="dxa"/>
            </w:tcMar>
            <w:vAlign w:val="center"/>
          </w:tcPr>
          <w:p w14:paraId="753151FE" w14:textId="546DCA36"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0236979" w14:textId="060C746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69920585"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1EAB2DC"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419143D7" w14:textId="77777777" w:rsidTr="00086ECC">
        <w:trPr>
          <w:trHeight w:val="282"/>
        </w:trPr>
        <w:tc>
          <w:tcPr>
            <w:tcW w:w="2497" w:type="dxa"/>
            <w:shd w:val="clear" w:color="auto" w:fill="auto"/>
            <w:tcMar>
              <w:top w:w="15" w:type="dxa"/>
              <w:left w:w="15" w:type="dxa"/>
              <w:bottom w:w="0" w:type="dxa"/>
              <w:right w:w="15" w:type="dxa"/>
            </w:tcMar>
            <w:vAlign w:val="center"/>
          </w:tcPr>
          <w:p w14:paraId="79711CF2" w14:textId="26DA3C55"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CONFIRM</w:t>
            </w:r>
          </w:p>
        </w:tc>
        <w:tc>
          <w:tcPr>
            <w:tcW w:w="1790" w:type="dxa"/>
            <w:shd w:val="clear" w:color="auto" w:fill="auto"/>
            <w:tcMar>
              <w:top w:w="15" w:type="dxa"/>
              <w:left w:w="15" w:type="dxa"/>
              <w:bottom w:w="0" w:type="dxa"/>
              <w:right w:w="15" w:type="dxa"/>
            </w:tcMar>
            <w:vAlign w:val="center"/>
          </w:tcPr>
          <w:p w14:paraId="083726EE" w14:textId="1D49431A"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46DD2AAA" w14:textId="1E9FF518"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2DBA8A0F"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84F342B"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70C70E89" w14:textId="77777777" w:rsidTr="00086ECC">
        <w:trPr>
          <w:trHeight w:val="282"/>
        </w:trPr>
        <w:tc>
          <w:tcPr>
            <w:tcW w:w="2497" w:type="dxa"/>
            <w:shd w:val="clear" w:color="auto" w:fill="auto"/>
            <w:tcMar>
              <w:top w:w="15" w:type="dxa"/>
              <w:left w:w="15" w:type="dxa"/>
              <w:bottom w:w="0" w:type="dxa"/>
              <w:right w:w="15" w:type="dxa"/>
            </w:tcMar>
            <w:vAlign w:val="center"/>
          </w:tcPr>
          <w:p w14:paraId="7CE4705C" w14:textId="4B345838" w:rsidR="00086ECC" w:rsidRPr="008D3568" w:rsidRDefault="00086ECC" w:rsidP="008D3568">
            <w:pPr>
              <w:spacing w:after="0"/>
              <w:jc w:val="center"/>
              <w:rPr>
                <w:rFonts w:ascii="Times New Roman" w:hAnsi="Times New Roman" w:cs="Times New Roman"/>
                <w:sz w:val="16"/>
                <w:szCs w:val="16"/>
                <w:lang w:bidi="ar-SA"/>
              </w:rPr>
            </w:pPr>
            <w:r>
              <w:rPr>
                <w:rFonts w:ascii="Times New Roman" w:hAnsi="Times New Roman" w:cs="Times New Roman"/>
                <w:sz w:val="16"/>
                <w:szCs w:val="16"/>
                <w:lang w:bidi="ar-SA"/>
              </w:rPr>
              <w:t>COPOLYMER</w:t>
            </w:r>
            <w:r w:rsidRPr="008D3568">
              <w:rPr>
                <w:rFonts w:ascii="Times New Roman" w:hAnsi="Times New Roman" w:cs="Times New Roman"/>
                <w:sz w:val="16"/>
                <w:szCs w:val="16"/>
                <w:lang w:bidi="ar-SA"/>
              </w:rPr>
              <w:t xml:space="preserve"> 1</w:t>
            </w:r>
          </w:p>
        </w:tc>
        <w:tc>
          <w:tcPr>
            <w:tcW w:w="1790" w:type="dxa"/>
            <w:shd w:val="clear" w:color="auto" w:fill="auto"/>
            <w:tcMar>
              <w:top w:w="15" w:type="dxa"/>
              <w:left w:w="15" w:type="dxa"/>
              <w:bottom w:w="0" w:type="dxa"/>
              <w:right w:w="15" w:type="dxa"/>
            </w:tcMar>
            <w:vAlign w:val="center"/>
          </w:tcPr>
          <w:p w14:paraId="326E9022" w14:textId="4B97B3A0"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569C3C45" w14:textId="2C121EC9"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2C10DB1"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33704FD"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0BD6FBA3" w14:textId="77777777" w:rsidTr="00086ECC">
        <w:trPr>
          <w:trHeight w:val="282"/>
        </w:trPr>
        <w:tc>
          <w:tcPr>
            <w:tcW w:w="2497" w:type="dxa"/>
            <w:shd w:val="clear" w:color="auto" w:fill="auto"/>
            <w:tcMar>
              <w:top w:w="15" w:type="dxa"/>
              <w:left w:w="15" w:type="dxa"/>
              <w:bottom w:w="0" w:type="dxa"/>
              <w:right w:w="15" w:type="dxa"/>
            </w:tcMar>
            <w:vAlign w:val="center"/>
          </w:tcPr>
          <w:p w14:paraId="1F85998E" w14:textId="15D2E95A"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DEFINE</w:t>
            </w:r>
          </w:p>
        </w:tc>
        <w:tc>
          <w:tcPr>
            <w:tcW w:w="1790" w:type="dxa"/>
            <w:shd w:val="clear" w:color="auto" w:fill="auto"/>
            <w:tcMar>
              <w:top w:w="15" w:type="dxa"/>
              <w:left w:w="15" w:type="dxa"/>
              <w:bottom w:w="0" w:type="dxa"/>
              <w:right w:w="15" w:type="dxa"/>
            </w:tcMar>
            <w:vAlign w:val="center"/>
          </w:tcPr>
          <w:p w14:paraId="0E605B00" w14:textId="574EEE9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218FC3D4" w14:textId="0A233ED1"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235851AB"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E41C2B3" w14:textId="579ED7BA"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06401EFD" w14:textId="77777777" w:rsidTr="00086ECC">
        <w:trPr>
          <w:trHeight w:val="282"/>
        </w:trPr>
        <w:tc>
          <w:tcPr>
            <w:tcW w:w="2497" w:type="dxa"/>
            <w:shd w:val="clear" w:color="auto" w:fill="auto"/>
            <w:tcMar>
              <w:top w:w="15" w:type="dxa"/>
              <w:left w:w="15" w:type="dxa"/>
              <w:bottom w:w="0" w:type="dxa"/>
              <w:right w:w="15" w:type="dxa"/>
            </w:tcMar>
            <w:vAlign w:val="center"/>
          </w:tcPr>
          <w:p w14:paraId="51804EF1" w14:textId="052DA15C" w:rsidR="00086ECC" w:rsidRPr="008D3568" w:rsidRDefault="00086ECC" w:rsidP="008D3568">
            <w:pPr>
              <w:spacing w:after="0"/>
              <w:jc w:val="center"/>
              <w:rPr>
                <w:rFonts w:ascii="Times New Roman" w:hAnsi="Times New Roman" w:cs="Times New Roman"/>
                <w:sz w:val="16"/>
                <w:szCs w:val="16"/>
                <w:lang w:bidi="ar-SA"/>
              </w:rPr>
            </w:pPr>
            <w:proofErr w:type="spellStart"/>
            <w:r w:rsidRPr="008D3568">
              <w:rPr>
                <w:rFonts w:ascii="Times New Roman" w:hAnsi="Times New Roman" w:cs="Times New Roman"/>
                <w:sz w:val="16"/>
                <w:szCs w:val="16"/>
                <w:lang w:bidi="ar-SA"/>
              </w:rPr>
              <w:t>Eur</w:t>
            </w:r>
            <w:proofErr w:type="spellEnd"/>
            <w:r w:rsidRPr="008D3568">
              <w:rPr>
                <w:rFonts w:ascii="Times New Roman" w:hAnsi="Times New Roman" w:cs="Times New Roman"/>
                <w:sz w:val="16"/>
                <w:szCs w:val="16"/>
                <w:lang w:bidi="ar-SA"/>
              </w:rPr>
              <w:t>/Can GA</w:t>
            </w:r>
          </w:p>
        </w:tc>
        <w:tc>
          <w:tcPr>
            <w:tcW w:w="1790" w:type="dxa"/>
            <w:shd w:val="clear" w:color="auto" w:fill="auto"/>
            <w:tcMar>
              <w:top w:w="15" w:type="dxa"/>
              <w:left w:w="15" w:type="dxa"/>
              <w:bottom w:w="0" w:type="dxa"/>
              <w:right w:w="15" w:type="dxa"/>
            </w:tcMar>
            <w:vAlign w:val="center"/>
          </w:tcPr>
          <w:p w14:paraId="29B7A8F1" w14:textId="2712BFE5"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5D8F009" w14:textId="7D3CF869"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E7D2B82"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52FB1ACD" w14:textId="4293FA33"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9 months</w:t>
            </w:r>
          </w:p>
        </w:tc>
      </w:tr>
      <w:tr w:rsidR="00086ECC" w:rsidRPr="008D3568" w14:paraId="7851B097" w14:textId="77777777" w:rsidTr="00086ECC">
        <w:trPr>
          <w:trHeight w:val="282"/>
        </w:trPr>
        <w:tc>
          <w:tcPr>
            <w:tcW w:w="2497" w:type="dxa"/>
            <w:shd w:val="clear" w:color="auto" w:fill="auto"/>
            <w:tcMar>
              <w:top w:w="15" w:type="dxa"/>
              <w:left w:w="15" w:type="dxa"/>
              <w:bottom w:w="0" w:type="dxa"/>
              <w:right w:w="15" w:type="dxa"/>
            </w:tcMar>
            <w:vAlign w:val="center"/>
          </w:tcPr>
          <w:p w14:paraId="64F194B1" w14:textId="41F23DB6"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FREEDOMS</w:t>
            </w:r>
          </w:p>
        </w:tc>
        <w:tc>
          <w:tcPr>
            <w:tcW w:w="1790" w:type="dxa"/>
            <w:shd w:val="clear" w:color="auto" w:fill="auto"/>
            <w:tcMar>
              <w:top w:w="15" w:type="dxa"/>
              <w:left w:w="15" w:type="dxa"/>
              <w:bottom w:w="0" w:type="dxa"/>
              <w:right w:w="15" w:type="dxa"/>
            </w:tcMar>
            <w:vAlign w:val="center"/>
          </w:tcPr>
          <w:p w14:paraId="5CDB5959" w14:textId="05363807"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65FF835F" w14:textId="0C100DE8"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65FBDC3"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71FFAB0B"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42BD43F1" w14:textId="77777777" w:rsidTr="00086ECC">
        <w:trPr>
          <w:trHeight w:val="282"/>
        </w:trPr>
        <w:tc>
          <w:tcPr>
            <w:tcW w:w="2497" w:type="dxa"/>
            <w:shd w:val="clear" w:color="auto" w:fill="auto"/>
            <w:tcMar>
              <w:top w:w="15" w:type="dxa"/>
              <w:left w:w="15" w:type="dxa"/>
              <w:bottom w:w="0" w:type="dxa"/>
              <w:right w:w="15" w:type="dxa"/>
            </w:tcMar>
            <w:vAlign w:val="center"/>
          </w:tcPr>
          <w:p w14:paraId="70F08AC3" w14:textId="5EF23AF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FREEDOMS II</w:t>
            </w:r>
          </w:p>
        </w:tc>
        <w:tc>
          <w:tcPr>
            <w:tcW w:w="1790" w:type="dxa"/>
            <w:shd w:val="clear" w:color="auto" w:fill="auto"/>
            <w:tcMar>
              <w:top w:w="15" w:type="dxa"/>
              <w:left w:w="15" w:type="dxa"/>
              <w:bottom w:w="0" w:type="dxa"/>
              <w:right w:w="15" w:type="dxa"/>
            </w:tcMar>
            <w:vAlign w:val="center"/>
          </w:tcPr>
          <w:p w14:paraId="73E7A5C7" w14:textId="0DCC4290"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8CFC1A0" w14:textId="7022505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7543D430"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6303710"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2D481FF1" w14:textId="77777777" w:rsidTr="00086ECC">
        <w:trPr>
          <w:trHeight w:val="282"/>
        </w:trPr>
        <w:tc>
          <w:tcPr>
            <w:tcW w:w="2497" w:type="dxa"/>
            <w:shd w:val="clear" w:color="auto" w:fill="auto"/>
            <w:tcMar>
              <w:top w:w="15" w:type="dxa"/>
              <w:left w:w="15" w:type="dxa"/>
              <w:bottom w:w="0" w:type="dxa"/>
              <w:right w:w="15" w:type="dxa"/>
            </w:tcMar>
            <w:vAlign w:val="center"/>
          </w:tcPr>
          <w:p w14:paraId="71E45A4D" w14:textId="6F705AF6"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GALA</w:t>
            </w:r>
          </w:p>
        </w:tc>
        <w:tc>
          <w:tcPr>
            <w:tcW w:w="1790" w:type="dxa"/>
            <w:shd w:val="clear" w:color="auto" w:fill="auto"/>
            <w:tcMar>
              <w:top w:w="15" w:type="dxa"/>
              <w:left w:w="15" w:type="dxa"/>
              <w:bottom w:w="0" w:type="dxa"/>
              <w:right w:w="15" w:type="dxa"/>
            </w:tcMar>
            <w:vAlign w:val="center"/>
          </w:tcPr>
          <w:p w14:paraId="3E4DB215" w14:textId="445E9544"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45B593AA"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1EEB7E6"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1E11D5E9" w14:textId="39417836"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3BE48845" w14:textId="77777777" w:rsidTr="00086ECC">
        <w:trPr>
          <w:trHeight w:val="282"/>
        </w:trPr>
        <w:tc>
          <w:tcPr>
            <w:tcW w:w="2497" w:type="dxa"/>
            <w:shd w:val="clear" w:color="auto" w:fill="auto"/>
            <w:tcMar>
              <w:top w:w="15" w:type="dxa"/>
              <w:left w:w="15" w:type="dxa"/>
              <w:bottom w:w="0" w:type="dxa"/>
              <w:right w:w="15" w:type="dxa"/>
            </w:tcMar>
            <w:vAlign w:val="center"/>
          </w:tcPr>
          <w:p w14:paraId="42FE214A" w14:textId="7B911BF4"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GATE</w:t>
            </w:r>
          </w:p>
        </w:tc>
        <w:tc>
          <w:tcPr>
            <w:tcW w:w="1790" w:type="dxa"/>
            <w:shd w:val="clear" w:color="auto" w:fill="auto"/>
            <w:tcMar>
              <w:top w:w="15" w:type="dxa"/>
              <w:left w:w="15" w:type="dxa"/>
              <w:bottom w:w="0" w:type="dxa"/>
              <w:right w:w="15" w:type="dxa"/>
            </w:tcMar>
            <w:vAlign w:val="center"/>
          </w:tcPr>
          <w:p w14:paraId="5703A804"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2518BA0"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D6661B9"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BBFE5EC" w14:textId="08EA601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9 months</w:t>
            </w:r>
          </w:p>
        </w:tc>
      </w:tr>
      <w:tr w:rsidR="00086ECC" w:rsidRPr="008D3568" w14:paraId="11825940" w14:textId="77777777" w:rsidTr="00086ECC">
        <w:trPr>
          <w:trHeight w:val="282"/>
        </w:trPr>
        <w:tc>
          <w:tcPr>
            <w:tcW w:w="2497" w:type="dxa"/>
            <w:shd w:val="clear" w:color="auto" w:fill="auto"/>
            <w:tcMar>
              <w:top w:w="15" w:type="dxa"/>
              <w:left w:w="15" w:type="dxa"/>
              <w:bottom w:w="0" w:type="dxa"/>
              <w:right w:w="15" w:type="dxa"/>
            </w:tcMar>
            <w:vAlign w:val="center"/>
          </w:tcPr>
          <w:p w14:paraId="494C8A85" w14:textId="227452E8"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GOLDEN</w:t>
            </w:r>
          </w:p>
        </w:tc>
        <w:tc>
          <w:tcPr>
            <w:tcW w:w="1790" w:type="dxa"/>
            <w:shd w:val="clear" w:color="auto" w:fill="auto"/>
            <w:tcMar>
              <w:top w:w="15" w:type="dxa"/>
              <w:left w:w="15" w:type="dxa"/>
              <w:bottom w:w="0" w:type="dxa"/>
              <w:right w:w="15" w:type="dxa"/>
            </w:tcMar>
            <w:vAlign w:val="center"/>
          </w:tcPr>
          <w:p w14:paraId="58247806"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A1D5134"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1C0F542"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28DB5C1" w14:textId="639D42E1"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18 months</w:t>
            </w:r>
          </w:p>
        </w:tc>
      </w:tr>
      <w:tr w:rsidR="00086ECC" w:rsidRPr="008D3568" w14:paraId="1692BC9C" w14:textId="77777777" w:rsidTr="00086ECC">
        <w:trPr>
          <w:trHeight w:val="282"/>
        </w:trPr>
        <w:tc>
          <w:tcPr>
            <w:tcW w:w="2497" w:type="dxa"/>
            <w:shd w:val="clear" w:color="auto" w:fill="auto"/>
            <w:tcMar>
              <w:top w:w="15" w:type="dxa"/>
              <w:left w:w="15" w:type="dxa"/>
              <w:bottom w:w="0" w:type="dxa"/>
              <w:right w:w="15" w:type="dxa"/>
            </w:tcMar>
            <w:vAlign w:val="center"/>
          </w:tcPr>
          <w:p w14:paraId="50A69F34" w14:textId="218A1FEB"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MSCRG</w:t>
            </w:r>
          </w:p>
        </w:tc>
        <w:tc>
          <w:tcPr>
            <w:tcW w:w="1790" w:type="dxa"/>
            <w:shd w:val="clear" w:color="auto" w:fill="auto"/>
            <w:tcMar>
              <w:top w:w="15" w:type="dxa"/>
              <w:left w:w="15" w:type="dxa"/>
              <w:bottom w:w="0" w:type="dxa"/>
              <w:right w:w="15" w:type="dxa"/>
            </w:tcMar>
            <w:vAlign w:val="center"/>
          </w:tcPr>
          <w:p w14:paraId="79DFDAF9" w14:textId="4AF72F45"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BE07540" w14:textId="07DD4D0D"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0CFED638"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76CDE23"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6230110D" w14:textId="77777777" w:rsidTr="00086ECC">
        <w:trPr>
          <w:trHeight w:val="282"/>
        </w:trPr>
        <w:tc>
          <w:tcPr>
            <w:tcW w:w="2497" w:type="dxa"/>
            <w:shd w:val="clear" w:color="auto" w:fill="auto"/>
            <w:tcMar>
              <w:top w:w="15" w:type="dxa"/>
              <w:left w:w="15" w:type="dxa"/>
              <w:bottom w:w="0" w:type="dxa"/>
              <w:right w:w="15" w:type="dxa"/>
            </w:tcMar>
            <w:vAlign w:val="center"/>
          </w:tcPr>
          <w:p w14:paraId="165A62A0" w14:textId="4FE19D2D"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OPERA I</w:t>
            </w:r>
          </w:p>
        </w:tc>
        <w:tc>
          <w:tcPr>
            <w:tcW w:w="1790" w:type="dxa"/>
            <w:shd w:val="clear" w:color="auto" w:fill="auto"/>
            <w:tcMar>
              <w:top w:w="15" w:type="dxa"/>
              <w:left w:w="15" w:type="dxa"/>
              <w:bottom w:w="0" w:type="dxa"/>
              <w:right w:w="15" w:type="dxa"/>
            </w:tcMar>
            <w:vAlign w:val="center"/>
          </w:tcPr>
          <w:p w14:paraId="4D33BF1A" w14:textId="05453F11"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55372308" w14:textId="1D579CB2"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3F47DAE6"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2A58019"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38251FD7" w14:textId="77777777" w:rsidTr="00086ECC">
        <w:trPr>
          <w:trHeight w:val="282"/>
        </w:trPr>
        <w:tc>
          <w:tcPr>
            <w:tcW w:w="2497" w:type="dxa"/>
            <w:shd w:val="clear" w:color="auto" w:fill="auto"/>
            <w:tcMar>
              <w:top w:w="15" w:type="dxa"/>
              <w:left w:w="15" w:type="dxa"/>
              <w:bottom w:w="0" w:type="dxa"/>
              <w:right w:w="15" w:type="dxa"/>
            </w:tcMar>
            <w:vAlign w:val="center"/>
          </w:tcPr>
          <w:p w14:paraId="690B14FC" w14:textId="452307DE"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OPERA II</w:t>
            </w:r>
          </w:p>
        </w:tc>
        <w:tc>
          <w:tcPr>
            <w:tcW w:w="1790" w:type="dxa"/>
            <w:shd w:val="clear" w:color="auto" w:fill="auto"/>
            <w:tcMar>
              <w:top w:w="15" w:type="dxa"/>
              <w:left w:w="15" w:type="dxa"/>
              <w:bottom w:w="0" w:type="dxa"/>
              <w:right w:w="15" w:type="dxa"/>
            </w:tcMar>
            <w:vAlign w:val="center"/>
          </w:tcPr>
          <w:p w14:paraId="14CD32EC"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1F2745A1" w14:textId="6BF1BA1F"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40A6E650"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5DDE6713"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60645816" w14:textId="77777777" w:rsidTr="00086ECC">
        <w:trPr>
          <w:trHeight w:val="282"/>
        </w:trPr>
        <w:tc>
          <w:tcPr>
            <w:tcW w:w="2497" w:type="dxa"/>
            <w:shd w:val="clear" w:color="auto" w:fill="auto"/>
            <w:tcMar>
              <w:top w:w="15" w:type="dxa"/>
              <w:left w:w="15" w:type="dxa"/>
              <w:bottom w:w="0" w:type="dxa"/>
              <w:right w:w="15" w:type="dxa"/>
            </w:tcMar>
            <w:vAlign w:val="center"/>
          </w:tcPr>
          <w:p w14:paraId="03435014" w14:textId="337E155F"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OPTIMUM</w:t>
            </w:r>
          </w:p>
        </w:tc>
        <w:tc>
          <w:tcPr>
            <w:tcW w:w="1790" w:type="dxa"/>
            <w:shd w:val="clear" w:color="auto" w:fill="auto"/>
            <w:tcMar>
              <w:top w:w="15" w:type="dxa"/>
              <w:left w:w="15" w:type="dxa"/>
              <w:bottom w:w="0" w:type="dxa"/>
              <w:right w:w="15" w:type="dxa"/>
            </w:tcMar>
            <w:vAlign w:val="center"/>
          </w:tcPr>
          <w:p w14:paraId="361605FE" w14:textId="0706BCC0"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05F0AE27" w14:textId="2883C00F"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7D55CF94"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009508F"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00A13F6A" w14:textId="77777777" w:rsidTr="00086ECC">
        <w:trPr>
          <w:trHeight w:val="282"/>
        </w:trPr>
        <w:tc>
          <w:tcPr>
            <w:tcW w:w="2497" w:type="dxa"/>
            <w:shd w:val="clear" w:color="auto" w:fill="auto"/>
            <w:tcMar>
              <w:top w:w="15" w:type="dxa"/>
              <w:left w:w="15" w:type="dxa"/>
              <w:bottom w:w="0" w:type="dxa"/>
              <w:right w:w="15" w:type="dxa"/>
            </w:tcMar>
            <w:vAlign w:val="center"/>
          </w:tcPr>
          <w:p w14:paraId="7FAB88E8" w14:textId="616BBCAA"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RADIANCE B</w:t>
            </w:r>
          </w:p>
        </w:tc>
        <w:tc>
          <w:tcPr>
            <w:tcW w:w="1790" w:type="dxa"/>
            <w:shd w:val="clear" w:color="auto" w:fill="auto"/>
            <w:tcMar>
              <w:top w:w="15" w:type="dxa"/>
              <w:left w:w="15" w:type="dxa"/>
              <w:bottom w:w="0" w:type="dxa"/>
              <w:right w:w="15" w:type="dxa"/>
            </w:tcMar>
            <w:vAlign w:val="center"/>
          </w:tcPr>
          <w:p w14:paraId="6ADB4BE6" w14:textId="0D7387CC"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79FBA811" w14:textId="7D31AEF4" w:rsidR="00086ECC" w:rsidRPr="008D3568" w:rsidRDefault="00086ECC" w:rsidP="008D356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466B9B92" w14:textId="77777777" w:rsidR="00086ECC" w:rsidRPr="008D3568" w:rsidRDefault="00086ECC" w:rsidP="008D356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293C1292" w14:textId="77777777" w:rsidR="00086ECC" w:rsidRPr="008D3568" w:rsidRDefault="00086ECC" w:rsidP="008D3568">
            <w:pPr>
              <w:spacing w:after="0"/>
              <w:jc w:val="center"/>
              <w:rPr>
                <w:rFonts w:ascii="Times New Roman" w:hAnsi="Times New Roman" w:cs="Times New Roman"/>
                <w:sz w:val="16"/>
                <w:szCs w:val="16"/>
                <w:lang w:bidi="ar-SA"/>
              </w:rPr>
            </w:pPr>
          </w:p>
        </w:tc>
      </w:tr>
      <w:tr w:rsidR="00086ECC" w:rsidRPr="008D3568" w14:paraId="3394AAEF" w14:textId="77777777" w:rsidTr="00086ECC">
        <w:trPr>
          <w:trHeight w:val="282"/>
        </w:trPr>
        <w:tc>
          <w:tcPr>
            <w:tcW w:w="2497" w:type="dxa"/>
            <w:shd w:val="clear" w:color="auto" w:fill="auto"/>
            <w:tcMar>
              <w:top w:w="15" w:type="dxa"/>
              <w:left w:w="15" w:type="dxa"/>
              <w:bottom w:w="0" w:type="dxa"/>
              <w:right w:w="15" w:type="dxa"/>
            </w:tcMar>
            <w:vAlign w:val="center"/>
          </w:tcPr>
          <w:p w14:paraId="450A66DA" w14:textId="7611C7BD" w:rsidR="00086ECC" w:rsidRPr="008D3568" w:rsidRDefault="00086ECC" w:rsidP="00372118">
            <w:pPr>
              <w:spacing w:after="0"/>
              <w:jc w:val="center"/>
              <w:rPr>
                <w:rFonts w:ascii="Times New Roman" w:hAnsi="Times New Roman" w:cs="Times New Roman"/>
                <w:sz w:val="16"/>
                <w:szCs w:val="16"/>
                <w:lang w:bidi="ar-SA"/>
              </w:rPr>
            </w:pPr>
            <w:r w:rsidRPr="00DF7EB7">
              <w:rPr>
                <w:rFonts w:ascii="Times New Roman" w:hAnsi="Times New Roman" w:cs="Times New Roman"/>
                <w:sz w:val="16"/>
                <w:szCs w:val="16"/>
                <w:lang w:bidi="ar-SA"/>
              </w:rPr>
              <w:t>REGARD</w:t>
            </w:r>
          </w:p>
        </w:tc>
        <w:tc>
          <w:tcPr>
            <w:tcW w:w="1790" w:type="dxa"/>
            <w:shd w:val="clear" w:color="auto" w:fill="auto"/>
            <w:tcMar>
              <w:top w:w="15" w:type="dxa"/>
              <w:left w:w="15" w:type="dxa"/>
              <w:bottom w:w="0" w:type="dxa"/>
              <w:right w:w="15" w:type="dxa"/>
            </w:tcMar>
            <w:vAlign w:val="center"/>
          </w:tcPr>
          <w:p w14:paraId="37D388A8" w14:textId="78E7714A"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492E73AA" w14:textId="61F22C40"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6182A69" w14:textId="77777777"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381FB5F8" w14:textId="77777777" w:rsidR="00086ECC" w:rsidRPr="008D3568" w:rsidRDefault="00086ECC" w:rsidP="00372118">
            <w:pPr>
              <w:spacing w:after="0"/>
              <w:jc w:val="center"/>
              <w:rPr>
                <w:rFonts w:ascii="Times New Roman" w:hAnsi="Times New Roman" w:cs="Times New Roman"/>
                <w:sz w:val="16"/>
                <w:szCs w:val="16"/>
                <w:lang w:bidi="ar-SA"/>
              </w:rPr>
            </w:pPr>
          </w:p>
        </w:tc>
      </w:tr>
      <w:tr w:rsidR="00086ECC" w:rsidRPr="008D3568" w14:paraId="7E2AB1B1" w14:textId="77777777" w:rsidTr="00086ECC">
        <w:trPr>
          <w:trHeight w:val="282"/>
        </w:trPr>
        <w:tc>
          <w:tcPr>
            <w:tcW w:w="2497" w:type="dxa"/>
            <w:shd w:val="clear" w:color="auto" w:fill="auto"/>
            <w:tcMar>
              <w:top w:w="15" w:type="dxa"/>
              <w:left w:w="15" w:type="dxa"/>
              <w:bottom w:w="0" w:type="dxa"/>
              <w:right w:w="15" w:type="dxa"/>
            </w:tcMar>
            <w:vAlign w:val="center"/>
          </w:tcPr>
          <w:p w14:paraId="696E635F" w14:textId="680EFB19"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SUNBEAM</w:t>
            </w:r>
          </w:p>
        </w:tc>
        <w:tc>
          <w:tcPr>
            <w:tcW w:w="1790" w:type="dxa"/>
            <w:shd w:val="clear" w:color="auto" w:fill="auto"/>
            <w:tcMar>
              <w:top w:w="15" w:type="dxa"/>
              <w:left w:w="15" w:type="dxa"/>
              <w:bottom w:w="0" w:type="dxa"/>
              <w:right w:w="15" w:type="dxa"/>
            </w:tcMar>
            <w:vAlign w:val="center"/>
          </w:tcPr>
          <w:p w14:paraId="1E7C15E9" w14:textId="3301E18D"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196151C8" w14:textId="4CAFC6AA"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458B19BB" w14:textId="77777777"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466FDFE" w14:textId="77777777" w:rsidR="00086ECC" w:rsidRPr="008D3568" w:rsidRDefault="00086ECC" w:rsidP="00372118">
            <w:pPr>
              <w:spacing w:after="0"/>
              <w:jc w:val="center"/>
              <w:rPr>
                <w:rFonts w:ascii="Times New Roman" w:hAnsi="Times New Roman" w:cs="Times New Roman"/>
                <w:sz w:val="16"/>
                <w:szCs w:val="16"/>
                <w:lang w:bidi="ar-SA"/>
              </w:rPr>
            </w:pPr>
          </w:p>
        </w:tc>
      </w:tr>
      <w:tr w:rsidR="00086ECC" w:rsidRPr="008D3568" w14:paraId="5F688E3A" w14:textId="77777777" w:rsidTr="00086ECC">
        <w:trPr>
          <w:trHeight w:val="282"/>
        </w:trPr>
        <w:tc>
          <w:tcPr>
            <w:tcW w:w="2497" w:type="dxa"/>
            <w:shd w:val="clear" w:color="auto" w:fill="auto"/>
            <w:tcMar>
              <w:top w:w="15" w:type="dxa"/>
              <w:left w:w="15" w:type="dxa"/>
              <w:bottom w:w="0" w:type="dxa"/>
              <w:right w:w="15" w:type="dxa"/>
            </w:tcMar>
            <w:vAlign w:val="center"/>
          </w:tcPr>
          <w:p w14:paraId="46EFCAE3" w14:textId="275FF56D"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TEMSO</w:t>
            </w:r>
          </w:p>
        </w:tc>
        <w:tc>
          <w:tcPr>
            <w:tcW w:w="1790" w:type="dxa"/>
            <w:shd w:val="clear" w:color="auto" w:fill="auto"/>
            <w:tcMar>
              <w:top w:w="15" w:type="dxa"/>
              <w:left w:w="15" w:type="dxa"/>
              <w:bottom w:w="0" w:type="dxa"/>
              <w:right w:w="15" w:type="dxa"/>
            </w:tcMar>
            <w:vAlign w:val="center"/>
          </w:tcPr>
          <w:p w14:paraId="5FE548BB" w14:textId="6A36AD58"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7A241DF3" w14:textId="4EA501FA"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569DE252" w14:textId="77777777"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02004520" w14:textId="77777777" w:rsidR="00086ECC" w:rsidRPr="008D3568" w:rsidRDefault="00086ECC" w:rsidP="00372118">
            <w:pPr>
              <w:spacing w:after="0"/>
              <w:jc w:val="center"/>
              <w:rPr>
                <w:rFonts w:ascii="Times New Roman" w:hAnsi="Times New Roman" w:cs="Times New Roman"/>
                <w:sz w:val="16"/>
                <w:szCs w:val="16"/>
                <w:lang w:bidi="ar-SA"/>
              </w:rPr>
            </w:pPr>
          </w:p>
        </w:tc>
      </w:tr>
      <w:tr w:rsidR="00086ECC" w:rsidRPr="008D3568" w14:paraId="6FFE26C1" w14:textId="77777777" w:rsidTr="00086ECC">
        <w:trPr>
          <w:trHeight w:val="282"/>
        </w:trPr>
        <w:tc>
          <w:tcPr>
            <w:tcW w:w="2497" w:type="dxa"/>
            <w:shd w:val="clear" w:color="auto" w:fill="auto"/>
            <w:tcMar>
              <w:top w:w="15" w:type="dxa"/>
              <w:left w:w="15" w:type="dxa"/>
              <w:bottom w:w="0" w:type="dxa"/>
              <w:right w:w="15" w:type="dxa"/>
            </w:tcMar>
            <w:vAlign w:val="center"/>
          </w:tcPr>
          <w:p w14:paraId="2930CB72" w14:textId="51F94343"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TRANSFORMS</w:t>
            </w:r>
          </w:p>
        </w:tc>
        <w:tc>
          <w:tcPr>
            <w:tcW w:w="1790" w:type="dxa"/>
            <w:shd w:val="clear" w:color="auto" w:fill="auto"/>
            <w:tcMar>
              <w:top w:w="15" w:type="dxa"/>
              <w:left w:w="15" w:type="dxa"/>
              <w:bottom w:w="0" w:type="dxa"/>
              <w:right w:w="15" w:type="dxa"/>
            </w:tcMar>
            <w:vAlign w:val="center"/>
          </w:tcPr>
          <w:p w14:paraId="35CA65E0" w14:textId="2B49BB13" w:rsidR="00086ECC" w:rsidRPr="008D3568" w:rsidRDefault="00086ECC" w:rsidP="00372118">
            <w:pPr>
              <w:spacing w:after="0"/>
              <w:jc w:val="center"/>
              <w:rPr>
                <w:rFonts w:ascii="Times New Roman" w:hAnsi="Times New Roman" w:cs="Times New Roman"/>
                <w:sz w:val="16"/>
                <w:szCs w:val="16"/>
                <w:lang w:bidi="ar-SA"/>
              </w:rPr>
            </w:pPr>
            <w:r w:rsidRPr="008D3568">
              <w:rPr>
                <w:rFonts w:ascii="Times New Roman" w:hAnsi="Times New Roman" w:cs="Times New Roman"/>
                <w:sz w:val="16"/>
                <w:szCs w:val="16"/>
                <w:lang w:bidi="ar-SA"/>
              </w:rPr>
              <w:t>X</w:t>
            </w:r>
          </w:p>
        </w:tc>
        <w:tc>
          <w:tcPr>
            <w:tcW w:w="1790" w:type="dxa"/>
            <w:shd w:val="clear" w:color="auto" w:fill="auto"/>
            <w:tcMar>
              <w:top w:w="15" w:type="dxa"/>
              <w:left w:w="15" w:type="dxa"/>
              <w:bottom w:w="0" w:type="dxa"/>
              <w:right w:w="15" w:type="dxa"/>
            </w:tcMar>
            <w:vAlign w:val="center"/>
          </w:tcPr>
          <w:p w14:paraId="30B31E77" w14:textId="77777777"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62A477C5" w14:textId="77777777" w:rsidR="00086ECC" w:rsidRPr="008D3568" w:rsidRDefault="00086ECC" w:rsidP="00372118">
            <w:pPr>
              <w:spacing w:after="0"/>
              <w:jc w:val="center"/>
              <w:rPr>
                <w:rFonts w:ascii="Times New Roman" w:hAnsi="Times New Roman" w:cs="Times New Roman"/>
                <w:sz w:val="16"/>
                <w:szCs w:val="16"/>
                <w:lang w:bidi="ar-SA"/>
              </w:rPr>
            </w:pPr>
          </w:p>
        </w:tc>
        <w:tc>
          <w:tcPr>
            <w:tcW w:w="1790" w:type="dxa"/>
            <w:shd w:val="clear" w:color="auto" w:fill="auto"/>
            <w:tcMar>
              <w:top w:w="15" w:type="dxa"/>
              <w:left w:w="15" w:type="dxa"/>
              <w:bottom w:w="0" w:type="dxa"/>
              <w:right w:w="15" w:type="dxa"/>
            </w:tcMar>
            <w:vAlign w:val="center"/>
          </w:tcPr>
          <w:p w14:paraId="5A93B7C7" w14:textId="77777777" w:rsidR="00086ECC" w:rsidRPr="008D3568" w:rsidRDefault="00086ECC" w:rsidP="00372118">
            <w:pPr>
              <w:spacing w:after="0"/>
              <w:jc w:val="center"/>
              <w:rPr>
                <w:rFonts w:ascii="Times New Roman" w:hAnsi="Times New Roman" w:cs="Times New Roman"/>
                <w:sz w:val="16"/>
                <w:szCs w:val="16"/>
                <w:lang w:bidi="ar-SA"/>
              </w:rPr>
            </w:pPr>
          </w:p>
        </w:tc>
      </w:tr>
    </w:tbl>
    <w:p w14:paraId="6E5BBF6F" w14:textId="77777777" w:rsidR="008D3568" w:rsidRPr="008D3568" w:rsidRDefault="008D3568" w:rsidP="008D3568">
      <w:pPr>
        <w:rPr>
          <w:lang w:bidi="ar-SA"/>
        </w:rPr>
      </w:pPr>
    </w:p>
    <w:p w14:paraId="68B4C398" w14:textId="3DA6BD13" w:rsidR="008D3568" w:rsidRPr="008D3568" w:rsidRDefault="008D3568" w:rsidP="008D3568">
      <w:pPr>
        <w:tabs>
          <w:tab w:val="left" w:pos="1481"/>
        </w:tabs>
        <w:rPr>
          <w:rFonts w:ascii="Times New Roman" w:hAnsi="Times New Roman" w:cs="Times New Roman"/>
          <w:lang w:bidi="ar-SA"/>
        </w:rPr>
        <w:sectPr w:rsidR="008D3568" w:rsidRPr="008D3568" w:rsidSect="008D3568">
          <w:pgSz w:w="12240" w:h="15840"/>
          <w:pgMar w:top="1440" w:right="1440" w:bottom="1440" w:left="1440" w:header="720" w:footer="720" w:gutter="0"/>
          <w:cols w:space="720"/>
          <w:docGrid w:linePitch="360"/>
        </w:sectPr>
      </w:pPr>
    </w:p>
    <w:p w14:paraId="55CE2B4F" w14:textId="38F95DB6" w:rsidR="00B145B9" w:rsidRPr="00A14942" w:rsidRDefault="00EF6CB6" w:rsidP="00223A29">
      <w:pPr>
        <w:pStyle w:val="Heading1"/>
        <w:pageBreakBefore/>
        <w:ind w:left="965" w:hanging="965"/>
        <w:rPr>
          <w:rFonts w:ascii="Times New Roman" w:hAnsi="Times New Roman" w:cs="Times New Roman"/>
        </w:rPr>
      </w:pPr>
      <w:bookmarkStart w:id="30" w:name="_Toc130240195"/>
      <w:r w:rsidRPr="00A14942">
        <w:rPr>
          <w:rFonts w:ascii="Times New Roman" w:hAnsi="Times New Roman" w:cs="Times New Roman"/>
        </w:rPr>
        <w:lastRenderedPageBreak/>
        <w:t>Brain volume loss data incorporated in ITCs</w:t>
      </w:r>
      <w:bookmarkEnd w:id="30"/>
    </w:p>
    <w:tbl>
      <w:tblPr>
        <w:tblStyle w:val="TableGrid"/>
        <w:tblW w:w="0" w:type="auto"/>
        <w:tblInd w:w="0" w:type="dxa"/>
        <w:tblLook w:val="04A0" w:firstRow="1" w:lastRow="0" w:firstColumn="1" w:lastColumn="0" w:noHBand="0" w:noVBand="1"/>
      </w:tblPr>
      <w:tblGrid>
        <w:gridCol w:w="1532"/>
        <w:gridCol w:w="1503"/>
        <w:gridCol w:w="1272"/>
        <w:gridCol w:w="1708"/>
        <w:gridCol w:w="1147"/>
        <w:gridCol w:w="1104"/>
        <w:gridCol w:w="1084"/>
      </w:tblGrid>
      <w:tr w:rsidR="00013343" w:rsidRPr="008D3568" w14:paraId="621DE62D" w14:textId="1238ABB5" w:rsidTr="00772F4F">
        <w:tc>
          <w:tcPr>
            <w:tcW w:w="1532" w:type="dxa"/>
            <w:vAlign w:val="center"/>
          </w:tcPr>
          <w:p w14:paraId="09941B37" w14:textId="3DC4DD15" w:rsidR="00013343" w:rsidRPr="008D3568" w:rsidRDefault="00013343" w:rsidP="00A14942">
            <w:pPr>
              <w:rPr>
                <w:rFonts w:cs="Times New Roman"/>
                <w:b/>
                <w:bCs/>
                <w:sz w:val="16"/>
                <w:szCs w:val="16"/>
              </w:rPr>
            </w:pPr>
            <w:r w:rsidRPr="008D3568">
              <w:rPr>
                <w:rFonts w:cs="Times New Roman"/>
                <w:b/>
                <w:bCs/>
                <w:sz w:val="16"/>
                <w:szCs w:val="16"/>
              </w:rPr>
              <w:t>Trial name</w:t>
            </w:r>
          </w:p>
        </w:tc>
        <w:tc>
          <w:tcPr>
            <w:tcW w:w="1503" w:type="dxa"/>
            <w:vAlign w:val="center"/>
          </w:tcPr>
          <w:p w14:paraId="11E4B479" w14:textId="576892EE" w:rsidR="00013343" w:rsidRPr="008D3568" w:rsidRDefault="00013343" w:rsidP="00A14942">
            <w:pPr>
              <w:rPr>
                <w:rFonts w:cs="Times New Roman"/>
                <w:b/>
                <w:bCs/>
                <w:sz w:val="16"/>
                <w:szCs w:val="16"/>
              </w:rPr>
            </w:pPr>
            <w:r w:rsidRPr="008D3568">
              <w:rPr>
                <w:rFonts w:cs="Times New Roman"/>
                <w:b/>
                <w:bCs/>
                <w:sz w:val="16"/>
                <w:szCs w:val="16"/>
              </w:rPr>
              <w:t>Regimen</w:t>
            </w:r>
          </w:p>
        </w:tc>
        <w:tc>
          <w:tcPr>
            <w:tcW w:w="1272" w:type="dxa"/>
            <w:vAlign w:val="center"/>
          </w:tcPr>
          <w:p w14:paraId="0DEC2EDF" w14:textId="41B67681" w:rsidR="00013343" w:rsidRPr="008D3568" w:rsidRDefault="00013343" w:rsidP="00A14942">
            <w:pPr>
              <w:rPr>
                <w:rFonts w:cs="Times New Roman"/>
                <w:b/>
                <w:bCs/>
                <w:sz w:val="16"/>
                <w:szCs w:val="16"/>
              </w:rPr>
            </w:pPr>
            <w:r w:rsidRPr="008D3568">
              <w:rPr>
                <w:rFonts w:cs="Times New Roman"/>
                <w:b/>
                <w:bCs/>
                <w:sz w:val="16"/>
                <w:szCs w:val="16"/>
              </w:rPr>
              <w:t>Dose</w:t>
            </w:r>
            <w:r w:rsidR="00A14942" w:rsidRPr="008D3568">
              <w:rPr>
                <w:rFonts w:cs="Times New Roman"/>
                <w:b/>
                <w:bCs/>
                <w:sz w:val="16"/>
                <w:szCs w:val="16"/>
              </w:rPr>
              <w:t xml:space="preserve"> </w:t>
            </w:r>
          </w:p>
        </w:tc>
        <w:tc>
          <w:tcPr>
            <w:tcW w:w="1708" w:type="dxa"/>
            <w:vAlign w:val="center"/>
          </w:tcPr>
          <w:p w14:paraId="38CEDB3B" w14:textId="6902FC09" w:rsidR="00013343" w:rsidRPr="008D3568" w:rsidRDefault="00013343" w:rsidP="00A14942">
            <w:pPr>
              <w:rPr>
                <w:rFonts w:cs="Times New Roman"/>
                <w:b/>
                <w:bCs/>
                <w:sz w:val="16"/>
                <w:szCs w:val="16"/>
              </w:rPr>
            </w:pPr>
            <w:r w:rsidRPr="008D3568">
              <w:rPr>
                <w:rFonts w:cs="Times New Roman"/>
                <w:b/>
                <w:bCs/>
                <w:sz w:val="16"/>
                <w:szCs w:val="16"/>
              </w:rPr>
              <w:t>Timepoint (weeks)</w:t>
            </w:r>
          </w:p>
        </w:tc>
        <w:tc>
          <w:tcPr>
            <w:tcW w:w="1147" w:type="dxa"/>
            <w:vAlign w:val="center"/>
          </w:tcPr>
          <w:p w14:paraId="72BD4571" w14:textId="22CF444D" w:rsidR="00013343" w:rsidRPr="008D3568" w:rsidRDefault="00013343" w:rsidP="00A14942">
            <w:pPr>
              <w:rPr>
                <w:rFonts w:cs="Times New Roman"/>
                <w:b/>
                <w:bCs/>
                <w:sz w:val="16"/>
                <w:szCs w:val="16"/>
              </w:rPr>
            </w:pPr>
            <w:r w:rsidRPr="008D3568">
              <w:rPr>
                <w:rFonts w:cs="Times New Roman"/>
                <w:b/>
                <w:bCs/>
                <w:sz w:val="16"/>
                <w:szCs w:val="16"/>
              </w:rPr>
              <w:t>Change in BVL from baseline (%)</w:t>
            </w:r>
          </w:p>
        </w:tc>
        <w:tc>
          <w:tcPr>
            <w:tcW w:w="1104" w:type="dxa"/>
            <w:vAlign w:val="center"/>
          </w:tcPr>
          <w:p w14:paraId="3AC7B15C" w14:textId="228E7314" w:rsidR="00013343" w:rsidRPr="008D3568" w:rsidRDefault="00013343" w:rsidP="00A14942">
            <w:pPr>
              <w:rPr>
                <w:rFonts w:cs="Times New Roman"/>
                <w:b/>
                <w:bCs/>
                <w:sz w:val="16"/>
                <w:szCs w:val="16"/>
              </w:rPr>
            </w:pPr>
            <w:r w:rsidRPr="008D3568">
              <w:rPr>
                <w:rFonts w:cs="Times New Roman"/>
                <w:b/>
                <w:bCs/>
                <w:sz w:val="16"/>
                <w:szCs w:val="16"/>
              </w:rPr>
              <w:t>SD</w:t>
            </w:r>
          </w:p>
        </w:tc>
        <w:tc>
          <w:tcPr>
            <w:tcW w:w="1084" w:type="dxa"/>
            <w:vAlign w:val="center"/>
          </w:tcPr>
          <w:p w14:paraId="232009C2" w14:textId="4DE19AEF" w:rsidR="00013343" w:rsidRPr="008D3568" w:rsidRDefault="00013343" w:rsidP="00A14942">
            <w:pPr>
              <w:rPr>
                <w:rFonts w:cs="Times New Roman"/>
                <w:b/>
                <w:bCs/>
                <w:sz w:val="16"/>
                <w:szCs w:val="16"/>
              </w:rPr>
            </w:pPr>
            <w:r w:rsidRPr="008D3568">
              <w:rPr>
                <w:rFonts w:cs="Times New Roman"/>
                <w:b/>
                <w:bCs/>
                <w:sz w:val="16"/>
                <w:szCs w:val="16"/>
              </w:rPr>
              <w:t>N</w:t>
            </w:r>
          </w:p>
        </w:tc>
      </w:tr>
      <w:tr w:rsidR="00EC15B6" w:rsidRPr="008D3568" w14:paraId="664CBDBB" w14:textId="77777777" w:rsidTr="00772F4F">
        <w:tc>
          <w:tcPr>
            <w:tcW w:w="1532" w:type="dxa"/>
            <w:vMerge w:val="restart"/>
            <w:vAlign w:val="center"/>
          </w:tcPr>
          <w:p w14:paraId="4DA44112" w14:textId="0E95850B" w:rsidR="00EC15B6" w:rsidRPr="008D3568" w:rsidRDefault="00EC15B6" w:rsidP="00EC15B6">
            <w:pPr>
              <w:rPr>
                <w:rFonts w:cs="Times New Roman"/>
                <w:sz w:val="16"/>
                <w:szCs w:val="16"/>
              </w:rPr>
            </w:pPr>
            <w:r>
              <w:rPr>
                <w:rFonts w:cs="Times New Roman"/>
                <w:sz w:val="16"/>
                <w:szCs w:val="16"/>
              </w:rPr>
              <w:t>ADVANCE</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1612EA0" w14:textId="6B8E24EE" w:rsidR="00EC15B6" w:rsidRPr="008D3568" w:rsidRDefault="00EC15B6" w:rsidP="00EC15B6">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84676DB" w14:textId="70953BAA" w:rsidR="00EC15B6" w:rsidRPr="008D3568" w:rsidRDefault="00EC15B6" w:rsidP="00EC15B6">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24A9B61" w14:textId="40330CB6" w:rsidR="00EC15B6" w:rsidRPr="008D3568" w:rsidRDefault="00EC15B6" w:rsidP="00EC15B6">
            <w:pPr>
              <w:rPr>
                <w:rFonts w:cs="Times New Roman"/>
                <w:sz w:val="16"/>
                <w:szCs w:val="16"/>
              </w:rPr>
            </w:pPr>
            <w:r>
              <w:rPr>
                <w:color w:val="000000"/>
                <w:sz w:val="16"/>
                <w:szCs w:val="16"/>
              </w:rPr>
              <w:t>48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4337C0C3" w14:textId="76D3F441" w:rsidR="00EC15B6" w:rsidRPr="008D3568" w:rsidRDefault="00EC15B6" w:rsidP="00EC15B6">
            <w:pPr>
              <w:rPr>
                <w:rFonts w:cs="Times New Roman"/>
                <w:sz w:val="16"/>
                <w:szCs w:val="16"/>
              </w:rPr>
            </w:pPr>
            <w:r>
              <w:rPr>
                <w:color w:val="000000"/>
                <w:sz w:val="16"/>
                <w:szCs w:val="16"/>
              </w:rPr>
              <w:t>-0.62</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CEAE197" w14:textId="247BDE1D" w:rsidR="00EC15B6" w:rsidRPr="008D3568" w:rsidRDefault="00EC15B6" w:rsidP="00EC15B6">
            <w:pPr>
              <w:rPr>
                <w:rFonts w:cs="Times New Roman"/>
                <w:sz w:val="16"/>
                <w:szCs w:val="16"/>
              </w:rPr>
            </w:pPr>
            <w:r>
              <w:rPr>
                <w:color w:val="000000"/>
                <w:sz w:val="16"/>
                <w:szCs w:val="16"/>
              </w:rPr>
              <w:t>0.90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69DD3525" w14:textId="374F93A9" w:rsidR="00EC15B6" w:rsidRPr="008D3568" w:rsidRDefault="00EC15B6" w:rsidP="00EC15B6">
            <w:pPr>
              <w:rPr>
                <w:rFonts w:cs="Times New Roman"/>
                <w:sz w:val="16"/>
                <w:szCs w:val="16"/>
              </w:rPr>
            </w:pPr>
            <w:r>
              <w:rPr>
                <w:color w:val="000000"/>
                <w:sz w:val="16"/>
                <w:szCs w:val="16"/>
              </w:rPr>
              <w:t>476</w:t>
            </w:r>
          </w:p>
        </w:tc>
      </w:tr>
      <w:tr w:rsidR="00EC15B6" w:rsidRPr="008D3568" w14:paraId="6622D56E" w14:textId="77777777" w:rsidTr="00772F4F">
        <w:tc>
          <w:tcPr>
            <w:tcW w:w="1532" w:type="dxa"/>
            <w:vMerge/>
            <w:vAlign w:val="center"/>
          </w:tcPr>
          <w:p w14:paraId="06FC1615" w14:textId="77777777" w:rsidR="00EC15B6" w:rsidRPr="008D3568" w:rsidRDefault="00EC15B6" w:rsidP="00EC15B6">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0FE7C56D" w14:textId="7C0B3A52" w:rsidR="00EC15B6" w:rsidRPr="008D3568" w:rsidRDefault="00EC15B6" w:rsidP="00EC15B6">
            <w:pPr>
              <w:rPr>
                <w:rFonts w:cs="Times New Roman"/>
                <w:sz w:val="16"/>
                <w:szCs w:val="16"/>
              </w:rPr>
            </w:pPr>
            <w:r>
              <w:rPr>
                <w:color w:val="000000"/>
                <w:sz w:val="16"/>
                <w:szCs w:val="16"/>
              </w:rPr>
              <w:t>peginterferon</w:t>
            </w:r>
          </w:p>
        </w:tc>
        <w:tc>
          <w:tcPr>
            <w:tcW w:w="1272" w:type="dxa"/>
            <w:tcBorders>
              <w:top w:val="nil"/>
              <w:left w:val="nil"/>
              <w:bottom w:val="single" w:sz="4" w:space="0" w:color="auto"/>
              <w:right w:val="single" w:sz="4" w:space="0" w:color="auto"/>
            </w:tcBorders>
            <w:shd w:val="clear" w:color="auto" w:fill="auto"/>
            <w:vAlign w:val="center"/>
          </w:tcPr>
          <w:p w14:paraId="498D9700" w14:textId="062CFCEC" w:rsidR="00EC15B6" w:rsidRPr="008D3568" w:rsidRDefault="00AD1355" w:rsidP="00EC15B6">
            <w:pPr>
              <w:rPr>
                <w:rFonts w:cs="Times New Roman"/>
                <w:sz w:val="16"/>
                <w:szCs w:val="16"/>
              </w:rPr>
            </w:pPr>
            <w:r w:rsidRPr="00AD1355">
              <w:rPr>
                <w:color w:val="000000"/>
                <w:sz w:val="16"/>
                <w:szCs w:val="16"/>
              </w:rPr>
              <w:t xml:space="preserve">125 </w:t>
            </w:r>
            <w:r w:rsidRPr="008736FB">
              <w:rPr>
                <w:color w:val="000000"/>
                <w:sz w:val="16"/>
                <w:szCs w:val="16"/>
              </w:rPr>
              <w:t>µ</w:t>
            </w:r>
            <w:r w:rsidRPr="00AD1355">
              <w:rPr>
                <w:color w:val="000000"/>
                <w:sz w:val="16"/>
                <w:szCs w:val="16"/>
              </w:rPr>
              <w:t>g 4W</w:t>
            </w:r>
          </w:p>
        </w:tc>
        <w:tc>
          <w:tcPr>
            <w:tcW w:w="1708" w:type="dxa"/>
            <w:tcBorders>
              <w:top w:val="nil"/>
              <w:left w:val="nil"/>
              <w:bottom w:val="single" w:sz="4" w:space="0" w:color="auto"/>
              <w:right w:val="single" w:sz="4" w:space="0" w:color="auto"/>
            </w:tcBorders>
            <w:shd w:val="clear" w:color="auto" w:fill="auto"/>
            <w:vAlign w:val="center"/>
          </w:tcPr>
          <w:p w14:paraId="57E6C1E0" w14:textId="2074CCD6" w:rsidR="00EC15B6" w:rsidRPr="008D3568" w:rsidRDefault="00EC15B6" w:rsidP="00EC15B6">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4AA89746" w14:textId="0D5F2B0F" w:rsidR="00EC15B6" w:rsidRPr="008D3568" w:rsidRDefault="00EC15B6" w:rsidP="00EC15B6">
            <w:pPr>
              <w:rPr>
                <w:rFonts w:cs="Times New Roman"/>
                <w:sz w:val="16"/>
                <w:szCs w:val="16"/>
              </w:rPr>
            </w:pPr>
            <w:r>
              <w:rPr>
                <w:color w:val="000000"/>
                <w:sz w:val="16"/>
                <w:szCs w:val="16"/>
              </w:rPr>
              <w:t>-0.67</w:t>
            </w:r>
          </w:p>
        </w:tc>
        <w:tc>
          <w:tcPr>
            <w:tcW w:w="1104" w:type="dxa"/>
            <w:tcBorders>
              <w:top w:val="nil"/>
              <w:left w:val="nil"/>
              <w:bottom w:val="single" w:sz="4" w:space="0" w:color="auto"/>
              <w:right w:val="single" w:sz="4" w:space="0" w:color="auto"/>
            </w:tcBorders>
            <w:shd w:val="clear" w:color="auto" w:fill="auto"/>
            <w:vAlign w:val="center"/>
          </w:tcPr>
          <w:p w14:paraId="40C03DA8" w14:textId="7DD43058" w:rsidR="00EC15B6" w:rsidRPr="008D3568" w:rsidRDefault="00EC15B6" w:rsidP="00EC15B6">
            <w:pPr>
              <w:rPr>
                <w:rFonts w:cs="Times New Roman"/>
                <w:sz w:val="16"/>
                <w:szCs w:val="16"/>
              </w:rPr>
            </w:pPr>
            <w:r>
              <w:rPr>
                <w:color w:val="000000"/>
                <w:sz w:val="16"/>
                <w:szCs w:val="16"/>
              </w:rPr>
              <w:t>0.92</w:t>
            </w:r>
          </w:p>
        </w:tc>
        <w:tc>
          <w:tcPr>
            <w:tcW w:w="1084" w:type="dxa"/>
            <w:tcBorders>
              <w:top w:val="nil"/>
              <w:left w:val="nil"/>
              <w:bottom w:val="single" w:sz="4" w:space="0" w:color="auto"/>
              <w:right w:val="single" w:sz="4" w:space="0" w:color="auto"/>
            </w:tcBorders>
            <w:shd w:val="clear" w:color="auto" w:fill="auto"/>
            <w:vAlign w:val="center"/>
          </w:tcPr>
          <w:p w14:paraId="2A0A3F15" w14:textId="1B4A57F1" w:rsidR="00EC15B6" w:rsidRPr="008D3568" w:rsidRDefault="00EC15B6" w:rsidP="00EC15B6">
            <w:pPr>
              <w:rPr>
                <w:rFonts w:cs="Times New Roman"/>
                <w:sz w:val="16"/>
                <w:szCs w:val="16"/>
              </w:rPr>
            </w:pPr>
            <w:r>
              <w:rPr>
                <w:color w:val="000000"/>
                <w:sz w:val="16"/>
                <w:szCs w:val="16"/>
              </w:rPr>
              <w:t>438</w:t>
            </w:r>
          </w:p>
        </w:tc>
      </w:tr>
      <w:tr w:rsidR="00EC15B6" w:rsidRPr="008D3568" w14:paraId="1B7315C1" w14:textId="77777777" w:rsidTr="00772F4F">
        <w:tc>
          <w:tcPr>
            <w:tcW w:w="1532" w:type="dxa"/>
            <w:vMerge/>
            <w:vAlign w:val="center"/>
          </w:tcPr>
          <w:p w14:paraId="4B462B56"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5DF96B5D" w14:textId="74F8A83C" w:rsidR="00EC15B6" w:rsidRPr="008D3568" w:rsidRDefault="00EC15B6" w:rsidP="00EC15B6">
            <w:pPr>
              <w:rPr>
                <w:rFonts w:cs="Times New Roman"/>
                <w:sz w:val="16"/>
                <w:szCs w:val="16"/>
              </w:rPr>
            </w:pPr>
            <w:r>
              <w:rPr>
                <w:color w:val="000000"/>
                <w:sz w:val="16"/>
                <w:szCs w:val="16"/>
              </w:rPr>
              <w:t>peginterferon</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498C8EB" w14:textId="205D9639" w:rsidR="00EC15B6" w:rsidRPr="008D3568" w:rsidRDefault="00DC09AE" w:rsidP="00EC15B6">
            <w:pPr>
              <w:rPr>
                <w:rFonts w:cs="Times New Roman"/>
                <w:sz w:val="16"/>
                <w:szCs w:val="16"/>
              </w:rPr>
            </w:pPr>
            <w:r w:rsidRPr="00DC09AE">
              <w:rPr>
                <w:color w:val="000000"/>
                <w:sz w:val="16"/>
                <w:szCs w:val="16"/>
              </w:rPr>
              <w:t xml:space="preserve">125 </w:t>
            </w:r>
            <w:r w:rsidRPr="00290BE0">
              <w:rPr>
                <w:color w:val="000000"/>
                <w:sz w:val="16"/>
                <w:szCs w:val="16"/>
              </w:rPr>
              <w:t>µ</w:t>
            </w:r>
            <w:r w:rsidRPr="00DC09AE">
              <w:rPr>
                <w:color w:val="000000"/>
                <w:sz w:val="16"/>
                <w:szCs w:val="16"/>
              </w:rPr>
              <w:t>g 2W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460BC0F" w14:textId="5049868F" w:rsidR="00EC15B6" w:rsidRPr="008D3568" w:rsidRDefault="00EC15B6" w:rsidP="00EC15B6">
            <w:pPr>
              <w:rPr>
                <w:rFonts w:cs="Times New Roman"/>
                <w:sz w:val="16"/>
                <w:szCs w:val="16"/>
              </w:rPr>
            </w:pPr>
            <w:r>
              <w:rPr>
                <w:color w:val="000000"/>
                <w:sz w:val="16"/>
                <w:szCs w:val="16"/>
              </w:rPr>
              <w:t>48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E1B595F" w14:textId="58557D9D" w:rsidR="00EC15B6" w:rsidRPr="008D3568" w:rsidRDefault="00EC15B6" w:rsidP="00EC15B6">
            <w:pPr>
              <w:rPr>
                <w:rFonts w:cs="Times New Roman"/>
                <w:sz w:val="16"/>
                <w:szCs w:val="16"/>
              </w:rPr>
            </w:pPr>
            <w:r>
              <w:rPr>
                <w:color w:val="000000"/>
                <w:sz w:val="16"/>
                <w:szCs w:val="16"/>
              </w:rPr>
              <w:t>-0.72</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A408E1D" w14:textId="1C8B5FD4" w:rsidR="00EC15B6" w:rsidRPr="008D3568" w:rsidRDefault="00EC15B6" w:rsidP="00EC15B6">
            <w:pPr>
              <w:rPr>
                <w:rFonts w:cs="Times New Roman"/>
                <w:sz w:val="16"/>
                <w:szCs w:val="16"/>
              </w:rPr>
            </w:pPr>
            <w:r>
              <w:rPr>
                <w:color w:val="000000"/>
                <w:sz w:val="16"/>
                <w:szCs w:val="16"/>
              </w:rPr>
              <w:t>0.75</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1998F170" w14:textId="46FD9C09" w:rsidR="00EC15B6" w:rsidRPr="008D3568" w:rsidRDefault="00EC15B6" w:rsidP="00EC15B6">
            <w:pPr>
              <w:rPr>
                <w:rFonts w:cs="Times New Roman"/>
                <w:sz w:val="16"/>
                <w:szCs w:val="16"/>
              </w:rPr>
            </w:pPr>
            <w:r>
              <w:rPr>
                <w:color w:val="000000"/>
                <w:sz w:val="16"/>
                <w:szCs w:val="16"/>
              </w:rPr>
              <w:t>457</w:t>
            </w:r>
          </w:p>
        </w:tc>
      </w:tr>
      <w:tr w:rsidR="00EC15B6" w:rsidRPr="008D3568" w14:paraId="1A09B2BB" w14:textId="77777777" w:rsidTr="00772F4F">
        <w:tc>
          <w:tcPr>
            <w:tcW w:w="1532" w:type="dxa"/>
            <w:vMerge/>
            <w:vAlign w:val="center"/>
          </w:tcPr>
          <w:p w14:paraId="241F094C" w14:textId="77777777" w:rsidR="00EC15B6" w:rsidRPr="008D3568" w:rsidRDefault="00EC15B6" w:rsidP="00EC15B6">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5B46CCB" w14:textId="6892A148" w:rsidR="00EC15B6" w:rsidRPr="008D3568" w:rsidRDefault="00EC15B6" w:rsidP="00EC15B6">
            <w:pPr>
              <w:rPr>
                <w:rFonts w:cs="Times New Roman"/>
                <w:sz w:val="16"/>
                <w:szCs w:val="16"/>
              </w:rPr>
            </w:pPr>
            <w:r>
              <w:rPr>
                <w:color w:val="000000"/>
                <w:sz w:val="16"/>
                <w:szCs w:val="16"/>
              </w:rPr>
              <w:t>peginterferon</w:t>
            </w:r>
          </w:p>
        </w:tc>
        <w:tc>
          <w:tcPr>
            <w:tcW w:w="1272" w:type="dxa"/>
            <w:tcBorders>
              <w:top w:val="nil"/>
              <w:left w:val="nil"/>
              <w:bottom w:val="single" w:sz="4" w:space="0" w:color="auto"/>
              <w:right w:val="single" w:sz="4" w:space="0" w:color="auto"/>
            </w:tcBorders>
            <w:shd w:val="clear" w:color="auto" w:fill="auto"/>
            <w:vAlign w:val="center"/>
          </w:tcPr>
          <w:p w14:paraId="05BE8CD4" w14:textId="7D48967F" w:rsidR="00EC15B6" w:rsidRPr="008D3568" w:rsidRDefault="0098419A" w:rsidP="00EC15B6">
            <w:pPr>
              <w:rPr>
                <w:rFonts w:cs="Times New Roman"/>
                <w:sz w:val="16"/>
                <w:szCs w:val="16"/>
              </w:rPr>
            </w:pPr>
            <w:r w:rsidRPr="0098419A">
              <w:rPr>
                <w:color w:val="000000"/>
                <w:sz w:val="16"/>
                <w:szCs w:val="16"/>
              </w:rPr>
              <w:t>125 µg 4W</w:t>
            </w:r>
          </w:p>
        </w:tc>
        <w:tc>
          <w:tcPr>
            <w:tcW w:w="1708" w:type="dxa"/>
            <w:tcBorders>
              <w:top w:val="nil"/>
              <w:left w:val="nil"/>
              <w:bottom w:val="single" w:sz="4" w:space="0" w:color="auto"/>
              <w:right w:val="single" w:sz="4" w:space="0" w:color="auto"/>
            </w:tcBorders>
            <w:shd w:val="clear" w:color="auto" w:fill="auto"/>
            <w:vAlign w:val="center"/>
          </w:tcPr>
          <w:p w14:paraId="7A2D55C3" w14:textId="62C34F0D" w:rsidR="00EC15B6" w:rsidRPr="008D3568" w:rsidRDefault="00EC15B6" w:rsidP="00EC15B6">
            <w:pPr>
              <w:rPr>
                <w:rFonts w:cs="Times New Roman"/>
                <w:sz w:val="16"/>
                <w:szCs w:val="16"/>
              </w:rPr>
            </w:pPr>
            <w:r>
              <w:rPr>
                <w:color w:val="000000"/>
                <w:sz w:val="16"/>
                <w:szCs w:val="16"/>
              </w:rPr>
              <w:t>96</w:t>
            </w:r>
          </w:p>
        </w:tc>
        <w:tc>
          <w:tcPr>
            <w:tcW w:w="1147" w:type="dxa"/>
            <w:tcBorders>
              <w:top w:val="nil"/>
              <w:left w:val="nil"/>
              <w:bottom w:val="single" w:sz="4" w:space="0" w:color="auto"/>
              <w:right w:val="single" w:sz="4" w:space="0" w:color="auto"/>
            </w:tcBorders>
            <w:shd w:val="clear" w:color="auto" w:fill="auto"/>
            <w:vAlign w:val="center"/>
          </w:tcPr>
          <w:p w14:paraId="3840153F" w14:textId="532DFE2D" w:rsidR="00EC15B6" w:rsidRPr="008D3568" w:rsidRDefault="00EC15B6" w:rsidP="00EC15B6">
            <w:pPr>
              <w:rPr>
                <w:rFonts w:cs="Times New Roman"/>
                <w:sz w:val="16"/>
                <w:szCs w:val="16"/>
              </w:rPr>
            </w:pPr>
            <w:r>
              <w:rPr>
                <w:color w:val="000000"/>
                <w:sz w:val="16"/>
                <w:szCs w:val="16"/>
              </w:rPr>
              <w:t>-1.23</w:t>
            </w:r>
          </w:p>
        </w:tc>
        <w:tc>
          <w:tcPr>
            <w:tcW w:w="1104" w:type="dxa"/>
            <w:tcBorders>
              <w:top w:val="nil"/>
              <w:left w:val="nil"/>
              <w:bottom w:val="single" w:sz="4" w:space="0" w:color="auto"/>
              <w:right w:val="single" w:sz="4" w:space="0" w:color="auto"/>
            </w:tcBorders>
            <w:shd w:val="clear" w:color="auto" w:fill="auto"/>
            <w:vAlign w:val="center"/>
          </w:tcPr>
          <w:p w14:paraId="0D7BF206" w14:textId="21E2CC67" w:rsidR="00EC15B6" w:rsidRPr="008D3568" w:rsidRDefault="00EC15B6" w:rsidP="00EC15B6">
            <w:pPr>
              <w:rPr>
                <w:rFonts w:cs="Times New Roman"/>
                <w:sz w:val="16"/>
                <w:szCs w:val="16"/>
              </w:rPr>
            </w:pPr>
            <w:r>
              <w:rPr>
                <w:color w:val="000000"/>
                <w:sz w:val="16"/>
                <w:szCs w:val="16"/>
              </w:rPr>
              <w:t>1.33</w:t>
            </w:r>
          </w:p>
        </w:tc>
        <w:tc>
          <w:tcPr>
            <w:tcW w:w="1084" w:type="dxa"/>
            <w:tcBorders>
              <w:top w:val="nil"/>
              <w:left w:val="nil"/>
              <w:bottom w:val="single" w:sz="4" w:space="0" w:color="auto"/>
              <w:right w:val="single" w:sz="4" w:space="0" w:color="auto"/>
            </w:tcBorders>
            <w:shd w:val="clear" w:color="auto" w:fill="auto"/>
            <w:vAlign w:val="center"/>
          </w:tcPr>
          <w:p w14:paraId="67008560" w14:textId="61F09F8D" w:rsidR="00EC15B6" w:rsidRPr="008D3568" w:rsidRDefault="00EC15B6" w:rsidP="00EC15B6">
            <w:pPr>
              <w:rPr>
                <w:rFonts w:cs="Times New Roman"/>
                <w:sz w:val="16"/>
                <w:szCs w:val="16"/>
              </w:rPr>
            </w:pPr>
            <w:r>
              <w:rPr>
                <w:color w:val="000000"/>
                <w:sz w:val="16"/>
                <w:szCs w:val="16"/>
              </w:rPr>
              <w:t>366</w:t>
            </w:r>
          </w:p>
        </w:tc>
      </w:tr>
      <w:tr w:rsidR="00EC15B6" w:rsidRPr="008D3568" w14:paraId="4C11244B" w14:textId="77777777" w:rsidTr="00EA23EE">
        <w:tc>
          <w:tcPr>
            <w:tcW w:w="1532" w:type="dxa"/>
            <w:vMerge w:val="restart"/>
            <w:tcBorders>
              <w:top w:val="single" w:sz="4" w:space="0" w:color="auto"/>
              <w:left w:val="single" w:sz="4" w:space="0" w:color="auto"/>
              <w:right w:val="single" w:sz="4" w:space="0" w:color="auto"/>
            </w:tcBorders>
            <w:shd w:val="clear" w:color="auto" w:fill="auto"/>
            <w:vAlign w:val="center"/>
          </w:tcPr>
          <w:p w14:paraId="62149E22" w14:textId="604120E4" w:rsidR="00EC15B6" w:rsidRPr="008D3568" w:rsidRDefault="00EC15B6" w:rsidP="00EC15B6">
            <w:pPr>
              <w:rPr>
                <w:rFonts w:cs="Times New Roman"/>
                <w:sz w:val="16"/>
                <w:szCs w:val="16"/>
              </w:rPr>
            </w:pPr>
            <w:r>
              <w:rPr>
                <w:color w:val="000000"/>
                <w:sz w:val="16"/>
                <w:szCs w:val="16"/>
              </w:rPr>
              <w:t>AFFIRM</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14:paraId="4C036F1E" w14:textId="2F6EECAC" w:rsidR="00EC15B6" w:rsidRPr="008D3568" w:rsidRDefault="00EC15B6" w:rsidP="00EC15B6">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auto" w:fill="auto"/>
            <w:vAlign w:val="center"/>
          </w:tcPr>
          <w:p w14:paraId="3ACAB9E6" w14:textId="6A572C45" w:rsidR="00EC15B6" w:rsidRPr="008D3568" w:rsidRDefault="00EC15B6" w:rsidP="00EC15B6">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auto" w:fill="auto"/>
            <w:vAlign w:val="center"/>
          </w:tcPr>
          <w:p w14:paraId="0E4A8AE5" w14:textId="15AEA3A8" w:rsidR="00EC15B6" w:rsidRPr="008D3568" w:rsidRDefault="00EC15B6" w:rsidP="00EC15B6">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5CBF1A9A" w14:textId="2BA584B9" w:rsidR="00EC15B6" w:rsidRPr="008D3568" w:rsidRDefault="00EC15B6" w:rsidP="00EC15B6">
            <w:pPr>
              <w:rPr>
                <w:rFonts w:cs="Times New Roman"/>
                <w:sz w:val="16"/>
                <w:szCs w:val="16"/>
              </w:rPr>
            </w:pPr>
            <w:r>
              <w:rPr>
                <w:color w:val="000000"/>
                <w:sz w:val="16"/>
                <w:szCs w:val="16"/>
              </w:rPr>
              <w:t>-0.40</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2A6C749E" w14:textId="46A0B87E" w:rsidR="00EC15B6" w:rsidRPr="007111D2" w:rsidRDefault="007111D2" w:rsidP="00EC15B6">
            <w:pPr>
              <w:rPr>
                <w:rFonts w:cs="Times New Roman"/>
                <w:sz w:val="16"/>
                <w:szCs w:val="16"/>
              </w:rPr>
            </w:pPr>
            <w:r w:rsidRPr="007111D2">
              <w:rPr>
                <w:color w:val="000000"/>
                <w:sz w:val="16"/>
                <w:szCs w:val="16"/>
              </w:rPr>
              <w:t>Imputed; 0.83</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1DC28FBE" w14:textId="08CD46FD" w:rsidR="00EC15B6" w:rsidRPr="008D3568" w:rsidRDefault="00EC15B6" w:rsidP="00EC15B6">
            <w:pPr>
              <w:rPr>
                <w:rFonts w:cs="Times New Roman"/>
                <w:sz w:val="16"/>
                <w:szCs w:val="16"/>
              </w:rPr>
            </w:pPr>
            <w:r>
              <w:rPr>
                <w:color w:val="000000"/>
                <w:sz w:val="16"/>
                <w:szCs w:val="16"/>
              </w:rPr>
              <w:t>315</w:t>
            </w:r>
          </w:p>
        </w:tc>
      </w:tr>
      <w:tr w:rsidR="00EC15B6" w:rsidRPr="008D3568" w14:paraId="6B265921" w14:textId="77777777" w:rsidTr="00772F4F">
        <w:tc>
          <w:tcPr>
            <w:tcW w:w="1532" w:type="dxa"/>
            <w:vMerge/>
            <w:tcBorders>
              <w:left w:val="single" w:sz="4" w:space="0" w:color="auto"/>
              <w:right w:val="single" w:sz="4" w:space="0" w:color="auto"/>
            </w:tcBorders>
            <w:vAlign w:val="center"/>
          </w:tcPr>
          <w:p w14:paraId="6DB79117" w14:textId="77777777" w:rsidR="00EC15B6" w:rsidRPr="008D3568" w:rsidRDefault="00EC15B6" w:rsidP="00EC15B6">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364604E2" w14:textId="2D9E5E0C" w:rsidR="00EC15B6" w:rsidRPr="008D3568" w:rsidRDefault="00EC15B6" w:rsidP="00EC15B6">
            <w:pPr>
              <w:rPr>
                <w:rFonts w:cs="Times New Roman"/>
                <w:sz w:val="16"/>
                <w:szCs w:val="16"/>
              </w:rPr>
            </w:pPr>
            <w:r>
              <w:rPr>
                <w:color w:val="000000"/>
                <w:sz w:val="16"/>
                <w:szCs w:val="16"/>
              </w:rPr>
              <w:t>natalizumab</w:t>
            </w:r>
          </w:p>
        </w:tc>
        <w:tc>
          <w:tcPr>
            <w:tcW w:w="1272" w:type="dxa"/>
            <w:tcBorders>
              <w:top w:val="nil"/>
              <w:left w:val="nil"/>
              <w:bottom w:val="single" w:sz="4" w:space="0" w:color="auto"/>
              <w:right w:val="single" w:sz="4" w:space="0" w:color="auto"/>
            </w:tcBorders>
            <w:shd w:val="clear" w:color="auto" w:fill="auto"/>
            <w:vAlign w:val="center"/>
          </w:tcPr>
          <w:p w14:paraId="373630BD" w14:textId="29F263EC" w:rsidR="00EC15B6" w:rsidRPr="008D3568" w:rsidRDefault="00EC15B6" w:rsidP="00EC15B6">
            <w:pPr>
              <w:rPr>
                <w:rFonts w:cs="Times New Roman"/>
                <w:sz w:val="16"/>
                <w:szCs w:val="16"/>
              </w:rPr>
            </w:pPr>
            <w:r>
              <w:rPr>
                <w:color w:val="000000"/>
                <w:sz w:val="16"/>
                <w:szCs w:val="16"/>
              </w:rPr>
              <w:t>300</w:t>
            </w:r>
            <w:r w:rsidR="008F6A7A">
              <w:rPr>
                <w:color w:val="000000"/>
                <w:sz w:val="16"/>
                <w:szCs w:val="16"/>
              </w:rPr>
              <w:t xml:space="preserve"> mg</w:t>
            </w:r>
            <w:r w:rsidR="00784D84">
              <w:rPr>
                <w:color w:val="000000"/>
                <w:sz w:val="16"/>
                <w:szCs w:val="16"/>
              </w:rPr>
              <w:t xml:space="preserve"> </w:t>
            </w:r>
            <w:r w:rsidR="00EA23EE">
              <w:rPr>
                <w:color w:val="000000"/>
                <w:sz w:val="16"/>
                <w:szCs w:val="16"/>
              </w:rPr>
              <w:t>4W</w:t>
            </w:r>
          </w:p>
        </w:tc>
        <w:tc>
          <w:tcPr>
            <w:tcW w:w="1708" w:type="dxa"/>
            <w:tcBorders>
              <w:top w:val="nil"/>
              <w:left w:val="nil"/>
              <w:bottom w:val="single" w:sz="4" w:space="0" w:color="auto"/>
              <w:right w:val="single" w:sz="4" w:space="0" w:color="auto"/>
            </w:tcBorders>
            <w:shd w:val="clear" w:color="auto" w:fill="auto"/>
            <w:vAlign w:val="center"/>
          </w:tcPr>
          <w:p w14:paraId="34F885F2" w14:textId="25B4E5BE" w:rsidR="00EC15B6" w:rsidRPr="008D3568" w:rsidRDefault="00EC15B6" w:rsidP="00EC15B6">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3D377319" w14:textId="1CC93A3B" w:rsidR="00EC15B6" w:rsidRPr="008D3568" w:rsidRDefault="00EC15B6" w:rsidP="00EC15B6">
            <w:pPr>
              <w:rPr>
                <w:rFonts w:cs="Times New Roman"/>
                <w:sz w:val="16"/>
                <w:szCs w:val="16"/>
              </w:rPr>
            </w:pPr>
            <w:r>
              <w:rPr>
                <w:color w:val="000000"/>
                <w:sz w:val="16"/>
                <w:szCs w:val="16"/>
              </w:rPr>
              <w:t>-0.56</w:t>
            </w:r>
          </w:p>
        </w:tc>
        <w:tc>
          <w:tcPr>
            <w:tcW w:w="1104" w:type="dxa"/>
            <w:tcBorders>
              <w:top w:val="nil"/>
              <w:left w:val="nil"/>
              <w:bottom w:val="single" w:sz="4" w:space="0" w:color="auto"/>
              <w:right w:val="single" w:sz="4" w:space="0" w:color="auto"/>
            </w:tcBorders>
            <w:shd w:val="clear" w:color="auto" w:fill="auto"/>
            <w:vAlign w:val="center"/>
          </w:tcPr>
          <w:p w14:paraId="13476C4A" w14:textId="7C49A3F7" w:rsidR="00EC15B6" w:rsidRPr="008D3568" w:rsidRDefault="00EA23EE" w:rsidP="00EC15B6">
            <w:pPr>
              <w:rPr>
                <w:rFonts w:cs="Times New Roman"/>
                <w:sz w:val="16"/>
                <w:szCs w:val="16"/>
              </w:rPr>
            </w:pPr>
            <w:r>
              <w:rPr>
                <w:color w:val="000000"/>
                <w:sz w:val="16"/>
                <w:szCs w:val="16"/>
              </w:rPr>
              <w:t xml:space="preserve">Imputed; </w:t>
            </w:r>
            <w:r w:rsidR="00EC15B6">
              <w:rPr>
                <w:color w:val="000000"/>
                <w:sz w:val="16"/>
                <w:szCs w:val="16"/>
              </w:rPr>
              <w:t>0.89</w:t>
            </w:r>
          </w:p>
        </w:tc>
        <w:tc>
          <w:tcPr>
            <w:tcW w:w="1084" w:type="dxa"/>
            <w:tcBorders>
              <w:top w:val="nil"/>
              <w:left w:val="nil"/>
              <w:bottom w:val="single" w:sz="4" w:space="0" w:color="auto"/>
              <w:right w:val="single" w:sz="4" w:space="0" w:color="auto"/>
            </w:tcBorders>
            <w:shd w:val="clear" w:color="auto" w:fill="auto"/>
            <w:vAlign w:val="center"/>
          </w:tcPr>
          <w:p w14:paraId="3611FD12" w14:textId="48E6436A" w:rsidR="00EC15B6" w:rsidRPr="008D3568" w:rsidRDefault="00EC15B6" w:rsidP="00EC15B6">
            <w:pPr>
              <w:rPr>
                <w:rFonts w:cs="Times New Roman"/>
                <w:sz w:val="16"/>
                <w:szCs w:val="16"/>
              </w:rPr>
            </w:pPr>
            <w:r>
              <w:rPr>
                <w:color w:val="000000"/>
                <w:sz w:val="16"/>
                <w:szCs w:val="16"/>
              </w:rPr>
              <w:t>627</w:t>
            </w:r>
          </w:p>
        </w:tc>
      </w:tr>
      <w:tr w:rsidR="00EC15B6" w:rsidRPr="008D3568" w14:paraId="6C43C4CD" w14:textId="77777777" w:rsidTr="00772F4F">
        <w:tc>
          <w:tcPr>
            <w:tcW w:w="1532" w:type="dxa"/>
            <w:vMerge/>
            <w:tcBorders>
              <w:left w:val="single" w:sz="4" w:space="0" w:color="auto"/>
              <w:right w:val="single" w:sz="4" w:space="0" w:color="auto"/>
            </w:tcBorders>
            <w:vAlign w:val="center"/>
          </w:tcPr>
          <w:p w14:paraId="39362CAB"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E5C6254" w14:textId="70949BEF" w:rsidR="00EC15B6" w:rsidRPr="008D3568" w:rsidRDefault="00EC15B6" w:rsidP="00EC15B6">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93511EC" w14:textId="795FD022" w:rsidR="00EC15B6" w:rsidRPr="008D3568" w:rsidRDefault="00EC15B6" w:rsidP="00EC15B6">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3FD69AB" w14:textId="590681A5"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1BCBA448" w14:textId="7FC765A2" w:rsidR="00EC15B6" w:rsidRPr="008D3568" w:rsidRDefault="00EC15B6" w:rsidP="00EC15B6">
            <w:pPr>
              <w:rPr>
                <w:rFonts w:cs="Times New Roman"/>
                <w:sz w:val="16"/>
                <w:szCs w:val="16"/>
              </w:rPr>
            </w:pPr>
            <w:r>
              <w:rPr>
                <w:color w:val="000000"/>
                <w:sz w:val="16"/>
                <w:szCs w:val="16"/>
              </w:rPr>
              <w:t>-0.82</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E6A2BDB" w14:textId="0ACE13DF" w:rsidR="00EC15B6" w:rsidRPr="008D3568" w:rsidRDefault="007111D2" w:rsidP="00EC15B6">
            <w:pPr>
              <w:rPr>
                <w:rFonts w:cs="Times New Roman"/>
                <w:sz w:val="16"/>
                <w:szCs w:val="16"/>
              </w:rPr>
            </w:pPr>
            <w:r>
              <w:rPr>
                <w:color w:val="000000"/>
                <w:sz w:val="16"/>
                <w:szCs w:val="16"/>
              </w:rPr>
              <w:t>Imputed; 1.14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A215842" w14:textId="7F3F7914" w:rsidR="00EC15B6" w:rsidRPr="008D3568" w:rsidRDefault="00EC15B6" w:rsidP="00EC15B6">
            <w:pPr>
              <w:rPr>
                <w:rFonts w:cs="Times New Roman"/>
                <w:sz w:val="16"/>
                <w:szCs w:val="16"/>
              </w:rPr>
            </w:pPr>
            <w:r>
              <w:rPr>
                <w:color w:val="000000"/>
                <w:sz w:val="16"/>
                <w:szCs w:val="16"/>
              </w:rPr>
              <w:t>315</w:t>
            </w:r>
          </w:p>
        </w:tc>
      </w:tr>
      <w:tr w:rsidR="00EC15B6" w:rsidRPr="008D3568" w14:paraId="004388B9" w14:textId="77777777" w:rsidTr="00772F4F">
        <w:tc>
          <w:tcPr>
            <w:tcW w:w="1532" w:type="dxa"/>
            <w:vMerge/>
            <w:tcBorders>
              <w:left w:val="single" w:sz="4" w:space="0" w:color="auto"/>
              <w:bottom w:val="single" w:sz="4" w:space="0" w:color="auto"/>
              <w:right w:val="single" w:sz="4" w:space="0" w:color="auto"/>
            </w:tcBorders>
            <w:vAlign w:val="center"/>
          </w:tcPr>
          <w:p w14:paraId="7EE1CACE"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72E350D" w14:textId="5BFC1107" w:rsidR="00EC15B6" w:rsidRPr="008D3568" w:rsidRDefault="00EC15B6" w:rsidP="00EC15B6">
            <w:pPr>
              <w:rPr>
                <w:rFonts w:cs="Times New Roman"/>
                <w:sz w:val="16"/>
                <w:szCs w:val="16"/>
              </w:rPr>
            </w:pPr>
            <w:r>
              <w:rPr>
                <w:color w:val="000000"/>
                <w:sz w:val="16"/>
                <w:szCs w:val="16"/>
              </w:rPr>
              <w:t>natalizumab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2B60313" w14:textId="12AE2016" w:rsidR="00EC15B6" w:rsidRPr="008D3568" w:rsidRDefault="00EC15B6" w:rsidP="00EC15B6">
            <w:pPr>
              <w:rPr>
                <w:rFonts w:cs="Times New Roman"/>
                <w:sz w:val="16"/>
                <w:szCs w:val="16"/>
              </w:rPr>
            </w:pPr>
            <w:r>
              <w:rPr>
                <w:color w:val="000000"/>
                <w:sz w:val="16"/>
                <w:szCs w:val="16"/>
              </w:rPr>
              <w:t>300</w:t>
            </w:r>
            <w:r w:rsidR="008F6A7A">
              <w:rPr>
                <w:color w:val="000000"/>
                <w:sz w:val="16"/>
                <w:szCs w:val="16"/>
              </w:rPr>
              <w:t xml:space="preserve"> mg</w:t>
            </w:r>
            <w:r w:rsidR="008F75F9">
              <w:rPr>
                <w:color w:val="000000"/>
                <w:sz w:val="16"/>
                <w:szCs w:val="16"/>
              </w:rPr>
              <w:t xml:space="preserve"> </w:t>
            </w:r>
            <w:r w:rsidR="00EA23EE">
              <w:rPr>
                <w:color w:val="000000"/>
                <w:sz w:val="16"/>
                <w:szCs w:val="16"/>
              </w:rPr>
              <w:t>4W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BA0B118" w14:textId="0951BF81"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EB69A3E" w14:textId="6504846B" w:rsidR="00EC15B6" w:rsidRPr="008D3568" w:rsidRDefault="00EC15B6" w:rsidP="00EC15B6">
            <w:pPr>
              <w:rPr>
                <w:rFonts w:cs="Times New Roman"/>
                <w:sz w:val="16"/>
                <w:szCs w:val="16"/>
              </w:rPr>
            </w:pPr>
            <w:r>
              <w:rPr>
                <w:color w:val="000000"/>
                <w:sz w:val="16"/>
                <w:szCs w:val="16"/>
              </w:rPr>
              <w:t>-0.80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E483A07" w14:textId="277F5B2A" w:rsidR="00EC15B6" w:rsidRPr="008D3568" w:rsidRDefault="007111D2" w:rsidP="00EC15B6">
            <w:pPr>
              <w:rPr>
                <w:rFonts w:cs="Times New Roman"/>
                <w:sz w:val="16"/>
                <w:szCs w:val="16"/>
              </w:rPr>
            </w:pPr>
            <w:r>
              <w:rPr>
                <w:color w:val="000000"/>
                <w:sz w:val="16"/>
                <w:szCs w:val="16"/>
              </w:rPr>
              <w:t>Imputed; 1.13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3E701F8" w14:textId="1CF6439C" w:rsidR="00EC15B6" w:rsidRPr="008D3568" w:rsidRDefault="00EC15B6" w:rsidP="00EC15B6">
            <w:pPr>
              <w:rPr>
                <w:rFonts w:cs="Times New Roman"/>
                <w:sz w:val="16"/>
                <w:szCs w:val="16"/>
              </w:rPr>
            </w:pPr>
            <w:r>
              <w:rPr>
                <w:color w:val="000000"/>
                <w:sz w:val="16"/>
                <w:szCs w:val="16"/>
              </w:rPr>
              <w:t>627</w:t>
            </w:r>
          </w:p>
        </w:tc>
      </w:tr>
      <w:tr w:rsidR="00202E74" w:rsidRPr="008D3568" w14:paraId="7651BF82" w14:textId="77777777" w:rsidTr="00086ECC">
        <w:tc>
          <w:tcPr>
            <w:tcW w:w="1532" w:type="dxa"/>
            <w:vMerge w:val="restart"/>
            <w:tcBorders>
              <w:top w:val="nil"/>
              <w:left w:val="single" w:sz="4" w:space="0" w:color="auto"/>
              <w:right w:val="single" w:sz="4" w:space="0" w:color="auto"/>
            </w:tcBorders>
            <w:shd w:val="clear" w:color="auto" w:fill="auto"/>
            <w:vAlign w:val="center"/>
          </w:tcPr>
          <w:p w14:paraId="39E0DDF9" w14:textId="6866E541" w:rsidR="00202E74" w:rsidRPr="008D3568" w:rsidRDefault="00202E74" w:rsidP="00202E74">
            <w:pPr>
              <w:rPr>
                <w:rFonts w:cs="Times New Roman"/>
                <w:sz w:val="16"/>
                <w:szCs w:val="16"/>
              </w:rPr>
            </w:pPr>
            <w:r>
              <w:rPr>
                <w:color w:val="000000"/>
                <w:sz w:val="16"/>
                <w:szCs w:val="16"/>
              </w:rPr>
              <w:t>ASCLEPIOS I</w:t>
            </w:r>
          </w:p>
        </w:tc>
        <w:tc>
          <w:tcPr>
            <w:tcW w:w="1503" w:type="dxa"/>
            <w:tcBorders>
              <w:top w:val="nil"/>
              <w:left w:val="single" w:sz="4" w:space="0" w:color="auto"/>
              <w:bottom w:val="single" w:sz="4" w:space="0" w:color="auto"/>
              <w:right w:val="single" w:sz="4" w:space="0" w:color="auto"/>
            </w:tcBorders>
            <w:shd w:val="clear" w:color="auto" w:fill="auto"/>
            <w:vAlign w:val="center"/>
          </w:tcPr>
          <w:p w14:paraId="02B07F37" w14:textId="5DDA4CC0" w:rsidR="00202E74" w:rsidRPr="008D3568" w:rsidRDefault="00202E74" w:rsidP="00202E74">
            <w:pPr>
              <w:rPr>
                <w:rFonts w:cs="Times New Roman"/>
                <w:sz w:val="16"/>
                <w:szCs w:val="16"/>
              </w:rPr>
            </w:pPr>
            <w:r>
              <w:rPr>
                <w:color w:val="000000"/>
                <w:sz w:val="16"/>
                <w:szCs w:val="16"/>
              </w:rPr>
              <w:t>ofatumumab</w:t>
            </w:r>
          </w:p>
        </w:tc>
        <w:tc>
          <w:tcPr>
            <w:tcW w:w="1272" w:type="dxa"/>
            <w:tcBorders>
              <w:top w:val="nil"/>
              <w:left w:val="nil"/>
              <w:bottom w:val="single" w:sz="4" w:space="0" w:color="auto"/>
              <w:right w:val="single" w:sz="4" w:space="0" w:color="auto"/>
            </w:tcBorders>
            <w:shd w:val="clear" w:color="auto" w:fill="auto"/>
            <w:vAlign w:val="center"/>
          </w:tcPr>
          <w:p w14:paraId="480D161B" w14:textId="3ACA34EF" w:rsidR="00202E74" w:rsidRPr="008D3568" w:rsidRDefault="00202E74" w:rsidP="00202E74">
            <w:pPr>
              <w:rPr>
                <w:rFonts w:cs="Times New Roman"/>
                <w:sz w:val="16"/>
                <w:szCs w:val="16"/>
              </w:rPr>
            </w:pPr>
            <w:r>
              <w:rPr>
                <w:color w:val="000000"/>
                <w:sz w:val="16"/>
                <w:szCs w:val="16"/>
              </w:rPr>
              <w:t>20 mg</w:t>
            </w:r>
            <w:r w:rsidR="00CE7C79">
              <w:rPr>
                <w:color w:val="000000"/>
                <w:sz w:val="16"/>
                <w:szCs w:val="16"/>
              </w:rPr>
              <w:t xml:space="preserve"> 4</w:t>
            </w:r>
            <w:r w:rsidR="00162648">
              <w:rPr>
                <w:color w:val="000000"/>
                <w:sz w:val="16"/>
                <w:szCs w:val="16"/>
              </w:rPr>
              <w:t>W</w:t>
            </w:r>
          </w:p>
        </w:tc>
        <w:tc>
          <w:tcPr>
            <w:tcW w:w="1708" w:type="dxa"/>
            <w:tcBorders>
              <w:top w:val="nil"/>
              <w:left w:val="nil"/>
              <w:bottom w:val="single" w:sz="4" w:space="0" w:color="auto"/>
              <w:right w:val="single" w:sz="4" w:space="0" w:color="auto"/>
            </w:tcBorders>
            <w:shd w:val="clear" w:color="auto" w:fill="auto"/>
            <w:vAlign w:val="center"/>
          </w:tcPr>
          <w:p w14:paraId="3915DB55" w14:textId="10FAF778" w:rsidR="00202E74" w:rsidRPr="008D3568" w:rsidRDefault="00202E74" w:rsidP="00202E74">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168C2E56" w14:textId="7D687524" w:rsidR="00202E74" w:rsidRPr="008D3568" w:rsidRDefault="00202E74" w:rsidP="00202E74">
            <w:pPr>
              <w:rPr>
                <w:rFonts w:cs="Times New Roman"/>
                <w:sz w:val="16"/>
                <w:szCs w:val="16"/>
              </w:rPr>
            </w:pPr>
            <w:r>
              <w:rPr>
                <w:color w:val="000000"/>
                <w:sz w:val="16"/>
                <w:szCs w:val="16"/>
              </w:rPr>
              <w:t> </w:t>
            </w:r>
            <w:r w:rsidR="00703A69">
              <w:rPr>
                <w:color w:val="000000"/>
                <w:sz w:val="16"/>
                <w:szCs w:val="16"/>
              </w:rPr>
              <w:t>-0.41</w:t>
            </w:r>
          </w:p>
        </w:tc>
        <w:tc>
          <w:tcPr>
            <w:tcW w:w="1104" w:type="dxa"/>
            <w:tcBorders>
              <w:top w:val="single" w:sz="4" w:space="0" w:color="auto"/>
              <w:left w:val="nil"/>
              <w:bottom w:val="single" w:sz="4" w:space="0" w:color="auto"/>
              <w:right w:val="single" w:sz="4" w:space="0" w:color="auto"/>
            </w:tcBorders>
            <w:shd w:val="clear" w:color="auto" w:fill="auto"/>
            <w:vAlign w:val="center"/>
          </w:tcPr>
          <w:p w14:paraId="1ADA66A5" w14:textId="64FE61D3" w:rsidR="00202E74" w:rsidRPr="008D3568" w:rsidRDefault="00703A69" w:rsidP="00202E74">
            <w:pPr>
              <w:rPr>
                <w:rFonts w:cs="Times New Roman"/>
                <w:sz w:val="16"/>
                <w:szCs w:val="16"/>
              </w:rPr>
            </w:pPr>
            <w:r>
              <w:rPr>
                <w:color w:val="000000"/>
                <w:sz w:val="16"/>
                <w:szCs w:val="16"/>
              </w:rPr>
              <w:t>0.58</w:t>
            </w:r>
            <w:r w:rsidR="00202E74">
              <w:rPr>
                <w:color w:val="000000"/>
                <w:sz w:val="16"/>
                <w:szCs w:val="16"/>
              </w:rPr>
              <w:t> </w:t>
            </w:r>
          </w:p>
        </w:tc>
        <w:tc>
          <w:tcPr>
            <w:tcW w:w="1084" w:type="dxa"/>
            <w:tcBorders>
              <w:top w:val="single" w:sz="4" w:space="0" w:color="auto"/>
              <w:left w:val="nil"/>
              <w:bottom w:val="single" w:sz="4" w:space="0" w:color="auto"/>
              <w:right w:val="single" w:sz="4" w:space="0" w:color="auto"/>
            </w:tcBorders>
            <w:shd w:val="clear" w:color="auto" w:fill="auto"/>
            <w:vAlign w:val="center"/>
          </w:tcPr>
          <w:p w14:paraId="47A093C5" w14:textId="24163FA8" w:rsidR="00202E74" w:rsidRPr="008D3568" w:rsidRDefault="00202E74" w:rsidP="00202E74">
            <w:pPr>
              <w:rPr>
                <w:rFonts w:cs="Times New Roman"/>
                <w:sz w:val="16"/>
                <w:szCs w:val="16"/>
              </w:rPr>
            </w:pPr>
            <w:r>
              <w:rPr>
                <w:color w:val="000000"/>
                <w:sz w:val="16"/>
                <w:szCs w:val="16"/>
              </w:rPr>
              <w:t>418</w:t>
            </w:r>
          </w:p>
        </w:tc>
      </w:tr>
      <w:tr w:rsidR="00202E74" w:rsidRPr="008D3568" w14:paraId="1DCF36E4" w14:textId="77777777" w:rsidTr="00086ECC">
        <w:tc>
          <w:tcPr>
            <w:tcW w:w="1532" w:type="dxa"/>
            <w:vMerge/>
            <w:tcBorders>
              <w:left w:val="single" w:sz="4" w:space="0" w:color="auto"/>
              <w:right w:val="single" w:sz="4" w:space="0" w:color="auto"/>
            </w:tcBorders>
            <w:vAlign w:val="center"/>
          </w:tcPr>
          <w:p w14:paraId="392CE15A" w14:textId="77777777" w:rsidR="00202E74" w:rsidRPr="008D3568" w:rsidRDefault="00202E74" w:rsidP="00202E74">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09CE0EBE" w14:textId="28BD884B" w:rsidR="00202E74" w:rsidRPr="008D3568" w:rsidRDefault="00202E74" w:rsidP="00202E74">
            <w:pPr>
              <w:rPr>
                <w:rFonts w:cs="Times New Roman"/>
                <w:sz w:val="16"/>
                <w:szCs w:val="16"/>
              </w:rPr>
            </w:pPr>
            <w:r>
              <w:rPr>
                <w:color w:val="000000"/>
                <w:sz w:val="16"/>
                <w:szCs w:val="16"/>
              </w:rPr>
              <w:t>teriflunomide</w:t>
            </w:r>
          </w:p>
        </w:tc>
        <w:tc>
          <w:tcPr>
            <w:tcW w:w="1272" w:type="dxa"/>
            <w:tcBorders>
              <w:top w:val="nil"/>
              <w:left w:val="nil"/>
              <w:bottom w:val="single" w:sz="4" w:space="0" w:color="auto"/>
              <w:right w:val="single" w:sz="4" w:space="0" w:color="auto"/>
            </w:tcBorders>
            <w:shd w:val="clear" w:color="auto" w:fill="auto"/>
            <w:vAlign w:val="center"/>
          </w:tcPr>
          <w:p w14:paraId="411848B8" w14:textId="3DE2EE9F" w:rsidR="00202E74" w:rsidRPr="008D3568" w:rsidRDefault="00202E74" w:rsidP="00202E74">
            <w:pPr>
              <w:rPr>
                <w:rFonts w:cs="Times New Roman"/>
                <w:sz w:val="16"/>
                <w:szCs w:val="16"/>
              </w:rPr>
            </w:pPr>
            <w:r>
              <w:rPr>
                <w:color w:val="000000"/>
                <w:sz w:val="16"/>
                <w:szCs w:val="16"/>
              </w:rPr>
              <w:t>14 mg</w:t>
            </w:r>
            <w:r w:rsidR="00CE7C79">
              <w:rPr>
                <w:color w:val="000000"/>
                <w:sz w:val="16"/>
                <w:szCs w:val="16"/>
              </w:rPr>
              <w:t xml:space="preserve"> </w:t>
            </w:r>
            <w:proofErr w:type="spellStart"/>
            <w:r w:rsidR="00CE7C79">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5BAA8F70" w14:textId="0C2A3CD2" w:rsidR="00202E74" w:rsidRPr="008D3568" w:rsidRDefault="00202E74" w:rsidP="00202E74">
            <w:pPr>
              <w:rPr>
                <w:rFonts w:cs="Times New Roman"/>
                <w:sz w:val="16"/>
                <w:szCs w:val="16"/>
              </w:rPr>
            </w:pPr>
            <w:r>
              <w:rPr>
                <w:color w:val="000000"/>
                <w:sz w:val="16"/>
                <w:szCs w:val="16"/>
              </w:rPr>
              <w:t>52</w:t>
            </w:r>
          </w:p>
        </w:tc>
        <w:tc>
          <w:tcPr>
            <w:tcW w:w="1147" w:type="dxa"/>
            <w:tcBorders>
              <w:top w:val="nil"/>
              <w:left w:val="single" w:sz="4" w:space="0" w:color="auto"/>
              <w:bottom w:val="single" w:sz="4" w:space="0" w:color="auto"/>
              <w:right w:val="single" w:sz="4" w:space="0" w:color="auto"/>
            </w:tcBorders>
            <w:shd w:val="clear" w:color="auto" w:fill="auto"/>
            <w:vAlign w:val="center"/>
          </w:tcPr>
          <w:p w14:paraId="394D984D" w14:textId="7800BB55" w:rsidR="00202E74" w:rsidRPr="008D3568" w:rsidRDefault="00202E74" w:rsidP="00202E74">
            <w:pPr>
              <w:rPr>
                <w:rFonts w:cs="Times New Roman"/>
                <w:sz w:val="16"/>
                <w:szCs w:val="16"/>
              </w:rPr>
            </w:pPr>
            <w:r>
              <w:rPr>
                <w:color w:val="000000"/>
                <w:sz w:val="16"/>
                <w:szCs w:val="16"/>
              </w:rPr>
              <w:t> </w:t>
            </w:r>
            <w:r w:rsidR="00703A69">
              <w:rPr>
                <w:color w:val="000000"/>
                <w:sz w:val="16"/>
                <w:szCs w:val="16"/>
              </w:rPr>
              <w:t>-0.24</w:t>
            </w:r>
          </w:p>
        </w:tc>
        <w:tc>
          <w:tcPr>
            <w:tcW w:w="1104" w:type="dxa"/>
            <w:tcBorders>
              <w:top w:val="nil"/>
              <w:left w:val="nil"/>
              <w:bottom w:val="single" w:sz="4" w:space="0" w:color="auto"/>
              <w:right w:val="single" w:sz="4" w:space="0" w:color="auto"/>
            </w:tcBorders>
            <w:shd w:val="clear" w:color="auto" w:fill="auto"/>
            <w:vAlign w:val="center"/>
          </w:tcPr>
          <w:p w14:paraId="70D888ED" w14:textId="1CBE8B6A" w:rsidR="00202E74" w:rsidRPr="008D3568" w:rsidRDefault="00202E74" w:rsidP="00202E74">
            <w:pPr>
              <w:rPr>
                <w:rFonts w:cs="Times New Roman"/>
                <w:sz w:val="16"/>
                <w:szCs w:val="16"/>
              </w:rPr>
            </w:pPr>
            <w:r>
              <w:rPr>
                <w:color w:val="000000"/>
                <w:sz w:val="16"/>
                <w:szCs w:val="16"/>
              </w:rPr>
              <w:t> </w:t>
            </w:r>
            <w:r w:rsidR="00703A69">
              <w:rPr>
                <w:color w:val="000000"/>
                <w:sz w:val="16"/>
                <w:szCs w:val="16"/>
              </w:rPr>
              <w:t>0.60</w:t>
            </w:r>
          </w:p>
        </w:tc>
        <w:tc>
          <w:tcPr>
            <w:tcW w:w="1084" w:type="dxa"/>
            <w:tcBorders>
              <w:top w:val="nil"/>
              <w:left w:val="nil"/>
              <w:bottom w:val="single" w:sz="4" w:space="0" w:color="auto"/>
              <w:right w:val="single" w:sz="4" w:space="0" w:color="auto"/>
            </w:tcBorders>
            <w:shd w:val="clear" w:color="auto" w:fill="auto"/>
            <w:vAlign w:val="center"/>
          </w:tcPr>
          <w:p w14:paraId="3E09ECD3" w14:textId="3E904C18" w:rsidR="00202E74" w:rsidRPr="008D3568" w:rsidRDefault="00202E74" w:rsidP="00202E74">
            <w:pPr>
              <w:rPr>
                <w:rFonts w:cs="Times New Roman"/>
                <w:sz w:val="16"/>
                <w:szCs w:val="16"/>
              </w:rPr>
            </w:pPr>
            <w:r>
              <w:rPr>
                <w:color w:val="000000"/>
                <w:sz w:val="16"/>
                <w:szCs w:val="16"/>
              </w:rPr>
              <w:t>409</w:t>
            </w:r>
          </w:p>
        </w:tc>
      </w:tr>
      <w:tr w:rsidR="00202E74" w:rsidRPr="008D3568" w14:paraId="0F0FD133" w14:textId="77777777" w:rsidTr="00772F4F">
        <w:tc>
          <w:tcPr>
            <w:tcW w:w="1532" w:type="dxa"/>
            <w:vMerge/>
            <w:tcBorders>
              <w:left w:val="single" w:sz="4" w:space="0" w:color="auto"/>
              <w:right w:val="single" w:sz="4" w:space="0" w:color="auto"/>
            </w:tcBorders>
            <w:vAlign w:val="center"/>
          </w:tcPr>
          <w:p w14:paraId="3179934F" w14:textId="77777777" w:rsidR="00202E74" w:rsidRPr="008D3568" w:rsidRDefault="00202E74" w:rsidP="00202E74">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015064F" w14:textId="3A7AB169" w:rsidR="00202E74" w:rsidRPr="008D3568" w:rsidRDefault="00202E74" w:rsidP="00202E74">
            <w:pPr>
              <w:rPr>
                <w:rFonts w:cs="Times New Roman"/>
                <w:sz w:val="16"/>
                <w:szCs w:val="16"/>
              </w:rPr>
            </w:pPr>
            <w:r>
              <w:rPr>
                <w:color w:val="000000"/>
                <w:sz w:val="16"/>
                <w:szCs w:val="16"/>
              </w:rPr>
              <w:t>ofatumumab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19FB88C" w14:textId="7FE99FEF" w:rsidR="00202E74" w:rsidRPr="008D3568" w:rsidRDefault="00202E74" w:rsidP="00202E74">
            <w:pPr>
              <w:rPr>
                <w:rFonts w:cs="Times New Roman"/>
                <w:sz w:val="16"/>
                <w:szCs w:val="16"/>
              </w:rPr>
            </w:pPr>
            <w:r>
              <w:rPr>
                <w:color w:val="000000"/>
                <w:sz w:val="16"/>
                <w:szCs w:val="16"/>
              </w:rPr>
              <w:t>20 mg</w:t>
            </w:r>
            <w:r w:rsidR="00162648">
              <w:rPr>
                <w:color w:val="000000"/>
                <w:sz w:val="16"/>
                <w:szCs w:val="16"/>
              </w:rPr>
              <w:t xml:space="preserve"> </w:t>
            </w:r>
            <w:r w:rsidR="00665F10">
              <w:rPr>
                <w:color w:val="000000"/>
                <w:sz w:val="16"/>
                <w:szCs w:val="16"/>
              </w:rPr>
              <w:t>4W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777C75F" w14:textId="5665EA1E" w:rsidR="00202E74" w:rsidRPr="008D3568" w:rsidRDefault="00202E74" w:rsidP="00202E74">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92872A8" w14:textId="3C893475" w:rsidR="00202E74" w:rsidRPr="008D3568" w:rsidRDefault="00202E74" w:rsidP="00202E74">
            <w:pPr>
              <w:rPr>
                <w:rFonts w:cs="Times New Roman"/>
                <w:sz w:val="16"/>
                <w:szCs w:val="16"/>
              </w:rPr>
            </w:pPr>
            <w:r>
              <w:rPr>
                <w:color w:val="000000"/>
                <w:sz w:val="16"/>
                <w:szCs w:val="16"/>
              </w:rPr>
              <w:t>-0.69</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FC38D7D" w14:textId="0B72A5BD" w:rsidR="00202E74" w:rsidRPr="008D3568" w:rsidRDefault="00202E74" w:rsidP="00202E74">
            <w:pPr>
              <w:rPr>
                <w:rFonts w:cs="Times New Roman"/>
                <w:sz w:val="16"/>
                <w:szCs w:val="16"/>
              </w:rPr>
            </w:pPr>
            <w:r>
              <w:rPr>
                <w:color w:val="000000"/>
                <w:sz w:val="16"/>
                <w:szCs w:val="16"/>
              </w:rPr>
              <w:t>0.</w:t>
            </w:r>
            <w:r w:rsidR="00703A69">
              <w:rPr>
                <w:color w:val="000000"/>
                <w:sz w:val="16"/>
                <w:szCs w:val="16"/>
              </w:rPr>
              <w:t>78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C17FB49" w14:textId="0D5BAD6C" w:rsidR="00202E74" w:rsidRPr="008D3568" w:rsidRDefault="00202E74" w:rsidP="00202E74">
            <w:pPr>
              <w:rPr>
                <w:rFonts w:cs="Times New Roman"/>
                <w:sz w:val="16"/>
                <w:szCs w:val="16"/>
              </w:rPr>
            </w:pPr>
            <w:r>
              <w:rPr>
                <w:color w:val="000000"/>
                <w:sz w:val="16"/>
                <w:szCs w:val="16"/>
              </w:rPr>
              <w:t>418</w:t>
            </w:r>
          </w:p>
        </w:tc>
      </w:tr>
      <w:tr w:rsidR="00202E74" w:rsidRPr="008D3568" w14:paraId="6AA3C071" w14:textId="77777777" w:rsidTr="00772F4F">
        <w:tc>
          <w:tcPr>
            <w:tcW w:w="1532" w:type="dxa"/>
            <w:vMerge/>
            <w:tcBorders>
              <w:left w:val="single" w:sz="4" w:space="0" w:color="auto"/>
              <w:bottom w:val="single" w:sz="4" w:space="0" w:color="auto"/>
              <w:right w:val="single" w:sz="4" w:space="0" w:color="auto"/>
            </w:tcBorders>
            <w:vAlign w:val="center"/>
          </w:tcPr>
          <w:p w14:paraId="6CD95569" w14:textId="77777777" w:rsidR="00202E74" w:rsidRPr="008D3568" w:rsidRDefault="00202E74" w:rsidP="00202E74">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8AE8CB6" w14:textId="22E47D70" w:rsidR="00202E74" w:rsidRPr="008D3568" w:rsidRDefault="00202E74" w:rsidP="00202E74">
            <w:pPr>
              <w:rPr>
                <w:rFonts w:cs="Times New Roman"/>
                <w:sz w:val="16"/>
                <w:szCs w:val="16"/>
              </w:rPr>
            </w:pPr>
            <w:r>
              <w:rPr>
                <w:color w:val="000000"/>
                <w:sz w:val="16"/>
                <w:szCs w:val="16"/>
              </w:rPr>
              <w:t>teriflunomide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B590DCB" w14:textId="79171940" w:rsidR="00202E74" w:rsidRPr="008D3568" w:rsidRDefault="00202E74" w:rsidP="00202E74">
            <w:pPr>
              <w:rPr>
                <w:rFonts w:cs="Times New Roman"/>
                <w:sz w:val="16"/>
                <w:szCs w:val="16"/>
              </w:rPr>
            </w:pPr>
            <w:r>
              <w:rPr>
                <w:color w:val="000000"/>
                <w:sz w:val="16"/>
                <w:szCs w:val="16"/>
              </w:rPr>
              <w:t>14 mg</w:t>
            </w:r>
            <w:r w:rsidR="00665F10">
              <w:rPr>
                <w:color w:val="000000"/>
                <w:sz w:val="16"/>
                <w:szCs w:val="16"/>
              </w:rPr>
              <w:t xml:space="preserve"> </w:t>
            </w:r>
            <w:proofErr w:type="spellStart"/>
            <w:r w:rsidR="00665F10">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272D8E5" w14:textId="4B59E5D8" w:rsidR="00202E74" w:rsidRPr="008D3568" w:rsidRDefault="00202E74" w:rsidP="00202E74">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AF7B337" w14:textId="484CF556" w:rsidR="00202E74" w:rsidRPr="008D3568" w:rsidRDefault="00202E74" w:rsidP="00202E74">
            <w:pPr>
              <w:rPr>
                <w:rFonts w:cs="Times New Roman"/>
                <w:sz w:val="16"/>
                <w:szCs w:val="16"/>
              </w:rPr>
            </w:pPr>
            <w:r>
              <w:rPr>
                <w:color w:val="000000"/>
                <w:sz w:val="16"/>
                <w:szCs w:val="16"/>
              </w:rPr>
              <w:t>-0.5</w:t>
            </w:r>
            <w:r w:rsidR="00703A69">
              <w:rPr>
                <w:color w:val="000000"/>
                <w:sz w:val="16"/>
                <w:szCs w:val="16"/>
              </w:rPr>
              <w:t>9</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BA31FB8" w14:textId="4B6CCE7D" w:rsidR="00202E74" w:rsidRPr="008D3568" w:rsidRDefault="00202E74" w:rsidP="00202E74">
            <w:pPr>
              <w:rPr>
                <w:rFonts w:cs="Times New Roman"/>
                <w:sz w:val="16"/>
                <w:szCs w:val="16"/>
              </w:rPr>
            </w:pPr>
            <w:r>
              <w:rPr>
                <w:color w:val="000000"/>
                <w:sz w:val="16"/>
                <w:szCs w:val="16"/>
              </w:rPr>
              <w:t>0.</w:t>
            </w:r>
            <w:r w:rsidR="00703A69">
              <w:rPr>
                <w:color w:val="000000"/>
                <w:sz w:val="16"/>
                <w:szCs w:val="16"/>
              </w:rPr>
              <w:t>76</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C04AE69" w14:textId="3E8ACDB0" w:rsidR="00202E74" w:rsidRPr="008D3568" w:rsidRDefault="00202E74" w:rsidP="00202E74">
            <w:pPr>
              <w:rPr>
                <w:rFonts w:cs="Times New Roman"/>
                <w:sz w:val="16"/>
                <w:szCs w:val="16"/>
              </w:rPr>
            </w:pPr>
            <w:r>
              <w:rPr>
                <w:color w:val="000000"/>
                <w:sz w:val="16"/>
                <w:szCs w:val="16"/>
              </w:rPr>
              <w:t>409</w:t>
            </w:r>
          </w:p>
        </w:tc>
      </w:tr>
      <w:tr w:rsidR="00202E74" w:rsidRPr="008D3568" w14:paraId="79E750FC" w14:textId="77777777" w:rsidTr="00086ECC">
        <w:tc>
          <w:tcPr>
            <w:tcW w:w="1532" w:type="dxa"/>
            <w:vMerge w:val="restart"/>
            <w:tcBorders>
              <w:top w:val="nil"/>
              <w:left w:val="single" w:sz="4" w:space="0" w:color="auto"/>
              <w:right w:val="single" w:sz="4" w:space="0" w:color="auto"/>
            </w:tcBorders>
            <w:shd w:val="clear" w:color="auto" w:fill="auto"/>
            <w:vAlign w:val="center"/>
          </w:tcPr>
          <w:p w14:paraId="271AA823" w14:textId="3EC4EB14" w:rsidR="00202E74" w:rsidRPr="008D3568" w:rsidRDefault="00202E74" w:rsidP="00202E74">
            <w:pPr>
              <w:rPr>
                <w:rFonts w:cs="Times New Roman"/>
                <w:sz w:val="16"/>
                <w:szCs w:val="16"/>
              </w:rPr>
            </w:pPr>
            <w:r>
              <w:rPr>
                <w:color w:val="000000"/>
                <w:sz w:val="16"/>
                <w:szCs w:val="16"/>
              </w:rPr>
              <w:t>ASCLEPIOS II</w:t>
            </w:r>
          </w:p>
        </w:tc>
        <w:tc>
          <w:tcPr>
            <w:tcW w:w="1503" w:type="dxa"/>
            <w:tcBorders>
              <w:top w:val="nil"/>
              <w:left w:val="single" w:sz="4" w:space="0" w:color="auto"/>
              <w:bottom w:val="single" w:sz="4" w:space="0" w:color="auto"/>
              <w:right w:val="single" w:sz="4" w:space="0" w:color="auto"/>
            </w:tcBorders>
            <w:shd w:val="clear" w:color="auto" w:fill="auto"/>
            <w:vAlign w:val="center"/>
          </w:tcPr>
          <w:p w14:paraId="44B10E92" w14:textId="0E652258" w:rsidR="00202E74" w:rsidRPr="008D3568" w:rsidRDefault="00202E74" w:rsidP="00202E74">
            <w:pPr>
              <w:rPr>
                <w:rFonts w:cs="Times New Roman"/>
                <w:sz w:val="16"/>
                <w:szCs w:val="16"/>
              </w:rPr>
            </w:pPr>
            <w:r>
              <w:rPr>
                <w:color w:val="000000"/>
                <w:sz w:val="16"/>
                <w:szCs w:val="16"/>
              </w:rPr>
              <w:t>ofatumumab</w:t>
            </w:r>
          </w:p>
        </w:tc>
        <w:tc>
          <w:tcPr>
            <w:tcW w:w="1272" w:type="dxa"/>
            <w:tcBorders>
              <w:top w:val="nil"/>
              <w:left w:val="nil"/>
              <w:bottom w:val="single" w:sz="4" w:space="0" w:color="auto"/>
              <w:right w:val="single" w:sz="4" w:space="0" w:color="auto"/>
            </w:tcBorders>
            <w:shd w:val="clear" w:color="auto" w:fill="auto"/>
            <w:vAlign w:val="center"/>
          </w:tcPr>
          <w:p w14:paraId="5788D84B" w14:textId="26D4BC3F" w:rsidR="00202E74" w:rsidRPr="008D3568" w:rsidRDefault="00202E74" w:rsidP="00202E74">
            <w:pPr>
              <w:rPr>
                <w:rFonts w:cs="Times New Roman"/>
                <w:sz w:val="16"/>
                <w:szCs w:val="16"/>
              </w:rPr>
            </w:pPr>
            <w:r>
              <w:rPr>
                <w:color w:val="000000"/>
                <w:sz w:val="16"/>
                <w:szCs w:val="16"/>
              </w:rPr>
              <w:t>20 mg</w:t>
            </w:r>
            <w:r w:rsidR="005977E8">
              <w:rPr>
                <w:color w:val="000000"/>
                <w:sz w:val="16"/>
                <w:szCs w:val="16"/>
              </w:rPr>
              <w:t xml:space="preserve"> 4W</w:t>
            </w:r>
          </w:p>
        </w:tc>
        <w:tc>
          <w:tcPr>
            <w:tcW w:w="1708" w:type="dxa"/>
            <w:tcBorders>
              <w:top w:val="nil"/>
              <w:left w:val="nil"/>
              <w:bottom w:val="single" w:sz="4" w:space="0" w:color="auto"/>
              <w:right w:val="single" w:sz="4" w:space="0" w:color="auto"/>
            </w:tcBorders>
            <w:shd w:val="clear" w:color="auto" w:fill="auto"/>
            <w:vAlign w:val="center"/>
          </w:tcPr>
          <w:p w14:paraId="37DEAC9C" w14:textId="36AEF922" w:rsidR="00202E74" w:rsidRPr="008D3568" w:rsidRDefault="00202E74" w:rsidP="00202E74">
            <w:pPr>
              <w:rPr>
                <w:rFonts w:cs="Times New Roman"/>
                <w:sz w:val="16"/>
                <w:szCs w:val="16"/>
              </w:rPr>
            </w:pPr>
            <w:r>
              <w:rPr>
                <w:color w:val="000000"/>
                <w:sz w:val="16"/>
                <w:szCs w:val="16"/>
              </w:rPr>
              <w:t>52</w:t>
            </w:r>
          </w:p>
        </w:tc>
        <w:tc>
          <w:tcPr>
            <w:tcW w:w="1147" w:type="dxa"/>
            <w:tcBorders>
              <w:top w:val="nil"/>
              <w:left w:val="single" w:sz="4" w:space="0" w:color="auto"/>
              <w:bottom w:val="single" w:sz="4" w:space="0" w:color="auto"/>
              <w:right w:val="single" w:sz="4" w:space="0" w:color="auto"/>
            </w:tcBorders>
            <w:shd w:val="clear" w:color="auto" w:fill="auto"/>
            <w:vAlign w:val="center"/>
          </w:tcPr>
          <w:p w14:paraId="74909DB5" w14:textId="0ECF501F" w:rsidR="00202E74" w:rsidRPr="008D3568" w:rsidRDefault="00202E74" w:rsidP="00202E74">
            <w:pPr>
              <w:rPr>
                <w:rFonts w:cs="Times New Roman"/>
                <w:sz w:val="16"/>
                <w:szCs w:val="16"/>
              </w:rPr>
            </w:pPr>
            <w:r>
              <w:rPr>
                <w:color w:val="000000"/>
                <w:sz w:val="16"/>
                <w:szCs w:val="16"/>
              </w:rPr>
              <w:t> </w:t>
            </w:r>
            <w:r w:rsidR="00703A69">
              <w:rPr>
                <w:color w:val="000000"/>
                <w:sz w:val="16"/>
                <w:szCs w:val="16"/>
              </w:rPr>
              <w:t>-0.44</w:t>
            </w:r>
          </w:p>
        </w:tc>
        <w:tc>
          <w:tcPr>
            <w:tcW w:w="1104" w:type="dxa"/>
            <w:tcBorders>
              <w:top w:val="nil"/>
              <w:left w:val="nil"/>
              <w:bottom w:val="single" w:sz="4" w:space="0" w:color="auto"/>
              <w:right w:val="single" w:sz="4" w:space="0" w:color="auto"/>
            </w:tcBorders>
            <w:shd w:val="clear" w:color="auto" w:fill="auto"/>
            <w:vAlign w:val="center"/>
          </w:tcPr>
          <w:p w14:paraId="6AFF1C11" w14:textId="073E46B2" w:rsidR="00202E74" w:rsidRPr="008D3568" w:rsidRDefault="00703A69" w:rsidP="00202E74">
            <w:pPr>
              <w:rPr>
                <w:rFonts w:cs="Times New Roman"/>
                <w:sz w:val="16"/>
                <w:szCs w:val="16"/>
              </w:rPr>
            </w:pPr>
            <w:r>
              <w:rPr>
                <w:color w:val="000000"/>
                <w:sz w:val="16"/>
                <w:szCs w:val="16"/>
              </w:rPr>
              <w:t>0.53</w:t>
            </w:r>
            <w:r w:rsidR="00202E74">
              <w:rPr>
                <w:color w:val="000000"/>
                <w:sz w:val="16"/>
                <w:szCs w:val="16"/>
              </w:rPr>
              <w:t> </w:t>
            </w:r>
          </w:p>
        </w:tc>
        <w:tc>
          <w:tcPr>
            <w:tcW w:w="1084" w:type="dxa"/>
            <w:tcBorders>
              <w:top w:val="nil"/>
              <w:left w:val="nil"/>
              <w:bottom w:val="single" w:sz="4" w:space="0" w:color="auto"/>
              <w:right w:val="single" w:sz="4" w:space="0" w:color="auto"/>
            </w:tcBorders>
            <w:shd w:val="clear" w:color="auto" w:fill="auto"/>
            <w:vAlign w:val="center"/>
          </w:tcPr>
          <w:p w14:paraId="57E4A6FE" w14:textId="2AF4286B" w:rsidR="00202E74" w:rsidRPr="008D3568" w:rsidRDefault="00202E74" w:rsidP="00202E74">
            <w:pPr>
              <w:rPr>
                <w:rFonts w:cs="Times New Roman"/>
                <w:sz w:val="16"/>
                <w:szCs w:val="16"/>
              </w:rPr>
            </w:pPr>
            <w:r>
              <w:rPr>
                <w:color w:val="000000"/>
                <w:sz w:val="16"/>
                <w:szCs w:val="16"/>
              </w:rPr>
              <w:t>437</w:t>
            </w:r>
          </w:p>
        </w:tc>
      </w:tr>
      <w:tr w:rsidR="00202E74" w:rsidRPr="008D3568" w14:paraId="4388EBB9" w14:textId="77777777" w:rsidTr="00086ECC">
        <w:tc>
          <w:tcPr>
            <w:tcW w:w="1532" w:type="dxa"/>
            <w:vMerge/>
            <w:tcBorders>
              <w:left w:val="single" w:sz="4" w:space="0" w:color="auto"/>
              <w:right w:val="single" w:sz="4" w:space="0" w:color="auto"/>
            </w:tcBorders>
            <w:vAlign w:val="center"/>
          </w:tcPr>
          <w:p w14:paraId="3A1AD746" w14:textId="77777777" w:rsidR="00202E74" w:rsidRPr="008D3568" w:rsidRDefault="00202E74" w:rsidP="00202E74">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32C1587F" w14:textId="25BD4807" w:rsidR="00202E74" w:rsidRPr="008D3568" w:rsidRDefault="00202E74" w:rsidP="00202E74">
            <w:pPr>
              <w:rPr>
                <w:rFonts w:cs="Times New Roman"/>
                <w:sz w:val="16"/>
                <w:szCs w:val="16"/>
              </w:rPr>
            </w:pPr>
            <w:r>
              <w:rPr>
                <w:color w:val="000000"/>
                <w:sz w:val="16"/>
                <w:szCs w:val="16"/>
              </w:rPr>
              <w:t>teriflunomide</w:t>
            </w:r>
          </w:p>
        </w:tc>
        <w:tc>
          <w:tcPr>
            <w:tcW w:w="1272" w:type="dxa"/>
            <w:tcBorders>
              <w:top w:val="nil"/>
              <w:left w:val="nil"/>
              <w:bottom w:val="single" w:sz="4" w:space="0" w:color="auto"/>
              <w:right w:val="single" w:sz="4" w:space="0" w:color="auto"/>
            </w:tcBorders>
            <w:shd w:val="clear" w:color="auto" w:fill="auto"/>
            <w:vAlign w:val="center"/>
          </w:tcPr>
          <w:p w14:paraId="3E6CBF3A" w14:textId="19C4D232" w:rsidR="00202E74" w:rsidRPr="008D3568" w:rsidRDefault="00202E74" w:rsidP="00202E74">
            <w:pPr>
              <w:rPr>
                <w:rFonts w:cs="Times New Roman"/>
                <w:sz w:val="16"/>
                <w:szCs w:val="16"/>
              </w:rPr>
            </w:pPr>
            <w:r>
              <w:rPr>
                <w:color w:val="000000"/>
                <w:sz w:val="16"/>
                <w:szCs w:val="16"/>
              </w:rPr>
              <w:t>14 mg</w:t>
            </w:r>
            <w:r w:rsidR="005977E8">
              <w:rPr>
                <w:color w:val="000000"/>
                <w:sz w:val="16"/>
                <w:szCs w:val="16"/>
              </w:rPr>
              <w:t xml:space="preserve"> </w:t>
            </w:r>
            <w:proofErr w:type="spellStart"/>
            <w:r w:rsidR="005977E8">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6CF0EBA9" w14:textId="48EEE618" w:rsidR="00202E74" w:rsidRPr="008D3568" w:rsidRDefault="00202E74" w:rsidP="00202E74">
            <w:pPr>
              <w:rPr>
                <w:rFonts w:cs="Times New Roman"/>
                <w:sz w:val="16"/>
                <w:szCs w:val="16"/>
              </w:rPr>
            </w:pPr>
            <w:r>
              <w:rPr>
                <w:color w:val="000000"/>
                <w:sz w:val="16"/>
                <w:szCs w:val="16"/>
              </w:rPr>
              <w:t>52</w:t>
            </w:r>
          </w:p>
        </w:tc>
        <w:tc>
          <w:tcPr>
            <w:tcW w:w="1147" w:type="dxa"/>
            <w:tcBorders>
              <w:top w:val="nil"/>
              <w:left w:val="single" w:sz="4" w:space="0" w:color="auto"/>
              <w:bottom w:val="single" w:sz="4" w:space="0" w:color="auto"/>
              <w:right w:val="single" w:sz="4" w:space="0" w:color="auto"/>
            </w:tcBorders>
            <w:shd w:val="clear" w:color="auto" w:fill="auto"/>
            <w:vAlign w:val="center"/>
          </w:tcPr>
          <w:p w14:paraId="718D9932" w14:textId="0E583922" w:rsidR="00202E74" w:rsidRPr="008D3568" w:rsidRDefault="00202E74" w:rsidP="00202E74">
            <w:pPr>
              <w:rPr>
                <w:rFonts w:cs="Times New Roman"/>
                <w:sz w:val="16"/>
                <w:szCs w:val="16"/>
              </w:rPr>
            </w:pPr>
            <w:r>
              <w:rPr>
                <w:color w:val="000000"/>
                <w:sz w:val="16"/>
                <w:szCs w:val="16"/>
              </w:rPr>
              <w:t> </w:t>
            </w:r>
            <w:r w:rsidR="00703A69">
              <w:rPr>
                <w:color w:val="000000"/>
                <w:sz w:val="16"/>
                <w:szCs w:val="16"/>
              </w:rPr>
              <w:t>-0.24</w:t>
            </w:r>
          </w:p>
        </w:tc>
        <w:tc>
          <w:tcPr>
            <w:tcW w:w="1104" w:type="dxa"/>
            <w:tcBorders>
              <w:top w:val="nil"/>
              <w:left w:val="nil"/>
              <w:bottom w:val="single" w:sz="4" w:space="0" w:color="auto"/>
              <w:right w:val="single" w:sz="4" w:space="0" w:color="auto"/>
            </w:tcBorders>
            <w:shd w:val="clear" w:color="auto" w:fill="auto"/>
            <w:vAlign w:val="center"/>
          </w:tcPr>
          <w:p w14:paraId="603AF518" w14:textId="2A7B18D4" w:rsidR="00202E74" w:rsidRPr="008D3568" w:rsidRDefault="00202E74" w:rsidP="00202E74">
            <w:pPr>
              <w:rPr>
                <w:rFonts w:cs="Times New Roman"/>
                <w:sz w:val="16"/>
                <w:szCs w:val="16"/>
              </w:rPr>
            </w:pPr>
            <w:r>
              <w:rPr>
                <w:color w:val="000000"/>
                <w:sz w:val="16"/>
                <w:szCs w:val="16"/>
              </w:rPr>
              <w:t> </w:t>
            </w:r>
            <w:r w:rsidR="00703A69">
              <w:rPr>
                <w:color w:val="000000"/>
                <w:sz w:val="16"/>
                <w:szCs w:val="16"/>
              </w:rPr>
              <w:t>0.52</w:t>
            </w:r>
          </w:p>
        </w:tc>
        <w:tc>
          <w:tcPr>
            <w:tcW w:w="1084" w:type="dxa"/>
            <w:tcBorders>
              <w:top w:val="nil"/>
              <w:left w:val="nil"/>
              <w:bottom w:val="single" w:sz="4" w:space="0" w:color="auto"/>
              <w:right w:val="single" w:sz="4" w:space="0" w:color="auto"/>
            </w:tcBorders>
            <w:shd w:val="clear" w:color="auto" w:fill="auto"/>
            <w:vAlign w:val="center"/>
          </w:tcPr>
          <w:p w14:paraId="50D98324" w14:textId="4043343B" w:rsidR="00202E74" w:rsidRPr="008D3568" w:rsidRDefault="00202E74" w:rsidP="00202E74">
            <w:pPr>
              <w:rPr>
                <w:rFonts w:cs="Times New Roman"/>
                <w:sz w:val="16"/>
                <w:szCs w:val="16"/>
              </w:rPr>
            </w:pPr>
            <w:r>
              <w:rPr>
                <w:color w:val="000000"/>
                <w:sz w:val="16"/>
                <w:szCs w:val="16"/>
              </w:rPr>
              <w:t>434</w:t>
            </w:r>
          </w:p>
        </w:tc>
      </w:tr>
      <w:tr w:rsidR="00202E74" w:rsidRPr="008D3568" w14:paraId="6784A3C1" w14:textId="77777777" w:rsidTr="00772F4F">
        <w:tc>
          <w:tcPr>
            <w:tcW w:w="1532" w:type="dxa"/>
            <w:vMerge/>
            <w:tcBorders>
              <w:left w:val="single" w:sz="4" w:space="0" w:color="auto"/>
              <w:right w:val="single" w:sz="4" w:space="0" w:color="auto"/>
            </w:tcBorders>
            <w:vAlign w:val="center"/>
          </w:tcPr>
          <w:p w14:paraId="76C7E468" w14:textId="77777777" w:rsidR="00202E74" w:rsidRPr="008D3568" w:rsidRDefault="00202E74" w:rsidP="00202E74">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D925F91" w14:textId="0C91E673" w:rsidR="00202E74" w:rsidRPr="008D3568" w:rsidRDefault="00202E74" w:rsidP="00202E74">
            <w:pPr>
              <w:rPr>
                <w:rFonts w:cs="Times New Roman"/>
                <w:sz w:val="16"/>
                <w:szCs w:val="16"/>
              </w:rPr>
            </w:pPr>
            <w:r>
              <w:rPr>
                <w:color w:val="000000"/>
                <w:sz w:val="16"/>
                <w:szCs w:val="16"/>
              </w:rPr>
              <w:t>ofatumumab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23692C32" w14:textId="4A467515" w:rsidR="00202E74" w:rsidRPr="008D3568" w:rsidRDefault="00202E74" w:rsidP="00202E74">
            <w:pPr>
              <w:rPr>
                <w:rFonts w:cs="Times New Roman"/>
                <w:sz w:val="16"/>
                <w:szCs w:val="16"/>
              </w:rPr>
            </w:pPr>
            <w:r>
              <w:rPr>
                <w:color w:val="000000"/>
                <w:sz w:val="16"/>
                <w:szCs w:val="16"/>
              </w:rPr>
              <w:t>20 mg</w:t>
            </w:r>
            <w:r w:rsidR="005977E8">
              <w:rPr>
                <w:color w:val="000000"/>
                <w:sz w:val="16"/>
                <w:szCs w:val="16"/>
              </w:rPr>
              <w:t xml:space="preserve"> 4W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4D15102" w14:textId="6D2D58BE" w:rsidR="00202E74" w:rsidRPr="008D3568" w:rsidRDefault="00202E74" w:rsidP="00202E74">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D1D8135" w14:textId="283A80FB" w:rsidR="00202E74" w:rsidRPr="008D3568" w:rsidRDefault="00202E74" w:rsidP="00202E74">
            <w:pPr>
              <w:rPr>
                <w:rFonts w:cs="Times New Roman"/>
                <w:sz w:val="16"/>
                <w:szCs w:val="16"/>
              </w:rPr>
            </w:pPr>
            <w:r>
              <w:rPr>
                <w:color w:val="000000"/>
                <w:sz w:val="16"/>
                <w:szCs w:val="16"/>
              </w:rPr>
              <w:t>-0.7</w:t>
            </w:r>
            <w:r w:rsidR="00703A69">
              <w:rPr>
                <w:color w:val="000000"/>
                <w:sz w:val="16"/>
                <w:szCs w:val="16"/>
              </w:rPr>
              <w:t>3</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FF2B309" w14:textId="6772E26A" w:rsidR="00202E74" w:rsidRPr="008D3568" w:rsidRDefault="00202E74" w:rsidP="00202E74">
            <w:pPr>
              <w:rPr>
                <w:rFonts w:cs="Times New Roman"/>
                <w:sz w:val="16"/>
                <w:szCs w:val="16"/>
              </w:rPr>
            </w:pPr>
            <w:r>
              <w:rPr>
                <w:color w:val="000000"/>
                <w:sz w:val="16"/>
                <w:szCs w:val="16"/>
              </w:rPr>
              <w:t>0.</w:t>
            </w:r>
            <w:r w:rsidR="00703A69">
              <w:rPr>
                <w:color w:val="000000"/>
                <w:sz w:val="16"/>
                <w:szCs w:val="16"/>
              </w:rPr>
              <w:t>83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CCB1F83" w14:textId="073EC075" w:rsidR="00202E74" w:rsidRPr="008D3568" w:rsidRDefault="00202E74" w:rsidP="00202E74">
            <w:pPr>
              <w:rPr>
                <w:rFonts w:cs="Times New Roman"/>
                <w:sz w:val="16"/>
                <w:szCs w:val="16"/>
              </w:rPr>
            </w:pPr>
            <w:r>
              <w:rPr>
                <w:color w:val="000000"/>
                <w:sz w:val="16"/>
                <w:szCs w:val="16"/>
              </w:rPr>
              <w:t>437</w:t>
            </w:r>
          </w:p>
        </w:tc>
      </w:tr>
      <w:tr w:rsidR="00202E74" w:rsidRPr="008D3568" w14:paraId="2E41C794" w14:textId="77777777" w:rsidTr="00772F4F">
        <w:tc>
          <w:tcPr>
            <w:tcW w:w="1532" w:type="dxa"/>
            <w:vMerge/>
            <w:tcBorders>
              <w:left w:val="single" w:sz="4" w:space="0" w:color="auto"/>
              <w:bottom w:val="single" w:sz="4" w:space="0" w:color="auto"/>
              <w:right w:val="single" w:sz="4" w:space="0" w:color="auto"/>
            </w:tcBorders>
            <w:vAlign w:val="center"/>
          </w:tcPr>
          <w:p w14:paraId="668B01AC" w14:textId="77777777" w:rsidR="00202E74" w:rsidRPr="008D3568" w:rsidRDefault="00202E74" w:rsidP="00202E74">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DCC0629" w14:textId="24067DF3" w:rsidR="00202E74" w:rsidRPr="008D3568" w:rsidRDefault="00202E74" w:rsidP="00202E74">
            <w:pPr>
              <w:rPr>
                <w:rFonts w:cs="Times New Roman"/>
                <w:sz w:val="16"/>
                <w:szCs w:val="16"/>
              </w:rPr>
            </w:pPr>
            <w:r>
              <w:rPr>
                <w:color w:val="000000"/>
                <w:sz w:val="16"/>
                <w:szCs w:val="16"/>
              </w:rPr>
              <w:t>teriflunomide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17155B91" w14:textId="2EC075F2" w:rsidR="00202E74" w:rsidRPr="008D3568" w:rsidRDefault="00202E74" w:rsidP="00202E74">
            <w:pPr>
              <w:rPr>
                <w:rFonts w:cs="Times New Roman"/>
                <w:sz w:val="16"/>
                <w:szCs w:val="16"/>
              </w:rPr>
            </w:pPr>
            <w:r>
              <w:rPr>
                <w:color w:val="000000"/>
                <w:sz w:val="16"/>
                <w:szCs w:val="16"/>
              </w:rPr>
              <w:t>14 mg</w:t>
            </w:r>
            <w:r w:rsidR="005977E8">
              <w:rPr>
                <w:color w:val="000000"/>
                <w:sz w:val="16"/>
                <w:szCs w:val="16"/>
              </w:rPr>
              <w:t xml:space="preserve"> </w:t>
            </w:r>
            <w:proofErr w:type="spellStart"/>
            <w:r w:rsidR="005977E8">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9668924" w14:textId="0B2B2D8F" w:rsidR="00202E74" w:rsidRPr="008D3568" w:rsidRDefault="00202E74" w:rsidP="00202E74">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DA7FE25" w14:textId="3D64F66B" w:rsidR="00202E74" w:rsidRPr="008D3568" w:rsidRDefault="00202E74" w:rsidP="00202E74">
            <w:pPr>
              <w:rPr>
                <w:rFonts w:cs="Times New Roman"/>
                <w:sz w:val="16"/>
                <w:szCs w:val="16"/>
              </w:rPr>
            </w:pPr>
            <w:r>
              <w:rPr>
                <w:color w:val="000000"/>
                <w:sz w:val="16"/>
                <w:szCs w:val="16"/>
              </w:rPr>
              <w:t>-0.6</w:t>
            </w:r>
            <w:r w:rsidR="00703A69">
              <w:rPr>
                <w:color w:val="000000"/>
                <w:sz w:val="16"/>
                <w:szCs w:val="16"/>
              </w:rPr>
              <w:t>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0CDCA01" w14:textId="654E2EA7" w:rsidR="00202E74" w:rsidRPr="008D3568" w:rsidRDefault="00202E74" w:rsidP="00202E74">
            <w:pPr>
              <w:rPr>
                <w:rFonts w:cs="Times New Roman"/>
                <w:sz w:val="16"/>
                <w:szCs w:val="16"/>
              </w:rPr>
            </w:pPr>
            <w:r>
              <w:rPr>
                <w:color w:val="000000"/>
                <w:sz w:val="16"/>
                <w:szCs w:val="16"/>
              </w:rPr>
              <w:t>0.</w:t>
            </w:r>
            <w:r w:rsidR="00703A69">
              <w:rPr>
                <w:color w:val="000000"/>
                <w:sz w:val="16"/>
                <w:szCs w:val="16"/>
              </w:rPr>
              <w:t>79</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1CB45CE" w14:textId="3B7155C8" w:rsidR="00202E74" w:rsidRPr="008D3568" w:rsidRDefault="00202E74" w:rsidP="00202E74">
            <w:pPr>
              <w:rPr>
                <w:rFonts w:cs="Times New Roman"/>
                <w:sz w:val="16"/>
                <w:szCs w:val="16"/>
              </w:rPr>
            </w:pPr>
            <w:r>
              <w:rPr>
                <w:color w:val="000000"/>
                <w:sz w:val="16"/>
                <w:szCs w:val="16"/>
              </w:rPr>
              <w:t>434</w:t>
            </w:r>
          </w:p>
        </w:tc>
      </w:tr>
      <w:tr w:rsidR="00EC15B6" w:rsidRPr="008D3568" w14:paraId="6FD08659" w14:textId="77777777" w:rsidTr="00772F4F">
        <w:tc>
          <w:tcPr>
            <w:tcW w:w="1532" w:type="dxa"/>
            <w:vMerge w:val="restart"/>
            <w:tcBorders>
              <w:top w:val="nil"/>
              <w:left w:val="single" w:sz="4" w:space="0" w:color="auto"/>
              <w:right w:val="single" w:sz="4" w:space="0" w:color="auto"/>
            </w:tcBorders>
            <w:shd w:val="clear" w:color="auto" w:fill="auto"/>
            <w:vAlign w:val="center"/>
          </w:tcPr>
          <w:p w14:paraId="33A123A6" w14:textId="5113F035" w:rsidR="00EC15B6" w:rsidRPr="008D3568" w:rsidRDefault="00EC15B6" w:rsidP="00EC15B6">
            <w:pPr>
              <w:rPr>
                <w:rFonts w:cs="Times New Roman"/>
                <w:sz w:val="16"/>
                <w:szCs w:val="16"/>
              </w:rPr>
            </w:pPr>
            <w:r>
              <w:rPr>
                <w:color w:val="000000"/>
                <w:sz w:val="16"/>
                <w:szCs w:val="16"/>
              </w:rPr>
              <w:t>ASSESS</w:t>
            </w:r>
          </w:p>
        </w:tc>
        <w:tc>
          <w:tcPr>
            <w:tcW w:w="1503" w:type="dxa"/>
            <w:tcBorders>
              <w:top w:val="nil"/>
              <w:left w:val="single" w:sz="4" w:space="0" w:color="auto"/>
              <w:bottom w:val="single" w:sz="4" w:space="0" w:color="auto"/>
              <w:right w:val="single" w:sz="4" w:space="0" w:color="auto"/>
            </w:tcBorders>
            <w:shd w:val="clear" w:color="auto" w:fill="auto"/>
            <w:vAlign w:val="center"/>
          </w:tcPr>
          <w:p w14:paraId="47E171E5" w14:textId="457B0F15" w:rsidR="00EC15B6" w:rsidRPr="008D3568" w:rsidRDefault="00EC15B6" w:rsidP="00EC15B6">
            <w:pPr>
              <w:rPr>
                <w:rFonts w:cs="Times New Roman"/>
                <w:sz w:val="16"/>
                <w:szCs w:val="16"/>
              </w:rPr>
            </w:pPr>
            <w:r>
              <w:rPr>
                <w:color w:val="000000"/>
                <w:sz w:val="16"/>
                <w:szCs w:val="16"/>
              </w:rPr>
              <w:t>fingolimod</w:t>
            </w:r>
          </w:p>
        </w:tc>
        <w:tc>
          <w:tcPr>
            <w:tcW w:w="1272" w:type="dxa"/>
            <w:tcBorders>
              <w:top w:val="nil"/>
              <w:left w:val="nil"/>
              <w:bottom w:val="single" w:sz="4" w:space="0" w:color="auto"/>
              <w:right w:val="single" w:sz="4" w:space="0" w:color="auto"/>
            </w:tcBorders>
            <w:shd w:val="clear" w:color="auto" w:fill="auto"/>
            <w:vAlign w:val="center"/>
          </w:tcPr>
          <w:p w14:paraId="2EDB28D2" w14:textId="1E4250CE" w:rsidR="00EC15B6" w:rsidRPr="008D3568" w:rsidRDefault="00EC15B6" w:rsidP="00EC15B6">
            <w:pPr>
              <w:rPr>
                <w:rFonts w:cs="Times New Roman"/>
                <w:sz w:val="16"/>
                <w:szCs w:val="16"/>
              </w:rPr>
            </w:pPr>
            <w:r>
              <w:rPr>
                <w:color w:val="000000"/>
                <w:sz w:val="16"/>
                <w:szCs w:val="16"/>
              </w:rPr>
              <w:t>0.25</w:t>
            </w:r>
            <w:r w:rsidR="005000B9">
              <w:rPr>
                <w:color w:val="000000"/>
                <w:sz w:val="16"/>
                <w:szCs w:val="16"/>
              </w:rPr>
              <w:t xml:space="preserve"> mg</w:t>
            </w:r>
            <w:r w:rsidR="00F934EF">
              <w:rPr>
                <w:color w:val="000000"/>
                <w:sz w:val="16"/>
                <w:szCs w:val="16"/>
              </w:rPr>
              <w:t xml:space="preserve"> </w:t>
            </w:r>
            <w:proofErr w:type="spellStart"/>
            <w:r w:rsidR="00F934EF">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28B9D6D5" w14:textId="01BC3CDA" w:rsidR="00EC15B6" w:rsidRPr="008D3568" w:rsidRDefault="00EC15B6" w:rsidP="00EC15B6">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7C737B59" w14:textId="4F3F9F13" w:rsidR="00EC15B6" w:rsidRPr="008D3568" w:rsidRDefault="00EC15B6" w:rsidP="00EC15B6">
            <w:pPr>
              <w:rPr>
                <w:rFonts w:cs="Times New Roman"/>
                <w:sz w:val="16"/>
                <w:szCs w:val="16"/>
              </w:rPr>
            </w:pPr>
            <w:r>
              <w:rPr>
                <w:color w:val="000000"/>
                <w:sz w:val="16"/>
                <w:szCs w:val="16"/>
              </w:rPr>
              <w:t>-0.64</w:t>
            </w:r>
          </w:p>
        </w:tc>
        <w:tc>
          <w:tcPr>
            <w:tcW w:w="1104" w:type="dxa"/>
            <w:tcBorders>
              <w:top w:val="nil"/>
              <w:left w:val="nil"/>
              <w:bottom w:val="single" w:sz="4" w:space="0" w:color="auto"/>
              <w:right w:val="single" w:sz="4" w:space="0" w:color="auto"/>
            </w:tcBorders>
            <w:shd w:val="clear" w:color="auto" w:fill="auto"/>
            <w:vAlign w:val="center"/>
          </w:tcPr>
          <w:p w14:paraId="754FFA98" w14:textId="14BA018E" w:rsidR="00EC15B6" w:rsidRPr="008D3568" w:rsidRDefault="00EC15B6" w:rsidP="00EC15B6">
            <w:pPr>
              <w:rPr>
                <w:rFonts w:cs="Times New Roman"/>
                <w:sz w:val="16"/>
                <w:szCs w:val="16"/>
              </w:rPr>
            </w:pPr>
            <w:r>
              <w:rPr>
                <w:color w:val="000000"/>
                <w:sz w:val="16"/>
                <w:szCs w:val="16"/>
              </w:rPr>
              <w:t>0.81</w:t>
            </w:r>
          </w:p>
        </w:tc>
        <w:tc>
          <w:tcPr>
            <w:tcW w:w="1084" w:type="dxa"/>
            <w:tcBorders>
              <w:top w:val="nil"/>
              <w:left w:val="nil"/>
              <w:bottom w:val="single" w:sz="4" w:space="0" w:color="auto"/>
              <w:right w:val="single" w:sz="4" w:space="0" w:color="auto"/>
            </w:tcBorders>
            <w:shd w:val="clear" w:color="auto" w:fill="auto"/>
            <w:vAlign w:val="center"/>
          </w:tcPr>
          <w:p w14:paraId="184D7D67" w14:textId="5A43060B" w:rsidR="00EC15B6" w:rsidRPr="008D3568" w:rsidRDefault="00EC15B6" w:rsidP="00EC15B6">
            <w:pPr>
              <w:rPr>
                <w:rFonts w:cs="Times New Roman"/>
                <w:sz w:val="16"/>
                <w:szCs w:val="16"/>
              </w:rPr>
            </w:pPr>
            <w:r>
              <w:rPr>
                <w:color w:val="000000"/>
                <w:sz w:val="16"/>
                <w:szCs w:val="16"/>
              </w:rPr>
              <w:t>366</w:t>
            </w:r>
          </w:p>
        </w:tc>
      </w:tr>
      <w:tr w:rsidR="00EC15B6" w:rsidRPr="008D3568" w14:paraId="08FE8A68" w14:textId="77777777" w:rsidTr="00772F4F">
        <w:tc>
          <w:tcPr>
            <w:tcW w:w="1532" w:type="dxa"/>
            <w:vMerge/>
            <w:tcBorders>
              <w:left w:val="single" w:sz="4" w:space="0" w:color="auto"/>
              <w:right w:val="single" w:sz="4" w:space="0" w:color="auto"/>
            </w:tcBorders>
            <w:vAlign w:val="center"/>
          </w:tcPr>
          <w:p w14:paraId="2DBEEB6F"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05AD8C5" w14:textId="6B3052B6" w:rsidR="00EC15B6" w:rsidRPr="008D3568" w:rsidRDefault="00EC15B6" w:rsidP="00EC15B6">
            <w:pPr>
              <w:rPr>
                <w:rFonts w:cs="Times New Roman"/>
                <w:sz w:val="16"/>
                <w:szCs w:val="16"/>
              </w:rPr>
            </w:pPr>
            <w:r>
              <w:rPr>
                <w:color w:val="000000"/>
                <w:sz w:val="16"/>
                <w:szCs w:val="16"/>
              </w:rPr>
              <w:t>fingolimod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83AB012" w14:textId="59A54106" w:rsidR="00EC15B6" w:rsidRPr="008D3568" w:rsidRDefault="00EC15B6" w:rsidP="00EC15B6">
            <w:pPr>
              <w:rPr>
                <w:rFonts w:cs="Times New Roman"/>
                <w:sz w:val="16"/>
                <w:szCs w:val="16"/>
              </w:rPr>
            </w:pPr>
            <w:r>
              <w:rPr>
                <w:color w:val="000000"/>
                <w:sz w:val="16"/>
                <w:szCs w:val="16"/>
              </w:rPr>
              <w:t>0.5</w:t>
            </w:r>
            <w:r w:rsidR="005000B9">
              <w:rPr>
                <w:color w:val="000000"/>
                <w:sz w:val="16"/>
                <w:szCs w:val="16"/>
              </w:rPr>
              <w:t xml:space="preserve"> mg</w:t>
            </w:r>
            <w:r w:rsidR="00F934EF">
              <w:rPr>
                <w:color w:val="000000"/>
                <w:sz w:val="16"/>
                <w:szCs w:val="16"/>
              </w:rPr>
              <w:t xml:space="preserve"> </w:t>
            </w:r>
            <w:proofErr w:type="spellStart"/>
            <w:r w:rsidR="00F934EF">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E816659" w14:textId="627EA641" w:rsidR="00EC15B6" w:rsidRPr="008D3568" w:rsidRDefault="00EC15B6" w:rsidP="00EC15B6">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5404CEE" w14:textId="7DEEF6F9" w:rsidR="00EC15B6" w:rsidRPr="008D3568" w:rsidRDefault="00EC15B6" w:rsidP="00EC15B6">
            <w:pPr>
              <w:rPr>
                <w:rFonts w:cs="Times New Roman"/>
                <w:sz w:val="16"/>
                <w:szCs w:val="16"/>
              </w:rPr>
            </w:pPr>
            <w:r>
              <w:rPr>
                <w:color w:val="000000"/>
                <w:sz w:val="16"/>
                <w:szCs w:val="16"/>
              </w:rPr>
              <w:t>-0.65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ED4362E" w14:textId="47A1DC90" w:rsidR="00EC15B6" w:rsidRPr="008D3568" w:rsidRDefault="00EC15B6" w:rsidP="00EC15B6">
            <w:pPr>
              <w:rPr>
                <w:rFonts w:cs="Times New Roman"/>
                <w:sz w:val="16"/>
                <w:szCs w:val="16"/>
              </w:rPr>
            </w:pPr>
            <w:r>
              <w:rPr>
                <w:color w:val="000000"/>
                <w:sz w:val="16"/>
                <w:szCs w:val="16"/>
              </w:rPr>
              <w:t>0.78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E2F55E1" w14:textId="73538862" w:rsidR="00EC15B6" w:rsidRPr="008D3568" w:rsidRDefault="00EC15B6" w:rsidP="00EC15B6">
            <w:pPr>
              <w:rPr>
                <w:rFonts w:cs="Times New Roman"/>
                <w:sz w:val="16"/>
                <w:szCs w:val="16"/>
              </w:rPr>
            </w:pPr>
            <w:r>
              <w:rPr>
                <w:color w:val="000000"/>
                <w:sz w:val="16"/>
                <w:szCs w:val="16"/>
              </w:rPr>
              <w:t>345</w:t>
            </w:r>
          </w:p>
        </w:tc>
      </w:tr>
      <w:tr w:rsidR="00EC15B6" w:rsidRPr="008D3568" w14:paraId="4B9A0715" w14:textId="77777777" w:rsidTr="00772F4F">
        <w:tc>
          <w:tcPr>
            <w:tcW w:w="1532" w:type="dxa"/>
            <w:vMerge/>
            <w:tcBorders>
              <w:left w:val="single" w:sz="4" w:space="0" w:color="auto"/>
              <w:bottom w:val="single" w:sz="4" w:space="0" w:color="auto"/>
              <w:right w:val="single" w:sz="4" w:space="0" w:color="auto"/>
            </w:tcBorders>
            <w:vAlign w:val="center"/>
          </w:tcPr>
          <w:p w14:paraId="28108050"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C17504F" w14:textId="3CCB12B2" w:rsidR="00EC15B6" w:rsidRPr="008D3568" w:rsidRDefault="00EC15B6" w:rsidP="00EC15B6">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570B8F8" w14:textId="242B195C" w:rsidR="00EC15B6" w:rsidRPr="008D3568" w:rsidRDefault="00EC15B6" w:rsidP="00EC15B6">
            <w:pPr>
              <w:rPr>
                <w:rFonts w:cs="Times New Roman"/>
                <w:sz w:val="16"/>
                <w:szCs w:val="16"/>
              </w:rPr>
            </w:pPr>
            <w:r>
              <w:rPr>
                <w:color w:val="000000"/>
                <w:sz w:val="16"/>
                <w:szCs w:val="16"/>
              </w:rPr>
              <w:t>20</w:t>
            </w:r>
            <w:r w:rsidR="005000B9">
              <w:rPr>
                <w:color w:val="000000"/>
                <w:sz w:val="16"/>
                <w:szCs w:val="16"/>
              </w:rPr>
              <w:t xml:space="preserve"> </w:t>
            </w:r>
            <w:r w:rsidR="007635A2">
              <w:rPr>
                <w:color w:val="000000"/>
                <w:sz w:val="16"/>
                <w:szCs w:val="16"/>
              </w:rPr>
              <w:t>mg</w:t>
            </w:r>
            <w:r w:rsidR="00F934EF">
              <w:rPr>
                <w:color w:val="000000"/>
                <w:sz w:val="16"/>
                <w:szCs w:val="16"/>
              </w:rPr>
              <w:t xml:space="preserve"> </w:t>
            </w:r>
            <w:proofErr w:type="spellStart"/>
            <w:r w:rsidR="00F934EF">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074ECDF" w14:textId="2FBC1611" w:rsidR="00EC15B6" w:rsidRPr="008D3568" w:rsidRDefault="00EC15B6" w:rsidP="00EC15B6">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0AFD444" w14:textId="7631079A" w:rsidR="00EC15B6" w:rsidRPr="008D3568" w:rsidRDefault="00EC15B6" w:rsidP="00EC15B6">
            <w:pPr>
              <w:rPr>
                <w:rFonts w:cs="Times New Roman"/>
                <w:sz w:val="16"/>
                <w:szCs w:val="16"/>
              </w:rPr>
            </w:pPr>
            <w:r>
              <w:rPr>
                <w:color w:val="000000"/>
                <w:sz w:val="16"/>
                <w:szCs w:val="16"/>
              </w:rPr>
              <w:t>-0.56</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46F29D1" w14:textId="07934037" w:rsidR="00EC15B6" w:rsidRPr="008D3568" w:rsidRDefault="00EC15B6" w:rsidP="00EC15B6">
            <w:pPr>
              <w:rPr>
                <w:rFonts w:cs="Times New Roman"/>
                <w:sz w:val="16"/>
                <w:szCs w:val="16"/>
              </w:rPr>
            </w:pPr>
            <w:r>
              <w:rPr>
                <w:color w:val="000000"/>
                <w:sz w:val="16"/>
                <w:szCs w:val="16"/>
              </w:rPr>
              <w:t>0.78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7A40D2B" w14:textId="7876AEFD" w:rsidR="00EC15B6" w:rsidRPr="008D3568" w:rsidRDefault="00EC15B6" w:rsidP="00EC15B6">
            <w:pPr>
              <w:rPr>
                <w:rFonts w:cs="Times New Roman"/>
                <w:sz w:val="16"/>
                <w:szCs w:val="16"/>
              </w:rPr>
            </w:pPr>
            <w:r>
              <w:rPr>
                <w:color w:val="000000"/>
                <w:sz w:val="16"/>
                <w:szCs w:val="16"/>
              </w:rPr>
              <w:t>324</w:t>
            </w:r>
          </w:p>
        </w:tc>
      </w:tr>
      <w:tr w:rsidR="00EC15B6" w:rsidRPr="008D3568" w14:paraId="19648D90" w14:textId="77777777" w:rsidTr="00772F4F">
        <w:tc>
          <w:tcPr>
            <w:tcW w:w="1532" w:type="dxa"/>
            <w:vMerge w:val="restart"/>
            <w:tcBorders>
              <w:top w:val="nil"/>
              <w:left w:val="single" w:sz="4" w:space="0" w:color="auto"/>
              <w:right w:val="single" w:sz="4" w:space="0" w:color="auto"/>
            </w:tcBorders>
            <w:shd w:val="clear" w:color="auto" w:fill="auto"/>
            <w:vAlign w:val="center"/>
          </w:tcPr>
          <w:p w14:paraId="6F0E9003" w14:textId="5757C539" w:rsidR="00EC15B6" w:rsidRPr="008D3568" w:rsidRDefault="00EC15B6" w:rsidP="00EC15B6">
            <w:pPr>
              <w:rPr>
                <w:rFonts w:cs="Times New Roman"/>
                <w:sz w:val="16"/>
                <w:szCs w:val="16"/>
              </w:rPr>
            </w:pPr>
            <w:r>
              <w:rPr>
                <w:color w:val="000000"/>
                <w:sz w:val="16"/>
                <w:szCs w:val="16"/>
              </w:rPr>
              <w:t>BEYOND</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CB7A5B3" w14:textId="105E30CE" w:rsidR="00EC15B6" w:rsidRPr="008D3568" w:rsidRDefault="00EC15B6" w:rsidP="00EC15B6">
            <w:pPr>
              <w:rPr>
                <w:rFonts w:cs="Times New Roman"/>
                <w:sz w:val="16"/>
                <w:szCs w:val="16"/>
              </w:rPr>
            </w:pPr>
            <w:r>
              <w:rPr>
                <w:color w:val="000000"/>
                <w:sz w:val="16"/>
                <w:szCs w:val="16"/>
              </w:rPr>
              <w:t>IFNβ-1b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C5C7900" w14:textId="222F2AF3" w:rsidR="00EC15B6" w:rsidRPr="008D3568" w:rsidRDefault="00EC15B6" w:rsidP="00EC15B6">
            <w:pPr>
              <w:rPr>
                <w:rFonts w:cs="Times New Roman"/>
                <w:sz w:val="16"/>
                <w:szCs w:val="16"/>
              </w:rPr>
            </w:pPr>
            <w:r>
              <w:rPr>
                <w:color w:val="000000"/>
                <w:sz w:val="16"/>
                <w:szCs w:val="16"/>
              </w:rPr>
              <w:t>250</w:t>
            </w:r>
            <w:r w:rsidR="001D4F27">
              <w:t xml:space="preserve"> </w:t>
            </w:r>
            <w:r w:rsidR="001D4F27" w:rsidRPr="008736FB">
              <w:rPr>
                <w:color w:val="000000"/>
                <w:sz w:val="16"/>
                <w:szCs w:val="16"/>
              </w:rPr>
              <w:t>µg</w:t>
            </w:r>
            <w:r w:rsidR="008169C4">
              <w:rPr>
                <w:color w:val="000000"/>
                <w:sz w:val="16"/>
                <w:szCs w:val="16"/>
              </w:rPr>
              <w:t xml:space="preserve"> </w:t>
            </w:r>
            <w:proofErr w:type="spellStart"/>
            <w:r w:rsidR="008169C4">
              <w:rPr>
                <w:color w:val="000000"/>
                <w:sz w:val="16"/>
                <w:szCs w:val="16"/>
              </w:rPr>
              <w:t>qod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29ADEF4" w14:textId="1A05F7D4"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A67E3F9" w14:textId="3696929D" w:rsidR="00EC15B6" w:rsidRPr="008D3568" w:rsidRDefault="00EC15B6" w:rsidP="00EC15B6">
            <w:pPr>
              <w:rPr>
                <w:rFonts w:cs="Times New Roman"/>
                <w:sz w:val="16"/>
                <w:szCs w:val="16"/>
              </w:rPr>
            </w:pPr>
            <w:r>
              <w:rPr>
                <w:color w:val="000000"/>
                <w:sz w:val="16"/>
                <w:szCs w:val="16"/>
              </w:rPr>
              <w:t>-0.65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5EA19D2C" w14:textId="625DFDF7" w:rsidR="00EC15B6" w:rsidRPr="008D3568" w:rsidRDefault="007111D2" w:rsidP="00EC15B6">
            <w:pPr>
              <w:rPr>
                <w:rFonts w:cs="Times New Roman"/>
                <w:sz w:val="16"/>
                <w:szCs w:val="16"/>
              </w:rPr>
            </w:pPr>
            <w:r>
              <w:rPr>
                <w:color w:val="000000"/>
                <w:sz w:val="16"/>
                <w:szCs w:val="16"/>
              </w:rPr>
              <w:t>Imputed; 1.05</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9179964" w14:textId="698E483D" w:rsidR="00EC15B6" w:rsidRPr="008D3568" w:rsidRDefault="00EC15B6" w:rsidP="00EC15B6">
            <w:pPr>
              <w:rPr>
                <w:rFonts w:cs="Times New Roman"/>
                <w:sz w:val="16"/>
                <w:szCs w:val="16"/>
              </w:rPr>
            </w:pPr>
            <w:r>
              <w:rPr>
                <w:color w:val="000000"/>
                <w:sz w:val="16"/>
                <w:szCs w:val="16"/>
              </w:rPr>
              <w:t>897</w:t>
            </w:r>
          </w:p>
        </w:tc>
      </w:tr>
      <w:tr w:rsidR="00EC15B6" w:rsidRPr="008D3568" w14:paraId="62E1A8E2" w14:textId="77777777" w:rsidTr="00772F4F">
        <w:tc>
          <w:tcPr>
            <w:tcW w:w="1532" w:type="dxa"/>
            <w:vMerge/>
            <w:tcBorders>
              <w:left w:val="single" w:sz="4" w:space="0" w:color="auto"/>
              <w:right w:val="single" w:sz="4" w:space="0" w:color="auto"/>
            </w:tcBorders>
            <w:vAlign w:val="center"/>
          </w:tcPr>
          <w:p w14:paraId="41978715" w14:textId="77777777" w:rsidR="00EC15B6" w:rsidRPr="008D3568" w:rsidRDefault="00EC15B6" w:rsidP="00EC15B6">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6D260C30" w14:textId="5F95DADE" w:rsidR="00EC15B6" w:rsidRPr="008D3568" w:rsidRDefault="00EC15B6" w:rsidP="00EC15B6">
            <w:pPr>
              <w:rPr>
                <w:rFonts w:cs="Times New Roman"/>
                <w:sz w:val="16"/>
                <w:szCs w:val="16"/>
              </w:rPr>
            </w:pPr>
            <w:r>
              <w:rPr>
                <w:color w:val="000000"/>
                <w:sz w:val="16"/>
                <w:szCs w:val="16"/>
              </w:rPr>
              <w:t>IFNβ-1b</w:t>
            </w:r>
          </w:p>
        </w:tc>
        <w:tc>
          <w:tcPr>
            <w:tcW w:w="1272" w:type="dxa"/>
            <w:tcBorders>
              <w:top w:val="nil"/>
              <w:left w:val="nil"/>
              <w:bottom w:val="single" w:sz="4" w:space="0" w:color="auto"/>
              <w:right w:val="single" w:sz="4" w:space="0" w:color="auto"/>
            </w:tcBorders>
            <w:shd w:val="clear" w:color="auto" w:fill="auto"/>
            <w:vAlign w:val="center"/>
          </w:tcPr>
          <w:p w14:paraId="67AE8C4A" w14:textId="0645FB7F" w:rsidR="00EC15B6" w:rsidRPr="008D3568" w:rsidRDefault="00EC15B6" w:rsidP="00EC15B6">
            <w:pPr>
              <w:rPr>
                <w:rFonts w:cs="Times New Roman"/>
                <w:sz w:val="16"/>
                <w:szCs w:val="16"/>
              </w:rPr>
            </w:pPr>
            <w:r>
              <w:rPr>
                <w:color w:val="000000"/>
                <w:sz w:val="16"/>
                <w:szCs w:val="16"/>
              </w:rPr>
              <w:t>500</w:t>
            </w:r>
            <w:r w:rsidR="001D4F27">
              <w:t xml:space="preserve"> </w:t>
            </w:r>
            <w:r w:rsidR="001D4F27" w:rsidRPr="008736FB">
              <w:rPr>
                <w:color w:val="000000"/>
                <w:sz w:val="16"/>
                <w:szCs w:val="16"/>
              </w:rPr>
              <w:t>µg</w:t>
            </w:r>
            <w:r w:rsidR="008169C4">
              <w:rPr>
                <w:color w:val="000000"/>
                <w:sz w:val="16"/>
                <w:szCs w:val="16"/>
              </w:rPr>
              <w:t xml:space="preserve"> </w:t>
            </w:r>
            <w:proofErr w:type="spellStart"/>
            <w:r w:rsidR="008169C4">
              <w:rPr>
                <w:color w:val="000000"/>
                <w:sz w:val="16"/>
                <w:szCs w:val="16"/>
              </w:rPr>
              <w:t>qod</w:t>
            </w:r>
            <w:proofErr w:type="spellEnd"/>
          </w:p>
        </w:tc>
        <w:tc>
          <w:tcPr>
            <w:tcW w:w="1708" w:type="dxa"/>
            <w:tcBorders>
              <w:top w:val="nil"/>
              <w:left w:val="nil"/>
              <w:bottom w:val="single" w:sz="4" w:space="0" w:color="auto"/>
              <w:right w:val="single" w:sz="4" w:space="0" w:color="auto"/>
            </w:tcBorders>
            <w:shd w:val="clear" w:color="auto" w:fill="auto"/>
            <w:vAlign w:val="center"/>
          </w:tcPr>
          <w:p w14:paraId="2E48E0A7" w14:textId="01282D3C" w:rsidR="00EC15B6" w:rsidRPr="008D3568" w:rsidRDefault="00EC15B6" w:rsidP="00EC15B6">
            <w:pPr>
              <w:rPr>
                <w:rFonts w:cs="Times New Roman"/>
                <w:sz w:val="16"/>
                <w:szCs w:val="16"/>
              </w:rPr>
            </w:pPr>
            <w:r>
              <w:rPr>
                <w:color w:val="000000"/>
                <w:sz w:val="16"/>
                <w:szCs w:val="16"/>
              </w:rPr>
              <w:t>104</w:t>
            </w:r>
          </w:p>
        </w:tc>
        <w:tc>
          <w:tcPr>
            <w:tcW w:w="1147" w:type="dxa"/>
            <w:tcBorders>
              <w:top w:val="nil"/>
              <w:left w:val="nil"/>
              <w:bottom w:val="single" w:sz="4" w:space="0" w:color="auto"/>
              <w:right w:val="single" w:sz="4" w:space="0" w:color="auto"/>
            </w:tcBorders>
            <w:shd w:val="clear" w:color="auto" w:fill="auto"/>
            <w:vAlign w:val="center"/>
          </w:tcPr>
          <w:p w14:paraId="3CDF447B" w14:textId="4FEEA67F" w:rsidR="00EC15B6" w:rsidRPr="008D3568" w:rsidRDefault="00EC15B6" w:rsidP="00EC15B6">
            <w:pPr>
              <w:rPr>
                <w:rFonts w:cs="Times New Roman"/>
                <w:sz w:val="16"/>
                <w:szCs w:val="16"/>
              </w:rPr>
            </w:pPr>
            <w:r>
              <w:rPr>
                <w:color w:val="000000"/>
                <w:sz w:val="16"/>
                <w:szCs w:val="16"/>
              </w:rPr>
              <w:t>-0.64</w:t>
            </w:r>
          </w:p>
        </w:tc>
        <w:tc>
          <w:tcPr>
            <w:tcW w:w="1104" w:type="dxa"/>
            <w:tcBorders>
              <w:top w:val="nil"/>
              <w:left w:val="nil"/>
              <w:bottom w:val="single" w:sz="4" w:space="0" w:color="auto"/>
              <w:right w:val="single" w:sz="4" w:space="0" w:color="auto"/>
            </w:tcBorders>
            <w:shd w:val="clear" w:color="auto" w:fill="auto"/>
            <w:vAlign w:val="center"/>
          </w:tcPr>
          <w:p w14:paraId="5C52E60B" w14:textId="50C53E67" w:rsidR="00EC15B6" w:rsidRPr="008D3568" w:rsidRDefault="007111D2" w:rsidP="00EC15B6">
            <w:pPr>
              <w:rPr>
                <w:rFonts w:cs="Times New Roman"/>
                <w:sz w:val="16"/>
                <w:szCs w:val="16"/>
              </w:rPr>
            </w:pPr>
            <w:r>
              <w:rPr>
                <w:sz w:val="16"/>
                <w:szCs w:val="16"/>
              </w:rPr>
              <w:t>Imputed; 1.05</w:t>
            </w:r>
          </w:p>
        </w:tc>
        <w:tc>
          <w:tcPr>
            <w:tcW w:w="1084" w:type="dxa"/>
            <w:tcBorders>
              <w:top w:val="nil"/>
              <w:left w:val="nil"/>
              <w:bottom w:val="single" w:sz="4" w:space="0" w:color="auto"/>
              <w:right w:val="single" w:sz="4" w:space="0" w:color="auto"/>
            </w:tcBorders>
            <w:shd w:val="clear" w:color="auto" w:fill="auto"/>
            <w:vAlign w:val="center"/>
          </w:tcPr>
          <w:p w14:paraId="73501925" w14:textId="715A8D5D" w:rsidR="00EC15B6" w:rsidRPr="008D3568" w:rsidRDefault="00EC15B6" w:rsidP="00EC15B6">
            <w:pPr>
              <w:rPr>
                <w:rFonts w:cs="Times New Roman"/>
                <w:sz w:val="16"/>
                <w:szCs w:val="16"/>
              </w:rPr>
            </w:pPr>
            <w:r>
              <w:rPr>
                <w:color w:val="000000"/>
                <w:sz w:val="16"/>
                <w:szCs w:val="16"/>
              </w:rPr>
              <w:t>899</w:t>
            </w:r>
          </w:p>
        </w:tc>
      </w:tr>
      <w:tr w:rsidR="00EC15B6" w:rsidRPr="008D3568" w14:paraId="0F93AB65" w14:textId="77777777" w:rsidTr="00772F4F">
        <w:tc>
          <w:tcPr>
            <w:tcW w:w="1532" w:type="dxa"/>
            <w:vMerge/>
            <w:tcBorders>
              <w:left w:val="single" w:sz="4" w:space="0" w:color="auto"/>
              <w:bottom w:val="single" w:sz="4" w:space="0" w:color="auto"/>
              <w:right w:val="single" w:sz="4" w:space="0" w:color="auto"/>
            </w:tcBorders>
            <w:vAlign w:val="center"/>
          </w:tcPr>
          <w:p w14:paraId="0618DD77"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02F4DF46" w14:textId="7CECEE97" w:rsidR="00EC15B6" w:rsidRPr="008D3568" w:rsidRDefault="00EC15B6" w:rsidP="00EC15B6">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7262706" w14:textId="69D162EF" w:rsidR="00EC15B6" w:rsidRPr="008D3568" w:rsidRDefault="00EC15B6" w:rsidP="00EC15B6">
            <w:pPr>
              <w:rPr>
                <w:rFonts w:cs="Times New Roman"/>
                <w:sz w:val="16"/>
                <w:szCs w:val="16"/>
              </w:rPr>
            </w:pPr>
            <w:r>
              <w:rPr>
                <w:color w:val="000000"/>
                <w:sz w:val="16"/>
                <w:szCs w:val="16"/>
              </w:rPr>
              <w:t>20</w:t>
            </w:r>
            <w:r w:rsidR="00FA6323">
              <w:rPr>
                <w:color w:val="000000"/>
                <w:sz w:val="16"/>
                <w:szCs w:val="16"/>
              </w:rPr>
              <w:t xml:space="preserve"> mg</w:t>
            </w:r>
            <w:r w:rsidR="008169C4">
              <w:rPr>
                <w:color w:val="000000"/>
                <w:sz w:val="16"/>
                <w:szCs w:val="16"/>
              </w:rPr>
              <w:t xml:space="preserve"> </w:t>
            </w:r>
            <w:proofErr w:type="spellStart"/>
            <w:r w:rsidR="008169C4">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5DB3B333" w14:textId="7C769970"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1EE87D4" w14:textId="4CA4A987" w:rsidR="00EC15B6" w:rsidRPr="008D3568" w:rsidRDefault="00EC15B6" w:rsidP="00EC15B6">
            <w:pPr>
              <w:rPr>
                <w:rFonts w:cs="Times New Roman"/>
                <w:sz w:val="16"/>
                <w:szCs w:val="16"/>
              </w:rPr>
            </w:pPr>
            <w:r>
              <w:rPr>
                <w:color w:val="000000"/>
                <w:sz w:val="16"/>
                <w:szCs w:val="16"/>
              </w:rPr>
              <w:t>-0.61</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6DDB88A" w14:textId="64DFFD99" w:rsidR="00EC15B6" w:rsidRPr="008D3568" w:rsidRDefault="007111D2" w:rsidP="00EC15B6">
            <w:pPr>
              <w:rPr>
                <w:rFonts w:cs="Times New Roman"/>
                <w:sz w:val="16"/>
                <w:szCs w:val="16"/>
              </w:rPr>
            </w:pPr>
            <w:r>
              <w:rPr>
                <w:sz w:val="16"/>
                <w:szCs w:val="16"/>
              </w:rPr>
              <w:t>Imputed; 1.04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2FD6EE2" w14:textId="3233D0AA" w:rsidR="00EC15B6" w:rsidRPr="008D3568" w:rsidRDefault="00EC15B6" w:rsidP="00EC15B6">
            <w:pPr>
              <w:rPr>
                <w:rFonts w:cs="Times New Roman"/>
                <w:sz w:val="16"/>
                <w:szCs w:val="16"/>
              </w:rPr>
            </w:pPr>
            <w:r>
              <w:rPr>
                <w:color w:val="000000"/>
                <w:sz w:val="16"/>
                <w:szCs w:val="16"/>
              </w:rPr>
              <w:t>448</w:t>
            </w:r>
          </w:p>
        </w:tc>
      </w:tr>
      <w:tr w:rsidR="00EC15B6" w:rsidRPr="008D3568" w14:paraId="4D62AA9A" w14:textId="77777777" w:rsidTr="00772F4F">
        <w:tc>
          <w:tcPr>
            <w:tcW w:w="1532" w:type="dxa"/>
            <w:vMerge w:val="restart"/>
            <w:tcBorders>
              <w:top w:val="nil"/>
              <w:left w:val="single" w:sz="4" w:space="0" w:color="auto"/>
              <w:right w:val="single" w:sz="4" w:space="0" w:color="auto"/>
            </w:tcBorders>
            <w:shd w:val="clear" w:color="auto" w:fill="auto"/>
            <w:vAlign w:val="center"/>
          </w:tcPr>
          <w:p w14:paraId="2F230C9F" w14:textId="03B9F7CF" w:rsidR="00EC15B6" w:rsidRPr="008D3568" w:rsidRDefault="00EC15B6" w:rsidP="00EC15B6">
            <w:pPr>
              <w:rPr>
                <w:rFonts w:cs="Times New Roman"/>
                <w:sz w:val="16"/>
                <w:szCs w:val="16"/>
              </w:rPr>
            </w:pPr>
            <w:r>
              <w:rPr>
                <w:color w:val="000000"/>
                <w:sz w:val="16"/>
                <w:szCs w:val="16"/>
              </w:rPr>
              <w:t>BRAVO</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EA7FBD0" w14:textId="7A2386EA" w:rsidR="00EC15B6" w:rsidRPr="008D3568" w:rsidRDefault="00EA23EE" w:rsidP="00EC15B6">
            <w:pPr>
              <w:rPr>
                <w:rFonts w:cs="Times New Roman"/>
                <w:sz w:val="16"/>
                <w:szCs w:val="16"/>
              </w:rPr>
            </w:pPr>
            <w:r>
              <w:rPr>
                <w:color w:val="000000"/>
                <w:sz w:val="16"/>
                <w:szCs w:val="16"/>
              </w:rPr>
              <w:t>p</w:t>
            </w:r>
            <w:r w:rsidR="00EC15B6">
              <w:rPr>
                <w:color w:val="000000"/>
                <w:sz w:val="16"/>
                <w:szCs w:val="16"/>
              </w:rPr>
              <w:t>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D74426A" w14:textId="16591390" w:rsidR="00EC15B6" w:rsidRPr="008D3568" w:rsidRDefault="00EC15B6" w:rsidP="00EC15B6">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024AD0F" w14:textId="0C4A6897"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A0FD60B" w14:textId="60DA4EB9" w:rsidR="00EC15B6" w:rsidRPr="008D3568" w:rsidRDefault="00EC15B6" w:rsidP="00EC15B6">
            <w:pPr>
              <w:rPr>
                <w:rFonts w:cs="Times New Roman"/>
                <w:sz w:val="16"/>
                <w:szCs w:val="16"/>
              </w:rPr>
            </w:pPr>
            <w:r>
              <w:rPr>
                <w:color w:val="000000"/>
                <w:sz w:val="16"/>
                <w:szCs w:val="16"/>
              </w:rPr>
              <w:t>-1.03</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C932350" w14:textId="6BE551A0" w:rsidR="00EC15B6" w:rsidRPr="008D3568" w:rsidRDefault="00EC15B6" w:rsidP="00EC15B6">
            <w:pPr>
              <w:rPr>
                <w:rFonts w:cs="Times New Roman"/>
                <w:sz w:val="16"/>
                <w:szCs w:val="16"/>
              </w:rPr>
            </w:pPr>
            <w:r>
              <w:rPr>
                <w:color w:val="000000"/>
                <w:sz w:val="16"/>
                <w:szCs w:val="16"/>
              </w:rPr>
              <w:t>1.27</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3BE7A32" w14:textId="6738D65D" w:rsidR="00EC15B6" w:rsidRPr="008D3568" w:rsidRDefault="00EC15B6" w:rsidP="00EC15B6">
            <w:pPr>
              <w:rPr>
                <w:rFonts w:cs="Times New Roman"/>
                <w:sz w:val="16"/>
                <w:szCs w:val="16"/>
              </w:rPr>
            </w:pPr>
            <w:r>
              <w:rPr>
                <w:color w:val="000000"/>
                <w:sz w:val="16"/>
                <w:szCs w:val="16"/>
              </w:rPr>
              <w:t>450</w:t>
            </w:r>
          </w:p>
        </w:tc>
      </w:tr>
      <w:tr w:rsidR="00EC15B6" w:rsidRPr="008D3568" w14:paraId="54C8B56F" w14:textId="77777777" w:rsidTr="00772F4F">
        <w:tc>
          <w:tcPr>
            <w:tcW w:w="1532" w:type="dxa"/>
            <w:vMerge/>
            <w:tcBorders>
              <w:left w:val="single" w:sz="4" w:space="0" w:color="auto"/>
              <w:bottom w:val="single" w:sz="4" w:space="0" w:color="auto"/>
              <w:right w:val="single" w:sz="4" w:space="0" w:color="auto"/>
            </w:tcBorders>
            <w:vAlign w:val="center"/>
          </w:tcPr>
          <w:p w14:paraId="5D37B900"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DC113C9" w14:textId="1DA0C544" w:rsidR="00EC15B6" w:rsidRPr="008D3568" w:rsidRDefault="00EC15B6" w:rsidP="00EC15B6">
            <w:pPr>
              <w:rPr>
                <w:rFonts w:cs="Times New Roman"/>
                <w:sz w:val="16"/>
                <w:szCs w:val="16"/>
              </w:rPr>
            </w:pPr>
            <w:r>
              <w:rPr>
                <w:color w:val="000000"/>
                <w:sz w:val="16"/>
                <w:szCs w:val="16"/>
              </w:rPr>
              <w:t>IFNβ-1a IM</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320D73E" w14:textId="478C45EB" w:rsidR="00EC15B6" w:rsidRPr="008D3568" w:rsidRDefault="00EC15B6" w:rsidP="00EC15B6">
            <w:pPr>
              <w:rPr>
                <w:rFonts w:cs="Times New Roman"/>
                <w:sz w:val="16"/>
                <w:szCs w:val="16"/>
              </w:rPr>
            </w:pPr>
            <w:r>
              <w:rPr>
                <w:color w:val="000000"/>
                <w:sz w:val="16"/>
                <w:szCs w:val="16"/>
              </w:rPr>
              <w:t>30</w:t>
            </w:r>
            <w:r w:rsidR="00963325" w:rsidRPr="008736FB">
              <w:rPr>
                <w:color w:val="000000"/>
                <w:sz w:val="16"/>
                <w:szCs w:val="16"/>
              </w:rPr>
              <w:t xml:space="preserve"> µg</w:t>
            </w:r>
            <w:r w:rsidR="00EA0A0C">
              <w:rPr>
                <w:color w:val="000000"/>
                <w:sz w:val="16"/>
                <w:szCs w:val="16"/>
              </w:rPr>
              <w:t xml:space="preserve"> IM </w:t>
            </w:r>
            <w:proofErr w:type="spellStart"/>
            <w:r w:rsidR="00824EC4">
              <w:rPr>
                <w:color w:val="000000"/>
                <w:sz w:val="16"/>
                <w:szCs w:val="16"/>
              </w:rPr>
              <w:t>qw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DEE3B78" w14:textId="0D651D4D" w:rsidR="00EC15B6" w:rsidRPr="008D3568" w:rsidRDefault="00EC15B6" w:rsidP="00EC15B6">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76C2B30" w14:textId="591D6314" w:rsidR="00EC15B6" w:rsidRPr="008D3568" w:rsidRDefault="00EC15B6" w:rsidP="00EC15B6">
            <w:pPr>
              <w:rPr>
                <w:rFonts w:cs="Times New Roman"/>
                <w:sz w:val="16"/>
                <w:szCs w:val="16"/>
              </w:rPr>
            </w:pPr>
            <w:r>
              <w:rPr>
                <w:color w:val="000000"/>
                <w:sz w:val="16"/>
                <w:szCs w:val="16"/>
              </w:rPr>
              <w:t>-1.14</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5BC17394" w14:textId="531557C1" w:rsidR="00EC15B6" w:rsidRPr="008D3568" w:rsidRDefault="00EC15B6" w:rsidP="00EC15B6">
            <w:pPr>
              <w:rPr>
                <w:rFonts w:cs="Times New Roman"/>
                <w:sz w:val="16"/>
                <w:szCs w:val="16"/>
              </w:rPr>
            </w:pPr>
            <w:r>
              <w:rPr>
                <w:color w:val="000000"/>
                <w:sz w:val="16"/>
                <w:szCs w:val="16"/>
              </w:rPr>
              <w:t>1.27</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77BD5E0" w14:textId="12420632" w:rsidR="00EC15B6" w:rsidRPr="008D3568" w:rsidRDefault="00EC15B6" w:rsidP="00EC15B6">
            <w:pPr>
              <w:rPr>
                <w:rFonts w:cs="Times New Roman"/>
                <w:sz w:val="16"/>
                <w:szCs w:val="16"/>
              </w:rPr>
            </w:pPr>
            <w:r>
              <w:rPr>
                <w:color w:val="000000"/>
                <w:sz w:val="16"/>
                <w:szCs w:val="16"/>
              </w:rPr>
              <w:t>447</w:t>
            </w:r>
          </w:p>
        </w:tc>
      </w:tr>
      <w:tr w:rsidR="00EC15B6" w:rsidRPr="008D3568" w14:paraId="666FB879" w14:textId="77777777" w:rsidTr="00772F4F">
        <w:tc>
          <w:tcPr>
            <w:tcW w:w="1532" w:type="dxa"/>
            <w:vMerge w:val="restart"/>
            <w:tcBorders>
              <w:top w:val="nil"/>
              <w:left w:val="single" w:sz="4" w:space="0" w:color="auto"/>
              <w:right w:val="single" w:sz="4" w:space="0" w:color="auto"/>
            </w:tcBorders>
            <w:shd w:val="clear" w:color="auto" w:fill="auto"/>
            <w:vAlign w:val="center"/>
          </w:tcPr>
          <w:p w14:paraId="32E552F8" w14:textId="05EC9815" w:rsidR="00EC15B6" w:rsidRPr="008D3568" w:rsidRDefault="00EC15B6" w:rsidP="00EC15B6">
            <w:pPr>
              <w:rPr>
                <w:rFonts w:cs="Times New Roman"/>
                <w:sz w:val="16"/>
                <w:szCs w:val="16"/>
              </w:rPr>
            </w:pPr>
            <w:r>
              <w:rPr>
                <w:color w:val="000000"/>
                <w:sz w:val="16"/>
                <w:szCs w:val="16"/>
              </w:rPr>
              <w:t>CAMMS223</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2ACC04C" w14:textId="003C5A49" w:rsidR="00EC15B6" w:rsidRPr="008D3568" w:rsidRDefault="00EC15B6" w:rsidP="00EC15B6">
            <w:pPr>
              <w:rPr>
                <w:rFonts w:cs="Times New Roman"/>
                <w:sz w:val="16"/>
                <w:szCs w:val="16"/>
              </w:rPr>
            </w:pPr>
            <w:r>
              <w:rPr>
                <w:color w:val="000000"/>
                <w:sz w:val="16"/>
                <w:szCs w:val="16"/>
              </w:rPr>
              <w:t>IFNβ-1a SC</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859F308" w14:textId="398DC1DE" w:rsidR="00EC15B6" w:rsidRPr="008D3568" w:rsidRDefault="00EC15B6" w:rsidP="00EC15B6">
            <w:pPr>
              <w:rPr>
                <w:rFonts w:cs="Times New Roman"/>
                <w:sz w:val="16"/>
                <w:szCs w:val="16"/>
              </w:rPr>
            </w:pPr>
            <w:r>
              <w:rPr>
                <w:color w:val="000000"/>
                <w:sz w:val="16"/>
                <w:szCs w:val="16"/>
              </w:rPr>
              <w:t>44</w:t>
            </w:r>
            <w:r w:rsidR="0011136F">
              <w:t xml:space="preserve"> </w:t>
            </w:r>
            <w:r w:rsidR="0011136F" w:rsidRPr="008736FB">
              <w:rPr>
                <w:color w:val="000000"/>
                <w:sz w:val="16"/>
                <w:szCs w:val="16"/>
              </w:rPr>
              <w:t>µg</w:t>
            </w:r>
            <w:r w:rsidR="00934346">
              <w:rPr>
                <w:color w:val="000000"/>
                <w:sz w:val="16"/>
                <w:szCs w:val="16"/>
              </w:rPr>
              <w:t xml:space="preserve"> SC </w:t>
            </w:r>
            <w:proofErr w:type="spellStart"/>
            <w:r w:rsidR="00934346">
              <w:rPr>
                <w:color w:val="000000"/>
                <w:sz w:val="16"/>
                <w:szCs w:val="16"/>
              </w:rPr>
              <w:t>tiw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DCD686E" w14:textId="3D9910E6" w:rsidR="00EC15B6" w:rsidRPr="008D3568" w:rsidRDefault="00EC15B6" w:rsidP="00EC15B6">
            <w:pPr>
              <w:rPr>
                <w:rFonts w:cs="Times New Roman"/>
                <w:sz w:val="16"/>
                <w:szCs w:val="16"/>
              </w:rPr>
            </w:pPr>
            <w:r>
              <w:rPr>
                <w:color w:val="000000"/>
                <w:sz w:val="16"/>
                <w:szCs w:val="16"/>
              </w:rPr>
              <w:t>156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1C2BF45E" w14:textId="4E58BC7C" w:rsidR="00EC15B6" w:rsidRPr="008D3568" w:rsidRDefault="00EC15B6" w:rsidP="00EC15B6">
            <w:pPr>
              <w:rPr>
                <w:rFonts w:cs="Times New Roman"/>
                <w:sz w:val="16"/>
                <w:szCs w:val="16"/>
              </w:rPr>
            </w:pPr>
            <w:r>
              <w:rPr>
                <w:color w:val="000000"/>
                <w:sz w:val="16"/>
                <w:szCs w:val="16"/>
              </w:rPr>
              <w:t>-1.8</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5D4A7AA9" w14:textId="6BB2D922" w:rsidR="00EC15B6" w:rsidRPr="008D3568" w:rsidRDefault="00EC15B6" w:rsidP="00EC15B6">
            <w:pPr>
              <w:rPr>
                <w:rFonts w:cs="Times New Roman"/>
                <w:sz w:val="16"/>
                <w:szCs w:val="16"/>
              </w:rPr>
            </w:pPr>
            <w:r>
              <w:rPr>
                <w:color w:val="000000"/>
                <w:sz w:val="16"/>
                <w:szCs w:val="16"/>
              </w:rPr>
              <w:t>4.37</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D508E4C" w14:textId="1E2E91A2" w:rsidR="00EC15B6" w:rsidRPr="008D3568" w:rsidRDefault="00EC15B6" w:rsidP="00EC15B6">
            <w:pPr>
              <w:rPr>
                <w:rFonts w:cs="Times New Roman"/>
                <w:sz w:val="16"/>
                <w:szCs w:val="16"/>
              </w:rPr>
            </w:pPr>
            <w:r>
              <w:rPr>
                <w:color w:val="000000"/>
                <w:sz w:val="16"/>
                <w:szCs w:val="16"/>
              </w:rPr>
              <w:t>103</w:t>
            </w:r>
          </w:p>
        </w:tc>
      </w:tr>
      <w:tr w:rsidR="00EC15B6" w:rsidRPr="008D3568" w14:paraId="62228079" w14:textId="77777777" w:rsidTr="00772F4F">
        <w:tc>
          <w:tcPr>
            <w:tcW w:w="1532" w:type="dxa"/>
            <w:vMerge/>
            <w:tcBorders>
              <w:left w:val="single" w:sz="4" w:space="0" w:color="auto"/>
              <w:right w:val="single" w:sz="4" w:space="0" w:color="auto"/>
            </w:tcBorders>
            <w:vAlign w:val="center"/>
          </w:tcPr>
          <w:p w14:paraId="6704E301" w14:textId="77777777" w:rsidR="00EC15B6" w:rsidRPr="008D3568" w:rsidRDefault="00EC15B6" w:rsidP="00EC15B6">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1859087" w14:textId="3636FFB6" w:rsidR="00EC15B6" w:rsidRPr="008D3568" w:rsidRDefault="00EA23EE" w:rsidP="00EC15B6">
            <w:pPr>
              <w:rPr>
                <w:rFonts w:cs="Times New Roman"/>
                <w:sz w:val="16"/>
                <w:szCs w:val="16"/>
              </w:rPr>
            </w:pPr>
            <w:r>
              <w:rPr>
                <w:color w:val="000000"/>
                <w:sz w:val="16"/>
                <w:szCs w:val="16"/>
              </w:rPr>
              <w:t>a</w:t>
            </w:r>
            <w:r w:rsidR="00EC15B6">
              <w:rPr>
                <w:color w:val="000000"/>
                <w:sz w:val="16"/>
                <w:szCs w:val="16"/>
              </w:rPr>
              <w:t>lemtuzumab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C066BDA" w14:textId="106A303E" w:rsidR="00EC15B6" w:rsidRPr="008D3568" w:rsidRDefault="00EC15B6" w:rsidP="00EC15B6">
            <w:pPr>
              <w:rPr>
                <w:rFonts w:cs="Times New Roman"/>
                <w:sz w:val="16"/>
                <w:szCs w:val="16"/>
              </w:rPr>
            </w:pPr>
            <w:r>
              <w:rPr>
                <w:color w:val="000000"/>
                <w:sz w:val="16"/>
                <w:szCs w:val="16"/>
              </w:rPr>
              <w:t>12</w:t>
            </w:r>
            <w:r w:rsidR="00DB2533">
              <w:rPr>
                <w:color w:val="000000"/>
                <w:sz w:val="16"/>
                <w:szCs w:val="16"/>
              </w:rPr>
              <w:t xml:space="preserve"> mg</w:t>
            </w:r>
            <w:r w:rsidR="00934346">
              <w:rPr>
                <w:color w:val="000000"/>
                <w:sz w:val="16"/>
                <w:szCs w:val="16"/>
              </w:rPr>
              <w:t xml:space="preserve"> </w:t>
            </w:r>
            <w:proofErr w:type="spellStart"/>
            <w:r w:rsidR="00934346">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5D6457BF" w14:textId="4A27D4C3" w:rsidR="00EC15B6" w:rsidRPr="008D3568" w:rsidRDefault="00EC15B6" w:rsidP="00EC15B6">
            <w:pPr>
              <w:rPr>
                <w:rFonts w:cs="Times New Roman"/>
                <w:sz w:val="16"/>
                <w:szCs w:val="16"/>
              </w:rPr>
            </w:pPr>
            <w:r>
              <w:rPr>
                <w:color w:val="000000"/>
                <w:sz w:val="16"/>
                <w:szCs w:val="16"/>
              </w:rPr>
              <w:t>156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D871426" w14:textId="050D2113" w:rsidR="00EC15B6" w:rsidRPr="008D3568" w:rsidRDefault="00EC15B6" w:rsidP="00EC15B6">
            <w:pPr>
              <w:rPr>
                <w:rFonts w:cs="Times New Roman"/>
                <w:sz w:val="16"/>
                <w:szCs w:val="16"/>
              </w:rPr>
            </w:pPr>
            <w:r>
              <w:rPr>
                <w:color w:val="000000"/>
                <w:sz w:val="16"/>
                <w:szCs w:val="16"/>
              </w:rPr>
              <w:t>-0.9</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21CE6DE" w14:textId="08FDFFD7" w:rsidR="00EC15B6" w:rsidRPr="008D3568" w:rsidRDefault="00EC15B6" w:rsidP="00EC15B6">
            <w:pPr>
              <w:rPr>
                <w:rFonts w:cs="Times New Roman"/>
                <w:sz w:val="16"/>
                <w:szCs w:val="16"/>
              </w:rPr>
            </w:pPr>
            <w:r>
              <w:rPr>
                <w:color w:val="000000"/>
                <w:sz w:val="16"/>
                <w:szCs w:val="16"/>
              </w:rPr>
              <w:t>3.19</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9D1D699" w14:textId="7D0664C7" w:rsidR="00EC15B6" w:rsidRPr="008D3568" w:rsidRDefault="00EC15B6" w:rsidP="00EC15B6">
            <w:pPr>
              <w:rPr>
                <w:rFonts w:cs="Times New Roman"/>
                <w:sz w:val="16"/>
                <w:szCs w:val="16"/>
              </w:rPr>
            </w:pPr>
            <w:r>
              <w:rPr>
                <w:color w:val="000000"/>
                <w:sz w:val="16"/>
                <w:szCs w:val="16"/>
              </w:rPr>
              <w:t>107</w:t>
            </w:r>
          </w:p>
        </w:tc>
      </w:tr>
      <w:tr w:rsidR="00EC15B6" w:rsidRPr="008D3568" w14:paraId="74ECA5C4" w14:textId="77777777" w:rsidTr="00772F4F">
        <w:tc>
          <w:tcPr>
            <w:tcW w:w="1532" w:type="dxa"/>
            <w:vMerge/>
            <w:tcBorders>
              <w:left w:val="single" w:sz="4" w:space="0" w:color="auto"/>
              <w:bottom w:val="single" w:sz="4" w:space="0" w:color="auto"/>
              <w:right w:val="single" w:sz="4" w:space="0" w:color="auto"/>
            </w:tcBorders>
            <w:vAlign w:val="center"/>
          </w:tcPr>
          <w:p w14:paraId="60A79A71" w14:textId="77777777" w:rsidR="00EC15B6" w:rsidRPr="008D3568" w:rsidRDefault="00EC15B6" w:rsidP="00EC15B6">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18DCBDE4" w14:textId="561E4D39" w:rsidR="00EC15B6" w:rsidRPr="008D3568" w:rsidRDefault="00EA23EE" w:rsidP="00EC15B6">
            <w:pPr>
              <w:rPr>
                <w:rFonts w:cs="Times New Roman"/>
                <w:sz w:val="16"/>
                <w:szCs w:val="16"/>
              </w:rPr>
            </w:pPr>
            <w:r>
              <w:rPr>
                <w:color w:val="000000"/>
                <w:sz w:val="16"/>
                <w:szCs w:val="16"/>
              </w:rPr>
              <w:t>a</w:t>
            </w:r>
            <w:r w:rsidR="00EC15B6">
              <w:rPr>
                <w:color w:val="000000"/>
                <w:sz w:val="16"/>
                <w:szCs w:val="16"/>
              </w:rPr>
              <w:t>lemtuzumab</w:t>
            </w:r>
          </w:p>
        </w:tc>
        <w:tc>
          <w:tcPr>
            <w:tcW w:w="1272" w:type="dxa"/>
            <w:tcBorders>
              <w:top w:val="nil"/>
              <w:left w:val="nil"/>
              <w:bottom w:val="single" w:sz="4" w:space="0" w:color="auto"/>
              <w:right w:val="single" w:sz="4" w:space="0" w:color="auto"/>
            </w:tcBorders>
            <w:shd w:val="clear" w:color="auto" w:fill="auto"/>
            <w:vAlign w:val="center"/>
          </w:tcPr>
          <w:p w14:paraId="676D8953" w14:textId="74D407EC" w:rsidR="00EC15B6" w:rsidRPr="008D3568" w:rsidRDefault="00EC15B6" w:rsidP="00EC15B6">
            <w:pPr>
              <w:rPr>
                <w:rFonts w:cs="Times New Roman"/>
                <w:sz w:val="16"/>
                <w:szCs w:val="16"/>
              </w:rPr>
            </w:pPr>
            <w:r>
              <w:rPr>
                <w:color w:val="000000"/>
                <w:sz w:val="16"/>
                <w:szCs w:val="16"/>
              </w:rPr>
              <w:t>24</w:t>
            </w:r>
            <w:r w:rsidR="00DB2533">
              <w:rPr>
                <w:color w:val="000000"/>
                <w:sz w:val="16"/>
                <w:szCs w:val="16"/>
              </w:rPr>
              <w:t xml:space="preserve"> mg</w:t>
            </w:r>
            <w:r w:rsidR="00934346">
              <w:rPr>
                <w:color w:val="000000"/>
                <w:sz w:val="16"/>
                <w:szCs w:val="16"/>
              </w:rPr>
              <w:t xml:space="preserve"> </w:t>
            </w:r>
            <w:proofErr w:type="spellStart"/>
            <w:r w:rsidR="00934346">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703A2983" w14:textId="718B3E96" w:rsidR="00EC15B6" w:rsidRPr="008D3568" w:rsidRDefault="00EC15B6" w:rsidP="00EC15B6">
            <w:pPr>
              <w:rPr>
                <w:rFonts w:cs="Times New Roman"/>
                <w:sz w:val="16"/>
                <w:szCs w:val="16"/>
              </w:rPr>
            </w:pPr>
            <w:r>
              <w:rPr>
                <w:color w:val="000000"/>
                <w:sz w:val="16"/>
                <w:szCs w:val="16"/>
              </w:rPr>
              <w:t>156</w:t>
            </w:r>
          </w:p>
        </w:tc>
        <w:tc>
          <w:tcPr>
            <w:tcW w:w="1147" w:type="dxa"/>
            <w:tcBorders>
              <w:top w:val="nil"/>
              <w:left w:val="nil"/>
              <w:bottom w:val="single" w:sz="4" w:space="0" w:color="auto"/>
              <w:right w:val="single" w:sz="4" w:space="0" w:color="auto"/>
            </w:tcBorders>
            <w:shd w:val="clear" w:color="auto" w:fill="auto"/>
            <w:vAlign w:val="center"/>
          </w:tcPr>
          <w:p w14:paraId="02578A2B" w14:textId="6CE50500" w:rsidR="00EC15B6" w:rsidRPr="008D3568" w:rsidRDefault="00EC15B6" w:rsidP="00EC15B6">
            <w:pPr>
              <w:rPr>
                <w:rFonts w:cs="Times New Roman"/>
                <w:sz w:val="16"/>
                <w:szCs w:val="16"/>
              </w:rPr>
            </w:pPr>
            <w:r>
              <w:rPr>
                <w:color w:val="000000"/>
                <w:sz w:val="16"/>
                <w:szCs w:val="16"/>
              </w:rPr>
              <w:t>-0.40</w:t>
            </w:r>
          </w:p>
        </w:tc>
        <w:tc>
          <w:tcPr>
            <w:tcW w:w="1104" w:type="dxa"/>
            <w:tcBorders>
              <w:top w:val="nil"/>
              <w:left w:val="nil"/>
              <w:bottom w:val="single" w:sz="4" w:space="0" w:color="auto"/>
              <w:right w:val="single" w:sz="4" w:space="0" w:color="auto"/>
            </w:tcBorders>
            <w:shd w:val="clear" w:color="auto" w:fill="auto"/>
            <w:vAlign w:val="center"/>
          </w:tcPr>
          <w:p w14:paraId="735C4598" w14:textId="2CEDA29A" w:rsidR="00EC15B6" w:rsidRPr="008D3568" w:rsidRDefault="00EC15B6" w:rsidP="00EC15B6">
            <w:pPr>
              <w:rPr>
                <w:rFonts w:cs="Times New Roman"/>
                <w:sz w:val="16"/>
                <w:szCs w:val="16"/>
              </w:rPr>
            </w:pPr>
            <w:r>
              <w:rPr>
                <w:color w:val="000000"/>
                <w:sz w:val="16"/>
                <w:szCs w:val="16"/>
              </w:rPr>
              <w:t>4.27</w:t>
            </w:r>
          </w:p>
        </w:tc>
        <w:tc>
          <w:tcPr>
            <w:tcW w:w="1084" w:type="dxa"/>
            <w:tcBorders>
              <w:top w:val="nil"/>
              <w:left w:val="nil"/>
              <w:bottom w:val="single" w:sz="4" w:space="0" w:color="auto"/>
              <w:right w:val="single" w:sz="4" w:space="0" w:color="auto"/>
            </w:tcBorders>
            <w:shd w:val="clear" w:color="auto" w:fill="auto"/>
            <w:vAlign w:val="center"/>
          </w:tcPr>
          <w:p w14:paraId="35E6DE58" w14:textId="5E61008C" w:rsidR="00EC15B6" w:rsidRPr="008D3568" w:rsidRDefault="00EC15B6" w:rsidP="00EC15B6">
            <w:pPr>
              <w:rPr>
                <w:rFonts w:cs="Times New Roman"/>
                <w:sz w:val="16"/>
                <w:szCs w:val="16"/>
              </w:rPr>
            </w:pPr>
            <w:r>
              <w:rPr>
                <w:color w:val="000000"/>
                <w:sz w:val="16"/>
                <w:szCs w:val="16"/>
              </w:rPr>
              <w:t>90</w:t>
            </w:r>
          </w:p>
        </w:tc>
      </w:tr>
      <w:tr w:rsidR="00013343" w:rsidRPr="008D3568" w14:paraId="06EBEBC1" w14:textId="1F232A80" w:rsidTr="00772F4F">
        <w:tc>
          <w:tcPr>
            <w:tcW w:w="1532" w:type="dxa"/>
            <w:vMerge w:val="restart"/>
            <w:vAlign w:val="center"/>
          </w:tcPr>
          <w:p w14:paraId="30143C5E" w14:textId="07C61BCC" w:rsidR="00013343" w:rsidRPr="008D3568" w:rsidRDefault="00013343" w:rsidP="00A14942">
            <w:pPr>
              <w:rPr>
                <w:rFonts w:cs="Times New Roman"/>
                <w:sz w:val="16"/>
                <w:szCs w:val="16"/>
              </w:rPr>
            </w:pPr>
            <w:r w:rsidRPr="008D3568">
              <w:rPr>
                <w:rFonts w:cs="Times New Roman"/>
                <w:sz w:val="16"/>
                <w:szCs w:val="16"/>
              </w:rPr>
              <w:t>CARE-MS I</w:t>
            </w:r>
          </w:p>
        </w:tc>
        <w:tc>
          <w:tcPr>
            <w:tcW w:w="1503" w:type="dxa"/>
            <w:shd w:val="clear" w:color="auto" w:fill="D9D9D9" w:themeFill="background1" w:themeFillShade="D9"/>
            <w:vAlign w:val="center"/>
          </w:tcPr>
          <w:p w14:paraId="135CAAD5" w14:textId="1D153E2F" w:rsidR="00013343" w:rsidRPr="008D3568" w:rsidRDefault="00013343" w:rsidP="00A14942">
            <w:pPr>
              <w:rPr>
                <w:rFonts w:cs="Times New Roman"/>
                <w:sz w:val="16"/>
                <w:szCs w:val="16"/>
              </w:rPr>
            </w:pPr>
            <w:r w:rsidRPr="008D3568">
              <w:rPr>
                <w:rFonts w:cs="Times New Roman"/>
                <w:sz w:val="16"/>
                <w:szCs w:val="16"/>
              </w:rPr>
              <w:t>IFNβ-1a SC</w:t>
            </w:r>
          </w:p>
        </w:tc>
        <w:tc>
          <w:tcPr>
            <w:tcW w:w="1272" w:type="dxa"/>
            <w:shd w:val="clear" w:color="auto" w:fill="D9D9D9" w:themeFill="background1" w:themeFillShade="D9"/>
            <w:vAlign w:val="center"/>
          </w:tcPr>
          <w:p w14:paraId="65126832" w14:textId="66441B58" w:rsidR="00013343" w:rsidRPr="008D3568" w:rsidRDefault="00013343" w:rsidP="00A14942">
            <w:pPr>
              <w:rPr>
                <w:rFonts w:cs="Times New Roman"/>
                <w:sz w:val="16"/>
                <w:szCs w:val="16"/>
              </w:rPr>
            </w:pPr>
            <w:r w:rsidRPr="008D3568">
              <w:rPr>
                <w:rFonts w:cs="Times New Roman"/>
                <w:sz w:val="16"/>
                <w:szCs w:val="16"/>
              </w:rPr>
              <w:t>44 µg</w:t>
            </w:r>
            <w:r w:rsidR="00934346">
              <w:rPr>
                <w:rFonts w:cs="Times New Roman"/>
                <w:sz w:val="16"/>
                <w:szCs w:val="16"/>
              </w:rPr>
              <w:t xml:space="preserve"> SC </w:t>
            </w:r>
            <w:proofErr w:type="spellStart"/>
            <w:r w:rsidR="00934346">
              <w:rPr>
                <w:rFonts w:cs="Times New Roman"/>
                <w:sz w:val="16"/>
                <w:szCs w:val="16"/>
              </w:rPr>
              <w:t>tiw</w:t>
            </w:r>
            <w:proofErr w:type="spellEnd"/>
          </w:p>
        </w:tc>
        <w:tc>
          <w:tcPr>
            <w:tcW w:w="1708" w:type="dxa"/>
            <w:shd w:val="clear" w:color="auto" w:fill="D9D9D9" w:themeFill="background1" w:themeFillShade="D9"/>
            <w:vAlign w:val="center"/>
          </w:tcPr>
          <w:p w14:paraId="0E34368F" w14:textId="4C0F7622" w:rsidR="00013343" w:rsidRPr="008D3568" w:rsidRDefault="00013343" w:rsidP="00A14942">
            <w:pPr>
              <w:rPr>
                <w:rFonts w:cs="Times New Roman"/>
                <w:sz w:val="16"/>
                <w:szCs w:val="16"/>
              </w:rPr>
            </w:pPr>
            <w:r w:rsidRPr="008D3568">
              <w:rPr>
                <w:rFonts w:cs="Times New Roman"/>
                <w:sz w:val="16"/>
                <w:szCs w:val="16"/>
              </w:rPr>
              <w:t>104</w:t>
            </w:r>
          </w:p>
        </w:tc>
        <w:tc>
          <w:tcPr>
            <w:tcW w:w="1147" w:type="dxa"/>
            <w:shd w:val="clear" w:color="auto" w:fill="D9D9D9" w:themeFill="background1" w:themeFillShade="D9"/>
            <w:vAlign w:val="center"/>
          </w:tcPr>
          <w:p w14:paraId="041DD11D" w14:textId="3A2125E1" w:rsidR="00013343" w:rsidRPr="008D3568" w:rsidRDefault="00A14942" w:rsidP="00A14942">
            <w:pPr>
              <w:rPr>
                <w:rFonts w:cs="Times New Roman"/>
                <w:sz w:val="16"/>
                <w:szCs w:val="16"/>
              </w:rPr>
            </w:pPr>
            <w:r w:rsidRPr="008D3568">
              <w:rPr>
                <w:rFonts w:cs="Times New Roman"/>
                <w:sz w:val="16"/>
                <w:szCs w:val="16"/>
              </w:rPr>
              <w:t>-1.49</w:t>
            </w:r>
          </w:p>
        </w:tc>
        <w:tc>
          <w:tcPr>
            <w:tcW w:w="1104" w:type="dxa"/>
            <w:shd w:val="clear" w:color="auto" w:fill="D9D9D9" w:themeFill="background1" w:themeFillShade="D9"/>
            <w:vAlign w:val="center"/>
          </w:tcPr>
          <w:p w14:paraId="0C7B3FDC" w14:textId="395B426D" w:rsidR="00013343" w:rsidRPr="008D3568" w:rsidRDefault="00A14942" w:rsidP="00A14942">
            <w:pPr>
              <w:rPr>
                <w:rFonts w:cs="Times New Roman"/>
                <w:sz w:val="16"/>
                <w:szCs w:val="16"/>
              </w:rPr>
            </w:pPr>
            <w:r w:rsidRPr="008D3568">
              <w:rPr>
                <w:rFonts w:cs="Times New Roman"/>
                <w:sz w:val="16"/>
                <w:szCs w:val="16"/>
              </w:rPr>
              <w:t>1.32</w:t>
            </w:r>
          </w:p>
        </w:tc>
        <w:tc>
          <w:tcPr>
            <w:tcW w:w="1084" w:type="dxa"/>
            <w:shd w:val="clear" w:color="auto" w:fill="D9D9D9" w:themeFill="background1" w:themeFillShade="D9"/>
            <w:vAlign w:val="center"/>
          </w:tcPr>
          <w:p w14:paraId="23222DDE" w14:textId="49A75057" w:rsidR="00013343" w:rsidRPr="008D3568" w:rsidRDefault="00A14942" w:rsidP="00A14942">
            <w:pPr>
              <w:rPr>
                <w:rFonts w:cs="Times New Roman"/>
                <w:sz w:val="16"/>
                <w:szCs w:val="16"/>
              </w:rPr>
            </w:pPr>
            <w:r w:rsidRPr="008D3568">
              <w:rPr>
                <w:rFonts w:cs="Times New Roman"/>
                <w:sz w:val="16"/>
                <w:szCs w:val="16"/>
              </w:rPr>
              <w:t>187</w:t>
            </w:r>
          </w:p>
        </w:tc>
      </w:tr>
      <w:tr w:rsidR="00013343" w:rsidRPr="008D3568" w14:paraId="3C6CADF1" w14:textId="71466E6B" w:rsidTr="00772F4F">
        <w:tc>
          <w:tcPr>
            <w:tcW w:w="1532" w:type="dxa"/>
            <w:vMerge/>
            <w:vAlign w:val="center"/>
          </w:tcPr>
          <w:p w14:paraId="23BFF0A8" w14:textId="77777777" w:rsidR="00013343" w:rsidRPr="008D3568" w:rsidRDefault="00013343" w:rsidP="00A14942">
            <w:pPr>
              <w:rPr>
                <w:rFonts w:cs="Times New Roman"/>
                <w:sz w:val="16"/>
                <w:szCs w:val="16"/>
              </w:rPr>
            </w:pPr>
          </w:p>
        </w:tc>
        <w:tc>
          <w:tcPr>
            <w:tcW w:w="1503" w:type="dxa"/>
            <w:shd w:val="clear" w:color="auto" w:fill="D9D9D9" w:themeFill="background1" w:themeFillShade="D9"/>
            <w:vAlign w:val="center"/>
          </w:tcPr>
          <w:p w14:paraId="15801096" w14:textId="104B3F8D" w:rsidR="00013343" w:rsidRPr="008D3568" w:rsidRDefault="00EA23EE" w:rsidP="00A14942">
            <w:pPr>
              <w:rPr>
                <w:rFonts w:cs="Times New Roman"/>
                <w:sz w:val="16"/>
                <w:szCs w:val="16"/>
              </w:rPr>
            </w:pPr>
            <w:r>
              <w:rPr>
                <w:rFonts w:cs="Times New Roman"/>
                <w:sz w:val="16"/>
                <w:szCs w:val="16"/>
              </w:rPr>
              <w:t>a</w:t>
            </w:r>
            <w:r w:rsidR="00013343" w:rsidRPr="008D3568">
              <w:rPr>
                <w:rFonts w:cs="Times New Roman"/>
                <w:sz w:val="16"/>
                <w:szCs w:val="16"/>
              </w:rPr>
              <w:t>lemtuzumab</w:t>
            </w:r>
          </w:p>
        </w:tc>
        <w:tc>
          <w:tcPr>
            <w:tcW w:w="1272" w:type="dxa"/>
            <w:shd w:val="clear" w:color="auto" w:fill="D9D9D9" w:themeFill="background1" w:themeFillShade="D9"/>
            <w:vAlign w:val="center"/>
          </w:tcPr>
          <w:p w14:paraId="6D08FCC4" w14:textId="7B495F3F" w:rsidR="00013343" w:rsidRPr="008D3568" w:rsidRDefault="00013343" w:rsidP="00A14942">
            <w:pPr>
              <w:rPr>
                <w:rFonts w:cs="Times New Roman"/>
                <w:sz w:val="16"/>
                <w:szCs w:val="16"/>
              </w:rPr>
            </w:pPr>
            <w:r w:rsidRPr="008D3568">
              <w:rPr>
                <w:rFonts w:cs="Times New Roman"/>
                <w:sz w:val="16"/>
                <w:szCs w:val="16"/>
              </w:rPr>
              <w:t>12 mg</w:t>
            </w:r>
            <w:r w:rsidR="00971705">
              <w:rPr>
                <w:rFonts w:cs="Times New Roman"/>
                <w:sz w:val="16"/>
                <w:szCs w:val="16"/>
              </w:rPr>
              <w:t xml:space="preserve"> </w:t>
            </w:r>
            <w:proofErr w:type="spellStart"/>
            <w:r w:rsidR="00971705">
              <w:rPr>
                <w:rFonts w:cs="Times New Roman"/>
                <w:sz w:val="16"/>
                <w:szCs w:val="16"/>
              </w:rPr>
              <w:t>qd</w:t>
            </w:r>
            <w:proofErr w:type="spellEnd"/>
          </w:p>
        </w:tc>
        <w:tc>
          <w:tcPr>
            <w:tcW w:w="1708" w:type="dxa"/>
            <w:shd w:val="clear" w:color="auto" w:fill="D9D9D9" w:themeFill="background1" w:themeFillShade="D9"/>
            <w:vAlign w:val="center"/>
          </w:tcPr>
          <w:p w14:paraId="0CD5E6D7" w14:textId="44912AD5" w:rsidR="00013343" w:rsidRPr="008D3568" w:rsidRDefault="00013343" w:rsidP="00A14942">
            <w:pPr>
              <w:rPr>
                <w:rFonts w:cs="Times New Roman"/>
                <w:sz w:val="16"/>
                <w:szCs w:val="16"/>
              </w:rPr>
            </w:pPr>
            <w:r w:rsidRPr="008D3568">
              <w:rPr>
                <w:rFonts w:cs="Times New Roman"/>
                <w:sz w:val="16"/>
                <w:szCs w:val="16"/>
              </w:rPr>
              <w:t>104</w:t>
            </w:r>
          </w:p>
        </w:tc>
        <w:tc>
          <w:tcPr>
            <w:tcW w:w="1147" w:type="dxa"/>
            <w:shd w:val="clear" w:color="auto" w:fill="D9D9D9" w:themeFill="background1" w:themeFillShade="D9"/>
            <w:vAlign w:val="center"/>
          </w:tcPr>
          <w:p w14:paraId="05056E7F" w14:textId="4B4DD990" w:rsidR="00013343" w:rsidRPr="008D3568" w:rsidRDefault="00A14942" w:rsidP="00A14942">
            <w:pPr>
              <w:rPr>
                <w:rFonts w:cs="Times New Roman"/>
                <w:sz w:val="16"/>
                <w:szCs w:val="16"/>
              </w:rPr>
            </w:pPr>
            <w:r w:rsidRPr="008D3568">
              <w:rPr>
                <w:rFonts w:cs="Times New Roman"/>
                <w:sz w:val="16"/>
                <w:szCs w:val="16"/>
              </w:rPr>
              <w:t>-0.87</w:t>
            </w:r>
          </w:p>
        </w:tc>
        <w:tc>
          <w:tcPr>
            <w:tcW w:w="1104" w:type="dxa"/>
            <w:shd w:val="clear" w:color="auto" w:fill="D9D9D9" w:themeFill="background1" w:themeFillShade="D9"/>
            <w:vAlign w:val="center"/>
          </w:tcPr>
          <w:p w14:paraId="0CBBB7F9" w14:textId="358EFA23" w:rsidR="00013343" w:rsidRPr="008D3568" w:rsidRDefault="00A14942" w:rsidP="00A14942">
            <w:pPr>
              <w:rPr>
                <w:rFonts w:cs="Times New Roman"/>
                <w:sz w:val="16"/>
                <w:szCs w:val="16"/>
              </w:rPr>
            </w:pPr>
            <w:r w:rsidRPr="008D3568">
              <w:rPr>
                <w:rFonts w:cs="Times New Roman"/>
                <w:sz w:val="16"/>
                <w:szCs w:val="16"/>
              </w:rPr>
              <w:t>0.90</w:t>
            </w:r>
          </w:p>
        </w:tc>
        <w:tc>
          <w:tcPr>
            <w:tcW w:w="1084" w:type="dxa"/>
            <w:shd w:val="clear" w:color="auto" w:fill="D9D9D9" w:themeFill="background1" w:themeFillShade="D9"/>
            <w:vAlign w:val="center"/>
          </w:tcPr>
          <w:p w14:paraId="3606F7BB" w14:textId="2510CB36" w:rsidR="00013343" w:rsidRPr="008D3568" w:rsidRDefault="00A14942" w:rsidP="00A14942">
            <w:pPr>
              <w:rPr>
                <w:rFonts w:cs="Times New Roman"/>
                <w:sz w:val="16"/>
                <w:szCs w:val="16"/>
              </w:rPr>
            </w:pPr>
            <w:r w:rsidRPr="008D3568">
              <w:rPr>
                <w:rFonts w:cs="Times New Roman"/>
                <w:sz w:val="16"/>
                <w:szCs w:val="16"/>
              </w:rPr>
              <w:t>376</w:t>
            </w:r>
          </w:p>
        </w:tc>
      </w:tr>
      <w:tr w:rsidR="00013343" w:rsidRPr="008D3568" w14:paraId="249E92E7" w14:textId="445A9A53" w:rsidTr="00772F4F">
        <w:tc>
          <w:tcPr>
            <w:tcW w:w="1532" w:type="dxa"/>
            <w:vMerge w:val="restart"/>
            <w:vAlign w:val="center"/>
          </w:tcPr>
          <w:p w14:paraId="3059CC0C" w14:textId="5262224E" w:rsidR="00013343" w:rsidRPr="008D3568" w:rsidRDefault="00013343" w:rsidP="00A14942">
            <w:pPr>
              <w:rPr>
                <w:rFonts w:cs="Times New Roman"/>
                <w:sz w:val="16"/>
                <w:szCs w:val="16"/>
              </w:rPr>
            </w:pPr>
            <w:r w:rsidRPr="008D3568">
              <w:rPr>
                <w:rFonts w:cs="Times New Roman"/>
                <w:sz w:val="16"/>
                <w:szCs w:val="16"/>
              </w:rPr>
              <w:t>CARE-MS II</w:t>
            </w:r>
          </w:p>
        </w:tc>
        <w:tc>
          <w:tcPr>
            <w:tcW w:w="1503" w:type="dxa"/>
            <w:shd w:val="clear" w:color="auto" w:fill="D9D9D9" w:themeFill="background1" w:themeFillShade="D9"/>
            <w:vAlign w:val="center"/>
          </w:tcPr>
          <w:p w14:paraId="7FF5A57F" w14:textId="680C57F2" w:rsidR="00013343" w:rsidRPr="008D3568" w:rsidRDefault="00013343" w:rsidP="00A14942">
            <w:pPr>
              <w:rPr>
                <w:rFonts w:cs="Times New Roman"/>
                <w:sz w:val="16"/>
                <w:szCs w:val="16"/>
              </w:rPr>
            </w:pPr>
            <w:r w:rsidRPr="008D3568">
              <w:rPr>
                <w:rFonts w:cs="Times New Roman"/>
                <w:sz w:val="16"/>
                <w:szCs w:val="16"/>
              </w:rPr>
              <w:t>IFNβ-1a SC</w:t>
            </w:r>
          </w:p>
        </w:tc>
        <w:tc>
          <w:tcPr>
            <w:tcW w:w="1272" w:type="dxa"/>
            <w:shd w:val="clear" w:color="auto" w:fill="D9D9D9" w:themeFill="background1" w:themeFillShade="D9"/>
            <w:vAlign w:val="center"/>
          </w:tcPr>
          <w:p w14:paraId="0DDB01BC" w14:textId="49BB2F36" w:rsidR="00013343" w:rsidRPr="008D3568" w:rsidRDefault="00013343" w:rsidP="00A14942">
            <w:pPr>
              <w:rPr>
                <w:rFonts w:cs="Times New Roman"/>
                <w:sz w:val="16"/>
                <w:szCs w:val="16"/>
              </w:rPr>
            </w:pPr>
            <w:r w:rsidRPr="008D3568">
              <w:rPr>
                <w:rFonts w:cs="Times New Roman"/>
                <w:sz w:val="16"/>
                <w:szCs w:val="16"/>
              </w:rPr>
              <w:t>44 µg</w:t>
            </w:r>
            <w:r w:rsidR="00971705">
              <w:rPr>
                <w:rFonts w:cs="Times New Roman"/>
                <w:sz w:val="16"/>
                <w:szCs w:val="16"/>
              </w:rPr>
              <w:t xml:space="preserve"> SC </w:t>
            </w:r>
            <w:proofErr w:type="spellStart"/>
            <w:r w:rsidR="00971705">
              <w:rPr>
                <w:rFonts w:cs="Times New Roman"/>
                <w:sz w:val="16"/>
                <w:szCs w:val="16"/>
              </w:rPr>
              <w:t>tiw</w:t>
            </w:r>
            <w:proofErr w:type="spellEnd"/>
          </w:p>
        </w:tc>
        <w:tc>
          <w:tcPr>
            <w:tcW w:w="1708" w:type="dxa"/>
            <w:shd w:val="clear" w:color="auto" w:fill="D9D9D9" w:themeFill="background1" w:themeFillShade="D9"/>
            <w:vAlign w:val="center"/>
          </w:tcPr>
          <w:p w14:paraId="25DE41DF" w14:textId="7E5DB327" w:rsidR="00013343" w:rsidRPr="008D3568" w:rsidRDefault="00013343" w:rsidP="00A14942">
            <w:pPr>
              <w:rPr>
                <w:rFonts w:cs="Times New Roman"/>
                <w:sz w:val="16"/>
                <w:szCs w:val="16"/>
              </w:rPr>
            </w:pPr>
            <w:r w:rsidRPr="008D3568">
              <w:rPr>
                <w:rFonts w:cs="Times New Roman"/>
                <w:sz w:val="16"/>
                <w:szCs w:val="16"/>
              </w:rPr>
              <w:t>104</w:t>
            </w:r>
          </w:p>
        </w:tc>
        <w:tc>
          <w:tcPr>
            <w:tcW w:w="1147" w:type="dxa"/>
            <w:shd w:val="clear" w:color="auto" w:fill="D9D9D9" w:themeFill="background1" w:themeFillShade="D9"/>
            <w:vAlign w:val="center"/>
          </w:tcPr>
          <w:p w14:paraId="5A91C0CE" w14:textId="181BC79E" w:rsidR="00013343" w:rsidRPr="008D3568" w:rsidRDefault="00A14942" w:rsidP="00A14942">
            <w:pPr>
              <w:rPr>
                <w:rFonts w:cs="Times New Roman"/>
                <w:sz w:val="16"/>
                <w:szCs w:val="16"/>
              </w:rPr>
            </w:pPr>
            <w:r w:rsidRPr="008D3568">
              <w:rPr>
                <w:rFonts w:cs="Times New Roman"/>
                <w:sz w:val="16"/>
                <w:szCs w:val="16"/>
              </w:rPr>
              <w:t>-0.81</w:t>
            </w:r>
          </w:p>
        </w:tc>
        <w:tc>
          <w:tcPr>
            <w:tcW w:w="1104" w:type="dxa"/>
            <w:shd w:val="clear" w:color="auto" w:fill="D9D9D9" w:themeFill="background1" w:themeFillShade="D9"/>
            <w:vAlign w:val="center"/>
          </w:tcPr>
          <w:p w14:paraId="0756E7FC" w14:textId="26539976" w:rsidR="00013343" w:rsidRPr="008D3568" w:rsidRDefault="00A14942" w:rsidP="00A14942">
            <w:pPr>
              <w:rPr>
                <w:rFonts w:cs="Times New Roman"/>
                <w:sz w:val="16"/>
                <w:szCs w:val="16"/>
              </w:rPr>
            </w:pPr>
            <w:r w:rsidRPr="008D3568">
              <w:rPr>
                <w:rFonts w:cs="Times New Roman"/>
                <w:sz w:val="16"/>
                <w:szCs w:val="16"/>
              </w:rPr>
              <w:t>1.29</w:t>
            </w:r>
          </w:p>
        </w:tc>
        <w:tc>
          <w:tcPr>
            <w:tcW w:w="1084" w:type="dxa"/>
            <w:shd w:val="clear" w:color="auto" w:fill="D9D9D9" w:themeFill="background1" w:themeFillShade="D9"/>
            <w:vAlign w:val="center"/>
          </w:tcPr>
          <w:p w14:paraId="62DF3060" w14:textId="635C96E5" w:rsidR="00013343" w:rsidRPr="008D3568" w:rsidRDefault="00A14942" w:rsidP="00A14942">
            <w:pPr>
              <w:rPr>
                <w:rFonts w:cs="Times New Roman"/>
                <w:sz w:val="16"/>
                <w:szCs w:val="16"/>
              </w:rPr>
            </w:pPr>
            <w:r w:rsidRPr="008D3568">
              <w:rPr>
                <w:rFonts w:cs="Times New Roman"/>
                <w:sz w:val="16"/>
                <w:szCs w:val="16"/>
              </w:rPr>
              <w:t>202</w:t>
            </w:r>
          </w:p>
        </w:tc>
      </w:tr>
      <w:tr w:rsidR="00013343" w:rsidRPr="008D3568" w14:paraId="58EB2738" w14:textId="274FC4FE" w:rsidTr="00772F4F">
        <w:tc>
          <w:tcPr>
            <w:tcW w:w="1532" w:type="dxa"/>
            <w:vMerge/>
            <w:vAlign w:val="center"/>
          </w:tcPr>
          <w:p w14:paraId="72766941" w14:textId="77777777" w:rsidR="00013343" w:rsidRPr="008D3568" w:rsidRDefault="00013343" w:rsidP="00A14942">
            <w:pPr>
              <w:rPr>
                <w:rFonts w:cs="Times New Roman"/>
                <w:sz w:val="16"/>
                <w:szCs w:val="16"/>
              </w:rPr>
            </w:pPr>
          </w:p>
        </w:tc>
        <w:tc>
          <w:tcPr>
            <w:tcW w:w="1503" w:type="dxa"/>
            <w:shd w:val="clear" w:color="auto" w:fill="D9D9D9" w:themeFill="background1" w:themeFillShade="D9"/>
            <w:vAlign w:val="center"/>
          </w:tcPr>
          <w:p w14:paraId="43B0CB70" w14:textId="53EEB1CE" w:rsidR="00013343" w:rsidRPr="008D3568" w:rsidRDefault="00EA23EE" w:rsidP="00A14942">
            <w:pPr>
              <w:rPr>
                <w:rFonts w:cs="Times New Roman"/>
                <w:sz w:val="16"/>
                <w:szCs w:val="16"/>
              </w:rPr>
            </w:pPr>
            <w:r>
              <w:rPr>
                <w:rFonts w:cs="Times New Roman"/>
                <w:sz w:val="16"/>
                <w:szCs w:val="16"/>
              </w:rPr>
              <w:t>a</w:t>
            </w:r>
            <w:r w:rsidR="00013343" w:rsidRPr="008D3568">
              <w:rPr>
                <w:rFonts w:cs="Times New Roman"/>
                <w:sz w:val="16"/>
                <w:szCs w:val="16"/>
              </w:rPr>
              <w:t>lemtuzumab</w:t>
            </w:r>
          </w:p>
        </w:tc>
        <w:tc>
          <w:tcPr>
            <w:tcW w:w="1272" w:type="dxa"/>
            <w:shd w:val="clear" w:color="auto" w:fill="D9D9D9" w:themeFill="background1" w:themeFillShade="D9"/>
            <w:vAlign w:val="center"/>
          </w:tcPr>
          <w:p w14:paraId="70796605" w14:textId="7F90CF4D" w:rsidR="00013343" w:rsidRPr="008D3568" w:rsidRDefault="00013343" w:rsidP="00A14942">
            <w:pPr>
              <w:rPr>
                <w:rFonts w:cs="Times New Roman"/>
                <w:sz w:val="16"/>
                <w:szCs w:val="16"/>
              </w:rPr>
            </w:pPr>
            <w:r w:rsidRPr="008D3568">
              <w:rPr>
                <w:rFonts w:cs="Times New Roman"/>
                <w:sz w:val="16"/>
                <w:szCs w:val="16"/>
              </w:rPr>
              <w:t>12 mg</w:t>
            </w:r>
            <w:r w:rsidR="00644D90">
              <w:rPr>
                <w:rFonts w:cs="Times New Roman"/>
                <w:sz w:val="16"/>
                <w:szCs w:val="16"/>
              </w:rPr>
              <w:t xml:space="preserve"> </w:t>
            </w:r>
            <w:proofErr w:type="spellStart"/>
            <w:r w:rsidR="00644D90">
              <w:rPr>
                <w:rFonts w:cs="Times New Roman"/>
                <w:sz w:val="16"/>
                <w:szCs w:val="16"/>
              </w:rPr>
              <w:t>qd</w:t>
            </w:r>
            <w:proofErr w:type="spellEnd"/>
          </w:p>
        </w:tc>
        <w:tc>
          <w:tcPr>
            <w:tcW w:w="1708" w:type="dxa"/>
            <w:shd w:val="clear" w:color="auto" w:fill="D9D9D9" w:themeFill="background1" w:themeFillShade="D9"/>
            <w:vAlign w:val="center"/>
          </w:tcPr>
          <w:p w14:paraId="7C4BC1F4" w14:textId="6E7B3250" w:rsidR="00013343" w:rsidRPr="008D3568" w:rsidRDefault="00013343" w:rsidP="00A14942">
            <w:pPr>
              <w:rPr>
                <w:rFonts w:cs="Times New Roman"/>
                <w:sz w:val="16"/>
                <w:szCs w:val="16"/>
              </w:rPr>
            </w:pPr>
            <w:r w:rsidRPr="008D3568">
              <w:rPr>
                <w:rFonts w:cs="Times New Roman"/>
                <w:sz w:val="16"/>
                <w:szCs w:val="16"/>
              </w:rPr>
              <w:t>104</w:t>
            </w:r>
          </w:p>
        </w:tc>
        <w:tc>
          <w:tcPr>
            <w:tcW w:w="1147" w:type="dxa"/>
            <w:shd w:val="clear" w:color="auto" w:fill="D9D9D9" w:themeFill="background1" w:themeFillShade="D9"/>
            <w:vAlign w:val="center"/>
          </w:tcPr>
          <w:p w14:paraId="015C9C77" w14:textId="3C653A5F" w:rsidR="00013343" w:rsidRPr="008D3568" w:rsidRDefault="00A14942" w:rsidP="00A14942">
            <w:pPr>
              <w:rPr>
                <w:rFonts w:cs="Times New Roman"/>
                <w:sz w:val="16"/>
                <w:szCs w:val="16"/>
              </w:rPr>
            </w:pPr>
            <w:r w:rsidRPr="008D3568">
              <w:rPr>
                <w:rFonts w:cs="Times New Roman"/>
                <w:sz w:val="16"/>
                <w:szCs w:val="16"/>
              </w:rPr>
              <w:t>-0.62</w:t>
            </w:r>
          </w:p>
        </w:tc>
        <w:tc>
          <w:tcPr>
            <w:tcW w:w="1104" w:type="dxa"/>
            <w:shd w:val="clear" w:color="auto" w:fill="D9D9D9" w:themeFill="background1" w:themeFillShade="D9"/>
            <w:vAlign w:val="center"/>
          </w:tcPr>
          <w:p w14:paraId="3C49AF14" w14:textId="29A0010D" w:rsidR="00013343" w:rsidRPr="008D3568" w:rsidRDefault="00A14942" w:rsidP="00A14942">
            <w:pPr>
              <w:rPr>
                <w:rFonts w:cs="Times New Roman"/>
                <w:sz w:val="16"/>
                <w:szCs w:val="16"/>
              </w:rPr>
            </w:pPr>
            <w:r w:rsidRPr="008D3568">
              <w:rPr>
                <w:rFonts w:cs="Times New Roman"/>
                <w:sz w:val="16"/>
                <w:szCs w:val="16"/>
              </w:rPr>
              <w:t>0.97</w:t>
            </w:r>
          </w:p>
        </w:tc>
        <w:tc>
          <w:tcPr>
            <w:tcW w:w="1084" w:type="dxa"/>
            <w:shd w:val="clear" w:color="auto" w:fill="D9D9D9" w:themeFill="background1" w:themeFillShade="D9"/>
            <w:vAlign w:val="center"/>
          </w:tcPr>
          <w:p w14:paraId="3A451040" w14:textId="4452C123" w:rsidR="00013343" w:rsidRPr="008D3568" w:rsidRDefault="00A14942" w:rsidP="00A14942">
            <w:pPr>
              <w:rPr>
                <w:rFonts w:cs="Times New Roman"/>
                <w:sz w:val="16"/>
                <w:szCs w:val="16"/>
              </w:rPr>
            </w:pPr>
            <w:r w:rsidRPr="008D3568">
              <w:rPr>
                <w:rFonts w:cs="Times New Roman"/>
                <w:sz w:val="16"/>
                <w:szCs w:val="16"/>
              </w:rPr>
              <w:t>426</w:t>
            </w:r>
          </w:p>
        </w:tc>
      </w:tr>
      <w:tr w:rsidR="00013343" w:rsidRPr="008D3568" w14:paraId="42D23AD5" w14:textId="77777777" w:rsidTr="00772F4F">
        <w:tc>
          <w:tcPr>
            <w:tcW w:w="1532" w:type="dxa"/>
            <w:vMerge/>
            <w:vAlign w:val="center"/>
          </w:tcPr>
          <w:p w14:paraId="3FE6ED7E" w14:textId="77777777" w:rsidR="00013343" w:rsidRPr="008D3568" w:rsidRDefault="00013343" w:rsidP="00A14942">
            <w:pPr>
              <w:rPr>
                <w:rFonts w:cs="Times New Roman"/>
                <w:sz w:val="16"/>
                <w:szCs w:val="16"/>
              </w:rPr>
            </w:pPr>
          </w:p>
        </w:tc>
        <w:tc>
          <w:tcPr>
            <w:tcW w:w="1503" w:type="dxa"/>
            <w:vAlign w:val="center"/>
          </w:tcPr>
          <w:p w14:paraId="1931C4BB" w14:textId="2596CDB6" w:rsidR="00013343" w:rsidRPr="008D3568" w:rsidRDefault="00EA23EE" w:rsidP="00A14942">
            <w:pPr>
              <w:rPr>
                <w:rFonts w:cs="Times New Roman"/>
                <w:sz w:val="16"/>
                <w:szCs w:val="16"/>
              </w:rPr>
            </w:pPr>
            <w:r>
              <w:rPr>
                <w:rFonts w:cs="Times New Roman"/>
                <w:sz w:val="16"/>
                <w:szCs w:val="16"/>
              </w:rPr>
              <w:t>a</w:t>
            </w:r>
            <w:r w:rsidR="00013343" w:rsidRPr="008D3568">
              <w:rPr>
                <w:rFonts w:cs="Times New Roman"/>
                <w:sz w:val="16"/>
                <w:szCs w:val="16"/>
              </w:rPr>
              <w:t>lemtuzumab</w:t>
            </w:r>
          </w:p>
        </w:tc>
        <w:tc>
          <w:tcPr>
            <w:tcW w:w="1272" w:type="dxa"/>
            <w:vAlign w:val="center"/>
          </w:tcPr>
          <w:p w14:paraId="2554F820" w14:textId="76F530E3" w:rsidR="00013343" w:rsidRPr="008D3568" w:rsidRDefault="00013343" w:rsidP="00A14942">
            <w:pPr>
              <w:rPr>
                <w:rFonts w:cs="Times New Roman"/>
                <w:sz w:val="16"/>
                <w:szCs w:val="16"/>
              </w:rPr>
            </w:pPr>
            <w:r w:rsidRPr="008D3568">
              <w:rPr>
                <w:rFonts w:cs="Times New Roman"/>
                <w:sz w:val="16"/>
                <w:szCs w:val="16"/>
              </w:rPr>
              <w:t>24 mg</w:t>
            </w:r>
            <w:r w:rsidR="00644D90">
              <w:rPr>
                <w:rFonts w:cs="Times New Roman"/>
                <w:sz w:val="16"/>
                <w:szCs w:val="16"/>
              </w:rPr>
              <w:t xml:space="preserve"> </w:t>
            </w:r>
            <w:proofErr w:type="spellStart"/>
            <w:r w:rsidR="00644D90">
              <w:rPr>
                <w:rFonts w:cs="Times New Roman"/>
                <w:sz w:val="16"/>
                <w:szCs w:val="16"/>
              </w:rPr>
              <w:t>qd</w:t>
            </w:r>
            <w:proofErr w:type="spellEnd"/>
          </w:p>
        </w:tc>
        <w:tc>
          <w:tcPr>
            <w:tcW w:w="1708" w:type="dxa"/>
            <w:vAlign w:val="center"/>
          </w:tcPr>
          <w:p w14:paraId="47BFB453" w14:textId="2DF2E416" w:rsidR="00013343" w:rsidRPr="008D3568" w:rsidRDefault="00013343" w:rsidP="00A14942">
            <w:pPr>
              <w:rPr>
                <w:rFonts w:cs="Times New Roman"/>
                <w:sz w:val="16"/>
                <w:szCs w:val="16"/>
              </w:rPr>
            </w:pPr>
            <w:r w:rsidRPr="008D3568">
              <w:rPr>
                <w:rFonts w:cs="Times New Roman"/>
                <w:sz w:val="16"/>
                <w:szCs w:val="16"/>
              </w:rPr>
              <w:t>104</w:t>
            </w:r>
          </w:p>
        </w:tc>
        <w:tc>
          <w:tcPr>
            <w:tcW w:w="1147" w:type="dxa"/>
            <w:tcBorders>
              <w:bottom w:val="single" w:sz="4" w:space="0" w:color="auto"/>
            </w:tcBorders>
            <w:vAlign w:val="center"/>
          </w:tcPr>
          <w:p w14:paraId="20759FAF" w14:textId="75720F7C" w:rsidR="00013343" w:rsidRPr="008D3568" w:rsidRDefault="00A14942" w:rsidP="00A14942">
            <w:pPr>
              <w:rPr>
                <w:rFonts w:cs="Times New Roman"/>
                <w:sz w:val="16"/>
                <w:szCs w:val="16"/>
              </w:rPr>
            </w:pPr>
            <w:r w:rsidRPr="008D3568">
              <w:rPr>
                <w:rFonts w:cs="Times New Roman"/>
                <w:sz w:val="16"/>
                <w:szCs w:val="16"/>
              </w:rPr>
              <w:t>-0.52</w:t>
            </w:r>
          </w:p>
        </w:tc>
        <w:tc>
          <w:tcPr>
            <w:tcW w:w="1104" w:type="dxa"/>
            <w:tcBorders>
              <w:bottom w:val="single" w:sz="4" w:space="0" w:color="auto"/>
            </w:tcBorders>
            <w:vAlign w:val="center"/>
          </w:tcPr>
          <w:p w14:paraId="5B7BB3A5" w14:textId="466541BA" w:rsidR="00013343" w:rsidRPr="008D3568" w:rsidRDefault="00A14942" w:rsidP="00A14942">
            <w:pPr>
              <w:rPr>
                <w:rFonts w:cs="Times New Roman"/>
                <w:sz w:val="16"/>
                <w:szCs w:val="16"/>
              </w:rPr>
            </w:pPr>
            <w:r w:rsidRPr="008D3568">
              <w:rPr>
                <w:rFonts w:cs="Times New Roman"/>
                <w:sz w:val="16"/>
                <w:szCs w:val="16"/>
              </w:rPr>
              <w:t>0.89</w:t>
            </w:r>
          </w:p>
        </w:tc>
        <w:tc>
          <w:tcPr>
            <w:tcW w:w="1084" w:type="dxa"/>
            <w:tcBorders>
              <w:bottom w:val="single" w:sz="4" w:space="0" w:color="auto"/>
            </w:tcBorders>
            <w:vAlign w:val="center"/>
          </w:tcPr>
          <w:p w14:paraId="33A7AE30" w14:textId="66D0771C" w:rsidR="00013343" w:rsidRPr="008D3568" w:rsidRDefault="00A14942" w:rsidP="00A14942">
            <w:pPr>
              <w:rPr>
                <w:rFonts w:cs="Times New Roman"/>
                <w:sz w:val="16"/>
                <w:szCs w:val="16"/>
              </w:rPr>
            </w:pPr>
            <w:r w:rsidRPr="008D3568">
              <w:rPr>
                <w:rFonts w:cs="Times New Roman"/>
                <w:sz w:val="16"/>
                <w:szCs w:val="16"/>
              </w:rPr>
              <w:t>170</w:t>
            </w:r>
          </w:p>
        </w:tc>
      </w:tr>
      <w:tr w:rsidR="003D274B" w:rsidRPr="008D3568" w14:paraId="2D76F97B" w14:textId="77777777" w:rsidTr="00772F4F">
        <w:tc>
          <w:tcPr>
            <w:tcW w:w="1532" w:type="dxa"/>
            <w:vMerge w:val="restart"/>
            <w:tcBorders>
              <w:top w:val="single" w:sz="4" w:space="0" w:color="auto"/>
              <w:left w:val="single" w:sz="4" w:space="0" w:color="auto"/>
              <w:right w:val="single" w:sz="4" w:space="0" w:color="auto"/>
            </w:tcBorders>
            <w:shd w:val="clear" w:color="auto" w:fill="auto"/>
            <w:vAlign w:val="center"/>
          </w:tcPr>
          <w:p w14:paraId="63664CB4" w14:textId="05B27632" w:rsidR="003D274B" w:rsidRPr="008D3568" w:rsidRDefault="003D274B" w:rsidP="003D274B">
            <w:pPr>
              <w:rPr>
                <w:rFonts w:cs="Times New Roman"/>
                <w:sz w:val="16"/>
                <w:szCs w:val="16"/>
              </w:rPr>
            </w:pPr>
            <w:r>
              <w:rPr>
                <w:color w:val="000000"/>
                <w:sz w:val="16"/>
                <w:szCs w:val="16"/>
              </w:rPr>
              <w:t>CONFIRM</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14:paraId="669984A8" w14:textId="3627E2D2" w:rsidR="003D274B" w:rsidRDefault="00EA23EE" w:rsidP="003D274B">
            <w:pPr>
              <w:rPr>
                <w:rFonts w:cs="Times New Roman"/>
                <w:sz w:val="16"/>
                <w:szCs w:val="16"/>
              </w:rPr>
            </w:pPr>
            <w:r>
              <w:rPr>
                <w:color w:val="000000"/>
                <w:sz w:val="16"/>
                <w:szCs w:val="16"/>
              </w:rPr>
              <w:t>p</w:t>
            </w:r>
            <w:r w:rsidR="003D274B">
              <w:rPr>
                <w:color w:val="000000"/>
                <w:sz w:val="16"/>
                <w:szCs w:val="16"/>
              </w:rPr>
              <w:t>lacebo</w:t>
            </w:r>
          </w:p>
        </w:tc>
        <w:tc>
          <w:tcPr>
            <w:tcW w:w="1272" w:type="dxa"/>
            <w:tcBorders>
              <w:top w:val="single" w:sz="4" w:space="0" w:color="auto"/>
              <w:left w:val="nil"/>
              <w:bottom w:val="single" w:sz="4" w:space="0" w:color="auto"/>
              <w:right w:val="single" w:sz="4" w:space="0" w:color="auto"/>
            </w:tcBorders>
            <w:shd w:val="clear" w:color="auto" w:fill="auto"/>
            <w:vAlign w:val="center"/>
          </w:tcPr>
          <w:p w14:paraId="2A83171F" w14:textId="234EEF50" w:rsidR="003D274B" w:rsidRPr="008D3568" w:rsidRDefault="003D274B" w:rsidP="003D274B">
            <w:pPr>
              <w:rPr>
                <w:rFonts w:cs="Times New Roman"/>
                <w:sz w:val="16"/>
                <w:szCs w:val="16"/>
              </w:rPr>
            </w:pPr>
            <w:r>
              <w:rPr>
                <w:color w:val="000000"/>
                <w:sz w:val="16"/>
                <w:szCs w:val="16"/>
              </w:rPr>
              <w:t>-</w:t>
            </w:r>
          </w:p>
        </w:tc>
        <w:tc>
          <w:tcPr>
            <w:tcW w:w="1708" w:type="dxa"/>
            <w:tcBorders>
              <w:top w:val="single" w:sz="4" w:space="0" w:color="auto"/>
              <w:left w:val="nil"/>
              <w:bottom w:val="single" w:sz="4" w:space="0" w:color="auto"/>
              <w:right w:val="single" w:sz="4" w:space="0" w:color="auto"/>
            </w:tcBorders>
            <w:shd w:val="clear" w:color="auto" w:fill="auto"/>
            <w:vAlign w:val="center"/>
          </w:tcPr>
          <w:p w14:paraId="021ABDEF" w14:textId="6FBCBEBF" w:rsidR="003D274B" w:rsidRPr="008D3568" w:rsidRDefault="003D274B" w:rsidP="003D274B">
            <w:pPr>
              <w:rPr>
                <w:rFonts w:cs="Times New Roman"/>
                <w:sz w:val="16"/>
                <w:szCs w:val="16"/>
              </w:rPr>
            </w:pPr>
            <w:r>
              <w:rPr>
                <w:color w:val="000000"/>
                <w:sz w:val="16"/>
                <w:szCs w:val="16"/>
              </w:rPr>
              <w:t>48</w:t>
            </w:r>
          </w:p>
        </w:tc>
        <w:tc>
          <w:tcPr>
            <w:tcW w:w="1147" w:type="dxa"/>
            <w:tcBorders>
              <w:top w:val="single" w:sz="4" w:space="0" w:color="auto"/>
              <w:left w:val="nil"/>
              <w:bottom w:val="single" w:sz="4" w:space="0" w:color="auto"/>
              <w:right w:val="single" w:sz="4" w:space="0" w:color="auto"/>
            </w:tcBorders>
            <w:shd w:val="clear" w:color="auto" w:fill="auto"/>
            <w:vAlign w:val="center"/>
          </w:tcPr>
          <w:p w14:paraId="56F519BE" w14:textId="7C5EE315" w:rsidR="003D274B" w:rsidRPr="008D3568" w:rsidRDefault="003D274B" w:rsidP="003D274B">
            <w:pPr>
              <w:rPr>
                <w:rFonts w:cs="Times New Roman"/>
                <w:sz w:val="16"/>
                <w:szCs w:val="16"/>
              </w:rPr>
            </w:pPr>
            <w:r>
              <w:rPr>
                <w:color w:val="000000"/>
                <w:sz w:val="16"/>
                <w:szCs w:val="16"/>
              </w:rPr>
              <w:t>-0.43</w:t>
            </w:r>
          </w:p>
        </w:tc>
        <w:tc>
          <w:tcPr>
            <w:tcW w:w="1104" w:type="dxa"/>
            <w:tcBorders>
              <w:top w:val="single" w:sz="4" w:space="0" w:color="auto"/>
              <w:left w:val="nil"/>
              <w:bottom w:val="single" w:sz="4" w:space="0" w:color="auto"/>
              <w:right w:val="single" w:sz="4" w:space="0" w:color="auto"/>
            </w:tcBorders>
            <w:shd w:val="clear" w:color="auto" w:fill="auto"/>
            <w:vAlign w:val="center"/>
          </w:tcPr>
          <w:p w14:paraId="13E97667" w14:textId="65211A66" w:rsidR="003D274B" w:rsidRPr="008D3568" w:rsidRDefault="003D274B" w:rsidP="003D274B">
            <w:pPr>
              <w:rPr>
                <w:rFonts w:cs="Times New Roman"/>
                <w:sz w:val="16"/>
                <w:szCs w:val="16"/>
              </w:rPr>
            </w:pPr>
            <w:r>
              <w:rPr>
                <w:color w:val="000000"/>
                <w:sz w:val="16"/>
                <w:szCs w:val="16"/>
              </w:rPr>
              <w:t>1.04</w:t>
            </w:r>
          </w:p>
        </w:tc>
        <w:tc>
          <w:tcPr>
            <w:tcW w:w="1084" w:type="dxa"/>
            <w:tcBorders>
              <w:top w:val="single" w:sz="4" w:space="0" w:color="auto"/>
              <w:left w:val="nil"/>
              <w:bottom w:val="single" w:sz="4" w:space="0" w:color="auto"/>
              <w:right w:val="single" w:sz="4" w:space="0" w:color="auto"/>
            </w:tcBorders>
            <w:shd w:val="clear" w:color="auto" w:fill="auto"/>
            <w:vAlign w:val="center"/>
          </w:tcPr>
          <w:p w14:paraId="7E7018DE" w14:textId="624EDC92" w:rsidR="003D274B" w:rsidRPr="008D3568" w:rsidRDefault="003D274B" w:rsidP="003D274B">
            <w:pPr>
              <w:rPr>
                <w:rFonts w:cs="Times New Roman"/>
                <w:sz w:val="16"/>
                <w:szCs w:val="16"/>
              </w:rPr>
            </w:pPr>
            <w:r>
              <w:rPr>
                <w:color w:val="000000"/>
                <w:sz w:val="16"/>
                <w:szCs w:val="16"/>
              </w:rPr>
              <w:t>144</w:t>
            </w:r>
          </w:p>
        </w:tc>
      </w:tr>
      <w:tr w:rsidR="003D274B" w:rsidRPr="008D3568" w14:paraId="7513185C" w14:textId="77777777" w:rsidTr="00772F4F">
        <w:tc>
          <w:tcPr>
            <w:tcW w:w="1532" w:type="dxa"/>
            <w:vMerge/>
            <w:tcBorders>
              <w:left w:val="single" w:sz="4" w:space="0" w:color="auto"/>
              <w:right w:val="single" w:sz="4" w:space="0" w:color="auto"/>
            </w:tcBorders>
            <w:vAlign w:val="center"/>
          </w:tcPr>
          <w:p w14:paraId="484DAED6"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673928B3" w14:textId="2FB27E61"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16DB3685" w14:textId="2EF61D40" w:rsidR="003D274B" w:rsidRPr="008D3568" w:rsidRDefault="00585396" w:rsidP="003D274B">
            <w:pPr>
              <w:rPr>
                <w:rFonts w:cs="Times New Roman"/>
                <w:sz w:val="16"/>
                <w:szCs w:val="16"/>
              </w:rPr>
            </w:pPr>
            <w:r>
              <w:rPr>
                <w:color w:val="000000"/>
                <w:sz w:val="16"/>
                <w:szCs w:val="16"/>
              </w:rPr>
              <w:t>240</w:t>
            </w:r>
            <w:r w:rsidR="00485F19" w:rsidRPr="008D3568">
              <w:rPr>
                <w:rFonts w:cs="Times New Roman"/>
                <w:sz w:val="16"/>
                <w:szCs w:val="16"/>
              </w:rPr>
              <w:t xml:space="preserve"> mg</w:t>
            </w:r>
            <w:r>
              <w:rPr>
                <w:rFonts w:cs="Times New Roman"/>
                <w:sz w:val="16"/>
                <w:szCs w:val="16"/>
              </w:rPr>
              <w:t xml:space="preserve"> bid</w:t>
            </w:r>
          </w:p>
        </w:tc>
        <w:tc>
          <w:tcPr>
            <w:tcW w:w="1708" w:type="dxa"/>
            <w:tcBorders>
              <w:top w:val="nil"/>
              <w:left w:val="nil"/>
              <w:bottom w:val="single" w:sz="4" w:space="0" w:color="auto"/>
              <w:right w:val="single" w:sz="4" w:space="0" w:color="auto"/>
            </w:tcBorders>
            <w:shd w:val="clear" w:color="auto" w:fill="auto"/>
            <w:vAlign w:val="center"/>
          </w:tcPr>
          <w:p w14:paraId="72C73779" w14:textId="544DD0EA"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5FA80EC6" w14:textId="6F7A8027" w:rsidR="003D274B" w:rsidRPr="008D3568" w:rsidRDefault="003D274B" w:rsidP="003D274B">
            <w:pPr>
              <w:rPr>
                <w:rFonts w:cs="Times New Roman"/>
                <w:sz w:val="16"/>
                <w:szCs w:val="16"/>
              </w:rPr>
            </w:pPr>
            <w:r>
              <w:rPr>
                <w:color w:val="000000"/>
                <w:sz w:val="16"/>
                <w:szCs w:val="16"/>
              </w:rPr>
              <w:t>-0.50</w:t>
            </w:r>
          </w:p>
        </w:tc>
        <w:tc>
          <w:tcPr>
            <w:tcW w:w="1104" w:type="dxa"/>
            <w:tcBorders>
              <w:top w:val="nil"/>
              <w:left w:val="nil"/>
              <w:bottom w:val="single" w:sz="4" w:space="0" w:color="auto"/>
              <w:right w:val="single" w:sz="4" w:space="0" w:color="auto"/>
            </w:tcBorders>
            <w:shd w:val="clear" w:color="auto" w:fill="auto"/>
            <w:vAlign w:val="center"/>
          </w:tcPr>
          <w:p w14:paraId="4D4B9879" w14:textId="31A9E92D" w:rsidR="003D274B" w:rsidRPr="008D3568" w:rsidRDefault="003D274B" w:rsidP="003D274B">
            <w:pPr>
              <w:rPr>
                <w:rFonts w:cs="Times New Roman"/>
                <w:sz w:val="16"/>
                <w:szCs w:val="16"/>
              </w:rPr>
            </w:pPr>
            <w:r>
              <w:rPr>
                <w:color w:val="000000"/>
                <w:sz w:val="16"/>
                <w:szCs w:val="16"/>
              </w:rPr>
              <w:t>1.25</w:t>
            </w:r>
          </w:p>
        </w:tc>
        <w:tc>
          <w:tcPr>
            <w:tcW w:w="1084" w:type="dxa"/>
            <w:tcBorders>
              <w:top w:val="nil"/>
              <w:left w:val="nil"/>
              <w:bottom w:val="single" w:sz="4" w:space="0" w:color="auto"/>
              <w:right w:val="single" w:sz="4" w:space="0" w:color="auto"/>
            </w:tcBorders>
            <w:shd w:val="clear" w:color="auto" w:fill="auto"/>
            <w:vAlign w:val="center"/>
          </w:tcPr>
          <w:p w14:paraId="68252BED" w14:textId="212F009A" w:rsidR="003D274B" w:rsidRPr="008D3568" w:rsidRDefault="003D274B" w:rsidP="003D274B">
            <w:pPr>
              <w:rPr>
                <w:rFonts w:cs="Times New Roman"/>
                <w:sz w:val="16"/>
                <w:szCs w:val="16"/>
              </w:rPr>
            </w:pPr>
            <w:r>
              <w:rPr>
                <w:color w:val="000000"/>
                <w:sz w:val="16"/>
                <w:szCs w:val="16"/>
              </w:rPr>
              <w:t>147</w:t>
            </w:r>
          </w:p>
        </w:tc>
      </w:tr>
      <w:tr w:rsidR="003D274B" w:rsidRPr="008D3568" w14:paraId="310D2446" w14:textId="77777777" w:rsidTr="00772F4F">
        <w:tc>
          <w:tcPr>
            <w:tcW w:w="1532" w:type="dxa"/>
            <w:vMerge/>
            <w:tcBorders>
              <w:left w:val="single" w:sz="4" w:space="0" w:color="auto"/>
              <w:right w:val="single" w:sz="4" w:space="0" w:color="auto"/>
            </w:tcBorders>
            <w:vAlign w:val="center"/>
          </w:tcPr>
          <w:p w14:paraId="789A6586"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635B94B" w14:textId="0A02CF96"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66125693" w14:textId="72793DE8" w:rsidR="003D274B" w:rsidRPr="008D3568" w:rsidRDefault="003D33DB" w:rsidP="003D274B">
            <w:pPr>
              <w:rPr>
                <w:rFonts w:cs="Times New Roman"/>
                <w:sz w:val="16"/>
                <w:szCs w:val="16"/>
              </w:rPr>
            </w:pPr>
            <w:r>
              <w:rPr>
                <w:color w:val="000000"/>
                <w:sz w:val="16"/>
                <w:szCs w:val="16"/>
              </w:rPr>
              <w:t>240</w:t>
            </w:r>
            <w:r w:rsidR="00485F19" w:rsidRPr="008D3568">
              <w:rPr>
                <w:rFonts w:cs="Times New Roman"/>
                <w:sz w:val="16"/>
                <w:szCs w:val="16"/>
              </w:rPr>
              <w:t xml:space="preserve"> mg</w:t>
            </w:r>
            <w:r>
              <w:rPr>
                <w:rFonts w:cs="Times New Roman"/>
                <w:sz w:val="16"/>
                <w:szCs w:val="16"/>
              </w:rPr>
              <w:t xml:space="preserve"> </w:t>
            </w:r>
            <w:proofErr w:type="spellStart"/>
            <w:r>
              <w:rPr>
                <w:rFonts w:cs="Times New Roman"/>
                <w:sz w:val="16"/>
                <w:szCs w:val="16"/>
              </w:rPr>
              <w:t>tid</w:t>
            </w:r>
            <w:proofErr w:type="spellEnd"/>
          </w:p>
        </w:tc>
        <w:tc>
          <w:tcPr>
            <w:tcW w:w="1708" w:type="dxa"/>
            <w:tcBorders>
              <w:top w:val="nil"/>
              <w:left w:val="nil"/>
              <w:bottom w:val="single" w:sz="4" w:space="0" w:color="auto"/>
              <w:right w:val="single" w:sz="4" w:space="0" w:color="auto"/>
            </w:tcBorders>
            <w:shd w:val="clear" w:color="auto" w:fill="auto"/>
            <w:vAlign w:val="center"/>
          </w:tcPr>
          <w:p w14:paraId="6890278E" w14:textId="18692081"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7D4A70D6" w14:textId="5D61CB6C" w:rsidR="003D274B" w:rsidRPr="008D3568" w:rsidRDefault="003D274B" w:rsidP="003D274B">
            <w:pPr>
              <w:rPr>
                <w:rFonts w:cs="Times New Roman"/>
                <w:sz w:val="16"/>
                <w:szCs w:val="16"/>
              </w:rPr>
            </w:pPr>
            <w:r>
              <w:rPr>
                <w:color w:val="000000"/>
                <w:sz w:val="16"/>
                <w:szCs w:val="16"/>
              </w:rPr>
              <w:t>-0.43</w:t>
            </w:r>
          </w:p>
        </w:tc>
        <w:tc>
          <w:tcPr>
            <w:tcW w:w="1104" w:type="dxa"/>
            <w:tcBorders>
              <w:top w:val="nil"/>
              <w:left w:val="nil"/>
              <w:bottom w:val="single" w:sz="4" w:space="0" w:color="auto"/>
              <w:right w:val="single" w:sz="4" w:space="0" w:color="auto"/>
            </w:tcBorders>
            <w:shd w:val="clear" w:color="auto" w:fill="auto"/>
            <w:vAlign w:val="center"/>
          </w:tcPr>
          <w:p w14:paraId="2BD7C46B" w14:textId="41F1C086" w:rsidR="003D274B" w:rsidRPr="008D3568" w:rsidRDefault="003D274B" w:rsidP="003D274B">
            <w:pPr>
              <w:rPr>
                <w:rFonts w:cs="Times New Roman"/>
                <w:sz w:val="16"/>
                <w:szCs w:val="16"/>
              </w:rPr>
            </w:pPr>
            <w:r>
              <w:rPr>
                <w:color w:val="000000"/>
                <w:sz w:val="16"/>
                <w:szCs w:val="16"/>
              </w:rPr>
              <w:t>0.91</w:t>
            </w:r>
          </w:p>
        </w:tc>
        <w:tc>
          <w:tcPr>
            <w:tcW w:w="1084" w:type="dxa"/>
            <w:tcBorders>
              <w:top w:val="nil"/>
              <w:left w:val="nil"/>
              <w:bottom w:val="single" w:sz="4" w:space="0" w:color="auto"/>
              <w:right w:val="single" w:sz="4" w:space="0" w:color="auto"/>
            </w:tcBorders>
            <w:shd w:val="clear" w:color="auto" w:fill="auto"/>
            <w:vAlign w:val="center"/>
          </w:tcPr>
          <w:p w14:paraId="0F970E52" w14:textId="5D5F3A71" w:rsidR="003D274B" w:rsidRPr="008D3568" w:rsidRDefault="003D274B" w:rsidP="003D274B">
            <w:pPr>
              <w:rPr>
                <w:rFonts w:cs="Times New Roman"/>
                <w:sz w:val="16"/>
                <w:szCs w:val="16"/>
              </w:rPr>
            </w:pPr>
            <w:r>
              <w:rPr>
                <w:color w:val="000000"/>
                <w:sz w:val="16"/>
                <w:szCs w:val="16"/>
              </w:rPr>
              <w:t>144</w:t>
            </w:r>
          </w:p>
        </w:tc>
      </w:tr>
      <w:tr w:rsidR="003D274B" w:rsidRPr="008D3568" w14:paraId="13FC288C" w14:textId="77777777" w:rsidTr="00772F4F">
        <w:tc>
          <w:tcPr>
            <w:tcW w:w="1532" w:type="dxa"/>
            <w:vMerge/>
            <w:tcBorders>
              <w:left w:val="single" w:sz="4" w:space="0" w:color="auto"/>
              <w:right w:val="single" w:sz="4" w:space="0" w:color="auto"/>
            </w:tcBorders>
            <w:vAlign w:val="center"/>
          </w:tcPr>
          <w:p w14:paraId="60356C04"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C7DC671" w14:textId="44E82742" w:rsidR="003D274B" w:rsidRDefault="003D274B" w:rsidP="003D274B">
            <w:pPr>
              <w:rPr>
                <w:rFonts w:cs="Times New Roman"/>
                <w:sz w:val="16"/>
                <w:szCs w:val="16"/>
              </w:rPr>
            </w:pPr>
            <w:r>
              <w:rPr>
                <w:color w:val="000000"/>
                <w:sz w:val="16"/>
                <w:szCs w:val="16"/>
              </w:rPr>
              <w:t>glatiramer acetate</w:t>
            </w:r>
          </w:p>
        </w:tc>
        <w:tc>
          <w:tcPr>
            <w:tcW w:w="1272" w:type="dxa"/>
            <w:tcBorders>
              <w:top w:val="nil"/>
              <w:left w:val="nil"/>
              <w:bottom w:val="single" w:sz="4" w:space="0" w:color="auto"/>
              <w:right w:val="single" w:sz="4" w:space="0" w:color="auto"/>
            </w:tcBorders>
            <w:shd w:val="clear" w:color="auto" w:fill="auto"/>
            <w:vAlign w:val="center"/>
          </w:tcPr>
          <w:p w14:paraId="0032D9F6" w14:textId="7F48225F" w:rsidR="003D274B" w:rsidRPr="008D3568" w:rsidRDefault="003D274B" w:rsidP="003D274B">
            <w:pPr>
              <w:rPr>
                <w:rFonts w:cs="Times New Roman"/>
                <w:sz w:val="16"/>
                <w:szCs w:val="16"/>
              </w:rPr>
            </w:pPr>
            <w:r>
              <w:rPr>
                <w:color w:val="000000"/>
                <w:sz w:val="16"/>
                <w:szCs w:val="16"/>
              </w:rPr>
              <w:t>20</w:t>
            </w:r>
            <w:r w:rsidR="00E858C5" w:rsidRPr="008D3568">
              <w:rPr>
                <w:rFonts w:cs="Times New Roman"/>
                <w:sz w:val="16"/>
                <w:szCs w:val="16"/>
              </w:rPr>
              <w:t xml:space="preserve"> mg</w:t>
            </w:r>
            <w:r w:rsidR="003D33DB">
              <w:rPr>
                <w:rFonts w:cs="Times New Roman"/>
                <w:sz w:val="16"/>
                <w:szCs w:val="16"/>
              </w:rPr>
              <w:t xml:space="preserve"> </w:t>
            </w:r>
            <w:proofErr w:type="spellStart"/>
            <w:r w:rsidR="003D33DB">
              <w:rPr>
                <w:rFonts w:cs="Times New Roman"/>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39E05E0D" w14:textId="3C39ACD8"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6F84EE97" w14:textId="61A7118B" w:rsidR="003D274B" w:rsidRPr="008D3568" w:rsidRDefault="003D274B" w:rsidP="003D274B">
            <w:pPr>
              <w:rPr>
                <w:rFonts w:cs="Times New Roman"/>
                <w:sz w:val="16"/>
                <w:szCs w:val="16"/>
              </w:rPr>
            </w:pPr>
            <w:r>
              <w:rPr>
                <w:color w:val="000000"/>
                <w:sz w:val="16"/>
                <w:szCs w:val="16"/>
              </w:rPr>
              <w:t>-0.52</w:t>
            </w:r>
          </w:p>
        </w:tc>
        <w:tc>
          <w:tcPr>
            <w:tcW w:w="1104" w:type="dxa"/>
            <w:tcBorders>
              <w:top w:val="nil"/>
              <w:left w:val="nil"/>
              <w:bottom w:val="single" w:sz="4" w:space="0" w:color="auto"/>
              <w:right w:val="single" w:sz="4" w:space="0" w:color="auto"/>
            </w:tcBorders>
            <w:shd w:val="clear" w:color="auto" w:fill="auto"/>
            <w:vAlign w:val="center"/>
          </w:tcPr>
          <w:p w14:paraId="59C20539" w14:textId="2A86F109" w:rsidR="003D274B" w:rsidRPr="008D3568" w:rsidRDefault="003D274B" w:rsidP="003D274B">
            <w:pPr>
              <w:rPr>
                <w:rFonts w:cs="Times New Roman"/>
                <w:sz w:val="16"/>
                <w:szCs w:val="16"/>
              </w:rPr>
            </w:pPr>
            <w:r>
              <w:rPr>
                <w:color w:val="000000"/>
                <w:sz w:val="16"/>
                <w:szCs w:val="16"/>
              </w:rPr>
              <w:t>0.89</w:t>
            </w:r>
          </w:p>
        </w:tc>
        <w:tc>
          <w:tcPr>
            <w:tcW w:w="1084" w:type="dxa"/>
            <w:tcBorders>
              <w:top w:val="nil"/>
              <w:left w:val="nil"/>
              <w:bottom w:val="single" w:sz="4" w:space="0" w:color="auto"/>
              <w:right w:val="single" w:sz="4" w:space="0" w:color="auto"/>
            </w:tcBorders>
            <w:shd w:val="clear" w:color="auto" w:fill="auto"/>
            <w:vAlign w:val="center"/>
          </w:tcPr>
          <w:p w14:paraId="034F4AFB" w14:textId="59AC71E2" w:rsidR="003D274B" w:rsidRPr="008D3568" w:rsidRDefault="003D274B" w:rsidP="003D274B">
            <w:pPr>
              <w:rPr>
                <w:rFonts w:cs="Times New Roman"/>
                <w:sz w:val="16"/>
                <w:szCs w:val="16"/>
              </w:rPr>
            </w:pPr>
            <w:r>
              <w:rPr>
                <w:color w:val="000000"/>
                <w:sz w:val="16"/>
                <w:szCs w:val="16"/>
              </w:rPr>
              <w:t>161</w:t>
            </w:r>
          </w:p>
        </w:tc>
      </w:tr>
      <w:tr w:rsidR="003D274B" w:rsidRPr="008D3568" w14:paraId="6435CBCB" w14:textId="77777777" w:rsidTr="00772F4F">
        <w:tc>
          <w:tcPr>
            <w:tcW w:w="1532" w:type="dxa"/>
            <w:vMerge/>
            <w:tcBorders>
              <w:left w:val="single" w:sz="4" w:space="0" w:color="auto"/>
              <w:right w:val="single" w:sz="4" w:space="0" w:color="auto"/>
            </w:tcBorders>
            <w:vAlign w:val="center"/>
          </w:tcPr>
          <w:p w14:paraId="7CAB6038" w14:textId="77777777" w:rsidR="003D274B" w:rsidRPr="008D3568" w:rsidRDefault="003D274B"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559740A6" w14:textId="1FC1EADB" w:rsidR="003D274B" w:rsidRDefault="00EA23EE" w:rsidP="003D274B">
            <w:pPr>
              <w:rPr>
                <w:rFonts w:cs="Times New Roman"/>
                <w:sz w:val="16"/>
                <w:szCs w:val="16"/>
              </w:rPr>
            </w:pPr>
            <w:r>
              <w:rPr>
                <w:color w:val="000000"/>
                <w:sz w:val="16"/>
                <w:szCs w:val="16"/>
              </w:rPr>
              <w:t>p</w:t>
            </w:r>
            <w:r w:rsidR="003D274B">
              <w:rPr>
                <w:color w:val="000000"/>
                <w:sz w:val="16"/>
                <w:szCs w:val="16"/>
              </w:rPr>
              <w:t>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26980755" w14:textId="01DA5450" w:rsidR="003D274B" w:rsidRPr="008D3568" w:rsidRDefault="003D274B" w:rsidP="003D274B">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15E185A" w14:textId="6D8F84F8" w:rsidR="003D274B" w:rsidRPr="008D3568" w:rsidRDefault="003D274B" w:rsidP="003D274B">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1D911AF" w14:textId="6220B8D7" w:rsidR="003D274B" w:rsidRPr="008D3568" w:rsidRDefault="003D274B" w:rsidP="003D274B">
            <w:pPr>
              <w:rPr>
                <w:rFonts w:cs="Times New Roman"/>
                <w:sz w:val="16"/>
                <w:szCs w:val="16"/>
              </w:rPr>
            </w:pPr>
            <w:r>
              <w:rPr>
                <w:color w:val="000000"/>
                <w:sz w:val="16"/>
                <w:szCs w:val="16"/>
              </w:rPr>
              <w:t>-1.03</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F882A02" w14:textId="2A6D2EBF" w:rsidR="003D274B" w:rsidRPr="008D3568" w:rsidRDefault="003D274B" w:rsidP="003D274B">
            <w:pPr>
              <w:rPr>
                <w:rFonts w:cs="Times New Roman"/>
                <w:sz w:val="16"/>
                <w:szCs w:val="16"/>
              </w:rPr>
            </w:pPr>
            <w:r>
              <w:rPr>
                <w:color w:val="000000"/>
                <w:sz w:val="16"/>
                <w:szCs w:val="16"/>
              </w:rPr>
              <w:t>1.73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5C07ADA" w14:textId="5B561210" w:rsidR="003D274B" w:rsidRPr="008D3568" w:rsidRDefault="003D274B" w:rsidP="003D274B">
            <w:pPr>
              <w:rPr>
                <w:rFonts w:cs="Times New Roman"/>
                <w:sz w:val="16"/>
                <w:szCs w:val="16"/>
              </w:rPr>
            </w:pPr>
            <w:r>
              <w:rPr>
                <w:color w:val="000000"/>
                <w:sz w:val="16"/>
                <w:szCs w:val="16"/>
              </w:rPr>
              <w:t>144</w:t>
            </w:r>
          </w:p>
        </w:tc>
      </w:tr>
      <w:tr w:rsidR="003D274B" w:rsidRPr="008D3568" w14:paraId="2AB5A035" w14:textId="77777777" w:rsidTr="00772F4F">
        <w:tc>
          <w:tcPr>
            <w:tcW w:w="1532" w:type="dxa"/>
            <w:vMerge/>
            <w:tcBorders>
              <w:left w:val="single" w:sz="4" w:space="0" w:color="auto"/>
              <w:right w:val="single" w:sz="4" w:space="0" w:color="auto"/>
            </w:tcBorders>
            <w:vAlign w:val="center"/>
          </w:tcPr>
          <w:p w14:paraId="7ED81956" w14:textId="77777777" w:rsidR="003D274B" w:rsidRPr="008D3568" w:rsidRDefault="003D274B"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350FC57" w14:textId="65DBDB53" w:rsidR="003D274B" w:rsidRDefault="003D274B" w:rsidP="003D274B">
            <w:pPr>
              <w:rPr>
                <w:rFonts w:cs="Times New Roman"/>
                <w:sz w:val="16"/>
                <w:szCs w:val="16"/>
              </w:rPr>
            </w:pPr>
            <w:r>
              <w:rPr>
                <w:color w:val="000000"/>
                <w:sz w:val="16"/>
                <w:szCs w:val="16"/>
              </w:rPr>
              <w:t>dimethyl fumarate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14ED7870" w14:textId="0AD0F9FB" w:rsidR="003D274B" w:rsidRPr="008D3568" w:rsidRDefault="003D33DB" w:rsidP="003D274B">
            <w:pPr>
              <w:rPr>
                <w:rFonts w:cs="Times New Roman"/>
                <w:sz w:val="16"/>
                <w:szCs w:val="16"/>
              </w:rPr>
            </w:pPr>
            <w:r>
              <w:rPr>
                <w:color w:val="000000"/>
                <w:sz w:val="16"/>
                <w:szCs w:val="16"/>
              </w:rPr>
              <w:t>240</w:t>
            </w:r>
            <w:r w:rsidRPr="008D3568">
              <w:rPr>
                <w:rFonts w:cs="Times New Roman"/>
                <w:sz w:val="16"/>
                <w:szCs w:val="16"/>
              </w:rPr>
              <w:t xml:space="preserve"> mg</w:t>
            </w:r>
            <w:r>
              <w:rPr>
                <w:rFonts w:cs="Times New Roman"/>
                <w:sz w:val="16"/>
                <w:szCs w:val="16"/>
              </w:rPr>
              <w:t xml:space="preserve"> bid</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5322A90" w14:textId="5CD10501" w:rsidR="003D274B" w:rsidRPr="008D3568" w:rsidRDefault="003D274B" w:rsidP="003D274B">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097DA43" w14:textId="48C0E7E2" w:rsidR="003D274B" w:rsidRPr="008D3568" w:rsidRDefault="003D274B" w:rsidP="003D274B">
            <w:pPr>
              <w:rPr>
                <w:rFonts w:cs="Times New Roman"/>
                <w:sz w:val="16"/>
                <w:szCs w:val="16"/>
              </w:rPr>
            </w:pPr>
            <w:r>
              <w:rPr>
                <w:color w:val="000000"/>
                <w:sz w:val="16"/>
                <w:szCs w:val="16"/>
              </w:rPr>
              <w:t>-0.89</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C9D113B" w14:textId="4AFB0440" w:rsidR="003D274B" w:rsidRPr="008D3568" w:rsidRDefault="003D274B" w:rsidP="003D274B">
            <w:pPr>
              <w:rPr>
                <w:rFonts w:cs="Times New Roman"/>
                <w:sz w:val="16"/>
                <w:szCs w:val="16"/>
              </w:rPr>
            </w:pPr>
            <w:r>
              <w:rPr>
                <w:color w:val="000000"/>
                <w:sz w:val="16"/>
                <w:szCs w:val="16"/>
              </w:rPr>
              <w:t>2.17</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30AAFCEB" w14:textId="768E37ED" w:rsidR="003D274B" w:rsidRPr="008D3568" w:rsidRDefault="003D274B" w:rsidP="003D274B">
            <w:pPr>
              <w:rPr>
                <w:rFonts w:cs="Times New Roman"/>
                <w:sz w:val="16"/>
                <w:szCs w:val="16"/>
              </w:rPr>
            </w:pPr>
            <w:r>
              <w:rPr>
                <w:color w:val="000000"/>
                <w:sz w:val="16"/>
                <w:szCs w:val="16"/>
              </w:rPr>
              <w:t>147</w:t>
            </w:r>
          </w:p>
        </w:tc>
      </w:tr>
      <w:tr w:rsidR="003D274B" w:rsidRPr="008D3568" w14:paraId="63BEEF14" w14:textId="77777777" w:rsidTr="00772F4F">
        <w:tc>
          <w:tcPr>
            <w:tcW w:w="1532" w:type="dxa"/>
            <w:vMerge/>
            <w:tcBorders>
              <w:left w:val="single" w:sz="4" w:space="0" w:color="auto"/>
              <w:right w:val="single" w:sz="4" w:space="0" w:color="auto"/>
            </w:tcBorders>
            <w:vAlign w:val="center"/>
          </w:tcPr>
          <w:p w14:paraId="14CFED1E"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07C865E7" w14:textId="4B892AD2"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2DFA05C4" w14:textId="5D2C8392" w:rsidR="003D274B" w:rsidRPr="008D3568" w:rsidRDefault="003D33DB" w:rsidP="003D274B">
            <w:pPr>
              <w:rPr>
                <w:rFonts w:cs="Times New Roman"/>
                <w:sz w:val="16"/>
                <w:szCs w:val="16"/>
              </w:rPr>
            </w:pPr>
            <w:r>
              <w:rPr>
                <w:color w:val="000000"/>
                <w:sz w:val="16"/>
                <w:szCs w:val="16"/>
              </w:rPr>
              <w:t>240</w:t>
            </w:r>
            <w:r w:rsidRPr="008D3568">
              <w:rPr>
                <w:rFonts w:cs="Times New Roman"/>
                <w:sz w:val="16"/>
                <w:szCs w:val="16"/>
              </w:rPr>
              <w:t xml:space="preserve"> mg</w:t>
            </w:r>
            <w:r>
              <w:rPr>
                <w:rFonts w:cs="Times New Roman"/>
                <w:sz w:val="16"/>
                <w:szCs w:val="16"/>
              </w:rPr>
              <w:t xml:space="preserve"> </w:t>
            </w:r>
            <w:proofErr w:type="spellStart"/>
            <w:r>
              <w:rPr>
                <w:rFonts w:cs="Times New Roman"/>
                <w:sz w:val="16"/>
                <w:szCs w:val="16"/>
              </w:rPr>
              <w:t>tid</w:t>
            </w:r>
            <w:proofErr w:type="spellEnd"/>
          </w:p>
        </w:tc>
        <w:tc>
          <w:tcPr>
            <w:tcW w:w="1708" w:type="dxa"/>
            <w:tcBorders>
              <w:top w:val="nil"/>
              <w:left w:val="nil"/>
              <w:bottom w:val="single" w:sz="4" w:space="0" w:color="auto"/>
              <w:right w:val="single" w:sz="4" w:space="0" w:color="auto"/>
            </w:tcBorders>
            <w:shd w:val="clear" w:color="auto" w:fill="auto"/>
            <w:vAlign w:val="center"/>
          </w:tcPr>
          <w:p w14:paraId="6BBC088B" w14:textId="1773BBBB" w:rsidR="003D274B" w:rsidRPr="008D3568" w:rsidRDefault="003D274B" w:rsidP="003D274B">
            <w:pPr>
              <w:rPr>
                <w:rFonts w:cs="Times New Roman"/>
                <w:sz w:val="16"/>
                <w:szCs w:val="16"/>
              </w:rPr>
            </w:pPr>
            <w:r>
              <w:rPr>
                <w:color w:val="000000"/>
                <w:sz w:val="16"/>
                <w:szCs w:val="16"/>
              </w:rPr>
              <w:t>96</w:t>
            </w:r>
          </w:p>
        </w:tc>
        <w:tc>
          <w:tcPr>
            <w:tcW w:w="1147" w:type="dxa"/>
            <w:tcBorders>
              <w:top w:val="nil"/>
              <w:left w:val="nil"/>
              <w:bottom w:val="single" w:sz="4" w:space="0" w:color="auto"/>
              <w:right w:val="single" w:sz="4" w:space="0" w:color="auto"/>
            </w:tcBorders>
            <w:shd w:val="clear" w:color="auto" w:fill="auto"/>
            <w:vAlign w:val="center"/>
          </w:tcPr>
          <w:p w14:paraId="27A09C42" w14:textId="6791F00D" w:rsidR="003D274B" w:rsidRPr="008D3568" w:rsidRDefault="003D274B" w:rsidP="003D274B">
            <w:pPr>
              <w:rPr>
                <w:rFonts w:cs="Times New Roman"/>
                <w:sz w:val="16"/>
                <w:szCs w:val="16"/>
              </w:rPr>
            </w:pPr>
            <w:r>
              <w:rPr>
                <w:color w:val="000000"/>
                <w:sz w:val="16"/>
                <w:szCs w:val="16"/>
              </w:rPr>
              <w:t>-0.84</w:t>
            </w:r>
          </w:p>
        </w:tc>
        <w:tc>
          <w:tcPr>
            <w:tcW w:w="1104" w:type="dxa"/>
            <w:tcBorders>
              <w:top w:val="nil"/>
              <w:left w:val="nil"/>
              <w:bottom w:val="single" w:sz="4" w:space="0" w:color="auto"/>
              <w:right w:val="single" w:sz="4" w:space="0" w:color="auto"/>
            </w:tcBorders>
            <w:shd w:val="clear" w:color="auto" w:fill="auto"/>
            <w:vAlign w:val="center"/>
          </w:tcPr>
          <w:p w14:paraId="579748D9" w14:textId="452208DC" w:rsidR="003D274B" w:rsidRPr="008D3568" w:rsidRDefault="003D274B" w:rsidP="003D274B">
            <w:pPr>
              <w:rPr>
                <w:rFonts w:cs="Times New Roman"/>
                <w:sz w:val="16"/>
                <w:szCs w:val="16"/>
              </w:rPr>
            </w:pPr>
            <w:r>
              <w:rPr>
                <w:color w:val="000000"/>
                <w:sz w:val="16"/>
                <w:szCs w:val="16"/>
              </w:rPr>
              <w:t>1.57</w:t>
            </w:r>
          </w:p>
        </w:tc>
        <w:tc>
          <w:tcPr>
            <w:tcW w:w="1084" w:type="dxa"/>
            <w:tcBorders>
              <w:top w:val="nil"/>
              <w:left w:val="nil"/>
              <w:bottom w:val="single" w:sz="4" w:space="0" w:color="auto"/>
              <w:right w:val="single" w:sz="4" w:space="0" w:color="auto"/>
            </w:tcBorders>
            <w:shd w:val="clear" w:color="auto" w:fill="auto"/>
            <w:vAlign w:val="center"/>
          </w:tcPr>
          <w:p w14:paraId="61D28180" w14:textId="26784AE5" w:rsidR="003D274B" w:rsidRPr="008D3568" w:rsidRDefault="003D274B" w:rsidP="003D274B">
            <w:pPr>
              <w:rPr>
                <w:rFonts w:cs="Times New Roman"/>
                <w:sz w:val="16"/>
                <w:szCs w:val="16"/>
              </w:rPr>
            </w:pPr>
            <w:r>
              <w:rPr>
                <w:color w:val="000000"/>
                <w:sz w:val="16"/>
                <w:szCs w:val="16"/>
              </w:rPr>
              <w:t>144</w:t>
            </w:r>
          </w:p>
        </w:tc>
      </w:tr>
      <w:tr w:rsidR="003D274B" w:rsidRPr="008D3568" w14:paraId="5E061A01" w14:textId="77777777" w:rsidTr="00772F4F">
        <w:tc>
          <w:tcPr>
            <w:tcW w:w="1532" w:type="dxa"/>
            <w:vMerge/>
            <w:tcBorders>
              <w:left w:val="single" w:sz="4" w:space="0" w:color="auto"/>
              <w:bottom w:val="single" w:sz="4" w:space="0" w:color="auto"/>
              <w:right w:val="single" w:sz="4" w:space="0" w:color="auto"/>
            </w:tcBorders>
            <w:vAlign w:val="center"/>
          </w:tcPr>
          <w:p w14:paraId="2EE6BB77" w14:textId="77777777" w:rsidR="003D274B" w:rsidRPr="008D3568" w:rsidRDefault="003D274B"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4B29EF7" w14:textId="3170A291" w:rsidR="003D274B" w:rsidRDefault="003D274B" w:rsidP="003D274B">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38968A9" w14:textId="0A5C712B" w:rsidR="003D274B" w:rsidRPr="008D3568" w:rsidRDefault="003D274B" w:rsidP="003D274B">
            <w:pPr>
              <w:rPr>
                <w:rFonts w:cs="Times New Roman"/>
                <w:sz w:val="16"/>
                <w:szCs w:val="16"/>
              </w:rPr>
            </w:pPr>
            <w:r>
              <w:rPr>
                <w:color w:val="000000"/>
                <w:sz w:val="16"/>
                <w:szCs w:val="16"/>
              </w:rPr>
              <w:t>20</w:t>
            </w:r>
            <w:r w:rsidR="00772F4F" w:rsidRPr="008D3568">
              <w:rPr>
                <w:rFonts w:cs="Times New Roman"/>
                <w:sz w:val="16"/>
                <w:szCs w:val="16"/>
              </w:rPr>
              <w:t xml:space="preserve"> mg</w:t>
            </w:r>
            <w:r w:rsidR="003D33DB">
              <w:rPr>
                <w:rFonts w:cs="Times New Roman"/>
                <w:sz w:val="16"/>
                <w:szCs w:val="16"/>
              </w:rPr>
              <w:t xml:space="preserve"> </w:t>
            </w:r>
            <w:proofErr w:type="spellStart"/>
            <w:r w:rsidR="003D33DB">
              <w:rPr>
                <w:rFonts w:cs="Times New Roman"/>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980E9B2" w14:textId="00B1263F" w:rsidR="003D274B" w:rsidRPr="008D3568" w:rsidRDefault="003D274B" w:rsidP="003D274B">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1922463" w14:textId="6BEFF0F2" w:rsidR="003D274B" w:rsidRPr="008D3568" w:rsidRDefault="003D274B" w:rsidP="003D274B">
            <w:pPr>
              <w:rPr>
                <w:rFonts w:cs="Times New Roman"/>
                <w:sz w:val="16"/>
                <w:szCs w:val="16"/>
              </w:rPr>
            </w:pPr>
            <w:r>
              <w:rPr>
                <w:color w:val="000000"/>
                <w:sz w:val="16"/>
                <w:szCs w:val="16"/>
              </w:rPr>
              <w:t>-0.96</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E8AB1D1" w14:textId="3B6B152C" w:rsidR="003D274B" w:rsidRPr="008D3568" w:rsidRDefault="003D274B" w:rsidP="003D274B">
            <w:pPr>
              <w:rPr>
                <w:rFonts w:cs="Times New Roman"/>
                <w:sz w:val="16"/>
                <w:szCs w:val="16"/>
              </w:rPr>
            </w:pPr>
            <w:r>
              <w:rPr>
                <w:color w:val="000000"/>
                <w:sz w:val="16"/>
                <w:szCs w:val="16"/>
              </w:rPr>
              <w:t>1.41</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9D4A68C" w14:textId="313E60DD" w:rsidR="003D274B" w:rsidRPr="008D3568" w:rsidRDefault="003D274B" w:rsidP="003D274B">
            <w:pPr>
              <w:rPr>
                <w:rFonts w:cs="Times New Roman"/>
                <w:sz w:val="16"/>
                <w:szCs w:val="16"/>
              </w:rPr>
            </w:pPr>
            <w:r>
              <w:rPr>
                <w:color w:val="000000"/>
                <w:sz w:val="16"/>
                <w:szCs w:val="16"/>
              </w:rPr>
              <w:t>161</w:t>
            </w:r>
          </w:p>
        </w:tc>
      </w:tr>
      <w:tr w:rsidR="00772F4F" w:rsidRPr="008D3568" w14:paraId="739CCEA6" w14:textId="77777777" w:rsidTr="00772F4F">
        <w:tc>
          <w:tcPr>
            <w:tcW w:w="1532" w:type="dxa"/>
            <w:vMerge w:val="restart"/>
            <w:tcBorders>
              <w:top w:val="nil"/>
              <w:left w:val="single" w:sz="4" w:space="0" w:color="auto"/>
              <w:right w:val="single" w:sz="4" w:space="0" w:color="auto"/>
            </w:tcBorders>
            <w:shd w:val="clear" w:color="auto" w:fill="auto"/>
            <w:vAlign w:val="center"/>
          </w:tcPr>
          <w:p w14:paraId="2B208DB4" w14:textId="18C74DD2" w:rsidR="00772F4F" w:rsidRPr="008D3568" w:rsidRDefault="00772F4F" w:rsidP="00772F4F">
            <w:pPr>
              <w:rPr>
                <w:rFonts w:cs="Times New Roman"/>
                <w:sz w:val="16"/>
                <w:szCs w:val="16"/>
              </w:rPr>
            </w:pPr>
            <w:r>
              <w:rPr>
                <w:color w:val="000000"/>
                <w:sz w:val="16"/>
                <w:szCs w:val="16"/>
              </w:rPr>
              <w:t>COPOLYMER 1</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AE8F71A" w14:textId="6B41C09E" w:rsidR="00772F4F" w:rsidRDefault="00EA23EE" w:rsidP="003D274B">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65C6993" w14:textId="16D8743A" w:rsidR="00772F4F" w:rsidRPr="008D3568" w:rsidRDefault="00772F4F" w:rsidP="003D274B">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524B1108" w14:textId="6BF98AA1" w:rsidR="00772F4F" w:rsidRPr="008D3568" w:rsidRDefault="00772F4F" w:rsidP="003D274B">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4D937A6" w14:textId="6D81C81A" w:rsidR="00772F4F" w:rsidRPr="008D3568" w:rsidRDefault="00772F4F" w:rsidP="003D274B">
            <w:pPr>
              <w:rPr>
                <w:rFonts w:cs="Times New Roman"/>
                <w:sz w:val="16"/>
                <w:szCs w:val="16"/>
              </w:rPr>
            </w:pPr>
            <w:r>
              <w:rPr>
                <w:color w:val="000000"/>
                <w:sz w:val="16"/>
                <w:szCs w:val="16"/>
              </w:rPr>
              <w:t>-1.80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C38A9AE" w14:textId="763F4630" w:rsidR="00772F4F" w:rsidRPr="008D3568" w:rsidRDefault="00772F4F" w:rsidP="003D274B">
            <w:pPr>
              <w:rPr>
                <w:rFonts w:cs="Times New Roman"/>
                <w:sz w:val="16"/>
                <w:szCs w:val="16"/>
              </w:rPr>
            </w:pPr>
            <w:r>
              <w:rPr>
                <w:color w:val="000000"/>
                <w:sz w:val="16"/>
                <w:szCs w:val="16"/>
              </w:rPr>
              <w:t>1.80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64D251E6" w14:textId="3931477F" w:rsidR="00772F4F" w:rsidRPr="008D3568" w:rsidRDefault="00772F4F" w:rsidP="003D274B">
            <w:pPr>
              <w:rPr>
                <w:rFonts w:cs="Times New Roman"/>
                <w:sz w:val="16"/>
                <w:szCs w:val="16"/>
              </w:rPr>
            </w:pPr>
            <w:r>
              <w:rPr>
                <w:color w:val="000000"/>
                <w:sz w:val="16"/>
                <w:szCs w:val="16"/>
              </w:rPr>
              <w:t>13</w:t>
            </w:r>
          </w:p>
        </w:tc>
      </w:tr>
      <w:tr w:rsidR="00772F4F" w:rsidRPr="008D3568" w14:paraId="30AB0067" w14:textId="77777777" w:rsidTr="00772F4F">
        <w:tc>
          <w:tcPr>
            <w:tcW w:w="1532" w:type="dxa"/>
            <w:vMerge/>
            <w:tcBorders>
              <w:left w:val="single" w:sz="4" w:space="0" w:color="auto"/>
              <w:bottom w:val="single" w:sz="4" w:space="0" w:color="auto"/>
              <w:right w:val="single" w:sz="4" w:space="0" w:color="auto"/>
            </w:tcBorders>
            <w:shd w:val="clear" w:color="auto" w:fill="auto"/>
            <w:vAlign w:val="bottom"/>
          </w:tcPr>
          <w:p w14:paraId="61B0BE4C" w14:textId="2614DCD7" w:rsidR="00772F4F" w:rsidRPr="008D3568" w:rsidRDefault="00772F4F"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54815D86" w14:textId="70FE5EDF" w:rsidR="00772F4F" w:rsidRDefault="00772F4F" w:rsidP="003D274B">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1EDB773" w14:textId="71ED9D27" w:rsidR="00772F4F" w:rsidRPr="008D3568" w:rsidRDefault="00772F4F" w:rsidP="003D274B">
            <w:pPr>
              <w:rPr>
                <w:rFonts w:cs="Times New Roman"/>
                <w:sz w:val="16"/>
                <w:szCs w:val="16"/>
              </w:rPr>
            </w:pPr>
            <w:r>
              <w:rPr>
                <w:color w:val="000000"/>
                <w:sz w:val="16"/>
                <w:szCs w:val="16"/>
              </w:rPr>
              <w:t>20</w:t>
            </w:r>
            <w:r w:rsidR="00A835C3" w:rsidRPr="008D3568">
              <w:rPr>
                <w:rFonts w:cs="Times New Roman"/>
                <w:sz w:val="16"/>
                <w:szCs w:val="16"/>
              </w:rPr>
              <w:t xml:space="preserve"> mg</w:t>
            </w:r>
            <w:r w:rsidR="00A172E5">
              <w:rPr>
                <w:rFonts w:cs="Times New Roman"/>
                <w:sz w:val="16"/>
                <w:szCs w:val="16"/>
              </w:rPr>
              <w:t xml:space="preserve"> </w:t>
            </w:r>
            <w:proofErr w:type="spellStart"/>
            <w:r w:rsidR="00A172E5">
              <w:rPr>
                <w:rFonts w:cs="Times New Roman"/>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7A35B1F" w14:textId="3508C96D" w:rsidR="00772F4F" w:rsidRPr="008D3568" w:rsidRDefault="00772F4F" w:rsidP="003D274B">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0EB6B69" w14:textId="62528EF8" w:rsidR="00772F4F" w:rsidRPr="008D3568" w:rsidRDefault="00772F4F" w:rsidP="003D274B">
            <w:pPr>
              <w:rPr>
                <w:rFonts w:cs="Times New Roman"/>
                <w:sz w:val="16"/>
                <w:szCs w:val="16"/>
              </w:rPr>
            </w:pPr>
            <w:r>
              <w:rPr>
                <w:color w:val="000000"/>
                <w:sz w:val="16"/>
                <w:szCs w:val="16"/>
              </w:rPr>
              <w:t>-0.60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2848000" w14:textId="01A309EC" w:rsidR="00772F4F" w:rsidRPr="008D3568" w:rsidRDefault="00772F4F" w:rsidP="003D274B">
            <w:pPr>
              <w:rPr>
                <w:rFonts w:cs="Times New Roman"/>
                <w:sz w:val="16"/>
                <w:szCs w:val="16"/>
              </w:rPr>
            </w:pPr>
            <w:r>
              <w:rPr>
                <w:color w:val="000000"/>
                <w:sz w:val="16"/>
                <w:szCs w:val="16"/>
              </w:rPr>
              <w:t>0.90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02F465D" w14:textId="7A0BDA8E" w:rsidR="00772F4F" w:rsidRPr="008D3568" w:rsidRDefault="00772F4F" w:rsidP="003D274B">
            <w:pPr>
              <w:rPr>
                <w:rFonts w:cs="Times New Roman"/>
                <w:sz w:val="16"/>
                <w:szCs w:val="16"/>
              </w:rPr>
            </w:pPr>
            <w:r>
              <w:rPr>
                <w:color w:val="000000"/>
                <w:sz w:val="16"/>
                <w:szCs w:val="16"/>
              </w:rPr>
              <w:t>14</w:t>
            </w:r>
          </w:p>
        </w:tc>
      </w:tr>
      <w:tr w:rsidR="003D274B" w:rsidRPr="008D3568" w14:paraId="7968B350" w14:textId="77777777" w:rsidTr="00772F4F">
        <w:tc>
          <w:tcPr>
            <w:tcW w:w="1532" w:type="dxa"/>
            <w:vMerge w:val="restart"/>
            <w:tcBorders>
              <w:top w:val="nil"/>
              <w:left w:val="single" w:sz="4" w:space="0" w:color="auto"/>
              <w:right w:val="single" w:sz="4" w:space="0" w:color="auto"/>
            </w:tcBorders>
            <w:shd w:val="clear" w:color="auto" w:fill="auto"/>
            <w:vAlign w:val="center"/>
          </w:tcPr>
          <w:p w14:paraId="4051A13A" w14:textId="7D44590C" w:rsidR="003D274B" w:rsidRPr="008D3568" w:rsidRDefault="003D274B" w:rsidP="003D274B">
            <w:pPr>
              <w:rPr>
                <w:rFonts w:cs="Times New Roman"/>
                <w:sz w:val="16"/>
                <w:szCs w:val="16"/>
              </w:rPr>
            </w:pPr>
            <w:r>
              <w:rPr>
                <w:color w:val="000000"/>
                <w:sz w:val="16"/>
                <w:szCs w:val="16"/>
              </w:rPr>
              <w:t>DEFINE</w:t>
            </w:r>
          </w:p>
        </w:tc>
        <w:tc>
          <w:tcPr>
            <w:tcW w:w="1503" w:type="dxa"/>
            <w:tcBorders>
              <w:top w:val="nil"/>
              <w:left w:val="single" w:sz="4" w:space="0" w:color="auto"/>
              <w:bottom w:val="single" w:sz="4" w:space="0" w:color="auto"/>
              <w:right w:val="single" w:sz="4" w:space="0" w:color="auto"/>
            </w:tcBorders>
            <w:shd w:val="clear" w:color="auto" w:fill="auto"/>
            <w:vAlign w:val="center"/>
          </w:tcPr>
          <w:p w14:paraId="16A31241" w14:textId="699E8909" w:rsidR="003D274B" w:rsidRDefault="00EA23EE" w:rsidP="003D274B">
            <w:pPr>
              <w:rPr>
                <w:rFonts w:cs="Times New Roman"/>
                <w:sz w:val="16"/>
                <w:szCs w:val="16"/>
              </w:rPr>
            </w:pPr>
            <w:r>
              <w:rPr>
                <w:color w:val="000000"/>
                <w:sz w:val="16"/>
                <w:szCs w:val="16"/>
              </w:rPr>
              <w:t>placebo</w:t>
            </w:r>
          </w:p>
        </w:tc>
        <w:tc>
          <w:tcPr>
            <w:tcW w:w="1272" w:type="dxa"/>
            <w:tcBorders>
              <w:top w:val="nil"/>
              <w:left w:val="nil"/>
              <w:bottom w:val="single" w:sz="4" w:space="0" w:color="auto"/>
              <w:right w:val="single" w:sz="4" w:space="0" w:color="auto"/>
            </w:tcBorders>
            <w:shd w:val="clear" w:color="auto" w:fill="auto"/>
            <w:vAlign w:val="center"/>
          </w:tcPr>
          <w:p w14:paraId="08FFF579" w14:textId="4ECCD4DA" w:rsidR="003D274B" w:rsidRPr="008D3568" w:rsidRDefault="003D274B" w:rsidP="003D274B">
            <w:pPr>
              <w:rPr>
                <w:rFonts w:cs="Times New Roman"/>
                <w:sz w:val="16"/>
                <w:szCs w:val="16"/>
              </w:rPr>
            </w:pPr>
            <w:r>
              <w:rPr>
                <w:color w:val="000000"/>
                <w:sz w:val="16"/>
                <w:szCs w:val="16"/>
              </w:rPr>
              <w:t>-</w:t>
            </w:r>
          </w:p>
        </w:tc>
        <w:tc>
          <w:tcPr>
            <w:tcW w:w="1708" w:type="dxa"/>
            <w:tcBorders>
              <w:top w:val="nil"/>
              <w:left w:val="nil"/>
              <w:bottom w:val="single" w:sz="4" w:space="0" w:color="auto"/>
              <w:right w:val="single" w:sz="4" w:space="0" w:color="auto"/>
            </w:tcBorders>
            <w:shd w:val="clear" w:color="auto" w:fill="auto"/>
            <w:vAlign w:val="center"/>
          </w:tcPr>
          <w:p w14:paraId="5E78DCBA" w14:textId="7EF11858"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5DB8A722" w14:textId="688F9398" w:rsidR="003D274B" w:rsidRPr="008D3568" w:rsidRDefault="003D274B" w:rsidP="003D274B">
            <w:pPr>
              <w:rPr>
                <w:rFonts w:cs="Times New Roman"/>
                <w:sz w:val="16"/>
                <w:szCs w:val="16"/>
              </w:rPr>
            </w:pPr>
            <w:r>
              <w:rPr>
                <w:color w:val="000000"/>
                <w:sz w:val="16"/>
                <w:szCs w:val="16"/>
              </w:rPr>
              <w:t>-0.43</w:t>
            </w:r>
          </w:p>
        </w:tc>
        <w:tc>
          <w:tcPr>
            <w:tcW w:w="1104" w:type="dxa"/>
            <w:tcBorders>
              <w:top w:val="nil"/>
              <w:left w:val="nil"/>
              <w:bottom w:val="single" w:sz="4" w:space="0" w:color="auto"/>
              <w:right w:val="single" w:sz="4" w:space="0" w:color="auto"/>
            </w:tcBorders>
            <w:shd w:val="clear" w:color="auto" w:fill="auto"/>
            <w:vAlign w:val="center"/>
          </w:tcPr>
          <w:p w14:paraId="0FF09BD8" w14:textId="099A886D" w:rsidR="003D274B" w:rsidRPr="008D3568" w:rsidRDefault="003D274B" w:rsidP="003D274B">
            <w:pPr>
              <w:rPr>
                <w:rFonts w:cs="Times New Roman"/>
                <w:sz w:val="16"/>
                <w:szCs w:val="16"/>
              </w:rPr>
            </w:pPr>
            <w:r>
              <w:rPr>
                <w:color w:val="000000"/>
                <w:sz w:val="16"/>
                <w:szCs w:val="16"/>
              </w:rPr>
              <w:t>0.77</w:t>
            </w:r>
          </w:p>
        </w:tc>
        <w:tc>
          <w:tcPr>
            <w:tcW w:w="1084" w:type="dxa"/>
            <w:tcBorders>
              <w:top w:val="nil"/>
              <w:left w:val="nil"/>
              <w:bottom w:val="single" w:sz="4" w:space="0" w:color="auto"/>
              <w:right w:val="single" w:sz="4" w:space="0" w:color="auto"/>
            </w:tcBorders>
            <w:shd w:val="clear" w:color="auto" w:fill="auto"/>
            <w:vAlign w:val="center"/>
          </w:tcPr>
          <w:p w14:paraId="1C9774CE" w14:textId="5B614693" w:rsidR="003D274B" w:rsidRPr="008D3568" w:rsidRDefault="003D274B" w:rsidP="003D274B">
            <w:pPr>
              <w:rPr>
                <w:rFonts w:cs="Times New Roman"/>
                <w:sz w:val="16"/>
                <w:szCs w:val="16"/>
              </w:rPr>
            </w:pPr>
            <w:r>
              <w:rPr>
                <w:color w:val="000000"/>
                <w:sz w:val="16"/>
                <w:szCs w:val="16"/>
              </w:rPr>
              <w:t>163</w:t>
            </w:r>
          </w:p>
        </w:tc>
      </w:tr>
      <w:tr w:rsidR="003D274B" w:rsidRPr="008D3568" w14:paraId="5C2E8522" w14:textId="77777777" w:rsidTr="00772F4F">
        <w:tc>
          <w:tcPr>
            <w:tcW w:w="1532" w:type="dxa"/>
            <w:vMerge/>
            <w:tcBorders>
              <w:left w:val="single" w:sz="4" w:space="0" w:color="auto"/>
              <w:right w:val="single" w:sz="4" w:space="0" w:color="auto"/>
            </w:tcBorders>
            <w:vAlign w:val="center"/>
          </w:tcPr>
          <w:p w14:paraId="40B3F1E8"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2543635" w14:textId="70CAF173"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03B082CC" w14:textId="7798658C" w:rsidR="003D274B" w:rsidRPr="008D3568" w:rsidRDefault="00D90E11" w:rsidP="003D274B">
            <w:pPr>
              <w:rPr>
                <w:rFonts w:cs="Times New Roman"/>
                <w:sz w:val="16"/>
                <w:szCs w:val="16"/>
              </w:rPr>
            </w:pPr>
            <w:r w:rsidRPr="00D90E11">
              <w:rPr>
                <w:color w:val="000000"/>
                <w:sz w:val="16"/>
                <w:szCs w:val="16"/>
              </w:rPr>
              <w:t>240 mg bid</w:t>
            </w:r>
          </w:p>
        </w:tc>
        <w:tc>
          <w:tcPr>
            <w:tcW w:w="1708" w:type="dxa"/>
            <w:tcBorders>
              <w:top w:val="nil"/>
              <w:left w:val="nil"/>
              <w:bottom w:val="single" w:sz="4" w:space="0" w:color="auto"/>
              <w:right w:val="single" w:sz="4" w:space="0" w:color="auto"/>
            </w:tcBorders>
            <w:shd w:val="clear" w:color="auto" w:fill="auto"/>
            <w:vAlign w:val="center"/>
          </w:tcPr>
          <w:p w14:paraId="25968309" w14:textId="3DBA5FC7"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1A2DA938" w14:textId="3C44E30C" w:rsidR="003D274B" w:rsidRPr="008D3568" w:rsidRDefault="003D274B" w:rsidP="003D274B">
            <w:pPr>
              <w:rPr>
                <w:rFonts w:cs="Times New Roman"/>
                <w:sz w:val="16"/>
                <w:szCs w:val="16"/>
              </w:rPr>
            </w:pPr>
            <w:r>
              <w:rPr>
                <w:color w:val="000000"/>
                <w:sz w:val="16"/>
                <w:szCs w:val="16"/>
              </w:rPr>
              <w:t>-0.43</w:t>
            </w:r>
          </w:p>
        </w:tc>
        <w:tc>
          <w:tcPr>
            <w:tcW w:w="1104" w:type="dxa"/>
            <w:tcBorders>
              <w:top w:val="nil"/>
              <w:left w:val="nil"/>
              <w:bottom w:val="single" w:sz="4" w:space="0" w:color="auto"/>
              <w:right w:val="single" w:sz="4" w:space="0" w:color="auto"/>
            </w:tcBorders>
            <w:shd w:val="clear" w:color="auto" w:fill="auto"/>
            <w:vAlign w:val="center"/>
          </w:tcPr>
          <w:p w14:paraId="64C17E9E" w14:textId="243F9BA7" w:rsidR="003D274B" w:rsidRPr="008D3568" w:rsidRDefault="003D274B" w:rsidP="003D274B">
            <w:pPr>
              <w:rPr>
                <w:rFonts w:cs="Times New Roman"/>
                <w:sz w:val="16"/>
                <w:szCs w:val="16"/>
              </w:rPr>
            </w:pPr>
            <w:r>
              <w:rPr>
                <w:color w:val="000000"/>
                <w:sz w:val="16"/>
                <w:szCs w:val="16"/>
              </w:rPr>
              <w:t>0.76</w:t>
            </w:r>
          </w:p>
        </w:tc>
        <w:tc>
          <w:tcPr>
            <w:tcW w:w="1084" w:type="dxa"/>
            <w:tcBorders>
              <w:top w:val="nil"/>
              <w:left w:val="nil"/>
              <w:bottom w:val="single" w:sz="4" w:space="0" w:color="auto"/>
              <w:right w:val="single" w:sz="4" w:space="0" w:color="auto"/>
            </w:tcBorders>
            <w:shd w:val="clear" w:color="auto" w:fill="auto"/>
            <w:vAlign w:val="center"/>
          </w:tcPr>
          <w:p w14:paraId="6E2352DB" w14:textId="2554B8FD" w:rsidR="003D274B" w:rsidRPr="008D3568" w:rsidRDefault="003D274B" w:rsidP="003D274B">
            <w:pPr>
              <w:rPr>
                <w:rFonts w:cs="Times New Roman"/>
                <w:sz w:val="16"/>
                <w:szCs w:val="16"/>
              </w:rPr>
            </w:pPr>
            <w:r>
              <w:rPr>
                <w:color w:val="000000"/>
                <w:sz w:val="16"/>
                <w:szCs w:val="16"/>
              </w:rPr>
              <w:t>151</w:t>
            </w:r>
          </w:p>
        </w:tc>
      </w:tr>
      <w:tr w:rsidR="003D274B" w:rsidRPr="008D3568" w14:paraId="7A5421DF" w14:textId="77777777" w:rsidTr="00772F4F">
        <w:tc>
          <w:tcPr>
            <w:tcW w:w="1532" w:type="dxa"/>
            <w:vMerge/>
            <w:tcBorders>
              <w:left w:val="single" w:sz="4" w:space="0" w:color="auto"/>
              <w:right w:val="single" w:sz="4" w:space="0" w:color="auto"/>
            </w:tcBorders>
            <w:vAlign w:val="center"/>
          </w:tcPr>
          <w:p w14:paraId="7FB640A4"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0DDAC4E0" w14:textId="27EBF1CE"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1CBF6B11" w14:textId="57CAB43B" w:rsidR="003D274B" w:rsidRPr="008D3568" w:rsidRDefault="00D90E11" w:rsidP="003D274B">
            <w:pPr>
              <w:rPr>
                <w:rFonts w:cs="Times New Roman"/>
                <w:sz w:val="16"/>
                <w:szCs w:val="16"/>
              </w:rPr>
            </w:pPr>
            <w:r w:rsidRPr="00D90E11">
              <w:rPr>
                <w:color w:val="000000"/>
                <w:sz w:val="16"/>
                <w:szCs w:val="16"/>
              </w:rPr>
              <w:t xml:space="preserve">240 mg </w:t>
            </w:r>
            <w:proofErr w:type="spellStart"/>
            <w:r w:rsidRPr="00D90E11">
              <w:rPr>
                <w:color w:val="000000"/>
                <w:sz w:val="16"/>
                <w:szCs w:val="16"/>
              </w:rPr>
              <w:t>tid</w:t>
            </w:r>
            <w:proofErr w:type="spellEnd"/>
          </w:p>
        </w:tc>
        <w:tc>
          <w:tcPr>
            <w:tcW w:w="1708" w:type="dxa"/>
            <w:tcBorders>
              <w:top w:val="nil"/>
              <w:left w:val="nil"/>
              <w:bottom w:val="single" w:sz="4" w:space="0" w:color="auto"/>
              <w:right w:val="single" w:sz="4" w:space="0" w:color="auto"/>
            </w:tcBorders>
            <w:shd w:val="clear" w:color="auto" w:fill="auto"/>
            <w:vAlign w:val="center"/>
          </w:tcPr>
          <w:p w14:paraId="767B2CA9" w14:textId="4F3B25FD" w:rsidR="003D274B" w:rsidRPr="008D3568" w:rsidRDefault="003D274B" w:rsidP="003D274B">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6E6D4627" w14:textId="7FA6C2EB" w:rsidR="003D274B" w:rsidRPr="008D3568" w:rsidRDefault="003D274B" w:rsidP="003D274B">
            <w:pPr>
              <w:rPr>
                <w:rFonts w:cs="Times New Roman"/>
                <w:sz w:val="16"/>
                <w:szCs w:val="16"/>
              </w:rPr>
            </w:pPr>
            <w:r>
              <w:rPr>
                <w:color w:val="000000"/>
                <w:sz w:val="16"/>
                <w:szCs w:val="16"/>
              </w:rPr>
              <w:t>-0.51</w:t>
            </w:r>
          </w:p>
        </w:tc>
        <w:tc>
          <w:tcPr>
            <w:tcW w:w="1104" w:type="dxa"/>
            <w:tcBorders>
              <w:top w:val="nil"/>
              <w:left w:val="nil"/>
              <w:bottom w:val="single" w:sz="4" w:space="0" w:color="auto"/>
              <w:right w:val="single" w:sz="4" w:space="0" w:color="auto"/>
            </w:tcBorders>
            <w:shd w:val="clear" w:color="auto" w:fill="auto"/>
            <w:vAlign w:val="center"/>
          </w:tcPr>
          <w:p w14:paraId="7129429F" w14:textId="3A3B17AA" w:rsidR="003D274B" w:rsidRPr="008D3568" w:rsidRDefault="003D274B" w:rsidP="003D274B">
            <w:pPr>
              <w:rPr>
                <w:rFonts w:cs="Times New Roman"/>
                <w:sz w:val="16"/>
                <w:szCs w:val="16"/>
              </w:rPr>
            </w:pPr>
            <w:r>
              <w:rPr>
                <w:color w:val="000000"/>
                <w:sz w:val="16"/>
                <w:szCs w:val="16"/>
              </w:rPr>
              <w:t>0.77</w:t>
            </w:r>
          </w:p>
        </w:tc>
        <w:tc>
          <w:tcPr>
            <w:tcW w:w="1084" w:type="dxa"/>
            <w:tcBorders>
              <w:top w:val="nil"/>
              <w:left w:val="nil"/>
              <w:bottom w:val="single" w:sz="4" w:space="0" w:color="auto"/>
              <w:right w:val="single" w:sz="4" w:space="0" w:color="auto"/>
            </w:tcBorders>
            <w:shd w:val="clear" w:color="auto" w:fill="auto"/>
            <w:vAlign w:val="center"/>
          </w:tcPr>
          <w:p w14:paraId="56EDC2B9" w14:textId="2A8E0C13" w:rsidR="003D274B" w:rsidRPr="008D3568" w:rsidRDefault="003D274B" w:rsidP="003D274B">
            <w:pPr>
              <w:rPr>
                <w:rFonts w:cs="Times New Roman"/>
                <w:sz w:val="16"/>
                <w:szCs w:val="16"/>
              </w:rPr>
            </w:pPr>
            <w:r>
              <w:rPr>
                <w:color w:val="000000"/>
                <w:sz w:val="16"/>
                <w:szCs w:val="16"/>
              </w:rPr>
              <w:t>152</w:t>
            </w:r>
          </w:p>
        </w:tc>
      </w:tr>
      <w:tr w:rsidR="003D274B" w:rsidRPr="008D3568" w14:paraId="39F6A4C5" w14:textId="77777777" w:rsidTr="00772F4F">
        <w:tc>
          <w:tcPr>
            <w:tcW w:w="1532" w:type="dxa"/>
            <w:vMerge/>
            <w:tcBorders>
              <w:left w:val="single" w:sz="4" w:space="0" w:color="auto"/>
              <w:right w:val="single" w:sz="4" w:space="0" w:color="auto"/>
            </w:tcBorders>
            <w:vAlign w:val="center"/>
          </w:tcPr>
          <w:p w14:paraId="08A47315" w14:textId="77777777" w:rsidR="003D274B" w:rsidRPr="008D3568" w:rsidRDefault="003D274B"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7DFA4E7" w14:textId="3ECE0947" w:rsidR="003D274B" w:rsidRDefault="00EA23EE" w:rsidP="003D274B">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9C5F534" w14:textId="0A0B8329" w:rsidR="003D274B" w:rsidRPr="008D3568" w:rsidRDefault="003D274B" w:rsidP="003D274B">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A5CAA13" w14:textId="5CD88047" w:rsidR="003D274B" w:rsidRPr="008D3568" w:rsidRDefault="003D274B" w:rsidP="003D274B">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FF5811A" w14:textId="2D16B1BF" w:rsidR="003D274B" w:rsidRPr="008D3568" w:rsidRDefault="003D274B" w:rsidP="003D274B">
            <w:pPr>
              <w:rPr>
                <w:rFonts w:cs="Times New Roman"/>
                <w:sz w:val="16"/>
                <w:szCs w:val="16"/>
              </w:rPr>
            </w:pPr>
            <w:r>
              <w:rPr>
                <w:color w:val="000000"/>
                <w:sz w:val="16"/>
                <w:szCs w:val="16"/>
              </w:rPr>
              <w:t>-0.95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866B95B" w14:textId="56EDF880" w:rsidR="003D274B" w:rsidRPr="008D3568" w:rsidRDefault="003D274B" w:rsidP="003D274B">
            <w:pPr>
              <w:rPr>
                <w:rFonts w:cs="Times New Roman"/>
                <w:sz w:val="16"/>
                <w:szCs w:val="16"/>
              </w:rPr>
            </w:pPr>
            <w:r>
              <w:rPr>
                <w:color w:val="000000"/>
                <w:sz w:val="16"/>
                <w:szCs w:val="16"/>
              </w:rPr>
              <w:t>1.30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7E1BC03" w14:textId="325A9E91" w:rsidR="003D274B" w:rsidRPr="008D3568" w:rsidRDefault="003D274B" w:rsidP="003D274B">
            <w:pPr>
              <w:rPr>
                <w:rFonts w:cs="Times New Roman"/>
                <w:sz w:val="16"/>
                <w:szCs w:val="16"/>
              </w:rPr>
            </w:pPr>
            <w:r>
              <w:rPr>
                <w:color w:val="000000"/>
                <w:sz w:val="16"/>
                <w:szCs w:val="16"/>
              </w:rPr>
              <w:t>163</w:t>
            </w:r>
          </w:p>
        </w:tc>
      </w:tr>
      <w:tr w:rsidR="003D274B" w:rsidRPr="008D3568" w14:paraId="793D9628" w14:textId="77777777" w:rsidTr="00772F4F">
        <w:tc>
          <w:tcPr>
            <w:tcW w:w="1532" w:type="dxa"/>
            <w:vMerge/>
            <w:tcBorders>
              <w:left w:val="single" w:sz="4" w:space="0" w:color="auto"/>
              <w:right w:val="single" w:sz="4" w:space="0" w:color="auto"/>
            </w:tcBorders>
            <w:vAlign w:val="center"/>
          </w:tcPr>
          <w:p w14:paraId="461BDFB3" w14:textId="77777777" w:rsidR="003D274B" w:rsidRPr="008D3568" w:rsidRDefault="003D274B" w:rsidP="003D274B">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661B077" w14:textId="6B437950" w:rsidR="003D274B" w:rsidRDefault="003D274B" w:rsidP="003D274B">
            <w:pPr>
              <w:rPr>
                <w:rFonts w:cs="Times New Roman"/>
                <w:sz w:val="16"/>
                <w:szCs w:val="16"/>
              </w:rPr>
            </w:pPr>
            <w:r>
              <w:rPr>
                <w:color w:val="000000"/>
                <w:sz w:val="16"/>
                <w:szCs w:val="16"/>
              </w:rPr>
              <w:t>dimethyl fumarate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CBBA849" w14:textId="74412D89" w:rsidR="003D274B" w:rsidRPr="008D3568" w:rsidRDefault="00D90E11" w:rsidP="003D274B">
            <w:pPr>
              <w:rPr>
                <w:rFonts w:cs="Times New Roman"/>
                <w:sz w:val="16"/>
                <w:szCs w:val="16"/>
              </w:rPr>
            </w:pPr>
            <w:r w:rsidRPr="00D90E11">
              <w:rPr>
                <w:color w:val="000000"/>
                <w:sz w:val="16"/>
                <w:szCs w:val="16"/>
              </w:rPr>
              <w:t>240 mg bid</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633D74E" w14:textId="4806E8E7" w:rsidR="003D274B" w:rsidRPr="008D3568" w:rsidRDefault="003D274B" w:rsidP="003D274B">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DD79C8F" w14:textId="46C05BE6" w:rsidR="003D274B" w:rsidRPr="008D3568" w:rsidRDefault="003D274B" w:rsidP="003D274B">
            <w:pPr>
              <w:rPr>
                <w:rFonts w:cs="Times New Roman"/>
                <w:sz w:val="16"/>
                <w:szCs w:val="16"/>
              </w:rPr>
            </w:pPr>
            <w:r>
              <w:rPr>
                <w:color w:val="000000"/>
                <w:sz w:val="16"/>
                <w:szCs w:val="16"/>
              </w:rPr>
              <w:t>-0.80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39DEFE4" w14:textId="747ACC07" w:rsidR="003D274B" w:rsidRPr="008D3568" w:rsidRDefault="003D274B" w:rsidP="003D274B">
            <w:pPr>
              <w:rPr>
                <w:rFonts w:cs="Times New Roman"/>
                <w:sz w:val="16"/>
                <w:szCs w:val="16"/>
              </w:rPr>
            </w:pPr>
            <w:r>
              <w:rPr>
                <w:color w:val="000000"/>
                <w:sz w:val="16"/>
                <w:szCs w:val="16"/>
              </w:rPr>
              <w:t>1.20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1D08E4C8" w14:textId="5409B09E" w:rsidR="003D274B" w:rsidRPr="008D3568" w:rsidRDefault="003D274B" w:rsidP="003D274B">
            <w:pPr>
              <w:rPr>
                <w:rFonts w:cs="Times New Roman"/>
                <w:sz w:val="16"/>
                <w:szCs w:val="16"/>
              </w:rPr>
            </w:pPr>
            <w:r>
              <w:rPr>
                <w:color w:val="000000"/>
                <w:sz w:val="16"/>
                <w:szCs w:val="16"/>
              </w:rPr>
              <w:t>151</w:t>
            </w:r>
          </w:p>
        </w:tc>
      </w:tr>
      <w:tr w:rsidR="003D274B" w:rsidRPr="008D3568" w14:paraId="3656F285" w14:textId="77777777" w:rsidTr="00772F4F">
        <w:tc>
          <w:tcPr>
            <w:tcW w:w="1532" w:type="dxa"/>
            <w:vMerge/>
            <w:tcBorders>
              <w:left w:val="single" w:sz="4" w:space="0" w:color="auto"/>
              <w:bottom w:val="single" w:sz="4" w:space="0" w:color="auto"/>
              <w:right w:val="single" w:sz="4" w:space="0" w:color="auto"/>
            </w:tcBorders>
            <w:vAlign w:val="center"/>
          </w:tcPr>
          <w:p w14:paraId="4AB68400" w14:textId="77777777" w:rsidR="003D274B" w:rsidRPr="008D3568" w:rsidRDefault="003D274B" w:rsidP="003D274B">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6F2DD6C" w14:textId="54C25E69" w:rsidR="003D274B" w:rsidRDefault="003D274B" w:rsidP="003D274B">
            <w:pPr>
              <w:rPr>
                <w:rFonts w:cs="Times New Roman"/>
                <w:sz w:val="16"/>
                <w:szCs w:val="16"/>
              </w:rPr>
            </w:pPr>
            <w:r>
              <w:rPr>
                <w:color w:val="000000"/>
                <w:sz w:val="16"/>
                <w:szCs w:val="16"/>
              </w:rPr>
              <w:t>dimethyl fumarate</w:t>
            </w:r>
          </w:p>
        </w:tc>
        <w:tc>
          <w:tcPr>
            <w:tcW w:w="1272" w:type="dxa"/>
            <w:tcBorders>
              <w:top w:val="nil"/>
              <w:left w:val="nil"/>
              <w:bottom w:val="single" w:sz="4" w:space="0" w:color="auto"/>
              <w:right w:val="single" w:sz="4" w:space="0" w:color="auto"/>
            </w:tcBorders>
            <w:shd w:val="clear" w:color="auto" w:fill="auto"/>
            <w:vAlign w:val="center"/>
          </w:tcPr>
          <w:p w14:paraId="3E2567E1" w14:textId="112E8967" w:rsidR="003D274B" w:rsidRPr="008D3568" w:rsidRDefault="00D90E11" w:rsidP="003D274B">
            <w:pPr>
              <w:rPr>
                <w:rFonts w:cs="Times New Roman"/>
                <w:sz w:val="16"/>
                <w:szCs w:val="16"/>
              </w:rPr>
            </w:pPr>
            <w:r w:rsidRPr="00D90E11">
              <w:rPr>
                <w:color w:val="000000"/>
                <w:sz w:val="16"/>
                <w:szCs w:val="16"/>
              </w:rPr>
              <w:t xml:space="preserve">240 mg </w:t>
            </w:r>
            <w:proofErr w:type="spellStart"/>
            <w:r w:rsidRPr="00D90E11">
              <w:rPr>
                <w:color w:val="000000"/>
                <w:sz w:val="16"/>
                <w:szCs w:val="16"/>
              </w:rPr>
              <w:t>tid</w:t>
            </w:r>
            <w:proofErr w:type="spellEnd"/>
          </w:p>
        </w:tc>
        <w:tc>
          <w:tcPr>
            <w:tcW w:w="1708" w:type="dxa"/>
            <w:tcBorders>
              <w:top w:val="nil"/>
              <w:left w:val="nil"/>
              <w:bottom w:val="single" w:sz="4" w:space="0" w:color="auto"/>
              <w:right w:val="single" w:sz="4" w:space="0" w:color="auto"/>
            </w:tcBorders>
            <w:shd w:val="clear" w:color="auto" w:fill="auto"/>
            <w:vAlign w:val="center"/>
          </w:tcPr>
          <w:p w14:paraId="3C0EEEF1" w14:textId="0BF4B34E" w:rsidR="003D274B" w:rsidRPr="008D3568" w:rsidRDefault="003D274B" w:rsidP="003D274B">
            <w:pPr>
              <w:rPr>
                <w:rFonts w:cs="Times New Roman"/>
                <w:sz w:val="16"/>
                <w:szCs w:val="16"/>
              </w:rPr>
            </w:pPr>
            <w:r>
              <w:rPr>
                <w:color w:val="000000"/>
                <w:sz w:val="16"/>
                <w:szCs w:val="16"/>
              </w:rPr>
              <w:t>96</w:t>
            </w:r>
          </w:p>
        </w:tc>
        <w:tc>
          <w:tcPr>
            <w:tcW w:w="1147" w:type="dxa"/>
            <w:tcBorders>
              <w:top w:val="nil"/>
              <w:left w:val="nil"/>
              <w:bottom w:val="single" w:sz="4" w:space="0" w:color="auto"/>
              <w:right w:val="single" w:sz="4" w:space="0" w:color="auto"/>
            </w:tcBorders>
            <w:shd w:val="clear" w:color="auto" w:fill="auto"/>
            <w:vAlign w:val="center"/>
          </w:tcPr>
          <w:p w14:paraId="23F162FA" w14:textId="2A54DB7C" w:rsidR="003D274B" w:rsidRPr="008D3568" w:rsidRDefault="003D274B" w:rsidP="003D274B">
            <w:pPr>
              <w:rPr>
                <w:rFonts w:cs="Times New Roman"/>
                <w:sz w:val="16"/>
                <w:szCs w:val="16"/>
              </w:rPr>
            </w:pPr>
            <w:r>
              <w:rPr>
                <w:color w:val="000000"/>
                <w:sz w:val="16"/>
                <w:szCs w:val="16"/>
              </w:rPr>
              <w:t>-0.97</w:t>
            </w:r>
          </w:p>
        </w:tc>
        <w:tc>
          <w:tcPr>
            <w:tcW w:w="1104" w:type="dxa"/>
            <w:tcBorders>
              <w:top w:val="nil"/>
              <w:left w:val="nil"/>
              <w:bottom w:val="single" w:sz="4" w:space="0" w:color="auto"/>
              <w:right w:val="single" w:sz="4" w:space="0" w:color="auto"/>
            </w:tcBorders>
            <w:shd w:val="clear" w:color="auto" w:fill="auto"/>
            <w:vAlign w:val="center"/>
          </w:tcPr>
          <w:p w14:paraId="7E6ED8F9" w14:textId="6681E78A" w:rsidR="003D274B" w:rsidRPr="008D3568" w:rsidRDefault="003D274B" w:rsidP="003D274B">
            <w:pPr>
              <w:rPr>
                <w:rFonts w:cs="Times New Roman"/>
                <w:sz w:val="16"/>
                <w:szCs w:val="16"/>
              </w:rPr>
            </w:pPr>
            <w:r>
              <w:rPr>
                <w:color w:val="000000"/>
                <w:sz w:val="16"/>
                <w:szCs w:val="16"/>
              </w:rPr>
              <w:t>1.16</w:t>
            </w:r>
          </w:p>
        </w:tc>
        <w:tc>
          <w:tcPr>
            <w:tcW w:w="1084" w:type="dxa"/>
            <w:tcBorders>
              <w:top w:val="nil"/>
              <w:left w:val="nil"/>
              <w:bottom w:val="single" w:sz="4" w:space="0" w:color="auto"/>
              <w:right w:val="single" w:sz="4" w:space="0" w:color="auto"/>
            </w:tcBorders>
            <w:shd w:val="clear" w:color="auto" w:fill="auto"/>
            <w:vAlign w:val="center"/>
          </w:tcPr>
          <w:p w14:paraId="7D86C595" w14:textId="32882BDB" w:rsidR="003D274B" w:rsidRPr="008D3568" w:rsidRDefault="003D274B" w:rsidP="003D274B">
            <w:pPr>
              <w:rPr>
                <w:rFonts w:cs="Times New Roman"/>
                <w:sz w:val="16"/>
                <w:szCs w:val="16"/>
              </w:rPr>
            </w:pPr>
            <w:r>
              <w:rPr>
                <w:color w:val="000000"/>
                <w:sz w:val="16"/>
                <w:szCs w:val="16"/>
              </w:rPr>
              <w:t>152</w:t>
            </w:r>
          </w:p>
        </w:tc>
      </w:tr>
      <w:tr w:rsidR="00A07DF9" w:rsidRPr="008D3568" w14:paraId="29F818C6" w14:textId="77777777" w:rsidTr="003047F6">
        <w:tc>
          <w:tcPr>
            <w:tcW w:w="1532" w:type="dxa"/>
            <w:vMerge w:val="restart"/>
            <w:tcBorders>
              <w:top w:val="single" w:sz="4" w:space="0" w:color="auto"/>
              <w:left w:val="single" w:sz="4" w:space="0" w:color="auto"/>
              <w:right w:val="single" w:sz="4" w:space="0" w:color="auto"/>
            </w:tcBorders>
            <w:shd w:val="clear" w:color="auto" w:fill="auto"/>
            <w:vAlign w:val="center"/>
          </w:tcPr>
          <w:p w14:paraId="7DCE25BD" w14:textId="1A21EE8A" w:rsidR="00A07DF9" w:rsidRPr="008D3568" w:rsidRDefault="00A07DF9" w:rsidP="00A07DF9">
            <w:pPr>
              <w:rPr>
                <w:rFonts w:cs="Times New Roman"/>
                <w:sz w:val="16"/>
                <w:szCs w:val="16"/>
              </w:rPr>
            </w:pPr>
            <w:r>
              <w:rPr>
                <w:color w:val="000000"/>
                <w:sz w:val="16"/>
                <w:szCs w:val="16"/>
              </w:rPr>
              <w:t>EUR/CAN GA</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88AD1F2" w14:textId="12918A6F" w:rsidR="00A07DF9" w:rsidRDefault="00EA23EE" w:rsidP="00A07DF9">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0A52EB8" w14:textId="5B899F3A" w:rsidR="00A07DF9" w:rsidRPr="008D3568" w:rsidRDefault="00A07DF9" w:rsidP="00A07DF9">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BFE21B5" w14:textId="4356829F" w:rsidR="00A07DF9" w:rsidRPr="008D3568" w:rsidRDefault="00A07DF9" w:rsidP="00A07DF9">
            <w:pPr>
              <w:rPr>
                <w:rFonts w:cs="Times New Roman"/>
                <w:sz w:val="16"/>
                <w:szCs w:val="16"/>
              </w:rPr>
            </w:pPr>
            <w:r>
              <w:rPr>
                <w:color w:val="000000"/>
                <w:sz w:val="16"/>
                <w:szCs w:val="16"/>
              </w:rPr>
              <w:t>36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F6006ED" w14:textId="235898A3" w:rsidR="00A07DF9" w:rsidRPr="008D3568" w:rsidRDefault="00A07DF9" w:rsidP="00A07DF9">
            <w:pPr>
              <w:rPr>
                <w:rFonts w:cs="Times New Roman"/>
                <w:sz w:val="16"/>
                <w:szCs w:val="16"/>
              </w:rPr>
            </w:pPr>
            <w:r>
              <w:rPr>
                <w:color w:val="000000"/>
                <w:sz w:val="16"/>
                <w:szCs w:val="16"/>
              </w:rPr>
              <w:t>-0.70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51F69AB2" w14:textId="0EE5A50A" w:rsidR="00A07DF9" w:rsidRPr="008D3568" w:rsidRDefault="00A07DF9" w:rsidP="00A07DF9">
            <w:pPr>
              <w:rPr>
                <w:rFonts w:cs="Times New Roman"/>
                <w:sz w:val="16"/>
                <w:szCs w:val="16"/>
              </w:rPr>
            </w:pPr>
            <w:r>
              <w:rPr>
                <w:color w:val="000000"/>
                <w:sz w:val="16"/>
                <w:szCs w:val="16"/>
              </w:rPr>
              <w:t>2.20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C998E61" w14:textId="64C84260" w:rsidR="00A07DF9" w:rsidRPr="008D3568" w:rsidRDefault="00A07DF9" w:rsidP="00A07DF9">
            <w:pPr>
              <w:rPr>
                <w:rFonts w:cs="Times New Roman"/>
                <w:sz w:val="16"/>
                <w:szCs w:val="16"/>
              </w:rPr>
            </w:pPr>
            <w:r>
              <w:rPr>
                <w:color w:val="000000"/>
                <w:sz w:val="16"/>
                <w:szCs w:val="16"/>
              </w:rPr>
              <w:t>114</w:t>
            </w:r>
          </w:p>
        </w:tc>
      </w:tr>
      <w:tr w:rsidR="00A07DF9" w:rsidRPr="008D3568" w14:paraId="68BA5854" w14:textId="77777777" w:rsidTr="003047F6">
        <w:tc>
          <w:tcPr>
            <w:tcW w:w="1532" w:type="dxa"/>
            <w:vMerge/>
            <w:tcBorders>
              <w:left w:val="single" w:sz="4" w:space="0" w:color="auto"/>
              <w:bottom w:val="single" w:sz="4" w:space="0" w:color="auto"/>
              <w:right w:val="single" w:sz="4" w:space="0" w:color="auto"/>
            </w:tcBorders>
            <w:shd w:val="clear" w:color="auto" w:fill="auto"/>
            <w:vAlign w:val="center"/>
          </w:tcPr>
          <w:p w14:paraId="2DDB2F62" w14:textId="42602074" w:rsidR="00A07DF9" w:rsidRPr="008D3568" w:rsidRDefault="00A07DF9" w:rsidP="00A07DF9">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CB59912" w14:textId="65E41523" w:rsidR="00A07DF9" w:rsidRDefault="00A07DF9" w:rsidP="00A07DF9">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DBE128A" w14:textId="41332734" w:rsidR="00A07DF9" w:rsidRPr="008D3568" w:rsidRDefault="00A07DF9" w:rsidP="00A07DF9">
            <w:pPr>
              <w:rPr>
                <w:rFonts w:cs="Times New Roman"/>
                <w:sz w:val="16"/>
                <w:szCs w:val="16"/>
              </w:rPr>
            </w:pPr>
            <w:r>
              <w:rPr>
                <w:color w:val="000000"/>
                <w:sz w:val="16"/>
                <w:szCs w:val="16"/>
              </w:rPr>
              <w:t>20</w:t>
            </w:r>
            <w:r w:rsidRPr="00AF4082">
              <w:rPr>
                <w:color w:val="000000"/>
                <w:sz w:val="16"/>
                <w:szCs w:val="16"/>
              </w:rPr>
              <w:t xml:space="preserve"> mg</w:t>
            </w:r>
            <w:r w:rsidR="00E56440">
              <w:rPr>
                <w:color w:val="000000"/>
                <w:sz w:val="16"/>
                <w:szCs w:val="16"/>
              </w:rPr>
              <w:t xml:space="preserve"> </w:t>
            </w:r>
            <w:proofErr w:type="spellStart"/>
            <w:r w:rsidR="00E56440">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FDA3185" w14:textId="76BCB313" w:rsidR="00A07DF9" w:rsidRPr="008D3568" w:rsidRDefault="00A07DF9" w:rsidP="00A07DF9">
            <w:pPr>
              <w:rPr>
                <w:rFonts w:cs="Times New Roman"/>
                <w:sz w:val="16"/>
                <w:szCs w:val="16"/>
              </w:rPr>
            </w:pPr>
            <w:r>
              <w:rPr>
                <w:color w:val="000000"/>
                <w:sz w:val="16"/>
                <w:szCs w:val="16"/>
              </w:rPr>
              <w:t>36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0AA78AE" w14:textId="622CF3FC" w:rsidR="00A07DF9" w:rsidRPr="008D3568" w:rsidRDefault="00A07DF9" w:rsidP="00A07DF9">
            <w:pPr>
              <w:rPr>
                <w:rFonts w:cs="Times New Roman"/>
                <w:sz w:val="16"/>
                <w:szCs w:val="16"/>
              </w:rPr>
            </w:pPr>
            <w:r>
              <w:rPr>
                <w:color w:val="000000"/>
                <w:sz w:val="16"/>
                <w:szCs w:val="16"/>
              </w:rPr>
              <w:t>-0.80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06E4A25A" w14:textId="12C34D07" w:rsidR="00A07DF9" w:rsidRPr="008D3568" w:rsidRDefault="00A07DF9" w:rsidP="00A07DF9">
            <w:pPr>
              <w:rPr>
                <w:rFonts w:cs="Times New Roman"/>
                <w:sz w:val="16"/>
                <w:szCs w:val="16"/>
              </w:rPr>
            </w:pPr>
            <w:r>
              <w:rPr>
                <w:color w:val="000000"/>
                <w:sz w:val="16"/>
                <w:szCs w:val="16"/>
              </w:rPr>
              <w:t>1.90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C3502D5" w14:textId="56E25051" w:rsidR="00A07DF9" w:rsidRPr="008D3568" w:rsidRDefault="00A07DF9" w:rsidP="00A07DF9">
            <w:pPr>
              <w:rPr>
                <w:rFonts w:cs="Times New Roman"/>
                <w:sz w:val="16"/>
                <w:szCs w:val="16"/>
              </w:rPr>
            </w:pPr>
            <w:r>
              <w:rPr>
                <w:color w:val="000000"/>
                <w:sz w:val="16"/>
                <w:szCs w:val="16"/>
              </w:rPr>
              <w:t>113</w:t>
            </w:r>
          </w:p>
        </w:tc>
      </w:tr>
      <w:tr w:rsidR="00500C13" w:rsidRPr="008D3568" w14:paraId="48C3CA96" w14:textId="77777777" w:rsidTr="00772F4F">
        <w:tc>
          <w:tcPr>
            <w:tcW w:w="1532" w:type="dxa"/>
            <w:vMerge w:val="restart"/>
            <w:vAlign w:val="center"/>
          </w:tcPr>
          <w:p w14:paraId="56CA74BD" w14:textId="02762077" w:rsidR="00500C13" w:rsidRPr="008D3568" w:rsidRDefault="00500C13" w:rsidP="00500C13">
            <w:pPr>
              <w:rPr>
                <w:rFonts w:cs="Times New Roman"/>
                <w:sz w:val="16"/>
                <w:szCs w:val="16"/>
              </w:rPr>
            </w:pPr>
            <w:r w:rsidRPr="008D3568">
              <w:rPr>
                <w:rFonts w:cs="Times New Roman"/>
                <w:sz w:val="16"/>
                <w:szCs w:val="16"/>
              </w:rPr>
              <w:t>FREEDOMS</w:t>
            </w:r>
          </w:p>
        </w:tc>
        <w:tc>
          <w:tcPr>
            <w:tcW w:w="1503" w:type="dxa"/>
            <w:vAlign w:val="center"/>
          </w:tcPr>
          <w:p w14:paraId="2FED62DC" w14:textId="4F7E6F48" w:rsidR="00500C13" w:rsidRPr="008D3568" w:rsidRDefault="00EA23EE" w:rsidP="00500C13">
            <w:pPr>
              <w:rPr>
                <w:rFonts w:cs="Times New Roman"/>
                <w:sz w:val="16"/>
                <w:szCs w:val="16"/>
              </w:rPr>
            </w:pPr>
            <w:r>
              <w:rPr>
                <w:color w:val="000000"/>
                <w:sz w:val="16"/>
                <w:szCs w:val="16"/>
              </w:rPr>
              <w:t>placebo</w:t>
            </w:r>
          </w:p>
        </w:tc>
        <w:tc>
          <w:tcPr>
            <w:tcW w:w="1272" w:type="dxa"/>
            <w:vAlign w:val="center"/>
          </w:tcPr>
          <w:p w14:paraId="40F6507D" w14:textId="4D1632F4" w:rsidR="00500C13" w:rsidRPr="008D3568" w:rsidRDefault="00500C13" w:rsidP="00500C13">
            <w:pPr>
              <w:rPr>
                <w:rFonts w:cs="Times New Roman"/>
                <w:sz w:val="16"/>
                <w:szCs w:val="16"/>
              </w:rPr>
            </w:pPr>
            <w:r w:rsidRPr="008D3568">
              <w:rPr>
                <w:rFonts w:cs="Times New Roman"/>
                <w:sz w:val="16"/>
                <w:szCs w:val="16"/>
              </w:rPr>
              <w:t>-</w:t>
            </w:r>
          </w:p>
        </w:tc>
        <w:tc>
          <w:tcPr>
            <w:tcW w:w="1708" w:type="dxa"/>
            <w:vAlign w:val="center"/>
          </w:tcPr>
          <w:p w14:paraId="447A9896" w14:textId="1EBC194B" w:rsidR="00500C13" w:rsidRPr="008D3568" w:rsidRDefault="00500C13" w:rsidP="00500C13">
            <w:pPr>
              <w:rPr>
                <w:rFonts w:cs="Times New Roman"/>
                <w:sz w:val="16"/>
                <w:szCs w:val="16"/>
              </w:rPr>
            </w:pPr>
            <w:r w:rsidRPr="008D3568">
              <w:rPr>
                <w:rFonts w:cs="Times New Roman"/>
                <w:sz w:val="16"/>
                <w:szCs w:val="16"/>
              </w:rPr>
              <w:t>52</w:t>
            </w:r>
          </w:p>
        </w:tc>
        <w:tc>
          <w:tcPr>
            <w:tcW w:w="1147" w:type="dxa"/>
            <w:shd w:val="clear" w:color="auto" w:fill="auto"/>
            <w:vAlign w:val="center"/>
          </w:tcPr>
          <w:p w14:paraId="2E3C8FC8" w14:textId="3231192D" w:rsidR="00500C13" w:rsidRPr="008D3568" w:rsidRDefault="00500C13" w:rsidP="00500C13">
            <w:pPr>
              <w:rPr>
                <w:rFonts w:cs="Times New Roman"/>
                <w:sz w:val="16"/>
                <w:szCs w:val="16"/>
              </w:rPr>
            </w:pPr>
            <w:r w:rsidRPr="008D3568">
              <w:rPr>
                <w:rFonts w:cs="Times New Roman"/>
                <w:sz w:val="16"/>
                <w:szCs w:val="16"/>
              </w:rPr>
              <w:t>-0.65</w:t>
            </w:r>
          </w:p>
        </w:tc>
        <w:tc>
          <w:tcPr>
            <w:tcW w:w="1104" w:type="dxa"/>
            <w:shd w:val="clear" w:color="auto" w:fill="auto"/>
            <w:vAlign w:val="center"/>
          </w:tcPr>
          <w:p w14:paraId="6464A49A" w14:textId="6CE4CA04" w:rsidR="00500C13" w:rsidRPr="008D3568" w:rsidRDefault="00500C13" w:rsidP="00500C13">
            <w:pPr>
              <w:rPr>
                <w:rFonts w:cs="Times New Roman"/>
                <w:sz w:val="16"/>
                <w:szCs w:val="16"/>
              </w:rPr>
            </w:pPr>
            <w:r w:rsidRPr="008D3568">
              <w:rPr>
                <w:rFonts w:cs="Times New Roman"/>
                <w:sz w:val="16"/>
                <w:szCs w:val="16"/>
              </w:rPr>
              <w:t>1.05</w:t>
            </w:r>
          </w:p>
        </w:tc>
        <w:tc>
          <w:tcPr>
            <w:tcW w:w="1084" w:type="dxa"/>
            <w:shd w:val="clear" w:color="auto" w:fill="auto"/>
            <w:vAlign w:val="center"/>
          </w:tcPr>
          <w:p w14:paraId="040B8396" w14:textId="3819BE3E" w:rsidR="00500C13" w:rsidRPr="008D3568" w:rsidRDefault="00500C13" w:rsidP="00500C13">
            <w:pPr>
              <w:rPr>
                <w:rFonts w:cs="Times New Roman"/>
                <w:sz w:val="16"/>
                <w:szCs w:val="16"/>
              </w:rPr>
            </w:pPr>
            <w:r w:rsidRPr="008D3568">
              <w:rPr>
                <w:rFonts w:cs="Times New Roman"/>
                <w:sz w:val="16"/>
                <w:szCs w:val="16"/>
              </w:rPr>
              <w:t>358</w:t>
            </w:r>
          </w:p>
        </w:tc>
      </w:tr>
      <w:tr w:rsidR="00500C13" w:rsidRPr="008D3568" w14:paraId="4EFCB585" w14:textId="77777777" w:rsidTr="00772F4F">
        <w:tc>
          <w:tcPr>
            <w:tcW w:w="1532" w:type="dxa"/>
            <w:vMerge/>
            <w:vAlign w:val="center"/>
          </w:tcPr>
          <w:p w14:paraId="04CA373C" w14:textId="77777777" w:rsidR="00500C13" w:rsidRPr="008D3568" w:rsidRDefault="00500C13" w:rsidP="00500C13">
            <w:pPr>
              <w:rPr>
                <w:rFonts w:cs="Times New Roman"/>
                <w:sz w:val="16"/>
                <w:szCs w:val="16"/>
              </w:rPr>
            </w:pPr>
          </w:p>
        </w:tc>
        <w:tc>
          <w:tcPr>
            <w:tcW w:w="1503" w:type="dxa"/>
            <w:vAlign w:val="center"/>
          </w:tcPr>
          <w:p w14:paraId="5CB5A993" w14:textId="674CA3C3" w:rsidR="00500C13" w:rsidRPr="008D3568" w:rsidRDefault="00500C13" w:rsidP="00500C13">
            <w:pPr>
              <w:rPr>
                <w:rFonts w:cs="Times New Roman"/>
                <w:sz w:val="16"/>
                <w:szCs w:val="16"/>
              </w:rPr>
            </w:pPr>
            <w:r w:rsidRPr="008D3568">
              <w:rPr>
                <w:rFonts w:cs="Times New Roman"/>
                <w:sz w:val="16"/>
                <w:szCs w:val="16"/>
              </w:rPr>
              <w:t>fingolimod</w:t>
            </w:r>
          </w:p>
        </w:tc>
        <w:tc>
          <w:tcPr>
            <w:tcW w:w="1272" w:type="dxa"/>
            <w:vAlign w:val="center"/>
          </w:tcPr>
          <w:p w14:paraId="40374FC2" w14:textId="0940D195" w:rsidR="00500C13" w:rsidRPr="008D3568" w:rsidRDefault="00500C13" w:rsidP="00500C13">
            <w:pPr>
              <w:rPr>
                <w:rFonts w:cs="Times New Roman"/>
                <w:sz w:val="16"/>
                <w:szCs w:val="16"/>
              </w:rPr>
            </w:pPr>
            <w:r w:rsidRPr="008D3568">
              <w:rPr>
                <w:rFonts w:cs="Times New Roman"/>
                <w:sz w:val="16"/>
                <w:szCs w:val="16"/>
              </w:rPr>
              <w:t>0.5 mg</w:t>
            </w:r>
            <w:r w:rsidR="00E56440">
              <w:rPr>
                <w:color w:val="000000"/>
                <w:sz w:val="16"/>
                <w:szCs w:val="16"/>
              </w:rPr>
              <w:t xml:space="preserve"> </w:t>
            </w:r>
            <w:proofErr w:type="spellStart"/>
            <w:r w:rsidR="00E56440">
              <w:rPr>
                <w:color w:val="000000"/>
                <w:sz w:val="16"/>
                <w:szCs w:val="16"/>
              </w:rPr>
              <w:t>qd</w:t>
            </w:r>
            <w:proofErr w:type="spellEnd"/>
          </w:p>
        </w:tc>
        <w:tc>
          <w:tcPr>
            <w:tcW w:w="1708" w:type="dxa"/>
            <w:vAlign w:val="center"/>
          </w:tcPr>
          <w:p w14:paraId="24FB99C6" w14:textId="3CAF9C36" w:rsidR="00500C13" w:rsidRPr="008D3568" w:rsidRDefault="00500C13" w:rsidP="00500C13">
            <w:pPr>
              <w:rPr>
                <w:rFonts w:cs="Times New Roman"/>
                <w:sz w:val="16"/>
                <w:szCs w:val="16"/>
              </w:rPr>
            </w:pPr>
            <w:r w:rsidRPr="008D3568">
              <w:rPr>
                <w:rFonts w:cs="Times New Roman"/>
                <w:sz w:val="16"/>
                <w:szCs w:val="16"/>
              </w:rPr>
              <w:t>52</w:t>
            </w:r>
          </w:p>
        </w:tc>
        <w:tc>
          <w:tcPr>
            <w:tcW w:w="1147" w:type="dxa"/>
            <w:tcBorders>
              <w:top w:val="single" w:sz="4" w:space="0" w:color="auto"/>
              <w:left w:val="nil"/>
              <w:bottom w:val="single" w:sz="4" w:space="0" w:color="auto"/>
              <w:right w:val="single" w:sz="4" w:space="0" w:color="auto"/>
            </w:tcBorders>
            <w:shd w:val="clear" w:color="auto" w:fill="auto"/>
            <w:vAlign w:val="center"/>
          </w:tcPr>
          <w:p w14:paraId="634701AA" w14:textId="64B46371" w:rsidR="00500C13" w:rsidRPr="008D3568" w:rsidRDefault="00500C13" w:rsidP="00500C13">
            <w:pPr>
              <w:rPr>
                <w:rFonts w:cs="Times New Roman"/>
                <w:sz w:val="16"/>
                <w:szCs w:val="16"/>
              </w:rPr>
            </w:pPr>
            <w:r w:rsidRPr="008D3568">
              <w:rPr>
                <w:rFonts w:cs="Times New Roman"/>
                <w:color w:val="000000"/>
                <w:sz w:val="16"/>
                <w:szCs w:val="16"/>
              </w:rPr>
              <w:t>-0.50</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3617D490" w14:textId="7757D803" w:rsidR="00500C13" w:rsidRPr="008D3568" w:rsidRDefault="00500C13" w:rsidP="00500C13">
            <w:pPr>
              <w:rPr>
                <w:rFonts w:cs="Times New Roman"/>
                <w:sz w:val="16"/>
                <w:szCs w:val="16"/>
              </w:rPr>
            </w:pPr>
            <w:r w:rsidRPr="008D3568">
              <w:rPr>
                <w:rFonts w:cs="Times New Roman"/>
                <w:color w:val="000000"/>
                <w:sz w:val="16"/>
                <w:szCs w:val="16"/>
              </w:rPr>
              <w:t>1.05</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4B42712D" w14:textId="0006F5DC" w:rsidR="00500C13" w:rsidRPr="008D3568" w:rsidRDefault="00500C13" w:rsidP="00500C13">
            <w:pPr>
              <w:rPr>
                <w:rFonts w:cs="Times New Roman"/>
                <w:sz w:val="16"/>
                <w:szCs w:val="16"/>
              </w:rPr>
            </w:pPr>
            <w:r w:rsidRPr="008D3568">
              <w:rPr>
                <w:rFonts w:cs="Times New Roman"/>
                <w:color w:val="000000"/>
                <w:sz w:val="16"/>
                <w:szCs w:val="16"/>
              </w:rPr>
              <w:t>383</w:t>
            </w:r>
          </w:p>
        </w:tc>
      </w:tr>
      <w:tr w:rsidR="00500C13" w:rsidRPr="008D3568" w14:paraId="656AAD7E" w14:textId="77777777" w:rsidTr="00772F4F">
        <w:tc>
          <w:tcPr>
            <w:tcW w:w="1532" w:type="dxa"/>
            <w:vMerge/>
            <w:vAlign w:val="center"/>
          </w:tcPr>
          <w:p w14:paraId="53A8D67A" w14:textId="77777777" w:rsidR="00500C13" w:rsidRPr="008D3568" w:rsidRDefault="00500C13" w:rsidP="00500C13">
            <w:pPr>
              <w:rPr>
                <w:rFonts w:cs="Times New Roman"/>
                <w:sz w:val="16"/>
                <w:szCs w:val="16"/>
              </w:rPr>
            </w:pPr>
          </w:p>
        </w:tc>
        <w:tc>
          <w:tcPr>
            <w:tcW w:w="1503" w:type="dxa"/>
            <w:vAlign w:val="center"/>
          </w:tcPr>
          <w:p w14:paraId="0F38F9F0" w14:textId="23F1567B" w:rsidR="00500C13" w:rsidRPr="008D3568" w:rsidRDefault="00500C13" w:rsidP="00500C13">
            <w:pPr>
              <w:rPr>
                <w:rFonts w:cs="Times New Roman"/>
                <w:sz w:val="16"/>
                <w:szCs w:val="16"/>
              </w:rPr>
            </w:pPr>
            <w:r w:rsidRPr="008D3568">
              <w:rPr>
                <w:rFonts w:cs="Times New Roman"/>
                <w:sz w:val="16"/>
                <w:szCs w:val="16"/>
              </w:rPr>
              <w:t>fingolimod</w:t>
            </w:r>
          </w:p>
        </w:tc>
        <w:tc>
          <w:tcPr>
            <w:tcW w:w="1272" w:type="dxa"/>
            <w:vAlign w:val="center"/>
          </w:tcPr>
          <w:p w14:paraId="17D92A15" w14:textId="16B50790" w:rsidR="00500C13" w:rsidRPr="008D3568" w:rsidRDefault="00500C13" w:rsidP="00500C13">
            <w:pPr>
              <w:rPr>
                <w:rFonts w:cs="Times New Roman"/>
                <w:sz w:val="16"/>
                <w:szCs w:val="16"/>
              </w:rPr>
            </w:pPr>
            <w:r w:rsidRPr="008D3568">
              <w:rPr>
                <w:rFonts w:cs="Times New Roman"/>
                <w:sz w:val="16"/>
                <w:szCs w:val="16"/>
              </w:rPr>
              <w:t>1.25 mg</w:t>
            </w:r>
            <w:r w:rsidR="00E56440">
              <w:rPr>
                <w:color w:val="000000"/>
                <w:sz w:val="16"/>
                <w:szCs w:val="16"/>
              </w:rPr>
              <w:t xml:space="preserve"> </w:t>
            </w:r>
            <w:proofErr w:type="spellStart"/>
            <w:r w:rsidR="00E56440">
              <w:rPr>
                <w:color w:val="000000"/>
                <w:sz w:val="16"/>
                <w:szCs w:val="16"/>
              </w:rPr>
              <w:t>qd</w:t>
            </w:r>
            <w:proofErr w:type="spellEnd"/>
          </w:p>
        </w:tc>
        <w:tc>
          <w:tcPr>
            <w:tcW w:w="1708" w:type="dxa"/>
            <w:vAlign w:val="center"/>
          </w:tcPr>
          <w:p w14:paraId="01301C75" w14:textId="3F53A5BF" w:rsidR="00500C13" w:rsidRPr="008D3568" w:rsidRDefault="00500C13" w:rsidP="00500C13">
            <w:pPr>
              <w:rPr>
                <w:rFonts w:cs="Times New Roman"/>
                <w:sz w:val="16"/>
                <w:szCs w:val="16"/>
              </w:rPr>
            </w:pPr>
            <w:r w:rsidRPr="008D3568">
              <w:rPr>
                <w:rFonts w:cs="Times New Roman"/>
                <w:sz w:val="16"/>
                <w:szCs w:val="16"/>
              </w:rPr>
              <w:t>52</w:t>
            </w:r>
          </w:p>
        </w:tc>
        <w:tc>
          <w:tcPr>
            <w:tcW w:w="1147" w:type="dxa"/>
            <w:tcBorders>
              <w:top w:val="single" w:sz="4" w:space="0" w:color="auto"/>
              <w:left w:val="nil"/>
              <w:bottom w:val="single" w:sz="4" w:space="0" w:color="auto"/>
              <w:right w:val="single" w:sz="4" w:space="0" w:color="auto"/>
            </w:tcBorders>
            <w:shd w:val="clear" w:color="auto" w:fill="auto"/>
            <w:vAlign w:val="center"/>
          </w:tcPr>
          <w:p w14:paraId="2DC06A27" w14:textId="5B80DD4F" w:rsidR="00500C13" w:rsidRPr="008D3568" w:rsidRDefault="00500C13" w:rsidP="00500C13">
            <w:pPr>
              <w:rPr>
                <w:rFonts w:cs="Times New Roman"/>
                <w:sz w:val="16"/>
                <w:szCs w:val="16"/>
              </w:rPr>
            </w:pPr>
            <w:r w:rsidRPr="008D3568">
              <w:rPr>
                <w:rFonts w:cs="Times New Roman"/>
                <w:color w:val="000000"/>
                <w:sz w:val="16"/>
                <w:szCs w:val="16"/>
              </w:rPr>
              <w:t>-0.44</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49B5361B" w14:textId="79B70766" w:rsidR="00500C13" w:rsidRPr="008D3568" w:rsidRDefault="00500C13" w:rsidP="00500C13">
            <w:pPr>
              <w:rPr>
                <w:rFonts w:cs="Times New Roman"/>
                <w:sz w:val="16"/>
                <w:szCs w:val="16"/>
              </w:rPr>
            </w:pPr>
            <w:r w:rsidRPr="008D3568">
              <w:rPr>
                <w:rFonts w:cs="Times New Roman"/>
                <w:color w:val="000000"/>
                <w:sz w:val="16"/>
                <w:szCs w:val="16"/>
              </w:rPr>
              <w:t>1.08</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47E98A47" w14:textId="7DA3BCE0" w:rsidR="00500C13" w:rsidRPr="008D3568" w:rsidRDefault="00500C13" w:rsidP="00500C13">
            <w:pPr>
              <w:rPr>
                <w:rFonts w:cs="Times New Roman"/>
                <w:sz w:val="16"/>
                <w:szCs w:val="16"/>
              </w:rPr>
            </w:pPr>
            <w:r w:rsidRPr="008D3568">
              <w:rPr>
                <w:rFonts w:cs="Times New Roman"/>
                <w:color w:val="000000"/>
                <w:sz w:val="16"/>
                <w:szCs w:val="16"/>
              </w:rPr>
              <w:t>371</w:t>
            </w:r>
          </w:p>
        </w:tc>
      </w:tr>
      <w:tr w:rsidR="00500C13" w:rsidRPr="008D3568" w14:paraId="753330B0" w14:textId="77777777" w:rsidTr="00772F4F">
        <w:tc>
          <w:tcPr>
            <w:tcW w:w="1532" w:type="dxa"/>
            <w:vMerge/>
            <w:vAlign w:val="center"/>
          </w:tcPr>
          <w:p w14:paraId="653E00E8" w14:textId="77777777" w:rsidR="00500C13" w:rsidRPr="008D3568" w:rsidRDefault="00500C13" w:rsidP="00500C13">
            <w:pPr>
              <w:rPr>
                <w:rFonts w:cs="Times New Roman"/>
                <w:sz w:val="16"/>
                <w:szCs w:val="16"/>
              </w:rPr>
            </w:pPr>
          </w:p>
        </w:tc>
        <w:tc>
          <w:tcPr>
            <w:tcW w:w="1503" w:type="dxa"/>
            <w:shd w:val="clear" w:color="auto" w:fill="D9D9D9" w:themeFill="background1" w:themeFillShade="D9"/>
            <w:vAlign w:val="center"/>
          </w:tcPr>
          <w:p w14:paraId="16B5B307" w14:textId="06397D13" w:rsidR="00500C13" w:rsidRPr="008D3568" w:rsidRDefault="00EA23EE" w:rsidP="00500C13">
            <w:pPr>
              <w:rPr>
                <w:rFonts w:cs="Times New Roman"/>
                <w:sz w:val="16"/>
                <w:szCs w:val="16"/>
              </w:rPr>
            </w:pPr>
            <w:r>
              <w:rPr>
                <w:color w:val="000000"/>
                <w:sz w:val="16"/>
                <w:szCs w:val="16"/>
              </w:rPr>
              <w:t>placebo</w:t>
            </w:r>
          </w:p>
        </w:tc>
        <w:tc>
          <w:tcPr>
            <w:tcW w:w="1272" w:type="dxa"/>
            <w:shd w:val="clear" w:color="auto" w:fill="D9D9D9" w:themeFill="background1" w:themeFillShade="D9"/>
            <w:vAlign w:val="center"/>
          </w:tcPr>
          <w:p w14:paraId="53A1D8DA" w14:textId="2D831469" w:rsidR="00500C13" w:rsidRPr="008D3568" w:rsidRDefault="00500C13" w:rsidP="00500C13">
            <w:pPr>
              <w:rPr>
                <w:rFonts w:cs="Times New Roman"/>
                <w:sz w:val="16"/>
                <w:szCs w:val="16"/>
              </w:rPr>
            </w:pPr>
            <w:r w:rsidRPr="008D3568">
              <w:rPr>
                <w:rFonts w:cs="Times New Roman"/>
                <w:sz w:val="16"/>
                <w:szCs w:val="16"/>
              </w:rPr>
              <w:t>-</w:t>
            </w:r>
          </w:p>
        </w:tc>
        <w:tc>
          <w:tcPr>
            <w:tcW w:w="1708" w:type="dxa"/>
            <w:shd w:val="clear" w:color="auto" w:fill="D9D9D9" w:themeFill="background1" w:themeFillShade="D9"/>
            <w:vAlign w:val="center"/>
          </w:tcPr>
          <w:p w14:paraId="0308FDB6" w14:textId="004B5C6D" w:rsidR="00500C13" w:rsidRPr="008D3568" w:rsidRDefault="00500C13" w:rsidP="00500C13">
            <w:pPr>
              <w:rPr>
                <w:rFonts w:cs="Times New Roman"/>
                <w:sz w:val="16"/>
                <w:szCs w:val="16"/>
              </w:rPr>
            </w:pPr>
            <w:r w:rsidRPr="008D3568">
              <w:rPr>
                <w:rFonts w:cs="Times New Roman"/>
                <w:sz w:val="16"/>
                <w:szCs w:val="16"/>
              </w:rPr>
              <w:t>104</w:t>
            </w:r>
          </w:p>
        </w:tc>
        <w:tc>
          <w:tcPr>
            <w:tcW w:w="1147" w:type="dxa"/>
            <w:shd w:val="clear" w:color="auto" w:fill="D9D9D9" w:themeFill="background1" w:themeFillShade="D9"/>
            <w:vAlign w:val="center"/>
          </w:tcPr>
          <w:p w14:paraId="0AF9F2C8" w14:textId="419B50AB" w:rsidR="00500C13" w:rsidRPr="008D3568" w:rsidRDefault="00500C13" w:rsidP="00500C13">
            <w:pPr>
              <w:rPr>
                <w:rFonts w:cs="Times New Roman"/>
                <w:sz w:val="16"/>
                <w:szCs w:val="16"/>
              </w:rPr>
            </w:pPr>
            <w:r w:rsidRPr="008D3568">
              <w:rPr>
                <w:rFonts w:cs="Times New Roman"/>
                <w:sz w:val="16"/>
                <w:szCs w:val="16"/>
              </w:rPr>
              <w:t>-1.31</w:t>
            </w:r>
          </w:p>
        </w:tc>
        <w:tc>
          <w:tcPr>
            <w:tcW w:w="1104" w:type="dxa"/>
            <w:shd w:val="clear" w:color="auto" w:fill="D9D9D9" w:themeFill="background1" w:themeFillShade="D9"/>
            <w:vAlign w:val="center"/>
          </w:tcPr>
          <w:p w14:paraId="31E396F6" w14:textId="635B12DC" w:rsidR="00500C13" w:rsidRPr="008D3568" w:rsidRDefault="00500C13" w:rsidP="00500C13">
            <w:pPr>
              <w:rPr>
                <w:rFonts w:cs="Times New Roman"/>
                <w:sz w:val="16"/>
                <w:szCs w:val="16"/>
              </w:rPr>
            </w:pPr>
            <w:r w:rsidRPr="008D3568">
              <w:rPr>
                <w:rFonts w:cs="Times New Roman"/>
                <w:sz w:val="16"/>
                <w:szCs w:val="16"/>
              </w:rPr>
              <w:t>1.50</w:t>
            </w:r>
          </w:p>
        </w:tc>
        <w:tc>
          <w:tcPr>
            <w:tcW w:w="1084" w:type="dxa"/>
            <w:shd w:val="clear" w:color="auto" w:fill="D9D9D9" w:themeFill="background1" w:themeFillShade="D9"/>
            <w:vAlign w:val="center"/>
          </w:tcPr>
          <w:p w14:paraId="03231D99" w14:textId="5853198A" w:rsidR="00500C13" w:rsidRPr="008D3568" w:rsidRDefault="00500C13" w:rsidP="00500C13">
            <w:pPr>
              <w:rPr>
                <w:rFonts w:cs="Times New Roman"/>
                <w:sz w:val="16"/>
                <w:szCs w:val="16"/>
              </w:rPr>
            </w:pPr>
            <w:r w:rsidRPr="008D3568">
              <w:rPr>
                <w:rFonts w:cs="Times New Roman"/>
                <w:sz w:val="16"/>
                <w:szCs w:val="16"/>
              </w:rPr>
              <w:t>331</w:t>
            </w:r>
          </w:p>
        </w:tc>
      </w:tr>
      <w:tr w:rsidR="00500C13" w:rsidRPr="008D3568" w14:paraId="101257BA" w14:textId="77777777" w:rsidTr="00772F4F">
        <w:tc>
          <w:tcPr>
            <w:tcW w:w="1532" w:type="dxa"/>
            <w:vMerge/>
            <w:vAlign w:val="center"/>
          </w:tcPr>
          <w:p w14:paraId="0EB13784" w14:textId="77777777" w:rsidR="00500C13" w:rsidRPr="008D3568" w:rsidRDefault="00500C13" w:rsidP="00500C13">
            <w:pPr>
              <w:rPr>
                <w:rFonts w:cs="Times New Roman"/>
                <w:sz w:val="16"/>
                <w:szCs w:val="16"/>
              </w:rPr>
            </w:pPr>
          </w:p>
        </w:tc>
        <w:tc>
          <w:tcPr>
            <w:tcW w:w="1503" w:type="dxa"/>
            <w:shd w:val="clear" w:color="auto" w:fill="D9D9D9" w:themeFill="background1" w:themeFillShade="D9"/>
            <w:vAlign w:val="center"/>
          </w:tcPr>
          <w:p w14:paraId="3FAB8557" w14:textId="18B2D531" w:rsidR="00500C13" w:rsidRPr="008D3568" w:rsidRDefault="00500C13" w:rsidP="00500C13">
            <w:pPr>
              <w:rPr>
                <w:rFonts w:cs="Times New Roman"/>
                <w:sz w:val="16"/>
                <w:szCs w:val="16"/>
              </w:rPr>
            </w:pPr>
            <w:r w:rsidRPr="008D3568">
              <w:rPr>
                <w:rFonts w:cs="Times New Roman"/>
                <w:sz w:val="16"/>
                <w:szCs w:val="16"/>
              </w:rPr>
              <w:t>fingolimod</w:t>
            </w:r>
          </w:p>
        </w:tc>
        <w:tc>
          <w:tcPr>
            <w:tcW w:w="1272" w:type="dxa"/>
            <w:shd w:val="clear" w:color="auto" w:fill="D9D9D9" w:themeFill="background1" w:themeFillShade="D9"/>
            <w:vAlign w:val="center"/>
          </w:tcPr>
          <w:p w14:paraId="322731E6" w14:textId="39EFEF43" w:rsidR="00500C13" w:rsidRPr="008D3568" w:rsidRDefault="00500C13" w:rsidP="00500C13">
            <w:pPr>
              <w:rPr>
                <w:rFonts w:cs="Times New Roman"/>
                <w:sz w:val="16"/>
                <w:szCs w:val="16"/>
              </w:rPr>
            </w:pPr>
            <w:r w:rsidRPr="008D3568">
              <w:rPr>
                <w:rFonts w:cs="Times New Roman"/>
                <w:sz w:val="16"/>
                <w:szCs w:val="16"/>
              </w:rPr>
              <w:t>0.5 mg</w:t>
            </w:r>
            <w:r w:rsidR="00E56440">
              <w:rPr>
                <w:color w:val="000000"/>
                <w:sz w:val="16"/>
                <w:szCs w:val="16"/>
              </w:rPr>
              <w:t xml:space="preserve"> </w:t>
            </w:r>
            <w:proofErr w:type="spellStart"/>
            <w:r w:rsidR="00E56440">
              <w:rPr>
                <w:color w:val="000000"/>
                <w:sz w:val="16"/>
                <w:szCs w:val="16"/>
              </w:rPr>
              <w:t>qd</w:t>
            </w:r>
            <w:proofErr w:type="spellEnd"/>
          </w:p>
        </w:tc>
        <w:tc>
          <w:tcPr>
            <w:tcW w:w="1708" w:type="dxa"/>
            <w:shd w:val="clear" w:color="auto" w:fill="D9D9D9" w:themeFill="background1" w:themeFillShade="D9"/>
            <w:vAlign w:val="center"/>
          </w:tcPr>
          <w:p w14:paraId="24B20F7C" w14:textId="4D402C6E" w:rsidR="00500C13" w:rsidRPr="008D3568" w:rsidRDefault="00500C13" w:rsidP="00500C13">
            <w:pPr>
              <w:rPr>
                <w:rFonts w:cs="Times New Roman"/>
                <w:sz w:val="16"/>
                <w:szCs w:val="16"/>
              </w:rPr>
            </w:pPr>
            <w:r w:rsidRPr="008D3568">
              <w:rPr>
                <w:rFonts w:cs="Times New Roman"/>
                <w:sz w:val="16"/>
                <w:szCs w:val="16"/>
              </w:rPr>
              <w:t>104</w:t>
            </w:r>
          </w:p>
        </w:tc>
        <w:tc>
          <w:tcPr>
            <w:tcW w:w="1147" w:type="dxa"/>
            <w:tcBorders>
              <w:bottom w:val="single" w:sz="4" w:space="0" w:color="auto"/>
            </w:tcBorders>
            <w:shd w:val="clear" w:color="auto" w:fill="D9D9D9" w:themeFill="background1" w:themeFillShade="D9"/>
            <w:vAlign w:val="center"/>
          </w:tcPr>
          <w:p w14:paraId="5E08D419" w14:textId="78918D75" w:rsidR="00500C13" w:rsidRPr="008D3568" w:rsidRDefault="00500C13" w:rsidP="00500C13">
            <w:pPr>
              <w:rPr>
                <w:rFonts w:cs="Times New Roman"/>
                <w:sz w:val="16"/>
                <w:szCs w:val="16"/>
              </w:rPr>
            </w:pPr>
            <w:r w:rsidRPr="008D3568">
              <w:rPr>
                <w:rFonts w:cs="Times New Roman"/>
                <w:sz w:val="16"/>
                <w:szCs w:val="16"/>
              </w:rPr>
              <w:t>-0.84</w:t>
            </w:r>
          </w:p>
        </w:tc>
        <w:tc>
          <w:tcPr>
            <w:tcW w:w="1104" w:type="dxa"/>
            <w:tcBorders>
              <w:bottom w:val="single" w:sz="4" w:space="0" w:color="auto"/>
            </w:tcBorders>
            <w:shd w:val="clear" w:color="auto" w:fill="D9D9D9" w:themeFill="background1" w:themeFillShade="D9"/>
            <w:vAlign w:val="center"/>
          </w:tcPr>
          <w:p w14:paraId="13BDAAF0" w14:textId="0675244E" w:rsidR="00500C13" w:rsidRPr="008D3568" w:rsidRDefault="00500C13" w:rsidP="00500C13">
            <w:pPr>
              <w:rPr>
                <w:rFonts w:cs="Times New Roman"/>
                <w:sz w:val="16"/>
                <w:szCs w:val="16"/>
              </w:rPr>
            </w:pPr>
            <w:r w:rsidRPr="008D3568">
              <w:rPr>
                <w:rFonts w:cs="Times New Roman"/>
                <w:sz w:val="16"/>
                <w:szCs w:val="16"/>
              </w:rPr>
              <w:t>1.31</w:t>
            </w:r>
          </w:p>
        </w:tc>
        <w:tc>
          <w:tcPr>
            <w:tcW w:w="1084" w:type="dxa"/>
            <w:tcBorders>
              <w:bottom w:val="single" w:sz="4" w:space="0" w:color="auto"/>
            </w:tcBorders>
            <w:shd w:val="clear" w:color="auto" w:fill="D9D9D9" w:themeFill="background1" w:themeFillShade="D9"/>
            <w:vAlign w:val="center"/>
          </w:tcPr>
          <w:p w14:paraId="6E536338" w14:textId="1628CD7E" w:rsidR="00500C13" w:rsidRPr="008D3568" w:rsidRDefault="00500C13" w:rsidP="00500C13">
            <w:pPr>
              <w:rPr>
                <w:rFonts w:cs="Times New Roman"/>
                <w:sz w:val="16"/>
                <w:szCs w:val="16"/>
              </w:rPr>
            </w:pPr>
            <w:r w:rsidRPr="008D3568">
              <w:rPr>
                <w:rFonts w:cs="Times New Roman"/>
                <w:sz w:val="16"/>
                <w:szCs w:val="16"/>
              </w:rPr>
              <w:t>357</w:t>
            </w:r>
          </w:p>
        </w:tc>
      </w:tr>
      <w:tr w:rsidR="00500C13" w:rsidRPr="008D3568" w14:paraId="39C08E95" w14:textId="77777777" w:rsidTr="00772F4F">
        <w:tc>
          <w:tcPr>
            <w:tcW w:w="1532" w:type="dxa"/>
            <w:vMerge/>
            <w:vAlign w:val="center"/>
          </w:tcPr>
          <w:p w14:paraId="73FEAFC7" w14:textId="77777777" w:rsidR="00500C13" w:rsidRPr="008D3568" w:rsidRDefault="00500C13" w:rsidP="00500C13">
            <w:pPr>
              <w:rPr>
                <w:rFonts w:cs="Times New Roman"/>
                <w:sz w:val="16"/>
                <w:szCs w:val="16"/>
              </w:rPr>
            </w:pPr>
          </w:p>
        </w:tc>
        <w:tc>
          <w:tcPr>
            <w:tcW w:w="1503" w:type="dxa"/>
            <w:vAlign w:val="center"/>
          </w:tcPr>
          <w:p w14:paraId="0CAA6BCB" w14:textId="429A46BB" w:rsidR="00500C13" w:rsidRPr="008D3568" w:rsidRDefault="00500C13" w:rsidP="00500C13">
            <w:pPr>
              <w:rPr>
                <w:rFonts w:cs="Times New Roman"/>
                <w:sz w:val="16"/>
                <w:szCs w:val="16"/>
              </w:rPr>
            </w:pPr>
            <w:r w:rsidRPr="008D3568">
              <w:rPr>
                <w:rFonts w:cs="Times New Roman"/>
                <w:sz w:val="16"/>
                <w:szCs w:val="16"/>
              </w:rPr>
              <w:t>fingolimod</w:t>
            </w:r>
          </w:p>
        </w:tc>
        <w:tc>
          <w:tcPr>
            <w:tcW w:w="1272" w:type="dxa"/>
            <w:vAlign w:val="center"/>
          </w:tcPr>
          <w:p w14:paraId="00F60006" w14:textId="44BAAFE9" w:rsidR="00500C13" w:rsidRPr="008D3568" w:rsidRDefault="00500C13" w:rsidP="00500C13">
            <w:pPr>
              <w:rPr>
                <w:rFonts w:cs="Times New Roman"/>
                <w:sz w:val="16"/>
                <w:szCs w:val="16"/>
              </w:rPr>
            </w:pPr>
            <w:r w:rsidRPr="008D3568">
              <w:rPr>
                <w:rFonts w:cs="Times New Roman"/>
                <w:sz w:val="16"/>
                <w:szCs w:val="16"/>
              </w:rPr>
              <w:t>1.25 mg</w:t>
            </w:r>
            <w:r w:rsidR="00E56440">
              <w:rPr>
                <w:color w:val="000000"/>
                <w:sz w:val="16"/>
                <w:szCs w:val="16"/>
              </w:rPr>
              <w:t xml:space="preserve"> </w:t>
            </w:r>
            <w:proofErr w:type="spellStart"/>
            <w:r w:rsidR="00E56440">
              <w:rPr>
                <w:color w:val="000000"/>
                <w:sz w:val="16"/>
                <w:szCs w:val="16"/>
              </w:rPr>
              <w:t>qd</w:t>
            </w:r>
            <w:proofErr w:type="spellEnd"/>
          </w:p>
        </w:tc>
        <w:tc>
          <w:tcPr>
            <w:tcW w:w="1708" w:type="dxa"/>
            <w:vAlign w:val="center"/>
          </w:tcPr>
          <w:p w14:paraId="786B9F46" w14:textId="558DA107" w:rsidR="00500C13" w:rsidRPr="008D3568" w:rsidRDefault="00500C13" w:rsidP="00500C13">
            <w:pPr>
              <w:rPr>
                <w:rFonts w:cs="Times New Roman"/>
                <w:sz w:val="16"/>
                <w:szCs w:val="16"/>
              </w:rPr>
            </w:pPr>
            <w:r w:rsidRPr="008D3568">
              <w:rPr>
                <w:rFonts w:cs="Times New Roman"/>
                <w:sz w:val="16"/>
                <w:szCs w:val="16"/>
              </w:rPr>
              <w:t>104</w:t>
            </w:r>
          </w:p>
        </w:tc>
        <w:tc>
          <w:tcPr>
            <w:tcW w:w="1147" w:type="dxa"/>
            <w:tcBorders>
              <w:top w:val="single" w:sz="4" w:space="0" w:color="auto"/>
              <w:left w:val="nil"/>
              <w:bottom w:val="single" w:sz="4" w:space="0" w:color="auto"/>
              <w:right w:val="single" w:sz="4" w:space="0" w:color="auto"/>
            </w:tcBorders>
            <w:shd w:val="clear" w:color="auto" w:fill="auto"/>
            <w:vAlign w:val="center"/>
          </w:tcPr>
          <w:p w14:paraId="53CA2A01" w14:textId="55B6819A" w:rsidR="00500C13" w:rsidRPr="008D3568" w:rsidRDefault="00500C13" w:rsidP="00500C13">
            <w:pPr>
              <w:rPr>
                <w:rFonts w:cs="Times New Roman"/>
                <w:sz w:val="16"/>
                <w:szCs w:val="16"/>
              </w:rPr>
            </w:pPr>
            <w:r w:rsidRPr="008D3568">
              <w:rPr>
                <w:rFonts w:cs="Times New Roman"/>
                <w:color w:val="000000"/>
                <w:sz w:val="16"/>
                <w:szCs w:val="16"/>
              </w:rPr>
              <w:t>-0.89</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0DBA4B32" w14:textId="5596CE88" w:rsidR="00500C13" w:rsidRPr="008D3568" w:rsidRDefault="00500C13" w:rsidP="00500C13">
            <w:pPr>
              <w:rPr>
                <w:rFonts w:cs="Times New Roman"/>
                <w:sz w:val="16"/>
                <w:szCs w:val="16"/>
              </w:rPr>
            </w:pPr>
            <w:r w:rsidRPr="008D3568">
              <w:rPr>
                <w:rFonts w:cs="Times New Roman"/>
                <w:color w:val="000000"/>
                <w:sz w:val="16"/>
                <w:szCs w:val="16"/>
              </w:rPr>
              <w:t>1.39</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tcPr>
          <w:p w14:paraId="3EE3870B" w14:textId="157E0C3A" w:rsidR="00500C13" w:rsidRPr="008D3568" w:rsidRDefault="00500C13" w:rsidP="00500C13">
            <w:pPr>
              <w:rPr>
                <w:rFonts w:cs="Times New Roman"/>
                <w:sz w:val="16"/>
                <w:szCs w:val="16"/>
              </w:rPr>
            </w:pPr>
            <w:r w:rsidRPr="008D3568">
              <w:rPr>
                <w:rFonts w:cs="Times New Roman"/>
                <w:color w:val="000000"/>
                <w:sz w:val="16"/>
                <w:szCs w:val="16"/>
              </w:rPr>
              <w:t>334</w:t>
            </w:r>
          </w:p>
        </w:tc>
      </w:tr>
      <w:tr w:rsidR="00500C13" w:rsidRPr="008D3568" w14:paraId="7A1AA9B0" w14:textId="77777777" w:rsidTr="00772F4F">
        <w:tc>
          <w:tcPr>
            <w:tcW w:w="1532" w:type="dxa"/>
            <w:vMerge w:val="restart"/>
            <w:tcBorders>
              <w:top w:val="single" w:sz="4" w:space="0" w:color="auto"/>
              <w:left w:val="single" w:sz="4" w:space="0" w:color="auto"/>
              <w:right w:val="single" w:sz="4" w:space="0" w:color="auto"/>
            </w:tcBorders>
            <w:shd w:val="clear" w:color="auto" w:fill="auto"/>
            <w:vAlign w:val="center"/>
          </w:tcPr>
          <w:p w14:paraId="6FBFFC80" w14:textId="3093479C" w:rsidR="00500C13" w:rsidRPr="008D3568" w:rsidRDefault="00500C13" w:rsidP="00500C13">
            <w:pPr>
              <w:rPr>
                <w:rFonts w:cs="Times New Roman"/>
                <w:sz w:val="16"/>
                <w:szCs w:val="16"/>
              </w:rPr>
            </w:pPr>
            <w:r>
              <w:rPr>
                <w:color w:val="000000"/>
                <w:sz w:val="16"/>
                <w:szCs w:val="16"/>
              </w:rPr>
              <w:t>FREEDOMS II</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14:paraId="3346AC9E" w14:textId="555A22E5" w:rsidR="00500C13" w:rsidRPr="008D3568" w:rsidRDefault="00EA23EE" w:rsidP="00500C13">
            <w:pPr>
              <w:rPr>
                <w:rFonts w:cs="Times New Roman"/>
                <w:sz w:val="16"/>
                <w:szCs w:val="16"/>
              </w:rPr>
            </w:pPr>
            <w:r>
              <w:rPr>
                <w:color w:val="000000"/>
                <w:sz w:val="16"/>
                <w:szCs w:val="16"/>
              </w:rPr>
              <w:t>placebo</w:t>
            </w:r>
          </w:p>
        </w:tc>
        <w:tc>
          <w:tcPr>
            <w:tcW w:w="1272" w:type="dxa"/>
            <w:tcBorders>
              <w:top w:val="single" w:sz="4" w:space="0" w:color="auto"/>
              <w:left w:val="nil"/>
              <w:bottom w:val="single" w:sz="4" w:space="0" w:color="auto"/>
              <w:right w:val="single" w:sz="4" w:space="0" w:color="auto"/>
            </w:tcBorders>
            <w:shd w:val="clear" w:color="auto" w:fill="auto"/>
            <w:vAlign w:val="center"/>
          </w:tcPr>
          <w:p w14:paraId="3958F574" w14:textId="4E35C00F"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nil"/>
              <w:bottom w:val="single" w:sz="4" w:space="0" w:color="auto"/>
              <w:right w:val="single" w:sz="4" w:space="0" w:color="auto"/>
            </w:tcBorders>
            <w:shd w:val="clear" w:color="auto" w:fill="auto"/>
            <w:vAlign w:val="center"/>
          </w:tcPr>
          <w:p w14:paraId="24CD24A1" w14:textId="0451DCA7"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nil"/>
              <w:bottom w:val="single" w:sz="4" w:space="0" w:color="auto"/>
              <w:right w:val="single" w:sz="4" w:space="0" w:color="auto"/>
            </w:tcBorders>
            <w:shd w:val="clear" w:color="auto" w:fill="auto"/>
            <w:vAlign w:val="center"/>
          </w:tcPr>
          <w:p w14:paraId="6D0304E2" w14:textId="0A735B57" w:rsidR="00500C13" w:rsidRPr="008D3568" w:rsidRDefault="00500C13" w:rsidP="00500C13">
            <w:pPr>
              <w:rPr>
                <w:rFonts w:cs="Times New Roman"/>
                <w:color w:val="000000"/>
                <w:sz w:val="16"/>
                <w:szCs w:val="16"/>
              </w:rPr>
            </w:pPr>
            <w:r>
              <w:rPr>
                <w:color w:val="000000"/>
                <w:sz w:val="16"/>
                <w:szCs w:val="16"/>
              </w:rPr>
              <w:t>-0.63</w:t>
            </w:r>
          </w:p>
        </w:tc>
        <w:tc>
          <w:tcPr>
            <w:tcW w:w="1104" w:type="dxa"/>
            <w:tcBorders>
              <w:top w:val="single" w:sz="4" w:space="0" w:color="auto"/>
              <w:left w:val="nil"/>
              <w:bottom w:val="single" w:sz="4" w:space="0" w:color="auto"/>
              <w:right w:val="single" w:sz="4" w:space="0" w:color="auto"/>
            </w:tcBorders>
            <w:shd w:val="clear" w:color="auto" w:fill="auto"/>
            <w:vAlign w:val="center"/>
          </w:tcPr>
          <w:p w14:paraId="27DF4E7C" w14:textId="088C9B10" w:rsidR="00500C13" w:rsidRPr="008D3568" w:rsidRDefault="00500C13" w:rsidP="00500C13">
            <w:pPr>
              <w:rPr>
                <w:rFonts w:cs="Times New Roman"/>
                <w:color w:val="000000"/>
                <w:sz w:val="16"/>
                <w:szCs w:val="16"/>
              </w:rPr>
            </w:pPr>
            <w:r>
              <w:rPr>
                <w:color w:val="000000"/>
                <w:sz w:val="16"/>
                <w:szCs w:val="16"/>
              </w:rPr>
              <w:t>1.05</w:t>
            </w:r>
          </w:p>
        </w:tc>
        <w:tc>
          <w:tcPr>
            <w:tcW w:w="1084" w:type="dxa"/>
            <w:tcBorders>
              <w:top w:val="single" w:sz="4" w:space="0" w:color="auto"/>
              <w:left w:val="nil"/>
              <w:bottom w:val="single" w:sz="4" w:space="0" w:color="auto"/>
              <w:right w:val="single" w:sz="4" w:space="0" w:color="auto"/>
            </w:tcBorders>
            <w:shd w:val="clear" w:color="auto" w:fill="auto"/>
            <w:vAlign w:val="center"/>
          </w:tcPr>
          <w:p w14:paraId="3CD2B29B" w14:textId="599CD3D8" w:rsidR="00500C13" w:rsidRPr="008D3568" w:rsidRDefault="00500C13" w:rsidP="00500C13">
            <w:pPr>
              <w:rPr>
                <w:rFonts w:cs="Times New Roman"/>
                <w:color w:val="000000"/>
                <w:sz w:val="16"/>
                <w:szCs w:val="16"/>
              </w:rPr>
            </w:pPr>
            <w:r>
              <w:rPr>
                <w:color w:val="000000"/>
                <w:sz w:val="16"/>
                <w:szCs w:val="16"/>
              </w:rPr>
              <w:t>293</w:t>
            </w:r>
          </w:p>
        </w:tc>
      </w:tr>
      <w:tr w:rsidR="00500C13" w:rsidRPr="008D3568" w14:paraId="4D8D35F2" w14:textId="77777777" w:rsidTr="00772F4F">
        <w:tc>
          <w:tcPr>
            <w:tcW w:w="1532" w:type="dxa"/>
            <w:vMerge/>
            <w:tcBorders>
              <w:left w:val="single" w:sz="4" w:space="0" w:color="auto"/>
              <w:right w:val="single" w:sz="4" w:space="0" w:color="auto"/>
            </w:tcBorders>
            <w:vAlign w:val="center"/>
          </w:tcPr>
          <w:p w14:paraId="6BECCCC8"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678FAA1" w14:textId="428DA20F" w:rsidR="00500C13" w:rsidRPr="008D3568" w:rsidRDefault="00500C13" w:rsidP="00500C13">
            <w:pPr>
              <w:rPr>
                <w:rFonts w:cs="Times New Roman"/>
                <w:sz w:val="16"/>
                <w:szCs w:val="16"/>
              </w:rPr>
            </w:pPr>
            <w:r>
              <w:rPr>
                <w:color w:val="000000"/>
                <w:sz w:val="16"/>
                <w:szCs w:val="16"/>
              </w:rPr>
              <w:t>fingolimod</w:t>
            </w:r>
          </w:p>
        </w:tc>
        <w:tc>
          <w:tcPr>
            <w:tcW w:w="1272" w:type="dxa"/>
            <w:tcBorders>
              <w:top w:val="nil"/>
              <w:left w:val="nil"/>
              <w:bottom w:val="single" w:sz="4" w:space="0" w:color="auto"/>
              <w:right w:val="single" w:sz="4" w:space="0" w:color="auto"/>
            </w:tcBorders>
            <w:shd w:val="clear" w:color="auto" w:fill="auto"/>
            <w:vAlign w:val="center"/>
          </w:tcPr>
          <w:p w14:paraId="1A33FAEF" w14:textId="504CD5B0" w:rsidR="00500C13" w:rsidRPr="008D3568" w:rsidRDefault="00500C13" w:rsidP="00500C13">
            <w:pPr>
              <w:rPr>
                <w:rFonts w:cs="Times New Roman"/>
                <w:sz w:val="16"/>
                <w:szCs w:val="16"/>
              </w:rPr>
            </w:pPr>
            <w:r>
              <w:rPr>
                <w:color w:val="000000"/>
                <w:sz w:val="16"/>
                <w:szCs w:val="16"/>
              </w:rPr>
              <w:t>0.5</w:t>
            </w:r>
            <w:r w:rsidRPr="00AD17B9">
              <w:rPr>
                <w:color w:val="000000"/>
                <w:sz w:val="16"/>
                <w:szCs w:val="16"/>
              </w:rPr>
              <w:t xml:space="preserve"> mg</w:t>
            </w:r>
            <w:r w:rsidR="001979A0">
              <w:rPr>
                <w:color w:val="000000"/>
                <w:sz w:val="16"/>
                <w:szCs w:val="16"/>
              </w:rPr>
              <w:t xml:space="preserve"> </w:t>
            </w:r>
            <w:proofErr w:type="spellStart"/>
            <w:r w:rsidR="001979A0">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572E73D2" w14:textId="3E6126D0"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2C1E26B1" w14:textId="0D64082B" w:rsidR="00500C13" w:rsidRPr="008D3568" w:rsidRDefault="00500C13" w:rsidP="00500C13">
            <w:pPr>
              <w:rPr>
                <w:rFonts w:cs="Times New Roman"/>
                <w:color w:val="000000"/>
                <w:sz w:val="16"/>
                <w:szCs w:val="16"/>
              </w:rPr>
            </w:pPr>
            <w:r>
              <w:rPr>
                <w:color w:val="000000"/>
                <w:sz w:val="16"/>
                <w:szCs w:val="16"/>
              </w:rPr>
              <w:t>-0.38</w:t>
            </w:r>
          </w:p>
        </w:tc>
        <w:tc>
          <w:tcPr>
            <w:tcW w:w="1104" w:type="dxa"/>
            <w:tcBorders>
              <w:top w:val="nil"/>
              <w:left w:val="nil"/>
              <w:bottom w:val="single" w:sz="4" w:space="0" w:color="auto"/>
              <w:right w:val="single" w:sz="4" w:space="0" w:color="auto"/>
            </w:tcBorders>
            <w:shd w:val="clear" w:color="auto" w:fill="auto"/>
            <w:vAlign w:val="center"/>
          </w:tcPr>
          <w:p w14:paraId="1BBF2141" w14:textId="1BD32254" w:rsidR="00500C13" w:rsidRPr="008D3568" w:rsidRDefault="00500C13" w:rsidP="00500C13">
            <w:pPr>
              <w:rPr>
                <w:rFonts w:cs="Times New Roman"/>
                <w:color w:val="000000"/>
                <w:sz w:val="16"/>
                <w:szCs w:val="16"/>
              </w:rPr>
            </w:pPr>
            <w:r>
              <w:rPr>
                <w:color w:val="000000"/>
                <w:sz w:val="16"/>
                <w:szCs w:val="16"/>
              </w:rPr>
              <w:t>0.97</w:t>
            </w:r>
          </w:p>
        </w:tc>
        <w:tc>
          <w:tcPr>
            <w:tcW w:w="1084" w:type="dxa"/>
            <w:tcBorders>
              <w:top w:val="nil"/>
              <w:left w:val="nil"/>
              <w:bottom w:val="single" w:sz="4" w:space="0" w:color="auto"/>
              <w:right w:val="single" w:sz="4" w:space="0" w:color="auto"/>
            </w:tcBorders>
            <w:shd w:val="clear" w:color="auto" w:fill="auto"/>
            <w:vAlign w:val="center"/>
          </w:tcPr>
          <w:p w14:paraId="0E6B82FF" w14:textId="4D627E90" w:rsidR="00500C13" w:rsidRPr="008D3568" w:rsidRDefault="00500C13" w:rsidP="00500C13">
            <w:pPr>
              <w:rPr>
                <w:rFonts w:cs="Times New Roman"/>
                <w:color w:val="000000"/>
                <w:sz w:val="16"/>
                <w:szCs w:val="16"/>
              </w:rPr>
            </w:pPr>
            <w:r>
              <w:rPr>
                <w:color w:val="000000"/>
                <w:sz w:val="16"/>
                <w:szCs w:val="16"/>
              </w:rPr>
              <w:t>300</w:t>
            </w:r>
          </w:p>
        </w:tc>
      </w:tr>
      <w:tr w:rsidR="00500C13" w:rsidRPr="008D3568" w14:paraId="0EFB4549" w14:textId="77777777" w:rsidTr="00772F4F">
        <w:tc>
          <w:tcPr>
            <w:tcW w:w="1532" w:type="dxa"/>
            <w:vMerge/>
            <w:tcBorders>
              <w:left w:val="single" w:sz="4" w:space="0" w:color="auto"/>
              <w:right w:val="single" w:sz="4" w:space="0" w:color="auto"/>
            </w:tcBorders>
            <w:vAlign w:val="center"/>
          </w:tcPr>
          <w:p w14:paraId="3D5B5F6E"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568C29E" w14:textId="0EB0C8EE" w:rsidR="00500C13" w:rsidRPr="008D3568" w:rsidRDefault="00500C13" w:rsidP="00500C13">
            <w:pPr>
              <w:rPr>
                <w:rFonts w:cs="Times New Roman"/>
                <w:sz w:val="16"/>
                <w:szCs w:val="16"/>
              </w:rPr>
            </w:pPr>
            <w:r>
              <w:rPr>
                <w:color w:val="000000"/>
                <w:sz w:val="16"/>
                <w:szCs w:val="16"/>
              </w:rPr>
              <w:t>fingolimod</w:t>
            </w:r>
          </w:p>
        </w:tc>
        <w:tc>
          <w:tcPr>
            <w:tcW w:w="1272" w:type="dxa"/>
            <w:tcBorders>
              <w:top w:val="nil"/>
              <w:left w:val="nil"/>
              <w:bottom w:val="single" w:sz="4" w:space="0" w:color="auto"/>
              <w:right w:val="single" w:sz="4" w:space="0" w:color="auto"/>
            </w:tcBorders>
            <w:shd w:val="clear" w:color="auto" w:fill="auto"/>
            <w:vAlign w:val="center"/>
          </w:tcPr>
          <w:p w14:paraId="4EFF286D" w14:textId="2EAE94A2" w:rsidR="00500C13" w:rsidRPr="008D3568" w:rsidRDefault="00500C13" w:rsidP="00500C13">
            <w:pPr>
              <w:rPr>
                <w:rFonts w:cs="Times New Roman"/>
                <w:sz w:val="16"/>
                <w:szCs w:val="16"/>
              </w:rPr>
            </w:pPr>
            <w:r>
              <w:rPr>
                <w:color w:val="000000"/>
                <w:sz w:val="16"/>
                <w:szCs w:val="16"/>
              </w:rPr>
              <w:t>1.25</w:t>
            </w:r>
            <w:r w:rsidRPr="00AD17B9">
              <w:rPr>
                <w:color w:val="000000"/>
                <w:sz w:val="16"/>
                <w:szCs w:val="16"/>
              </w:rPr>
              <w:t xml:space="preserve"> mg</w:t>
            </w:r>
            <w:r w:rsidR="001979A0">
              <w:rPr>
                <w:color w:val="000000"/>
                <w:sz w:val="16"/>
                <w:szCs w:val="16"/>
              </w:rPr>
              <w:t xml:space="preserve"> </w:t>
            </w:r>
            <w:proofErr w:type="spellStart"/>
            <w:r w:rsidR="001979A0">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2DBEAF59" w14:textId="54CECFA1"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0759A355" w14:textId="2C1C9293" w:rsidR="00500C13" w:rsidRPr="008D3568" w:rsidRDefault="00500C13" w:rsidP="00500C13">
            <w:pPr>
              <w:rPr>
                <w:rFonts w:cs="Times New Roman"/>
                <w:color w:val="000000"/>
                <w:sz w:val="16"/>
                <w:szCs w:val="16"/>
              </w:rPr>
            </w:pPr>
            <w:r>
              <w:rPr>
                <w:color w:val="000000"/>
                <w:sz w:val="16"/>
                <w:szCs w:val="16"/>
              </w:rPr>
              <w:t>-0.35</w:t>
            </w:r>
          </w:p>
        </w:tc>
        <w:tc>
          <w:tcPr>
            <w:tcW w:w="1104" w:type="dxa"/>
            <w:tcBorders>
              <w:top w:val="nil"/>
              <w:left w:val="nil"/>
              <w:bottom w:val="single" w:sz="4" w:space="0" w:color="auto"/>
              <w:right w:val="single" w:sz="4" w:space="0" w:color="auto"/>
            </w:tcBorders>
            <w:shd w:val="clear" w:color="auto" w:fill="auto"/>
            <w:vAlign w:val="center"/>
          </w:tcPr>
          <w:p w14:paraId="14DB979F" w14:textId="4B832527" w:rsidR="00500C13" w:rsidRPr="008D3568" w:rsidRDefault="00500C13" w:rsidP="00500C13">
            <w:pPr>
              <w:rPr>
                <w:rFonts w:cs="Times New Roman"/>
                <w:color w:val="000000"/>
                <w:sz w:val="16"/>
                <w:szCs w:val="16"/>
              </w:rPr>
            </w:pPr>
            <w:r>
              <w:rPr>
                <w:color w:val="000000"/>
                <w:sz w:val="16"/>
                <w:szCs w:val="16"/>
              </w:rPr>
              <w:t>1.20</w:t>
            </w:r>
          </w:p>
        </w:tc>
        <w:tc>
          <w:tcPr>
            <w:tcW w:w="1084" w:type="dxa"/>
            <w:tcBorders>
              <w:top w:val="nil"/>
              <w:left w:val="nil"/>
              <w:bottom w:val="single" w:sz="4" w:space="0" w:color="auto"/>
              <w:right w:val="single" w:sz="4" w:space="0" w:color="auto"/>
            </w:tcBorders>
            <w:shd w:val="clear" w:color="auto" w:fill="auto"/>
            <w:vAlign w:val="center"/>
          </w:tcPr>
          <w:p w14:paraId="47547AE4" w14:textId="700B2432" w:rsidR="00500C13" w:rsidRPr="008D3568" w:rsidRDefault="00500C13" w:rsidP="00500C13">
            <w:pPr>
              <w:rPr>
                <w:rFonts w:cs="Times New Roman"/>
                <w:color w:val="000000"/>
                <w:sz w:val="16"/>
                <w:szCs w:val="16"/>
              </w:rPr>
            </w:pPr>
            <w:r>
              <w:rPr>
                <w:color w:val="000000"/>
                <w:sz w:val="16"/>
                <w:szCs w:val="16"/>
              </w:rPr>
              <w:t>294</w:t>
            </w:r>
          </w:p>
        </w:tc>
      </w:tr>
      <w:tr w:rsidR="00500C13" w:rsidRPr="008D3568" w14:paraId="30CB9D13" w14:textId="77777777" w:rsidTr="00772F4F">
        <w:tc>
          <w:tcPr>
            <w:tcW w:w="1532" w:type="dxa"/>
            <w:vMerge/>
            <w:tcBorders>
              <w:left w:val="single" w:sz="4" w:space="0" w:color="auto"/>
              <w:right w:val="single" w:sz="4" w:space="0" w:color="auto"/>
            </w:tcBorders>
            <w:vAlign w:val="center"/>
          </w:tcPr>
          <w:p w14:paraId="589DCDCC"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8ECE181" w14:textId="673AE38B" w:rsidR="00500C13" w:rsidRPr="008D3568" w:rsidRDefault="00EA23EE" w:rsidP="00500C13">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293D5E5" w14:textId="421E2B72"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C81AFB3" w14:textId="2B4C7760"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63E2319" w14:textId="38F3AF02" w:rsidR="00500C13" w:rsidRPr="008D3568" w:rsidRDefault="00500C13" w:rsidP="00500C13">
            <w:pPr>
              <w:rPr>
                <w:rFonts w:cs="Times New Roman"/>
                <w:color w:val="000000"/>
                <w:sz w:val="16"/>
                <w:szCs w:val="16"/>
              </w:rPr>
            </w:pPr>
            <w:r>
              <w:rPr>
                <w:color w:val="000000"/>
                <w:sz w:val="16"/>
                <w:szCs w:val="16"/>
              </w:rPr>
              <w:t>-1.28</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8D52AFC" w14:textId="13E697E9" w:rsidR="00500C13" w:rsidRPr="008D3568" w:rsidRDefault="00500C13" w:rsidP="00500C13">
            <w:pPr>
              <w:rPr>
                <w:rFonts w:cs="Times New Roman"/>
                <w:color w:val="000000"/>
                <w:sz w:val="16"/>
                <w:szCs w:val="16"/>
              </w:rPr>
            </w:pPr>
            <w:r>
              <w:rPr>
                <w:color w:val="000000"/>
                <w:sz w:val="16"/>
                <w:szCs w:val="16"/>
              </w:rPr>
              <w:t>1.50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4DEC22A" w14:textId="1433E21C" w:rsidR="00500C13" w:rsidRPr="008D3568" w:rsidRDefault="00500C13" w:rsidP="00500C13">
            <w:pPr>
              <w:rPr>
                <w:rFonts w:cs="Times New Roman"/>
                <w:color w:val="000000"/>
                <w:sz w:val="16"/>
                <w:szCs w:val="16"/>
              </w:rPr>
            </w:pPr>
            <w:r>
              <w:rPr>
                <w:color w:val="000000"/>
                <w:sz w:val="16"/>
                <w:szCs w:val="16"/>
              </w:rPr>
              <w:t>249</w:t>
            </w:r>
          </w:p>
        </w:tc>
      </w:tr>
      <w:tr w:rsidR="00500C13" w:rsidRPr="008D3568" w14:paraId="1F84F872" w14:textId="77777777" w:rsidTr="00772F4F">
        <w:tc>
          <w:tcPr>
            <w:tcW w:w="1532" w:type="dxa"/>
            <w:vMerge/>
            <w:tcBorders>
              <w:left w:val="single" w:sz="4" w:space="0" w:color="auto"/>
              <w:right w:val="single" w:sz="4" w:space="0" w:color="auto"/>
            </w:tcBorders>
            <w:vAlign w:val="center"/>
          </w:tcPr>
          <w:p w14:paraId="0E55B740"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0963C175" w14:textId="39DAA09E" w:rsidR="00500C13" w:rsidRPr="008D3568" w:rsidRDefault="00500C13" w:rsidP="00500C13">
            <w:pPr>
              <w:rPr>
                <w:rFonts w:cs="Times New Roman"/>
                <w:sz w:val="16"/>
                <w:szCs w:val="16"/>
              </w:rPr>
            </w:pPr>
            <w:r>
              <w:rPr>
                <w:color w:val="000000"/>
                <w:sz w:val="16"/>
                <w:szCs w:val="16"/>
              </w:rPr>
              <w:t>fingolimod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301699D" w14:textId="7A88E091" w:rsidR="00500C13" w:rsidRPr="008D3568" w:rsidRDefault="00500C13" w:rsidP="00500C13">
            <w:pPr>
              <w:rPr>
                <w:rFonts w:cs="Times New Roman"/>
                <w:sz w:val="16"/>
                <w:szCs w:val="16"/>
              </w:rPr>
            </w:pPr>
            <w:r>
              <w:rPr>
                <w:color w:val="000000"/>
                <w:sz w:val="16"/>
                <w:szCs w:val="16"/>
              </w:rPr>
              <w:t>0.5</w:t>
            </w:r>
            <w:r w:rsidRPr="00AD17B9">
              <w:rPr>
                <w:color w:val="000000"/>
                <w:sz w:val="16"/>
                <w:szCs w:val="16"/>
              </w:rPr>
              <w:t xml:space="preserve"> mg</w:t>
            </w:r>
            <w:r w:rsidR="001979A0">
              <w:rPr>
                <w:color w:val="000000"/>
                <w:sz w:val="16"/>
                <w:szCs w:val="16"/>
              </w:rPr>
              <w:t xml:space="preserve"> </w:t>
            </w:r>
            <w:proofErr w:type="spellStart"/>
            <w:r w:rsidR="001979A0">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83D8A24" w14:textId="2838041B"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BE98CAC" w14:textId="5BFF94F1" w:rsidR="00500C13" w:rsidRPr="008D3568" w:rsidRDefault="00500C13" w:rsidP="00500C13">
            <w:pPr>
              <w:rPr>
                <w:rFonts w:cs="Times New Roman"/>
                <w:color w:val="000000"/>
                <w:sz w:val="16"/>
                <w:szCs w:val="16"/>
              </w:rPr>
            </w:pPr>
            <w:r>
              <w:rPr>
                <w:color w:val="000000"/>
                <w:sz w:val="16"/>
                <w:szCs w:val="16"/>
              </w:rPr>
              <w:t>-0.86</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9C69D97" w14:textId="1BE2D5F2" w:rsidR="00500C13" w:rsidRPr="008D3568" w:rsidRDefault="00500C13" w:rsidP="00500C13">
            <w:pPr>
              <w:rPr>
                <w:rFonts w:cs="Times New Roman"/>
                <w:color w:val="000000"/>
                <w:sz w:val="16"/>
                <w:szCs w:val="16"/>
              </w:rPr>
            </w:pPr>
            <w:r>
              <w:rPr>
                <w:color w:val="000000"/>
                <w:sz w:val="16"/>
                <w:szCs w:val="16"/>
              </w:rPr>
              <w:t>1.22</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398947A" w14:textId="0B0EA1CB" w:rsidR="00500C13" w:rsidRPr="008D3568" w:rsidRDefault="00500C13" w:rsidP="00500C13">
            <w:pPr>
              <w:rPr>
                <w:rFonts w:cs="Times New Roman"/>
                <w:color w:val="000000"/>
                <w:sz w:val="16"/>
                <w:szCs w:val="16"/>
              </w:rPr>
            </w:pPr>
            <w:r>
              <w:rPr>
                <w:color w:val="000000"/>
                <w:sz w:val="16"/>
                <w:szCs w:val="16"/>
              </w:rPr>
              <w:t>266</w:t>
            </w:r>
          </w:p>
        </w:tc>
      </w:tr>
      <w:tr w:rsidR="00500C13" w:rsidRPr="008D3568" w14:paraId="16A102C1" w14:textId="77777777" w:rsidTr="00772F4F">
        <w:tc>
          <w:tcPr>
            <w:tcW w:w="1532" w:type="dxa"/>
            <w:vMerge/>
            <w:tcBorders>
              <w:left w:val="single" w:sz="4" w:space="0" w:color="auto"/>
              <w:bottom w:val="single" w:sz="4" w:space="0" w:color="auto"/>
              <w:right w:val="single" w:sz="4" w:space="0" w:color="auto"/>
            </w:tcBorders>
            <w:vAlign w:val="center"/>
          </w:tcPr>
          <w:p w14:paraId="4B3BE503"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3CD7563" w14:textId="7A2ECE53" w:rsidR="00500C13" w:rsidRPr="008D3568" w:rsidRDefault="00500C13" w:rsidP="00500C13">
            <w:pPr>
              <w:rPr>
                <w:rFonts w:cs="Times New Roman"/>
                <w:sz w:val="16"/>
                <w:szCs w:val="16"/>
              </w:rPr>
            </w:pPr>
            <w:r>
              <w:rPr>
                <w:color w:val="000000"/>
                <w:sz w:val="16"/>
                <w:szCs w:val="16"/>
              </w:rPr>
              <w:t>fingolimod</w:t>
            </w:r>
          </w:p>
        </w:tc>
        <w:tc>
          <w:tcPr>
            <w:tcW w:w="1272" w:type="dxa"/>
            <w:tcBorders>
              <w:top w:val="nil"/>
              <w:left w:val="nil"/>
              <w:bottom w:val="single" w:sz="4" w:space="0" w:color="auto"/>
              <w:right w:val="single" w:sz="4" w:space="0" w:color="auto"/>
            </w:tcBorders>
            <w:shd w:val="clear" w:color="auto" w:fill="auto"/>
            <w:vAlign w:val="center"/>
          </w:tcPr>
          <w:p w14:paraId="0C1D33E1" w14:textId="701C1315" w:rsidR="00500C13" w:rsidRPr="008D3568" w:rsidRDefault="00500C13" w:rsidP="00500C13">
            <w:pPr>
              <w:rPr>
                <w:rFonts w:cs="Times New Roman"/>
                <w:sz w:val="16"/>
                <w:szCs w:val="16"/>
              </w:rPr>
            </w:pPr>
            <w:r>
              <w:rPr>
                <w:color w:val="000000"/>
                <w:sz w:val="16"/>
                <w:szCs w:val="16"/>
              </w:rPr>
              <w:t>1.25</w:t>
            </w:r>
            <w:r w:rsidRPr="00AD17B9">
              <w:rPr>
                <w:color w:val="000000"/>
                <w:sz w:val="16"/>
                <w:szCs w:val="16"/>
              </w:rPr>
              <w:t xml:space="preserve"> mg</w:t>
            </w:r>
            <w:r w:rsidR="001979A0">
              <w:rPr>
                <w:color w:val="000000"/>
                <w:sz w:val="16"/>
                <w:szCs w:val="16"/>
              </w:rPr>
              <w:t xml:space="preserve"> </w:t>
            </w:r>
            <w:proofErr w:type="spellStart"/>
            <w:r w:rsidR="001979A0">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575BFB34" w14:textId="691AB5D6" w:rsidR="00500C13" w:rsidRPr="008D3568" w:rsidRDefault="00500C13" w:rsidP="00500C13">
            <w:pPr>
              <w:rPr>
                <w:rFonts w:cs="Times New Roman"/>
                <w:sz w:val="16"/>
                <w:szCs w:val="16"/>
              </w:rPr>
            </w:pPr>
            <w:r>
              <w:rPr>
                <w:color w:val="000000"/>
                <w:sz w:val="16"/>
                <w:szCs w:val="16"/>
              </w:rPr>
              <w:t>104</w:t>
            </w:r>
          </w:p>
        </w:tc>
        <w:tc>
          <w:tcPr>
            <w:tcW w:w="1147" w:type="dxa"/>
            <w:tcBorders>
              <w:top w:val="nil"/>
              <w:left w:val="nil"/>
              <w:bottom w:val="single" w:sz="4" w:space="0" w:color="auto"/>
              <w:right w:val="single" w:sz="4" w:space="0" w:color="auto"/>
            </w:tcBorders>
            <w:shd w:val="clear" w:color="auto" w:fill="auto"/>
            <w:vAlign w:val="center"/>
          </w:tcPr>
          <w:p w14:paraId="7EC0EA21" w14:textId="72C3AA30" w:rsidR="00500C13" w:rsidRPr="008D3568" w:rsidRDefault="00500C13" w:rsidP="00500C13">
            <w:pPr>
              <w:rPr>
                <w:rFonts w:cs="Times New Roman"/>
                <w:color w:val="000000"/>
                <w:sz w:val="16"/>
                <w:szCs w:val="16"/>
              </w:rPr>
            </w:pPr>
            <w:r>
              <w:rPr>
                <w:color w:val="000000"/>
                <w:sz w:val="16"/>
                <w:szCs w:val="16"/>
              </w:rPr>
              <w:t>-0.60</w:t>
            </w:r>
          </w:p>
        </w:tc>
        <w:tc>
          <w:tcPr>
            <w:tcW w:w="1104" w:type="dxa"/>
            <w:tcBorders>
              <w:top w:val="nil"/>
              <w:left w:val="nil"/>
              <w:bottom w:val="single" w:sz="4" w:space="0" w:color="auto"/>
              <w:right w:val="single" w:sz="4" w:space="0" w:color="auto"/>
            </w:tcBorders>
            <w:shd w:val="clear" w:color="auto" w:fill="auto"/>
            <w:vAlign w:val="center"/>
          </w:tcPr>
          <w:p w14:paraId="49E2F7F0" w14:textId="55B8B9C6" w:rsidR="00500C13" w:rsidRPr="008D3568" w:rsidRDefault="00500C13" w:rsidP="00500C13">
            <w:pPr>
              <w:rPr>
                <w:rFonts w:cs="Times New Roman"/>
                <w:color w:val="000000"/>
                <w:sz w:val="16"/>
                <w:szCs w:val="16"/>
              </w:rPr>
            </w:pPr>
            <w:r>
              <w:rPr>
                <w:color w:val="000000"/>
                <w:sz w:val="16"/>
                <w:szCs w:val="16"/>
              </w:rPr>
              <w:t>1.39</w:t>
            </w:r>
          </w:p>
        </w:tc>
        <w:tc>
          <w:tcPr>
            <w:tcW w:w="1084" w:type="dxa"/>
            <w:tcBorders>
              <w:top w:val="nil"/>
              <w:left w:val="nil"/>
              <w:bottom w:val="single" w:sz="4" w:space="0" w:color="auto"/>
              <w:right w:val="single" w:sz="4" w:space="0" w:color="auto"/>
            </w:tcBorders>
            <w:shd w:val="clear" w:color="auto" w:fill="auto"/>
            <w:vAlign w:val="center"/>
          </w:tcPr>
          <w:p w14:paraId="234E8715" w14:textId="00EFF29C" w:rsidR="00500C13" w:rsidRPr="008D3568" w:rsidRDefault="00500C13" w:rsidP="00500C13">
            <w:pPr>
              <w:rPr>
                <w:rFonts w:cs="Times New Roman"/>
                <w:color w:val="000000"/>
                <w:sz w:val="16"/>
                <w:szCs w:val="16"/>
              </w:rPr>
            </w:pPr>
            <w:r>
              <w:rPr>
                <w:color w:val="000000"/>
                <w:sz w:val="16"/>
                <w:szCs w:val="16"/>
              </w:rPr>
              <w:t>247</w:t>
            </w:r>
          </w:p>
        </w:tc>
      </w:tr>
      <w:tr w:rsidR="00500C13" w:rsidRPr="008D3568" w14:paraId="687F24B7" w14:textId="77777777" w:rsidTr="00772F4F">
        <w:tc>
          <w:tcPr>
            <w:tcW w:w="1532" w:type="dxa"/>
            <w:vMerge w:val="restart"/>
            <w:tcBorders>
              <w:top w:val="nil"/>
              <w:left w:val="single" w:sz="4" w:space="0" w:color="auto"/>
              <w:right w:val="single" w:sz="4" w:space="0" w:color="auto"/>
            </w:tcBorders>
            <w:shd w:val="clear" w:color="auto" w:fill="auto"/>
            <w:vAlign w:val="center"/>
          </w:tcPr>
          <w:p w14:paraId="39F35C96" w14:textId="226A0056" w:rsidR="00500C13" w:rsidRPr="008D3568" w:rsidRDefault="00500C13" w:rsidP="00500C13">
            <w:pPr>
              <w:rPr>
                <w:rFonts w:cs="Times New Roman"/>
                <w:sz w:val="16"/>
                <w:szCs w:val="16"/>
              </w:rPr>
            </w:pPr>
            <w:r>
              <w:rPr>
                <w:color w:val="000000"/>
                <w:sz w:val="16"/>
                <w:szCs w:val="16"/>
              </w:rPr>
              <w:t>GALA</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833C25B" w14:textId="434B9CEF" w:rsidR="00500C13" w:rsidRPr="008D3568" w:rsidRDefault="00500C13" w:rsidP="00500C13">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4B3EB10" w14:textId="40D7821F"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54D7BAA" w14:textId="0C4F624B"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88DDABD" w14:textId="1FDC1613" w:rsidR="00500C13" w:rsidRPr="008D3568" w:rsidRDefault="00500C13" w:rsidP="00500C13">
            <w:pPr>
              <w:rPr>
                <w:rFonts w:cs="Times New Roman"/>
                <w:color w:val="000000"/>
                <w:sz w:val="16"/>
                <w:szCs w:val="16"/>
              </w:rPr>
            </w:pPr>
            <w:r>
              <w:rPr>
                <w:color w:val="000000"/>
                <w:sz w:val="16"/>
                <w:szCs w:val="16"/>
              </w:rPr>
              <w:t>-0.65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50D3E0E" w14:textId="5342049D" w:rsidR="00500C13" w:rsidRPr="008D3568" w:rsidRDefault="00500C13" w:rsidP="00500C13">
            <w:pPr>
              <w:rPr>
                <w:rFonts w:cs="Times New Roman"/>
                <w:color w:val="000000"/>
                <w:sz w:val="16"/>
                <w:szCs w:val="16"/>
              </w:rPr>
            </w:pPr>
            <w:r>
              <w:rPr>
                <w:color w:val="000000"/>
                <w:sz w:val="16"/>
                <w:szCs w:val="16"/>
              </w:rPr>
              <w:t>0.97</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8127E2C" w14:textId="4778B8B2" w:rsidR="00500C13" w:rsidRPr="008D3568" w:rsidRDefault="00500C13" w:rsidP="00500C13">
            <w:pPr>
              <w:rPr>
                <w:rFonts w:cs="Times New Roman"/>
                <w:color w:val="000000"/>
                <w:sz w:val="16"/>
                <w:szCs w:val="16"/>
              </w:rPr>
            </w:pPr>
            <w:r>
              <w:rPr>
                <w:color w:val="000000"/>
                <w:sz w:val="16"/>
                <w:szCs w:val="16"/>
              </w:rPr>
              <w:t>423</w:t>
            </w:r>
          </w:p>
        </w:tc>
      </w:tr>
      <w:tr w:rsidR="00500C13" w:rsidRPr="008D3568" w14:paraId="3EC5877E" w14:textId="77777777" w:rsidTr="00772F4F">
        <w:tc>
          <w:tcPr>
            <w:tcW w:w="1532" w:type="dxa"/>
            <w:vMerge/>
            <w:tcBorders>
              <w:left w:val="single" w:sz="4" w:space="0" w:color="auto"/>
              <w:bottom w:val="single" w:sz="4" w:space="0" w:color="auto"/>
              <w:right w:val="single" w:sz="4" w:space="0" w:color="auto"/>
            </w:tcBorders>
            <w:vAlign w:val="center"/>
          </w:tcPr>
          <w:p w14:paraId="70B06C4D"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B37AE6C" w14:textId="5AC9DA80" w:rsidR="00500C13" w:rsidRPr="008D3568" w:rsidRDefault="00500C13" w:rsidP="00500C13">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22B472A" w14:textId="51CA9CA3" w:rsidR="00500C13" w:rsidRPr="008D3568" w:rsidRDefault="000F0012" w:rsidP="00500C13">
            <w:pPr>
              <w:rPr>
                <w:rFonts w:cs="Times New Roman"/>
                <w:sz w:val="16"/>
                <w:szCs w:val="16"/>
              </w:rPr>
            </w:pPr>
            <w:r w:rsidRPr="000F0012">
              <w:rPr>
                <w:color w:val="000000"/>
                <w:sz w:val="16"/>
                <w:szCs w:val="16"/>
              </w:rPr>
              <w:t xml:space="preserve">40 mg </w:t>
            </w:r>
            <w:proofErr w:type="spellStart"/>
            <w:r w:rsidRPr="000F0012">
              <w:rPr>
                <w:color w:val="000000"/>
                <w:sz w:val="16"/>
                <w:szCs w:val="16"/>
              </w:rPr>
              <w:t>tiw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155FF9C" w14:textId="582694F0"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4B3BC5FC" w14:textId="5C8B4F1B" w:rsidR="00500C13" w:rsidRPr="008D3568" w:rsidRDefault="00500C13" w:rsidP="00500C13">
            <w:pPr>
              <w:rPr>
                <w:rFonts w:cs="Times New Roman"/>
                <w:color w:val="000000"/>
                <w:sz w:val="16"/>
                <w:szCs w:val="16"/>
              </w:rPr>
            </w:pPr>
            <w:r>
              <w:rPr>
                <w:color w:val="000000"/>
                <w:sz w:val="16"/>
                <w:szCs w:val="16"/>
              </w:rPr>
              <w:t>-706</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F2724DF" w14:textId="7606C031" w:rsidR="00500C13" w:rsidRPr="008D3568" w:rsidRDefault="00500C13" w:rsidP="00500C13">
            <w:pPr>
              <w:rPr>
                <w:rFonts w:cs="Times New Roman"/>
                <w:color w:val="000000"/>
                <w:sz w:val="16"/>
                <w:szCs w:val="16"/>
              </w:rPr>
            </w:pPr>
            <w:r>
              <w:rPr>
                <w:color w:val="000000"/>
                <w:sz w:val="16"/>
                <w:szCs w:val="16"/>
              </w:rPr>
              <w:t>1.09</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BBE4E10" w14:textId="496E49AE" w:rsidR="00500C13" w:rsidRPr="008D3568" w:rsidRDefault="00500C13" w:rsidP="00500C13">
            <w:pPr>
              <w:rPr>
                <w:rFonts w:cs="Times New Roman"/>
                <w:color w:val="000000"/>
                <w:sz w:val="16"/>
                <w:szCs w:val="16"/>
              </w:rPr>
            </w:pPr>
            <w:r>
              <w:rPr>
                <w:color w:val="000000"/>
                <w:sz w:val="16"/>
                <w:szCs w:val="16"/>
              </w:rPr>
              <w:t>840</w:t>
            </w:r>
          </w:p>
        </w:tc>
      </w:tr>
      <w:tr w:rsidR="00500C13" w:rsidRPr="008D3568" w14:paraId="68ACFA07" w14:textId="77777777" w:rsidTr="00772F4F">
        <w:tc>
          <w:tcPr>
            <w:tcW w:w="1532" w:type="dxa"/>
            <w:vMerge w:val="restart"/>
            <w:tcBorders>
              <w:top w:val="nil"/>
              <w:left w:val="single" w:sz="4" w:space="0" w:color="auto"/>
              <w:right w:val="single" w:sz="4" w:space="0" w:color="auto"/>
            </w:tcBorders>
            <w:shd w:val="clear" w:color="auto" w:fill="auto"/>
            <w:vAlign w:val="center"/>
          </w:tcPr>
          <w:p w14:paraId="3AEBB1C8" w14:textId="1F5BBE91" w:rsidR="00500C13" w:rsidRPr="008D3568" w:rsidRDefault="00500C13" w:rsidP="00500C13">
            <w:pPr>
              <w:rPr>
                <w:rFonts w:cs="Times New Roman"/>
                <w:sz w:val="16"/>
                <w:szCs w:val="16"/>
              </w:rPr>
            </w:pPr>
            <w:r>
              <w:rPr>
                <w:color w:val="000000"/>
                <w:sz w:val="16"/>
                <w:szCs w:val="16"/>
              </w:rPr>
              <w:t>GATE</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F102AA8" w14:textId="4BE2971E" w:rsidR="00500C13" w:rsidRPr="008D3568" w:rsidRDefault="00500C13" w:rsidP="00500C13">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2A41698A" w14:textId="08EA025B"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A7AAC60" w14:textId="1E4D2234" w:rsidR="00500C13" w:rsidRPr="008D3568" w:rsidRDefault="00500C13" w:rsidP="00500C13">
            <w:pPr>
              <w:rPr>
                <w:rFonts w:cs="Times New Roman"/>
                <w:sz w:val="16"/>
                <w:szCs w:val="16"/>
              </w:rPr>
            </w:pPr>
            <w:r>
              <w:rPr>
                <w:color w:val="000000"/>
                <w:sz w:val="16"/>
                <w:szCs w:val="16"/>
              </w:rPr>
              <w:t>39</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F339F2A" w14:textId="16C221A2" w:rsidR="00500C13" w:rsidRPr="008D3568" w:rsidRDefault="00500C13" w:rsidP="00500C13">
            <w:pPr>
              <w:rPr>
                <w:rFonts w:cs="Times New Roman"/>
                <w:color w:val="000000"/>
                <w:sz w:val="16"/>
                <w:szCs w:val="16"/>
              </w:rPr>
            </w:pPr>
            <w:r>
              <w:rPr>
                <w:color w:val="000000"/>
                <w:sz w:val="16"/>
                <w:szCs w:val="16"/>
              </w:rPr>
              <w:t>-0.60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A6DE241" w14:textId="597FFEDF" w:rsidR="00500C13" w:rsidRPr="008D3568" w:rsidRDefault="00500C13" w:rsidP="00500C13">
            <w:pPr>
              <w:rPr>
                <w:rFonts w:cs="Times New Roman"/>
                <w:color w:val="000000"/>
                <w:sz w:val="16"/>
                <w:szCs w:val="16"/>
              </w:rPr>
            </w:pPr>
            <w:r>
              <w:rPr>
                <w:color w:val="000000"/>
                <w:sz w:val="16"/>
                <w:szCs w:val="16"/>
              </w:rPr>
              <w:t>1.24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48DA2D8" w14:textId="1396A357" w:rsidR="00500C13" w:rsidRPr="008D3568" w:rsidRDefault="00500C13" w:rsidP="00500C13">
            <w:pPr>
              <w:rPr>
                <w:rFonts w:cs="Times New Roman"/>
                <w:color w:val="000000"/>
                <w:sz w:val="16"/>
                <w:szCs w:val="16"/>
              </w:rPr>
            </w:pPr>
            <w:r>
              <w:rPr>
                <w:color w:val="000000"/>
                <w:sz w:val="16"/>
                <w:szCs w:val="16"/>
              </w:rPr>
              <w:t>84</w:t>
            </w:r>
          </w:p>
        </w:tc>
      </w:tr>
      <w:tr w:rsidR="00500C13" w:rsidRPr="008D3568" w14:paraId="633A199C" w14:textId="77777777" w:rsidTr="00772F4F">
        <w:tc>
          <w:tcPr>
            <w:tcW w:w="1532" w:type="dxa"/>
            <w:vMerge/>
            <w:tcBorders>
              <w:left w:val="single" w:sz="4" w:space="0" w:color="auto"/>
              <w:right w:val="single" w:sz="4" w:space="0" w:color="auto"/>
            </w:tcBorders>
            <w:vAlign w:val="center"/>
          </w:tcPr>
          <w:p w14:paraId="4F00DC46"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F0F3B53" w14:textId="7CF47A31" w:rsidR="00500C13" w:rsidRPr="008D3568" w:rsidRDefault="00500C13" w:rsidP="00500C13">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663CD73" w14:textId="362C821D" w:rsidR="00500C13" w:rsidRPr="008D3568" w:rsidRDefault="00500C13" w:rsidP="00500C13">
            <w:pPr>
              <w:rPr>
                <w:rFonts w:cs="Times New Roman"/>
                <w:sz w:val="16"/>
                <w:szCs w:val="16"/>
              </w:rPr>
            </w:pPr>
            <w:r>
              <w:rPr>
                <w:color w:val="000000"/>
                <w:sz w:val="16"/>
                <w:szCs w:val="16"/>
              </w:rPr>
              <w:t>20</w:t>
            </w:r>
            <w:r w:rsidRPr="00695596">
              <w:rPr>
                <w:color w:val="000000"/>
                <w:sz w:val="16"/>
                <w:szCs w:val="16"/>
              </w:rPr>
              <w:t xml:space="preserve"> mg</w:t>
            </w:r>
            <w:r w:rsidR="000F0012">
              <w:rPr>
                <w:color w:val="000000"/>
                <w:sz w:val="16"/>
                <w:szCs w:val="16"/>
              </w:rPr>
              <w:t xml:space="preserve"> </w:t>
            </w:r>
            <w:proofErr w:type="spellStart"/>
            <w:r w:rsidR="000F0012">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DCD76A4" w14:textId="0600AA64" w:rsidR="00500C13" w:rsidRPr="008D3568" w:rsidRDefault="00500C13" w:rsidP="00500C13">
            <w:pPr>
              <w:rPr>
                <w:rFonts w:cs="Times New Roman"/>
                <w:sz w:val="16"/>
                <w:szCs w:val="16"/>
              </w:rPr>
            </w:pPr>
            <w:r>
              <w:rPr>
                <w:color w:val="000000"/>
                <w:sz w:val="16"/>
                <w:szCs w:val="16"/>
              </w:rPr>
              <w:t>39</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E4D3E74" w14:textId="187B51AF" w:rsidR="00500C13" w:rsidRPr="008D3568" w:rsidRDefault="00500C13" w:rsidP="00500C13">
            <w:pPr>
              <w:rPr>
                <w:rFonts w:cs="Times New Roman"/>
                <w:color w:val="000000"/>
                <w:sz w:val="16"/>
                <w:szCs w:val="16"/>
              </w:rPr>
            </w:pPr>
            <w:r>
              <w:rPr>
                <w:color w:val="000000"/>
                <w:sz w:val="16"/>
                <w:szCs w:val="16"/>
              </w:rPr>
              <w:t>-0.50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461CFEB" w14:textId="764A84FD" w:rsidR="00500C13" w:rsidRPr="008D3568" w:rsidRDefault="00500C13" w:rsidP="00500C13">
            <w:pPr>
              <w:rPr>
                <w:rFonts w:cs="Times New Roman"/>
                <w:color w:val="000000"/>
                <w:sz w:val="16"/>
                <w:szCs w:val="16"/>
              </w:rPr>
            </w:pPr>
            <w:r>
              <w:rPr>
                <w:color w:val="000000"/>
                <w:sz w:val="16"/>
                <w:szCs w:val="16"/>
              </w:rPr>
              <w:t>0.84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77233CD" w14:textId="6AFCD362" w:rsidR="00500C13" w:rsidRPr="008D3568" w:rsidRDefault="00500C13" w:rsidP="00500C13">
            <w:pPr>
              <w:rPr>
                <w:rFonts w:cs="Times New Roman"/>
                <w:color w:val="000000"/>
                <w:sz w:val="16"/>
                <w:szCs w:val="16"/>
              </w:rPr>
            </w:pPr>
            <w:r>
              <w:rPr>
                <w:color w:val="000000"/>
                <w:sz w:val="16"/>
                <w:szCs w:val="16"/>
              </w:rPr>
              <w:t>353</w:t>
            </w:r>
          </w:p>
        </w:tc>
      </w:tr>
      <w:tr w:rsidR="00500C13" w:rsidRPr="008D3568" w14:paraId="15C09AB6" w14:textId="77777777" w:rsidTr="00772F4F">
        <w:tc>
          <w:tcPr>
            <w:tcW w:w="1532" w:type="dxa"/>
            <w:vMerge/>
            <w:tcBorders>
              <w:left w:val="single" w:sz="4" w:space="0" w:color="auto"/>
              <w:bottom w:val="single" w:sz="4" w:space="0" w:color="auto"/>
              <w:right w:val="single" w:sz="4" w:space="0" w:color="auto"/>
            </w:tcBorders>
            <w:vAlign w:val="center"/>
          </w:tcPr>
          <w:p w14:paraId="46F56338"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EEC2440" w14:textId="240A1F58" w:rsidR="00500C13" w:rsidRPr="008D3568" w:rsidRDefault="00500C13" w:rsidP="00500C13">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4377AF9" w14:textId="4128FD5C" w:rsidR="00500C13" w:rsidRPr="008D3568" w:rsidRDefault="00500C13" w:rsidP="00500C13">
            <w:pPr>
              <w:rPr>
                <w:rFonts w:cs="Times New Roman"/>
                <w:sz w:val="16"/>
                <w:szCs w:val="16"/>
              </w:rPr>
            </w:pPr>
            <w:r>
              <w:rPr>
                <w:color w:val="000000"/>
                <w:sz w:val="16"/>
                <w:szCs w:val="16"/>
              </w:rPr>
              <w:t>20</w:t>
            </w:r>
            <w:r w:rsidRPr="005358E4">
              <w:rPr>
                <w:color w:val="000000"/>
                <w:sz w:val="16"/>
                <w:szCs w:val="16"/>
              </w:rPr>
              <w:t xml:space="preserve"> mg</w:t>
            </w:r>
            <w:r w:rsidR="000F0012">
              <w:rPr>
                <w:color w:val="000000"/>
                <w:sz w:val="16"/>
                <w:szCs w:val="16"/>
              </w:rPr>
              <w:t xml:space="preserve"> </w:t>
            </w:r>
            <w:proofErr w:type="spellStart"/>
            <w:r w:rsidR="000F0012">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6F75867C" w14:textId="5AC6FC87" w:rsidR="00500C13" w:rsidRPr="008D3568" w:rsidRDefault="00500C13" w:rsidP="00500C13">
            <w:pPr>
              <w:rPr>
                <w:rFonts w:cs="Times New Roman"/>
                <w:sz w:val="16"/>
                <w:szCs w:val="16"/>
              </w:rPr>
            </w:pPr>
            <w:r>
              <w:rPr>
                <w:color w:val="000000"/>
                <w:sz w:val="16"/>
                <w:szCs w:val="16"/>
              </w:rPr>
              <w:t>39</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AB52FB2" w14:textId="1563C262" w:rsidR="00500C13" w:rsidRPr="008D3568" w:rsidRDefault="00500C13" w:rsidP="00500C13">
            <w:pPr>
              <w:rPr>
                <w:rFonts w:cs="Times New Roman"/>
                <w:color w:val="000000"/>
                <w:sz w:val="16"/>
                <w:szCs w:val="16"/>
              </w:rPr>
            </w:pPr>
            <w:r>
              <w:rPr>
                <w:color w:val="000000"/>
                <w:sz w:val="16"/>
                <w:szCs w:val="16"/>
              </w:rPr>
              <w:t>-0.50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3F381D3" w14:textId="35E2E730" w:rsidR="00500C13" w:rsidRPr="008D3568" w:rsidRDefault="00500C13" w:rsidP="00500C13">
            <w:pPr>
              <w:rPr>
                <w:rFonts w:cs="Times New Roman"/>
                <w:color w:val="000000"/>
                <w:sz w:val="16"/>
                <w:szCs w:val="16"/>
              </w:rPr>
            </w:pPr>
            <w:r>
              <w:rPr>
                <w:color w:val="000000"/>
                <w:sz w:val="16"/>
                <w:szCs w:val="16"/>
              </w:rPr>
              <w:t>0.84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FC86468" w14:textId="14529A65" w:rsidR="00500C13" w:rsidRPr="008D3568" w:rsidRDefault="00500C13" w:rsidP="00500C13">
            <w:pPr>
              <w:rPr>
                <w:rFonts w:cs="Times New Roman"/>
                <w:color w:val="000000"/>
                <w:sz w:val="16"/>
                <w:szCs w:val="16"/>
              </w:rPr>
            </w:pPr>
            <w:r>
              <w:rPr>
                <w:color w:val="000000"/>
                <w:sz w:val="16"/>
                <w:szCs w:val="16"/>
              </w:rPr>
              <w:t>357</w:t>
            </w:r>
          </w:p>
        </w:tc>
      </w:tr>
      <w:tr w:rsidR="00500C13" w:rsidRPr="008D3568" w14:paraId="3B331C00" w14:textId="77777777" w:rsidTr="00772F4F">
        <w:tc>
          <w:tcPr>
            <w:tcW w:w="1532" w:type="dxa"/>
            <w:vMerge w:val="restart"/>
            <w:tcBorders>
              <w:top w:val="nil"/>
              <w:left w:val="single" w:sz="4" w:space="0" w:color="auto"/>
              <w:right w:val="single" w:sz="4" w:space="0" w:color="auto"/>
            </w:tcBorders>
            <w:shd w:val="clear" w:color="auto" w:fill="auto"/>
            <w:vAlign w:val="center"/>
          </w:tcPr>
          <w:p w14:paraId="18FC030C" w14:textId="6BE8F56F" w:rsidR="00500C13" w:rsidRPr="008D3568" w:rsidRDefault="00500C13" w:rsidP="00500C13">
            <w:pPr>
              <w:rPr>
                <w:rFonts w:cs="Times New Roman"/>
                <w:sz w:val="16"/>
                <w:szCs w:val="16"/>
              </w:rPr>
            </w:pPr>
            <w:r>
              <w:rPr>
                <w:color w:val="000000"/>
                <w:sz w:val="16"/>
                <w:szCs w:val="16"/>
              </w:rPr>
              <w:t>GOLDEN</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70DAF6A" w14:textId="6E5B35F4" w:rsidR="00500C13" w:rsidRPr="008D3568" w:rsidRDefault="00500C13" w:rsidP="00500C13">
            <w:pPr>
              <w:rPr>
                <w:rFonts w:cs="Times New Roman"/>
                <w:sz w:val="16"/>
                <w:szCs w:val="16"/>
              </w:rPr>
            </w:pPr>
            <w:r>
              <w:rPr>
                <w:color w:val="000000"/>
                <w:sz w:val="16"/>
                <w:szCs w:val="16"/>
              </w:rPr>
              <w:t>IFNβ-1b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30F3700" w14:textId="255C77E5" w:rsidR="00500C13" w:rsidRPr="008D3568" w:rsidRDefault="00500C13" w:rsidP="00500C13">
            <w:pPr>
              <w:rPr>
                <w:rFonts w:cs="Times New Roman"/>
                <w:sz w:val="16"/>
                <w:szCs w:val="16"/>
              </w:rPr>
            </w:pPr>
            <w:r>
              <w:rPr>
                <w:color w:val="000000"/>
                <w:sz w:val="16"/>
                <w:szCs w:val="16"/>
              </w:rPr>
              <w:t>250</w:t>
            </w:r>
            <w:r w:rsidRPr="006961E1">
              <w:rPr>
                <w:color w:val="000000"/>
                <w:sz w:val="16"/>
                <w:szCs w:val="16"/>
              </w:rPr>
              <w:t xml:space="preserve"> µg</w:t>
            </w:r>
            <w:r w:rsidR="00BD0FA7">
              <w:rPr>
                <w:color w:val="000000"/>
                <w:sz w:val="16"/>
                <w:szCs w:val="16"/>
              </w:rPr>
              <w:t xml:space="preserve"> </w:t>
            </w:r>
            <w:proofErr w:type="spellStart"/>
            <w:r w:rsidR="00BD0FA7" w:rsidRPr="00BD0FA7">
              <w:rPr>
                <w:color w:val="000000"/>
                <w:sz w:val="16"/>
                <w:szCs w:val="16"/>
              </w:rPr>
              <w:t>qod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9BDA508" w14:textId="0549CC29" w:rsidR="00500C13" w:rsidRPr="008D3568" w:rsidRDefault="00500C13" w:rsidP="00500C13">
            <w:pPr>
              <w:rPr>
                <w:rFonts w:cs="Times New Roman"/>
                <w:sz w:val="16"/>
                <w:szCs w:val="16"/>
              </w:rPr>
            </w:pPr>
            <w:r>
              <w:rPr>
                <w:color w:val="000000"/>
                <w:sz w:val="16"/>
                <w:szCs w:val="16"/>
              </w:rPr>
              <w:t>78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B712049" w14:textId="150F00FC" w:rsidR="00500C13" w:rsidRPr="008D3568" w:rsidRDefault="00500C13" w:rsidP="00500C13">
            <w:pPr>
              <w:rPr>
                <w:rFonts w:cs="Times New Roman"/>
                <w:color w:val="000000"/>
                <w:sz w:val="16"/>
                <w:szCs w:val="16"/>
              </w:rPr>
            </w:pPr>
            <w:r>
              <w:rPr>
                <w:color w:val="000000"/>
                <w:sz w:val="16"/>
                <w:szCs w:val="16"/>
              </w:rPr>
              <w:t>-0.96</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DF09585" w14:textId="19DEC44C" w:rsidR="00500C13" w:rsidRPr="008D3568" w:rsidRDefault="00500C13" w:rsidP="00500C13">
            <w:pPr>
              <w:rPr>
                <w:rFonts w:cs="Times New Roman"/>
                <w:color w:val="000000"/>
                <w:sz w:val="16"/>
                <w:szCs w:val="16"/>
              </w:rPr>
            </w:pPr>
            <w:r>
              <w:rPr>
                <w:color w:val="000000"/>
                <w:sz w:val="16"/>
                <w:szCs w:val="16"/>
              </w:rPr>
              <w:t>0.71</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1A4D2AD" w14:textId="0AADC775" w:rsidR="00500C13" w:rsidRPr="008D3568" w:rsidRDefault="00500C13" w:rsidP="00500C13">
            <w:pPr>
              <w:rPr>
                <w:rFonts w:cs="Times New Roman"/>
                <w:color w:val="000000"/>
                <w:sz w:val="16"/>
                <w:szCs w:val="16"/>
              </w:rPr>
            </w:pPr>
            <w:r>
              <w:rPr>
                <w:color w:val="000000"/>
                <w:sz w:val="16"/>
                <w:szCs w:val="16"/>
              </w:rPr>
              <w:t>28</w:t>
            </w:r>
          </w:p>
        </w:tc>
      </w:tr>
      <w:tr w:rsidR="00500C13" w:rsidRPr="008D3568" w14:paraId="41D925F4" w14:textId="77777777" w:rsidTr="00772F4F">
        <w:tc>
          <w:tcPr>
            <w:tcW w:w="1532" w:type="dxa"/>
            <w:vMerge/>
            <w:tcBorders>
              <w:left w:val="single" w:sz="4" w:space="0" w:color="auto"/>
              <w:bottom w:val="single" w:sz="4" w:space="0" w:color="auto"/>
              <w:right w:val="single" w:sz="4" w:space="0" w:color="auto"/>
            </w:tcBorders>
            <w:vAlign w:val="center"/>
          </w:tcPr>
          <w:p w14:paraId="32C60E15"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3170C8C" w14:textId="1B6E4449" w:rsidR="00500C13" w:rsidRPr="008D3568" w:rsidRDefault="00500C13" w:rsidP="00500C13">
            <w:pPr>
              <w:rPr>
                <w:rFonts w:cs="Times New Roman"/>
                <w:sz w:val="16"/>
                <w:szCs w:val="16"/>
              </w:rPr>
            </w:pPr>
            <w:r>
              <w:rPr>
                <w:color w:val="000000"/>
                <w:sz w:val="16"/>
                <w:szCs w:val="16"/>
              </w:rPr>
              <w:t>fingolimod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6495DA8" w14:textId="7A04DDFD" w:rsidR="00500C13" w:rsidRPr="008D3568" w:rsidRDefault="00500C13" w:rsidP="00500C13">
            <w:pPr>
              <w:rPr>
                <w:rFonts w:cs="Times New Roman"/>
                <w:sz w:val="16"/>
                <w:szCs w:val="16"/>
              </w:rPr>
            </w:pPr>
            <w:r>
              <w:rPr>
                <w:color w:val="000000"/>
                <w:sz w:val="16"/>
                <w:szCs w:val="16"/>
              </w:rPr>
              <w:t>0.5</w:t>
            </w:r>
            <w:r w:rsidRPr="006961E1">
              <w:rPr>
                <w:color w:val="000000"/>
                <w:sz w:val="16"/>
                <w:szCs w:val="16"/>
              </w:rPr>
              <w:t xml:space="preserve"> mg</w:t>
            </w:r>
            <w:r w:rsidR="00BD0FA7">
              <w:rPr>
                <w:color w:val="000000"/>
                <w:sz w:val="16"/>
                <w:szCs w:val="16"/>
              </w:rPr>
              <w:t xml:space="preserve"> </w:t>
            </w:r>
            <w:proofErr w:type="spellStart"/>
            <w:r w:rsidR="00BD0FA7">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579AC72D" w14:textId="0793A758" w:rsidR="00500C13" w:rsidRPr="008D3568" w:rsidRDefault="00500C13" w:rsidP="00500C13">
            <w:pPr>
              <w:rPr>
                <w:rFonts w:cs="Times New Roman"/>
                <w:sz w:val="16"/>
                <w:szCs w:val="16"/>
              </w:rPr>
            </w:pPr>
            <w:r>
              <w:rPr>
                <w:color w:val="000000"/>
                <w:sz w:val="16"/>
                <w:szCs w:val="16"/>
              </w:rPr>
              <w:t>78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7D7FEAF" w14:textId="5ADAACCA" w:rsidR="00500C13" w:rsidRPr="008D3568" w:rsidRDefault="00500C13" w:rsidP="00500C13">
            <w:pPr>
              <w:rPr>
                <w:rFonts w:cs="Times New Roman"/>
                <w:color w:val="000000"/>
                <w:sz w:val="16"/>
                <w:szCs w:val="16"/>
              </w:rPr>
            </w:pPr>
            <w:r>
              <w:rPr>
                <w:color w:val="000000"/>
                <w:sz w:val="16"/>
                <w:szCs w:val="16"/>
              </w:rPr>
              <w:t>-0.60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4526AA5" w14:textId="7DA18D5F" w:rsidR="00500C13" w:rsidRPr="008D3568" w:rsidRDefault="00500C13" w:rsidP="00500C13">
            <w:pPr>
              <w:rPr>
                <w:rFonts w:cs="Times New Roman"/>
                <w:color w:val="000000"/>
                <w:sz w:val="16"/>
                <w:szCs w:val="16"/>
              </w:rPr>
            </w:pPr>
            <w:r>
              <w:rPr>
                <w:color w:val="000000"/>
                <w:sz w:val="16"/>
                <w:szCs w:val="16"/>
              </w:rPr>
              <w:t>0.83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8D22B6F" w14:textId="1B477AD5" w:rsidR="00500C13" w:rsidRPr="008D3568" w:rsidRDefault="00500C13" w:rsidP="00500C13">
            <w:pPr>
              <w:rPr>
                <w:rFonts w:cs="Times New Roman"/>
                <w:color w:val="000000"/>
                <w:sz w:val="16"/>
                <w:szCs w:val="16"/>
              </w:rPr>
            </w:pPr>
            <w:r>
              <w:rPr>
                <w:color w:val="000000"/>
                <w:sz w:val="16"/>
                <w:szCs w:val="16"/>
              </w:rPr>
              <w:t>80</w:t>
            </w:r>
          </w:p>
        </w:tc>
      </w:tr>
      <w:tr w:rsidR="00500C13" w:rsidRPr="008D3568" w14:paraId="45A7DCEE" w14:textId="77777777" w:rsidTr="00772F4F">
        <w:tc>
          <w:tcPr>
            <w:tcW w:w="1532" w:type="dxa"/>
            <w:vMerge w:val="restart"/>
            <w:tcBorders>
              <w:top w:val="nil"/>
              <w:left w:val="single" w:sz="4" w:space="0" w:color="auto"/>
              <w:right w:val="single" w:sz="4" w:space="0" w:color="auto"/>
            </w:tcBorders>
            <w:shd w:val="clear" w:color="auto" w:fill="auto"/>
            <w:vAlign w:val="center"/>
          </w:tcPr>
          <w:p w14:paraId="4291D94F" w14:textId="0C9F881E" w:rsidR="00500C13" w:rsidRPr="008D3568" w:rsidRDefault="00500C13" w:rsidP="00500C13">
            <w:pPr>
              <w:rPr>
                <w:rFonts w:cs="Times New Roman"/>
                <w:sz w:val="16"/>
                <w:szCs w:val="16"/>
              </w:rPr>
            </w:pPr>
            <w:r>
              <w:rPr>
                <w:color w:val="000000"/>
                <w:sz w:val="16"/>
                <w:szCs w:val="16"/>
              </w:rPr>
              <w:t>MSCRG</w:t>
            </w:r>
          </w:p>
        </w:tc>
        <w:tc>
          <w:tcPr>
            <w:tcW w:w="1503" w:type="dxa"/>
            <w:tcBorders>
              <w:top w:val="nil"/>
              <w:left w:val="single" w:sz="4" w:space="0" w:color="auto"/>
              <w:bottom w:val="single" w:sz="4" w:space="0" w:color="auto"/>
              <w:right w:val="single" w:sz="4" w:space="0" w:color="auto"/>
            </w:tcBorders>
            <w:shd w:val="clear" w:color="auto" w:fill="auto"/>
            <w:vAlign w:val="center"/>
          </w:tcPr>
          <w:p w14:paraId="704A731A" w14:textId="530190F5" w:rsidR="00500C13" w:rsidRPr="008D3568" w:rsidRDefault="00500C13" w:rsidP="00500C13">
            <w:pPr>
              <w:rPr>
                <w:rFonts w:cs="Times New Roman"/>
                <w:sz w:val="16"/>
                <w:szCs w:val="16"/>
              </w:rPr>
            </w:pPr>
            <w:r>
              <w:rPr>
                <w:color w:val="000000"/>
                <w:sz w:val="16"/>
                <w:szCs w:val="16"/>
              </w:rPr>
              <w:t>placebo</w:t>
            </w:r>
          </w:p>
        </w:tc>
        <w:tc>
          <w:tcPr>
            <w:tcW w:w="1272" w:type="dxa"/>
            <w:tcBorders>
              <w:top w:val="nil"/>
              <w:left w:val="nil"/>
              <w:bottom w:val="single" w:sz="4" w:space="0" w:color="auto"/>
              <w:right w:val="single" w:sz="4" w:space="0" w:color="auto"/>
            </w:tcBorders>
            <w:shd w:val="clear" w:color="auto" w:fill="auto"/>
            <w:vAlign w:val="center"/>
          </w:tcPr>
          <w:p w14:paraId="732EB09E" w14:textId="1E180D9D" w:rsidR="00500C13" w:rsidRPr="008D3568" w:rsidRDefault="00500C13" w:rsidP="00500C13">
            <w:pPr>
              <w:rPr>
                <w:rFonts w:cs="Times New Roman"/>
                <w:sz w:val="16"/>
                <w:szCs w:val="16"/>
              </w:rPr>
            </w:pPr>
            <w:r>
              <w:rPr>
                <w:color w:val="000000"/>
                <w:sz w:val="16"/>
                <w:szCs w:val="16"/>
              </w:rPr>
              <w:t>-</w:t>
            </w:r>
          </w:p>
        </w:tc>
        <w:tc>
          <w:tcPr>
            <w:tcW w:w="1708" w:type="dxa"/>
            <w:tcBorders>
              <w:top w:val="nil"/>
              <w:left w:val="nil"/>
              <w:bottom w:val="single" w:sz="4" w:space="0" w:color="auto"/>
              <w:right w:val="single" w:sz="4" w:space="0" w:color="auto"/>
            </w:tcBorders>
            <w:shd w:val="clear" w:color="auto" w:fill="auto"/>
            <w:vAlign w:val="center"/>
          </w:tcPr>
          <w:p w14:paraId="613A871F" w14:textId="6F26E5D3"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1D5E957E" w14:textId="7188D545" w:rsidR="00500C13" w:rsidRPr="008D3568" w:rsidRDefault="00500C13" w:rsidP="00500C13">
            <w:pPr>
              <w:rPr>
                <w:rFonts w:cs="Times New Roman"/>
                <w:color w:val="000000"/>
                <w:sz w:val="16"/>
                <w:szCs w:val="16"/>
              </w:rPr>
            </w:pPr>
            <w:r>
              <w:rPr>
                <w:color w:val="000000"/>
                <w:sz w:val="16"/>
                <w:szCs w:val="16"/>
              </w:rPr>
              <w:t>-0.70</w:t>
            </w:r>
          </w:p>
        </w:tc>
        <w:tc>
          <w:tcPr>
            <w:tcW w:w="1104" w:type="dxa"/>
            <w:tcBorders>
              <w:top w:val="nil"/>
              <w:left w:val="nil"/>
              <w:bottom w:val="single" w:sz="4" w:space="0" w:color="auto"/>
              <w:right w:val="single" w:sz="4" w:space="0" w:color="auto"/>
            </w:tcBorders>
            <w:shd w:val="clear" w:color="auto" w:fill="auto"/>
            <w:vAlign w:val="center"/>
          </w:tcPr>
          <w:p w14:paraId="5099C575" w14:textId="7A354E89" w:rsidR="00500C13" w:rsidRPr="008D3568" w:rsidRDefault="00500C13" w:rsidP="00500C13">
            <w:pPr>
              <w:rPr>
                <w:rFonts w:cs="Times New Roman"/>
                <w:color w:val="000000"/>
                <w:sz w:val="16"/>
                <w:szCs w:val="16"/>
              </w:rPr>
            </w:pPr>
            <w:r>
              <w:rPr>
                <w:color w:val="000000"/>
                <w:sz w:val="16"/>
                <w:szCs w:val="16"/>
              </w:rPr>
              <w:t>0.89</w:t>
            </w:r>
          </w:p>
        </w:tc>
        <w:tc>
          <w:tcPr>
            <w:tcW w:w="1084" w:type="dxa"/>
            <w:tcBorders>
              <w:top w:val="nil"/>
              <w:left w:val="nil"/>
              <w:bottom w:val="single" w:sz="4" w:space="0" w:color="auto"/>
              <w:right w:val="single" w:sz="4" w:space="0" w:color="auto"/>
            </w:tcBorders>
            <w:shd w:val="clear" w:color="auto" w:fill="auto"/>
            <w:vAlign w:val="center"/>
          </w:tcPr>
          <w:p w14:paraId="36390CAB" w14:textId="7269F94D" w:rsidR="00500C13" w:rsidRPr="008D3568" w:rsidRDefault="00500C13" w:rsidP="00500C13">
            <w:pPr>
              <w:rPr>
                <w:rFonts w:cs="Times New Roman"/>
                <w:color w:val="000000"/>
                <w:sz w:val="16"/>
                <w:szCs w:val="16"/>
              </w:rPr>
            </w:pPr>
            <w:r>
              <w:rPr>
                <w:color w:val="000000"/>
                <w:sz w:val="16"/>
                <w:szCs w:val="16"/>
              </w:rPr>
              <w:t>69</w:t>
            </w:r>
          </w:p>
        </w:tc>
      </w:tr>
      <w:tr w:rsidR="00500C13" w:rsidRPr="008D3568" w14:paraId="660636B3" w14:textId="77777777" w:rsidTr="00772F4F">
        <w:tc>
          <w:tcPr>
            <w:tcW w:w="1532" w:type="dxa"/>
            <w:vMerge/>
            <w:tcBorders>
              <w:left w:val="single" w:sz="4" w:space="0" w:color="auto"/>
              <w:right w:val="single" w:sz="4" w:space="0" w:color="auto"/>
            </w:tcBorders>
            <w:vAlign w:val="center"/>
          </w:tcPr>
          <w:p w14:paraId="53D36403"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6FB0A0DA" w14:textId="6D2D7994" w:rsidR="00500C13" w:rsidRPr="008D3568" w:rsidRDefault="00500C13" w:rsidP="00500C13">
            <w:pPr>
              <w:rPr>
                <w:rFonts w:cs="Times New Roman"/>
                <w:sz w:val="16"/>
                <w:szCs w:val="16"/>
              </w:rPr>
            </w:pPr>
            <w:r>
              <w:rPr>
                <w:color w:val="000000"/>
                <w:sz w:val="16"/>
                <w:szCs w:val="16"/>
              </w:rPr>
              <w:t>IFNβ-1a IM</w:t>
            </w:r>
          </w:p>
        </w:tc>
        <w:tc>
          <w:tcPr>
            <w:tcW w:w="1272" w:type="dxa"/>
            <w:tcBorders>
              <w:top w:val="nil"/>
              <w:left w:val="nil"/>
              <w:bottom w:val="single" w:sz="4" w:space="0" w:color="auto"/>
              <w:right w:val="single" w:sz="4" w:space="0" w:color="auto"/>
            </w:tcBorders>
            <w:shd w:val="clear" w:color="auto" w:fill="auto"/>
            <w:vAlign w:val="center"/>
          </w:tcPr>
          <w:p w14:paraId="6617BC43" w14:textId="0740EB2E" w:rsidR="00500C13" w:rsidRPr="008D3568" w:rsidRDefault="00500C13" w:rsidP="00500C13">
            <w:pPr>
              <w:rPr>
                <w:rFonts w:cs="Times New Roman"/>
                <w:sz w:val="16"/>
                <w:szCs w:val="16"/>
              </w:rPr>
            </w:pPr>
            <w:r>
              <w:rPr>
                <w:color w:val="000000"/>
                <w:sz w:val="16"/>
                <w:szCs w:val="16"/>
              </w:rPr>
              <w:t>30</w:t>
            </w:r>
            <w:r w:rsidRPr="007F575B">
              <w:rPr>
                <w:color w:val="000000"/>
                <w:sz w:val="16"/>
                <w:szCs w:val="16"/>
              </w:rPr>
              <w:t xml:space="preserve"> µg</w:t>
            </w:r>
            <w:r w:rsidR="00396294">
              <w:rPr>
                <w:color w:val="000000"/>
                <w:sz w:val="16"/>
                <w:szCs w:val="16"/>
              </w:rPr>
              <w:t xml:space="preserve"> IM </w:t>
            </w:r>
            <w:proofErr w:type="spellStart"/>
            <w:r w:rsidR="00396294">
              <w:rPr>
                <w:color w:val="000000"/>
                <w:sz w:val="16"/>
                <w:szCs w:val="16"/>
              </w:rPr>
              <w:t>qw</w:t>
            </w:r>
            <w:proofErr w:type="spellEnd"/>
          </w:p>
        </w:tc>
        <w:tc>
          <w:tcPr>
            <w:tcW w:w="1708" w:type="dxa"/>
            <w:tcBorders>
              <w:top w:val="nil"/>
              <w:left w:val="nil"/>
              <w:bottom w:val="single" w:sz="4" w:space="0" w:color="auto"/>
              <w:right w:val="single" w:sz="4" w:space="0" w:color="auto"/>
            </w:tcBorders>
            <w:shd w:val="clear" w:color="auto" w:fill="auto"/>
            <w:vAlign w:val="center"/>
          </w:tcPr>
          <w:p w14:paraId="379E33ED" w14:textId="5EF720F8"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4B3ADFEB" w14:textId="4F108FFB" w:rsidR="00500C13" w:rsidRPr="008D3568" w:rsidRDefault="00500C13" w:rsidP="00500C13">
            <w:pPr>
              <w:rPr>
                <w:rFonts w:cs="Times New Roman"/>
                <w:color w:val="000000"/>
                <w:sz w:val="16"/>
                <w:szCs w:val="16"/>
              </w:rPr>
            </w:pPr>
            <w:r>
              <w:rPr>
                <w:color w:val="000000"/>
                <w:sz w:val="16"/>
                <w:szCs w:val="16"/>
              </w:rPr>
              <w:t>-0.80</w:t>
            </w:r>
          </w:p>
        </w:tc>
        <w:tc>
          <w:tcPr>
            <w:tcW w:w="1104" w:type="dxa"/>
            <w:tcBorders>
              <w:top w:val="nil"/>
              <w:left w:val="nil"/>
              <w:bottom w:val="single" w:sz="4" w:space="0" w:color="auto"/>
              <w:right w:val="single" w:sz="4" w:space="0" w:color="auto"/>
            </w:tcBorders>
            <w:shd w:val="clear" w:color="auto" w:fill="auto"/>
            <w:vAlign w:val="center"/>
          </w:tcPr>
          <w:p w14:paraId="2CAD0587" w14:textId="7B88B85A" w:rsidR="00500C13" w:rsidRPr="008D3568" w:rsidRDefault="00500C13" w:rsidP="00500C13">
            <w:pPr>
              <w:rPr>
                <w:rFonts w:cs="Times New Roman"/>
                <w:color w:val="000000"/>
                <w:sz w:val="16"/>
                <w:szCs w:val="16"/>
              </w:rPr>
            </w:pPr>
            <w:r>
              <w:rPr>
                <w:color w:val="000000"/>
                <w:sz w:val="16"/>
                <w:szCs w:val="16"/>
              </w:rPr>
              <w:t>1.01</w:t>
            </w:r>
          </w:p>
        </w:tc>
        <w:tc>
          <w:tcPr>
            <w:tcW w:w="1084" w:type="dxa"/>
            <w:tcBorders>
              <w:top w:val="nil"/>
              <w:left w:val="nil"/>
              <w:bottom w:val="single" w:sz="4" w:space="0" w:color="auto"/>
              <w:right w:val="single" w:sz="4" w:space="0" w:color="auto"/>
            </w:tcBorders>
            <w:shd w:val="clear" w:color="auto" w:fill="auto"/>
            <w:vAlign w:val="center"/>
          </w:tcPr>
          <w:p w14:paraId="04B9C6A4" w14:textId="195B223D" w:rsidR="00500C13" w:rsidRPr="008D3568" w:rsidRDefault="00500C13" w:rsidP="00500C13">
            <w:pPr>
              <w:rPr>
                <w:rFonts w:cs="Times New Roman"/>
                <w:color w:val="000000"/>
                <w:sz w:val="16"/>
                <w:szCs w:val="16"/>
              </w:rPr>
            </w:pPr>
            <w:r>
              <w:rPr>
                <w:color w:val="000000"/>
                <w:sz w:val="16"/>
                <w:szCs w:val="16"/>
              </w:rPr>
              <w:t>62</w:t>
            </w:r>
          </w:p>
        </w:tc>
      </w:tr>
      <w:tr w:rsidR="00500C13" w:rsidRPr="008D3568" w14:paraId="108FB1EF" w14:textId="77777777" w:rsidTr="00772F4F">
        <w:tc>
          <w:tcPr>
            <w:tcW w:w="1532" w:type="dxa"/>
            <w:vMerge/>
            <w:tcBorders>
              <w:left w:val="single" w:sz="4" w:space="0" w:color="auto"/>
              <w:right w:val="single" w:sz="4" w:space="0" w:color="auto"/>
            </w:tcBorders>
            <w:vAlign w:val="center"/>
          </w:tcPr>
          <w:p w14:paraId="176D68EA"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5B5EA476" w14:textId="3DD43554" w:rsidR="00500C13" w:rsidRPr="008D3568" w:rsidRDefault="00500C13" w:rsidP="00500C13">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8D81955" w14:textId="7ABCACFB"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550C33E" w14:textId="791788E2"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65F1AE8" w14:textId="5ADB1152" w:rsidR="00500C13" w:rsidRPr="008D3568" w:rsidRDefault="00500C13" w:rsidP="00500C13">
            <w:pPr>
              <w:rPr>
                <w:rFonts w:cs="Times New Roman"/>
                <w:color w:val="000000"/>
                <w:sz w:val="16"/>
                <w:szCs w:val="16"/>
              </w:rPr>
            </w:pPr>
            <w:r>
              <w:rPr>
                <w:color w:val="000000"/>
                <w:sz w:val="16"/>
                <w:szCs w:val="16"/>
              </w:rPr>
              <w:t>-1.30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9981A02" w14:textId="70DA8D14" w:rsidR="00500C13" w:rsidRPr="008D3568" w:rsidRDefault="00500C13" w:rsidP="00500C13">
            <w:pPr>
              <w:rPr>
                <w:rFonts w:cs="Times New Roman"/>
                <w:color w:val="000000"/>
                <w:sz w:val="16"/>
                <w:szCs w:val="16"/>
              </w:rPr>
            </w:pPr>
            <w:r>
              <w:rPr>
                <w:color w:val="000000"/>
                <w:sz w:val="16"/>
                <w:szCs w:val="16"/>
              </w:rPr>
              <w:t>1.18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B2AB5DC" w14:textId="757AA7CB" w:rsidR="00500C13" w:rsidRPr="008D3568" w:rsidRDefault="00500C13" w:rsidP="00500C13">
            <w:pPr>
              <w:rPr>
                <w:rFonts w:cs="Times New Roman"/>
                <w:color w:val="000000"/>
                <w:sz w:val="16"/>
                <w:szCs w:val="16"/>
              </w:rPr>
            </w:pPr>
            <w:r>
              <w:rPr>
                <w:color w:val="000000"/>
                <w:sz w:val="16"/>
                <w:szCs w:val="16"/>
              </w:rPr>
              <w:t>69</w:t>
            </w:r>
          </w:p>
        </w:tc>
      </w:tr>
      <w:tr w:rsidR="00500C13" w:rsidRPr="008D3568" w14:paraId="7E57079A" w14:textId="77777777" w:rsidTr="00772F4F">
        <w:tc>
          <w:tcPr>
            <w:tcW w:w="1532" w:type="dxa"/>
            <w:vMerge/>
            <w:tcBorders>
              <w:left w:val="single" w:sz="4" w:space="0" w:color="auto"/>
              <w:bottom w:val="single" w:sz="4" w:space="0" w:color="auto"/>
              <w:right w:val="single" w:sz="4" w:space="0" w:color="auto"/>
            </w:tcBorders>
            <w:vAlign w:val="center"/>
          </w:tcPr>
          <w:p w14:paraId="73A9DEB6"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56D1D17E" w14:textId="4D8B6FF4" w:rsidR="00500C13" w:rsidRPr="008D3568" w:rsidRDefault="00500C13" w:rsidP="00500C13">
            <w:pPr>
              <w:rPr>
                <w:rFonts w:cs="Times New Roman"/>
                <w:sz w:val="16"/>
                <w:szCs w:val="16"/>
              </w:rPr>
            </w:pPr>
            <w:r>
              <w:rPr>
                <w:color w:val="000000"/>
                <w:sz w:val="16"/>
                <w:szCs w:val="16"/>
              </w:rPr>
              <w:t>IFNβ-1a IM</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A5EC5D6" w14:textId="082E254E" w:rsidR="00500C13" w:rsidRPr="008D3568" w:rsidRDefault="00500C13" w:rsidP="00500C13">
            <w:pPr>
              <w:rPr>
                <w:rFonts w:cs="Times New Roman"/>
                <w:sz w:val="16"/>
                <w:szCs w:val="16"/>
              </w:rPr>
            </w:pPr>
            <w:r>
              <w:rPr>
                <w:color w:val="000000"/>
                <w:sz w:val="16"/>
                <w:szCs w:val="16"/>
              </w:rPr>
              <w:t>30</w:t>
            </w:r>
            <w:r w:rsidRPr="007F575B">
              <w:rPr>
                <w:color w:val="000000"/>
                <w:sz w:val="16"/>
                <w:szCs w:val="16"/>
              </w:rPr>
              <w:t xml:space="preserve"> µg</w:t>
            </w:r>
            <w:r w:rsidR="00396294">
              <w:rPr>
                <w:color w:val="000000"/>
                <w:sz w:val="16"/>
                <w:szCs w:val="16"/>
              </w:rPr>
              <w:t xml:space="preserve"> IM </w:t>
            </w:r>
            <w:proofErr w:type="spellStart"/>
            <w:r w:rsidR="00396294">
              <w:rPr>
                <w:color w:val="000000"/>
                <w:sz w:val="16"/>
                <w:szCs w:val="16"/>
              </w:rPr>
              <w:t>qw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30D86E45" w14:textId="22BB3B8A"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A0B2A80" w14:textId="737391B7" w:rsidR="00500C13" w:rsidRPr="008D3568" w:rsidRDefault="00500C13" w:rsidP="00500C13">
            <w:pPr>
              <w:rPr>
                <w:rFonts w:cs="Times New Roman"/>
                <w:color w:val="000000"/>
                <w:sz w:val="16"/>
                <w:szCs w:val="16"/>
              </w:rPr>
            </w:pPr>
            <w:r>
              <w:rPr>
                <w:color w:val="000000"/>
                <w:sz w:val="16"/>
                <w:szCs w:val="16"/>
              </w:rPr>
              <w:t>-1.12</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96A5DC0" w14:textId="1D57FAF7" w:rsidR="00500C13" w:rsidRPr="008D3568" w:rsidRDefault="00500C13" w:rsidP="00500C13">
            <w:pPr>
              <w:rPr>
                <w:rFonts w:cs="Times New Roman"/>
                <w:color w:val="000000"/>
                <w:sz w:val="16"/>
                <w:szCs w:val="16"/>
              </w:rPr>
            </w:pPr>
            <w:r>
              <w:rPr>
                <w:color w:val="000000"/>
                <w:sz w:val="16"/>
                <w:szCs w:val="16"/>
              </w:rPr>
              <w:t>1.23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09B3BEF" w14:textId="62AB5423" w:rsidR="00500C13" w:rsidRPr="008D3568" w:rsidRDefault="00500C13" w:rsidP="00500C13">
            <w:pPr>
              <w:rPr>
                <w:rFonts w:cs="Times New Roman"/>
                <w:color w:val="000000"/>
                <w:sz w:val="16"/>
                <w:szCs w:val="16"/>
              </w:rPr>
            </w:pPr>
            <w:r>
              <w:rPr>
                <w:color w:val="000000"/>
                <w:sz w:val="16"/>
                <w:szCs w:val="16"/>
              </w:rPr>
              <w:t>62</w:t>
            </w:r>
          </w:p>
        </w:tc>
      </w:tr>
      <w:tr w:rsidR="00500C13" w:rsidRPr="008D3568" w14:paraId="3D3ADD7E" w14:textId="77777777" w:rsidTr="00772F4F">
        <w:tc>
          <w:tcPr>
            <w:tcW w:w="1532" w:type="dxa"/>
            <w:vMerge w:val="restart"/>
            <w:tcBorders>
              <w:top w:val="nil"/>
              <w:left w:val="single" w:sz="4" w:space="0" w:color="auto"/>
              <w:right w:val="single" w:sz="4" w:space="0" w:color="auto"/>
            </w:tcBorders>
            <w:shd w:val="clear" w:color="auto" w:fill="auto"/>
            <w:vAlign w:val="center"/>
          </w:tcPr>
          <w:p w14:paraId="6BCB9F98" w14:textId="6FB70B06" w:rsidR="00500C13" w:rsidRPr="008D3568" w:rsidRDefault="00500C13" w:rsidP="00500C13">
            <w:pPr>
              <w:rPr>
                <w:rFonts w:cs="Times New Roman"/>
                <w:sz w:val="16"/>
                <w:szCs w:val="16"/>
              </w:rPr>
            </w:pPr>
            <w:r>
              <w:rPr>
                <w:color w:val="000000"/>
                <w:sz w:val="16"/>
                <w:szCs w:val="16"/>
              </w:rPr>
              <w:t>OPERA I</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DB685C6" w14:textId="44FB40A9" w:rsidR="00500C13" w:rsidRPr="008D3568" w:rsidRDefault="00500C13" w:rsidP="00500C13">
            <w:pPr>
              <w:rPr>
                <w:rFonts w:cs="Times New Roman"/>
                <w:sz w:val="16"/>
                <w:szCs w:val="16"/>
              </w:rPr>
            </w:pPr>
            <w:r>
              <w:rPr>
                <w:color w:val="000000"/>
                <w:sz w:val="16"/>
                <w:szCs w:val="16"/>
              </w:rPr>
              <w:t>IFNβ-1a SC</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5E36EAFF" w14:textId="1000E1C3" w:rsidR="00500C13" w:rsidRPr="008D3568" w:rsidRDefault="00500C13" w:rsidP="00500C13">
            <w:pPr>
              <w:rPr>
                <w:rFonts w:cs="Times New Roman"/>
                <w:sz w:val="16"/>
                <w:szCs w:val="16"/>
              </w:rPr>
            </w:pPr>
            <w:r>
              <w:rPr>
                <w:color w:val="000000"/>
                <w:sz w:val="16"/>
                <w:szCs w:val="16"/>
              </w:rPr>
              <w:t>44</w:t>
            </w:r>
            <w:r w:rsidRPr="00955DCD">
              <w:rPr>
                <w:color w:val="000000"/>
                <w:sz w:val="16"/>
                <w:szCs w:val="16"/>
              </w:rPr>
              <w:t xml:space="preserve"> µg</w:t>
            </w:r>
            <w:r w:rsidR="00341A10">
              <w:rPr>
                <w:color w:val="000000"/>
                <w:sz w:val="16"/>
                <w:szCs w:val="16"/>
              </w:rPr>
              <w:t xml:space="preserve"> SC </w:t>
            </w:r>
            <w:proofErr w:type="spellStart"/>
            <w:r w:rsidR="00341A10">
              <w:rPr>
                <w:color w:val="000000"/>
                <w:sz w:val="16"/>
                <w:szCs w:val="16"/>
              </w:rPr>
              <w:t>tiw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BE23264" w14:textId="79B302DB"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FB42CE7" w14:textId="7B405091" w:rsidR="00500C13" w:rsidRPr="008D3568" w:rsidRDefault="00500C13" w:rsidP="00500C13">
            <w:pPr>
              <w:rPr>
                <w:rFonts w:cs="Times New Roman"/>
                <w:color w:val="000000"/>
                <w:sz w:val="16"/>
                <w:szCs w:val="16"/>
              </w:rPr>
            </w:pPr>
            <w:r>
              <w:rPr>
                <w:color w:val="000000"/>
                <w:sz w:val="16"/>
                <w:szCs w:val="16"/>
              </w:rPr>
              <w:t>-1.23</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E2B5616" w14:textId="0ECBCD5A" w:rsidR="00500C13" w:rsidRPr="008D3568" w:rsidRDefault="00500C13" w:rsidP="00500C13">
            <w:pPr>
              <w:rPr>
                <w:rFonts w:cs="Times New Roman"/>
                <w:color w:val="000000"/>
                <w:sz w:val="16"/>
                <w:szCs w:val="16"/>
              </w:rPr>
            </w:pPr>
            <w:r>
              <w:rPr>
                <w:color w:val="000000"/>
                <w:sz w:val="16"/>
                <w:szCs w:val="16"/>
              </w:rPr>
              <w:t>1.11</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F925E5C" w14:textId="618926D2" w:rsidR="00500C13" w:rsidRPr="008D3568" w:rsidRDefault="00500C13" w:rsidP="00500C13">
            <w:pPr>
              <w:rPr>
                <w:rFonts w:cs="Times New Roman"/>
                <w:color w:val="000000"/>
                <w:sz w:val="16"/>
                <w:szCs w:val="16"/>
              </w:rPr>
            </w:pPr>
            <w:r>
              <w:rPr>
                <w:color w:val="000000"/>
                <w:sz w:val="16"/>
                <w:szCs w:val="16"/>
              </w:rPr>
              <w:t>411</w:t>
            </w:r>
          </w:p>
        </w:tc>
      </w:tr>
      <w:tr w:rsidR="00500C13" w:rsidRPr="008D3568" w14:paraId="54658D2D" w14:textId="77777777" w:rsidTr="00772F4F">
        <w:tc>
          <w:tcPr>
            <w:tcW w:w="1532" w:type="dxa"/>
            <w:vMerge/>
            <w:tcBorders>
              <w:left w:val="single" w:sz="4" w:space="0" w:color="auto"/>
              <w:bottom w:val="single" w:sz="4" w:space="0" w:color="auto"/>
              <w:right w:val="single" w:sz="4" w:space="0" w:color="auto"/>
            </w:tcBorders>
            <w:vAlign w:val="center"/>
          </w:tcPr>
          <w:p w14:paraId="164FFE19"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5D3B7F6" w14:textId="434467E9" w:rsidR="00500C13" w:rsidRPr="008D3568" w:rsidRDefault="00500C13" w:rsidP="00500C13">
            <w:pPr>
              <w:rPr>
                <w:rFonts w:cs="Times New Roman"/>
                <w:sz w:val="16"/>
                <w:szCs w:val="16"/>
              </w:rPr>
            </w:pPr>
            <w:r>
              <w:rPr>
                <w:color w:val="000000"/>
                <w:sz w:val="16"/>
                <w:szCs w:val="16"/>
              </w:rPr>
              <w:t>ocrelizumab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64518A7" w14:textId="3E8079E8" w:rsidR="00500C13" w:rsidRPr="008D3568" w:rsidRDefault="00500C13" w:rsidP="00500C13">
            <w:pPr>
              <w:rPr>
                <w:rFonts w:cs="Times New Roman"/>
                <w:sz w:val="16"/>
                <w:szCs w:val="16"/>
              </w:rPr>
            </w:pPr>
            <w:r>
              <w:rPr>
                <w:color w:val="000000"/>
                <w:sz w:val="16"/>
                <w:szCs w:val="16"/>
              </w:rPr>
              <w:t>600</w:t>
            </w:r>
            <w:r w:rsidRPr="00FF4EE6">
              <w:rPr>
                <w:color w:val="000000"/>
                <w:sz w:val="16"/>
                <w:szCs w:val="16"/>
              </w:rPr>
              <w:t xml:space="preserve"> mg</w:t>
            </w:r>
            <w:r w:rsidR="00341A10">
              <w:rPr>
                <w:color w:val="000000"/>
                <w:sz w:val="16"/>
                <w:szCs w:val="16"/>
              </w:rPr>
              <w:t xml:space="preserve"> 24W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53CFB906" w14:textId="20F3AE55"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2FA0CD8" w14:textId="57061196" w:rsidR="00500C13" w:rsidRPr="008D3568" w:rsidRDefault="00500C13" w:rsidP="00500C13">
            <w:pPr>
              <w:rPr>
                <w:rFonts w:cs="Times New Roman"/>
                <w:color w:val="000000"/>
                <w:sz w:val="16"/>
                <w:szCs w:val="16"/>
              </w:rPr>
            </w:pPr>
            <w:r>
              <w:rPr>
                <w:color w:val="000000"/>
                <w:sz w:val="16"/>
                <w:szCs w:val="16"/>
              </w:rPr>
              <w:t>-0.94</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DCBA95D" w14:textId="33AEA06E" w:rsidR="00500C13" w:rsidRPr="008D3568" w:rsidRDefault="00500C13" w:rsidP="00500C13">
            <w:pPr>
              <w:rPr>
                <w:rFonts w:cs="Times New Roman"/>
                <w:color w:val="000000"/>
                <w:sz w:val="16"/>
                <w:szCs w:val="16"/>
              </w:rPr>
            </w:pPr>
            <w:r>
              <w:rPr>
                <w:color w:val="000000"/>
                <w:sz w:val="16"/>
                <w:szCs w:val="16"/>
              </w:rPr>
              <w:t>1.08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92D2807" w14:textId="2E3D1BB3" w:rsidR="00500C13" w:rsidRPr="008D3568" w:rsidRDefault="00500C13" w:rsidP="00500C13">
            <w:pPr>
              <w:rPr>
                <w:rFonts w:cs="Times New Roman"/>
                <w:color w:val="000000"/>
                <w:sz w:val="16"/>
                <w:szCs w:val="16"/>
              </w:rPr>
            </w:pPr>
            <w:r>
              <w:rPr>
                <w:color w:val="000000"/>
                <w:sz w:val="16"/>
                <w:szCs w:val="16"/>
              </w:rPr>
              <w:t>410</w:t>
            </w:r>
          </w:p>
        </w:tc>
      </w:tr>
      <w:tr w:rsidR="00500C13" w:rsidRPr="008D3568" w14:paraId="084E28E4" w14:textId="77777777" w:rsidTr="00772F4F">
        <w:tc>
          <w:tcPr>
            <w:tcW w:w="1532" w:type="dxa"/>
            <w:vMerge w:val="restart"/>
            <w:tcBorders>
              <w:top w:val="nil"/>
              <w:left w:val="single" w:sz="4" w:space="0" w:color="auto"/>
              <w:right w:val="single" w:sz="4" w:space="0" w:color="auto"/>
            </w:tcBorders>
            <w:shd w:val="clear" w:color="auto" w:fill="auto"/>
            <w:vAlign w:val="center"/>
          </w:tcPr>
          <w:p w14:paraId="56E5E245" w14:textId="767D464D" w:rsidR="00500C13" w:rsidRPr="008D3568" w:rsidRDefault="00500C13" w:rsidP="00500C13">
            <w:pPr>
              <w:rPr>
                <w:rFonts w:cs="Times New Roman"/>
                <w:sz w:val="16"/>
                <w:szCs w:val="16"/>
              </w:rPr>
            </w:pPr>
            <w:r>
              <w:rPr>
                <w:color w:val="000000"/>
                <w:sz w:val="16"/>
                <w:szCs w:val="16"/>
              </w:rPr>
              <w:t>OPERA II</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C26529F" w14:textId="6A8796A6" w:rsidR="00500C13" w:rsidRPr="008D3568" w:rsidRDefault="00500C13" w:rsidP="00500C13">
            <w:pPr>
              <w:rPr>
                <w:rFonts w:cs="Times New Roman"/>
                <w:sz w:val="16"/>
                <w:szCs w:val="16"/>
              </w:rPr>
            </w:pPr>
            <w:r>
              <w:rPr>
                <w:color w:val="000000"/>
                <w:sz w:val="16"/>
                <w:szCs w:val="16"/>
              </w:rPr>
              <w:t>IFNβ-1a SC</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53C8AA1" w14:textId="08F1DAD4" w:rsidR="00500C13" w:rsidRPr="008D3568" w:rsidRDefault="00500C13" w:rsidP="00500C13">
            <w:pPr>
              <w:rPr>
                <w:rFonts w:cs="Times New Roman"/>
                <w:sz w:val="16"/>
                <w:szCs w:val="16"/>
              </w:rPr>
            </w:pPr>
            <w:r>
              <w:rPr>
                <w:color w:val="000000"/>
                <w:sz w:val="16"/>
                <w:szCs w:val="16"/>
              </w:rPr>
              <w:t>44</w:t>
            </w:r>
            <w:r w:rsidRPr="00955DCD">
              <w:rPr>
                <w:color w:val="000000"/>
                <w:sz w:val="16"/>
                <w:szCs w:val="16"/>
              </w:rPr>
              <w:t xml:space="preserve"> µg</w:t>
            </w:r>
            <w:r w:rsidR="00442E54">
              <w:rPr>
                <w:color w:val="000000"/>
                <w:sz w:val="16"/>
                <w:szCs w:val="16"/>
              </w:rPr>
              <w:t xml:space="preserve"> SC </w:t>
            </w:r>
            <w:proofErr w:type="spellStart"/>
            <w:r w:rsidR="00442E54">
              <w:rPr>
                <w:color w:val="000000"/>
                <w:sz w:val="16"/>
                <w:szCs w:val="16"/>
              </w:rPr>
              <w:t>tiw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E9F3FC5" w14:textId="4C5463CE"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E5E3705" w14:textId="1223F554" w:rsidR="00500C13" w:rsidRPr="008D3568" w:rsidRDefault="00500C13" w:rsidP="00500C13">
            <w:pPr>
              <w:rPr>
                <w:rFonts w:cs="Times New Roman"/>
                <w:color w:val="000000"/>
                <w:sz w:val="16"/>
                <w:szCs w:val="16"/>
              </w:rPr>
            </w:pPr>
            <w:r>
              <w:rPr>
                <w:color w:val="000000"/>
                <w:sz w:val="16"/>
                <w:szCs w:val="16"/>
              </w:rPr>
              <w:t>-1.35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F71751C" w14:textId="4C9C1E2F" w:rsidR="00500C13" w:rsidRPr="008D3568" w:rsidRDefault="00500C13" w:rsidP="00500C13">
            <w:pPr>
              <w:rPr>
                <w:rFonts w:cs="Times New Roman"/>
                <w:color w:val="000000"/>
                <w:sz w:val="16"/>
                <w:szCs w:val="16"/>
              </w:rPr>
            </w:pPr>
            <w:r>
              <w:rPr>
                <w:color w:val="000000"/>
                <w:sz w:val="16"/>
                <w:szCs w:val="16"/>
              </w:rPr>
              <w:t>1.30</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6EA69926" w14:textId="2DCD9DC5" w:rsidR="00500C13" w:rsidRPr="008D3568" w:rsidRDefault="00500C13" w:rsidP="00500C13">
            <w:pPr>
              <w:rPr>
                <w:rFonts w:cs="Times New Roman"/>
                <w:color w:val="000000"/>
                <w:sz w:val="16"/>
                <w:szCs w:val="16"/>
              </w:rPr>
            </w:pPr>
            <w:r>
              <w:rPr>
                <w:color w:val="000000"/>
                <w:sz w:val="16"/>
                <w:szCs w:val="16"/>
              </w:rPr>
              <w:t>418</w:t>
            </w:r>
          </w:p>
        </w:tc>
      </w:tr>
      <w:tr w:rsidR="00500C13" w:rsidRPr="008D3568" w14:paraId="30B0C640" w14:textId="77777777" w:rsidTr="00772F4F">
        <w:tc>
          <w:tcPr>
            <w:tcW w:w="1532" w:type="dxa"/>
            <w:vMerge/>
            <w:tcBorders>
              <w:left w:val="single" w:sz="4" w:space="0" w:color="auto"/>
              <w:bottom w:val="single" w:sz="4" w:space="0" w:color="auto"/>
              <w:right w:val="single" w:sz="4" w:space="0" w:color="auto"/>
            </w:tcBorders>
            <w:vAlign w:val="center"/>
          </w:tcPr>
          <w:p w14:paraId="39835D77"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FA55F44" w14:textId="28F73AD6" w:rsidR="00500C13" w:rsidRPr="008D3568" w:rsidRDefault="00500C13" w:rsidP="00500C13">
            <w:pPr>
              <w:rPr>
                <w:rFonts w:cs="Times New Roman"/>
                <w:sz w:val="16"/>
                <w:szCs w:val="16"/>
              </w:rPr>
            </w:pPr>
            <w:r>
              <w:rPr>
                <w:color w:val="000000"/>
                <w:sz w:val="16"/>
                <w:szCs w:val="16"/>
              </w:rPr>
              <w:t>ocrelizumab</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644A706" w14:textId="2625BC3B" w:rsidR="00500C13" w:rsidRPr="008D3568" w:rsidRDefault="00500C13" w:rsidP="00500C13">
            <w:pPr>
              <w:rPr>
                <w:rFonts w:cs="Times New Roman"/>
                <w:sz w:val="16"/>
                <w:szCs w:val="16"/>
              </w:rPr>
            </w:pPr>
            <w:r>
              <w:rPr>
                <w:color w:val="000000"/>
                <w:sz w:val="16"/>
                <w:szCs w:val="16"/>
              </w:rPr>
              <w:t>600</w:t>
            </w:r>
            <w:r w:rsidRPr="00FF4EE6">
              <w:rPr>
                <w:color w:val="000000"/>
                <w:sz w:val="16"/>
                <w:szCs w:val="16"/>
              </w:rPr>
              <w:t xml:space="preserve"> mg</w:t>
            </w:r>
            <w:r w:rsidR="00442E54">
              <w:rPr>
                <w:color w:val="000000"/>
                <w:sz w:val="16"/>
                <w:szCs w:val="16"/>
              </w:rPr>
              <w:t xml:space="preserve"> 24W</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12C83346" w14:textId="18D3FD86"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563D0B5" w14:textId="163F64B5" w:rsidR="00500C13" w:rsidRPr="008D3568" w:rsidRDefault="00500C13" w:rsidP="00500C13">
            <w:pPr>
              <w:rPr>
                <w:rFonts w:cs="Times New Roman"/>
                <w:color w:val="000000"/>
                <w:sz w:val="16"/>
                <w:szCs w:val="16"/>
              </w:rPr>
            </w:pPr>
            <w:r>
              <w:rPr>
                <w:color w:val="000000"/>
                <w:sz w:val="16"/>
                <w:szCs w:val="16"/>
              </w:rPr>
              <w:t>-1.03</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014A8626" w14:textId="43BAC59F" w:rsidR="00500C13" w:rsidRPr="008D3568" w:rsidRDefault="00500C13" w:rsidP="00500C13">
            <w:pPr>
              <w:rPr>
                <w:rFonts w:cs="Times New Roman"/>
                <w:color w:val="000000"/>
                <w:sz w:val="16"/>
                <w:szCs w:val="16"/>
              </w:rPr>
            </w:pPr>
            <w:r>
              <w:rPr>
                <w:color w:val="000000"/>
                <w:sz w:val="16"/>
                <w:szCs w:val="16"/>
              </w:rPr>
              <w:t>1.26</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30923D7" w14:textId="74FB2E76" w:rsidR="00500C13" w:rsidRPr="008D3568" w:rsidRDefault="00500C13" w:rsidP="00500C13">
            <w:pPr>
              <w:rPr>
                <w:rFonts w:cs="Times New Roman"/>
                <w:color w:val="000000"/>
                <w:sz w:val="16"/>
                <w:szCs w:val="16"/>
              </w:rPr>
            </w:pPr>
            <w:r>
              <w:rPr>
                <w:color w:val="000000"/>
                <w:sz w:val="16"/>
                <w:szCs w:val="16"/>
              </w:rPr>
              <w:t>417</w:t>
            </w:r>
          </w:p>
        </w:tc>
      </w:tr>
      <w:tr w:rsidR="00500C13" w:rsidRPr="008D3568" w14:paraId="326CC7E9" w14:textId="77777777" w:rsidTr="00772F4F">
        <w:tc>
          <w:tcPr>
            <w:tcW w:w="1532" w:type="dxa"/>
            <w:vMerge w:val="restart"/>
            <w:tcBorders>
              <w:top w:val="nil"/>
              <w:left w:val="single" w:sz="4" w:space="0" w:color="auto"/>
              <w:right w:val="single" w:sz="4" w:space="0" w:color="auto"/>
            </w:tcBorders>
            <w:shd w:val="clear" w:color="auto" w:fill="auto"/>
            <w:vAlign w:val="center"/>
          </w:tcPr>
          <w:p w14:paraId="08B24DBF" w14:textId="2E84E779" w:rsidR="00500C13" w:rsidRPr="008D3568" w:rsidRDefault="00500C13" w:rsidP="00500C13">
            <w:pPr>
              <w:rPr>
                <w:rFonts w:cs="Times New Roman"/>
                <w:sz w:val="16"/>
                <w:szCs w:val="16"/>
              </w:rPr>
            </w:pPr>
            <w:r>
              <w:rPr>
                <w:color w:val="000000"/>
                <w:sz w:val="16"/>
                <w:szCs w:val="16"/>
              </w:rPr>
              <w:t>OPTIMUM</w:t>
            </w:r>
          </w:p>
        </w:tc>
        <w:tc>
          <w:tcPr>
            <w:tcW w:w="1503" w:type="dxa"/>
            <w:tcBorders>
              <w:top w:val="nil"/>
              <w:left w:val="single" w:sz="4" w:space="0" w:color="auto"/>
              <w:bottom w:val="single" w:sz="4" w:space="0" w:color="auto"/>
              <w:right w:val="single" w:sz="4" w:space="0" w:color="auto"/>
            </w:tcBorders>
            <w:shd w:val="clear" w:color="auto" w:fill="auto"/>
            <w:vAlign w:val="center"/>
          </w:tcPr>
          <w:p w14:paraId="3B5D54F8" w14:textId="1BA1E039" w:rsidR="00500C13" w:rsidRPr="008D3568" w:rsidRDefault="00500C13" w:rsidP="00500C13">
            <w:pPr>
              <w:rPr>
                <w:rFonts w:cs="Times New Roman"/>
                <w:sz w:val="16"/>
                <w:szCs w:val="16"/>
              </w:rPr>
            </w:pPr>
            <w:proofErr w:type="spellStart"/>
            <w:r>
              <w:rPr>
                <w:color w:val="000000"/>
                <w:sz w:val="16"/>
                <w:szCs w:val="16"/>
              </w:rPr>
              <w:t>ponesimod</w:t>
            </w:r>
            <w:proofErr w:type="spellEnd"/>
          </w:p>
        </w:tc>
        <w:tc>
          <w:tcPr>
            <w:tcW w:w="1272" w:type="dxa"/>
            <w:tcBorders>
              <w:top w:val="nil"/>
              <w:left w:val="nil"/>
              <w:bottom w:val="single" w:sz="4" w:space="0" w:color="auto"/>
              <w:right w:val="single" w:sz="4" w:space="0" w:color="auto"/>
            </w:tcBorders>
            <w:shd w:val="clear" w:color="auto" w:fill="auto"/>
            <w:vAlign w:val="center"/>
          </w:tcPr>
          <w:p w14:paraId="06916F3F" w14:textId="3A47216D" w:rsidR="00500C13" w:rsidRPr="008D3568" w:rsidRDefault="00500C13" w:rsidP="00500C13">
            <w:pPr>
              <w:rPr>
                <w:rFonts w:cs="Times New Roman"/>
                <w:sz w:val="16"/>
                <w:szCs w:val="16"/>
              </w:rPr>
            </w:pPr>
            <w:r>
              <w:rPr>
                <w:color w:val="000000"/>
                <w:sz w:val="16"/>
                <w:szCs w:val="16"/>
              </w:rPr>
              <w:t>20</w:t>
            </w:r>
            <w:r w:rsidRPr="0096495F">
              <w:rPr>
                <w:color w:val="000000"/>
                <w:sz w:val="16"/>
                <w:szCs w:val="16"/>
              </w:rPr>
              <w:t xml:space="preserve"> mg</w:t>
            </w:r>
            <w:r w:rsidR="00442E54">
              <w:rPr>
                <w:color w:val="000000"/>
                <w:sz w:val="16"/>
                <w:szCs w:val="16"/>
              </w:rPr>
              <w:t xml:space="preserve"> </w:t>
            </w:r>
            <w:proofErr w:type="spellStart"/>
            <w:r w:rsidR="00442E54">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14658813" w14:textId="1B7AD11A" w:rsidR="00500C13" w:rsidRPr="008D3568" w:rsidRDefault="00500C13" w:rsidP="00500C13">
            <w:pPr>
              <w:rPr>
                <w:rFonts w:cs="Times New Roman"/>
                <w:sz w:val="16"/>
                <w:szCs w:val="16"/>
              </w:rPr>
            </w:pPr>
            <w:r>
              <w:rPr>
                <w:color w:val="000000"/>
                <w:sz w:val="16"/>
                <w:szCs w:val="16"/>
              </w:rPr>
              <w:t>60</w:t>
            </w:r>
          </w:p>
        </w:tc>
        <w:tc>
          <w:tcPr>
            <w:tcW w:w="1147" w:type="dxa"/>
            <w:tcBorders>
              <w:top w:val="nil"/>
              <w:left w:val="nil"/>
              <w:bottom w:val="single" w:sz="4" w:space="0" w:color="auto"/>
              <w:right w:val="single" w:sz="4" w:space="0" w:color="auto"/>
            </w:tcBorders>
            <w:shd w:val="clear" w:color="auto" w:fill="auto"/>
            <w:vAlign w:val="center"/>
          </w:tcPr>
          <w:p w14:paraId="1621FF9F" w14:textId="18038392" w:rsidR="00500C13" w:rsidRPr="008D3568" w:rsidRDefault="00500C13" w:rsidP="00500C13">
            <w:pPr>
              <w:rPr>
                <w:rFonts w:cs="Times New Roman"/>
                <w:color w:val="000000"/>
                <w:sz w:val="16"/>
                <w:szCs w:val="16"/>
              </w:rPr>
            </w:pPr>
            <w:r>
              <w:rPr>
                <w:color w:val="000000"/>
                <w:sz w:val="16"/>
                <w:szCs w:val="16"/>
              </w:rPr>
              <w:t>-0.40</w:t>
            </w:r>
          </w:p>
        </w:tc>
        <w:tc>
          <w:tcPr>
            <w:tcW w:w="1104" w:type="dxa"/>
            <w:tcBorders>
              <w:top w:val="nil"/>
              <w:left w:val="nil"/>
              <w:bottom w:val="single" w:sz="4" w:space="0" w:color="auto"/>
              <w:right w:val="single" w:sz="4" w:space="0" w:color="auto"/>
            </w:tcBorders>
            <w:shd w:val="clear" w:color="auto" w:fill="auto"/>
            <w:vAlign w:val="center"/>
          </w:tcPr>
          <w:p w14:paraId="31582B83" w14:textId="4852166D" w:rsidR="00500C13" w:rsidRPr="008D3568" w:rsidRDefault="00500C13" w:rsidP="00500C13">
            <w:pPr>
              <w:rPr>
                <w:rFonts w:cs="Times New Roman"/>
                <w:color w:val="000000"/>
                <w:sz w:val="16"/>
                <w:szCs w:val="16"/>
              </w:rPr>
            </w:pPr>
            <w:r>
              <w:rPr>
                <w:color w:val="000000"/>
                <w:sz w:val="16"/>
                <w:szCs w:val="16"/>
              </w:rPr>
              <w:t>1.19</w:t>
            </w:r>
          </w:p>
        </w:tc>
        <w:tc>
          <w:tcPr>
            <w:tcW w:w="1084" w:type="dxa"/>
            <w:tcBorders>
              <w:top w:val="nil"/>
              <w:left w:val="nil"/>
              <w:bottom w:val="single" w:sz="4" w:space="0" w:color="auto"/>
              <w:right w:val="single" w:sz="4" w:space="0" w:color="auto"/>
            </w:tcBorders>
            <w:shd w:val="clear" w:color="auto" w:fill="auto"/>
            <w:vAlign w:val="center"/>
          </w:tcPr>
          <w:p w14:paraId="1E8A15A3" w14:textId="175188A1" w:rsidR="00500C13" w:rsidRPr="008D3568" w:rsidRDefault="00500C13" w:rsidP="00500C13">
            <w:pPr>
              <w:rPr>
                <w:rFonts w:cs="Times New Roman"/>
                <w:color w:val="000000"/>
                <w:sz w:val="16"/>
                <w:szCs w:val="16"/>
              </w:rPr>
            </w:pPr>
            <w:r>
              <w:rPr>
                <w:color w:val="000000"/>
                <w:sz w:val="16"/>
                <w:szCs w:val="16"/>
              </w:rPr>
              <w:t>403</w:t>
            </w:r>
          </w:p>
        </w:tc>
      </w:tr>
      <w:tr w:rsidR="00500C13" w:rsidRPr="008D3568" w14:paraId="1A292547" w14:textId="77777777" w:rsidTr="00772F4F">
        <w:tc>
          <w:tcPr>
            <w:tcW w:w="1532" w:type="dxa"/>
            <w:vMerge/>
            <w:tcBorders>
              <w:left w:val="single" w:sz="4" w:space="0" w:color="auto"/>
              <w:right w:val="single" w:sz="4" w:space="0" w:color="auto"/>
            </w:tcBorders>
            <w:vAlign w:val="center"/>
          </w:tcPr>
          <w:p w14:paraId="123E0A3E"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11BA2C5" w14:textId="67BA9F9D" w:rsidR="00500C13" w:rsidRPr="008D3568" w:rsidRDefault="00500C13" w:rsidP="00500C13">
            <w:pPr>
              <w:rPr>
                <w:rFonts w:cs="Times New Roman"/>
                <w:sz w:val="16"/>
                <w:szCs w:val="16"/>
              </w:rPr>
            </w:pPr>
            <w:r>
              <w:rPr>
                <w:color w:val="000000"/>
                <w:sz w:val="16"/>
                <w:szCs w:val="16"/>
              </w:rPr>
              <w:t>teriflunomide</w:t>
            </w:r>
          </w:p>
        </w:tc>
        <w:tc>
          <w:tcPr>
            <w:tcW w:w="1272" w:type="dxa"/>
            <w:tcBorders>
              <w:top w:val="nil"/>
              <w:left w:val="nil"/>
              <w:bottom w:val="single" w:sz="4" w:space="0" w:color="auto"/>
              <w:right w:val="single" w:sz="4" w:space="0" w:color="auto"/>
            </w:tcBorders>
            <w:shd w:val="clear" w:color="auto" w:fill="auto"/>
            <w:vAlign w:val="center"/>
          </w:tcPr>
          <w:p w14:paraId="4C404CE3" w14:textId="288020D0" w:rsidR="00500C13" w:rsidRPr="008D3568" w:rsidRDefault="00500C13" w:rsidP="00500C13">
            <w:pPr>
              <w:rPr>
                <w:rFonts w:cs="Times New Roman"/>
                <w:sz w:val="16"/>
                <w:szCs w:val="16"/>
              </w:rPr>
            </w:pPr>
            <w:r>
              <w:rPr>
                <w:color w:val="000000"/>
                <w:sz w:val="16"/>
                <w:szCs w:val="16"/>
              </w:rPr>
              <w:t>14</w:t>
            </w:r>
            <w:r w:rsidRPr="0096495F">
              <w:rPr>
                <w:color w:val="000000"/>
                <w:sz w:val="16"/>
                <w:szCs w:val="16"/>
              </w:rPr>
              <w:t xml:space="preserve"> mg</w:t>
            </w:r>
            <w:r w:rsidR="00442E54">
              <w:rPr>
                <w:color w:val="000000"/>
                <w:sz w:val="16"/>
                <w:szCs w:val="16"/>
              </w:rPr>
              <w:t xml:space="preserve"> </w:t>
            </w:r>
            <w:proofErr w:type="spellStart"/>
            <w:r w:rsidR="00442E54">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59D27AE7" w14:textId="77406814" w:rsidR="00500C13" w:rsidRPr="008D3568" w:rsidRDefault="00500C13" w:rsidP="00500C13">
            <w:pPr>
              <w:rPr>
                <w:rFonts w:cs="Times New Roman"/>
                <w:sz w:val="16"/>
                <w:szCs w:val="16"/>
              </w:rPr>
            </w:pPr>
            <w:r>
              <w:rPr>
                <w:color w:val="000000"/>
                <w:sz w:val="16"/>
                <w:szCs w:val="16"/>
              </w:rPr>
              <w:t>60</w:t>
            </w:r>
          </w:p>
        </w:tc>
        <w:tc>
          <w:tcPr>
            <w:tcW w:w="1147" w:type="dxa"/>
            <w:tcBorders>
              <w:top w:val="nil"/>
              <w:left w:val="nil"/>
              <w:bottom w:val="single" w:sz="4" w:space="0" w:color="auto"/>
              <w:right w:val="single" w:sz="4" w:space="0" w:color="auto"/>
            </w:tcBorders>
            <w:shd w:val="clear" w:color="auto" w:fill="auto"/>
            <w:vAlign w:val="center"/>
          </w:tcPr>
          <w:p w14:paraId="7AC1D2F8" w14:textId="1575A01A" w:rsidR="00500C13" w:rsidRPr="008D3568" w:rsidRDefault="00500C13" w:rsidP="00500C13">
            <w:pPr>
              <w:rPr>
                <w:rFonts w:cs="Times New Roman"/>
                <w:color w:val="000000"/>
                <w:sz w:val="16"/>
                <w:szCs w:val="16"/>
              </w:rPr>
            </w:pPr>
            <w:r>
              <w:rPr>
                <w:color w:val="000000"/>
                <w:sz w:val="16"/>
                <w:szCs w:val="16"/>
              </w:rPr>
              <w:t>-0.58</w:t>
            </w:r>
          </w:p>
        </w:tc>
        <w:tc>
          <w:tcPr>
            <w:tcW w:w="1104" w:type="dxa"/>
            <w:tcBorders>
              <w:top w:val="nil"/>
              <w:left w:val="nil"/>
              <w:bottom w:val="single" w:sz="4" w:space="0" w:color="auto"/>
              <w:right w:val="single" w:sz="4" w:space="0" w:color="auto"/>
            </w:tcBorders>
            <w:shd w:val="clear" w:color="auto" w:fill="auto"/>
            <w:vAlign w:val="center"/>
          </w:tcPr>
          <w:p w14:paraId="78C7793D" w14:textId="7ACE5E89" w:rsidR="00500C13" w:rsidRPr="008D3568" w:rsidRDefault="00500C13" w:rsidP="00500C13">
            <w:pPr>
              <w:rPr>
                <w:rFonts w:cs="Times New Roman"/>
                <w:color w:val="000000"/>
                <w:sz w:val="16"/>
                <w:szCs w:val="16"/>
              </w:rPr>
            </w:pPr>
            <w:r>
              <w:rPr>
                <w:color w:val="000000"/>
                <w:sz w:val="16"/>
                <w:szCs w:val="16"/>
              </w:rPr>
              <w:t>1.05</w:t>
            </w:r>
          </w:p>
        </w:tc>
        <w:tc>
          <w:tcPr>
            <w:tcW w:w="1084" w:type="dxa"/>
            <w:tcBorders>
              <w:top w:val="nil"/>
              <w:left w:val="nil"/>
              <w:bottom w:val="single" w:sz="4" w:space="0" w:color="auto"/>
              <w:right w:val="single" w:sz="4" w:space="0" w:color="auto"/>
            </w:tcBorders>
            <w:shd w:val="clear" w:color="auto" w:fill="auto"/>
            <w:vAlign w:val="center"/>
          </w:tcPr>
          <w:p w14:paraId="178310D3" w14:textId="5A17385B" w:rsidR="00500C13" w:rsidRPr="008D3568" w:rsidRDefault="00500C13" w:rsidP="00500C13">
            <w:pPr>
              <w:rPr>
                <w:rFonts w:cs="Times New Roman"/>
                <w:color w:val="000000"/>
                <w:sz w:val="16"/>
                <w:szCs w:val="16"/>
              </w:rPr>
            </w:pPr>
            <w:r>
              <w:rPr>
                <w:color w:val="000000"/>
                <w:sz w:val="16"/>
                <w:szCs w:val="16"/>
              </w:rPr>
              <w:t>403</w:t>
            </w:r>
          </w:p>
        </w:tc>
      </w:tr>
      <w:tr w:rsidR="00500C13" w:rsidRPr="008D3568" w14:paraId="7FAD756C" w14:textId="77777777" w:rsidTr="00772F4F">
        <w:tc>
          <w:tcPr>
            <w:tcW w:w="1532" w:type="dxa"/>
            <w:vMerge/>
            <w:tcBorders>
              <w:left w:val="single" w:sz="4" w:space="0" w:color="auto"/>
              <w:right w:val="single" w:sz="4" w:space="0" w:color="auto"/>
            </w:tcBorders>
            <w:vAlign w:val="center"/>
          </w:tcPr>
          <w:p w14:paraId="3787D83B"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717F1530" w14:textId="0F6C77D1" w:rsidR="00500C13" w:rsidRPr="008D3568" w:rsidRDefault="00500C13" w:rsidP="00500C13">
            <w:pPr>
              <w:rPr>
                <w:rFonts w:cs="Times New Roman"/>
                <w:sz w:val="16"/>
                <w:szCs w:val="16"/>
              </w:rPr>
            </w:pPr>
            <w:proofErr w:type="spellStart"/>
            <w:r>
              <w:rPr>
                <w:color w:val="000000"/>
                <w:sz w:val="16"/>
                <w:szCs w:val="16"/>
              </w:rPr>
              <w:t>ponesimod</w:t>
            </w:r>
            <w:proofErr w:type="spellEnd"/>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35CD6C3" w14:textId="567799C9" w:rsidR="00500C13" w:rsidRPr="008D3568" w:rsidRDefault="00500C13" w:rsidP="00500C13">
            <w:pPr>
              <w:rPr>
                <w:rFonts w:cs="Times New Roman"/>
                <w:sz w:val="16"/>
                <w:szCs w:val="16"/>
              </w:rPr>
            </w:pPr>
            <w:r>
              <w:rPr>
                <w:color w:val="000000"/>
                <w:sz w:val="16"/>
                <w:szCs w:val="16"/>
              </w:rPr>
              <w:t>20</w:t>
            </w:r>
            <w:r w:rsidRPr="0096495F">
              <w:rPr>
                <w:color w:val="000000"/>
                <w:sz w:val="16"/>
                <w:szCs w:val="16"/>
              </w:rPr>
              <w:t xml:space="preserve"> mg</w:t>
            </w:r>
            <w:r w:rsidR="00442E54">
              <w:rPr>
                <w:color w:val="000000"/>
                <w:sz w:val="16"/>
                <w:szCs w:val="16"/>
              </w:rPr>
              <w:t xml:space="preserve"> </w:t>
            </w:r>
            <w:proofErr w:type="spellStart"/>
            <w:r w:rsidR="00442E54">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BA7C84A" w14:textId="41ACE64B" w:rsidR="00500C13" w:rsidRPr="008D3568" w:rsidRDefault="00500C13" w:rsidP="00500C13">
            <w:pPr>
              <w:rPr>
                <w:rFonts w:cs="Times New Roman"/>
                <w:sz w:val="16"/>
                <w:szCs w:val="16"/>
              </w:rPr>
            </w:pPr>
            <w:r>
              <w:rPr>
                <w:color w:val="000000"/>
                <w:sz w:val="16"/>
                <w:szCs w:val="16"/>
              </w:rPr>
              <w:t>108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EBB835E" w14:textId="58CB9783" w:rsidR="00500C13" w:rsidRPr="008D3568" w:rsidRDefault="00500C13" w:rsidP="00500C13">
            <w:pPr>
              <w:rPr>
                <w:rFonts w:cs="Times New Roman"/>
                <w:color w:val="000000"/>
                <w:sz w:val="16"/>
                <w:szCs w:val="16"/>
              </w:rPr>
            </w:pPr>
            <w:r>
              <w:rPr>
                <w:color w:val="000000"/>
                <w:sz w:val="16"/>
                <w:szCs w:val="16"/>
              </w:rPr>
              <w:t>-0.87</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AAB87BD" w14:textId="7BDEB952" w:rsidR="00500C13" w:rsidRPr="008D3568" w:rsidRDefault="00500C13" w:rsidP="00500C13">
            <w:pPr>
              <w:rPr>
                <w:rFonts w:cs="Times New Roman"/>
                <w:color w:val="000000"/>
                <w:sz w:val="16"/>
                <w:szCs w:val="16"/>
              </w:rPr>
            </w:pPr>
            <w:r>
              <w:rPr>
                <w:color w:val="000000"/>
                <w:sz w:val="16"/>
                <w:szCs w:val="16"/>
              </w:rPr>
              <w:t>1.41</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61832849" w14:textId="6CD4BAC6" w:rsidR="00500C13" w:rsidRPr="008D3568" w:rsidRDefault="00500C13" w:rsidP="00500C13">
            <w:pPr>
              <w:rPr>
                <w:rFonts w:cs="Times New Roman"/>
                <w:color w:val="000000"/>
                <w:sz w:val="16"/>
                <w:szCs w:val="16"/>
              </w:rPr>
            </w:pPr>
            <w:r>
              <w:rPr>
                <w:color w:val="000000"/>
                <w:sz w:val="16"/>
                <w:szCs w:val="16"/>
              </w:rPr>
              <w:t>376</w:t>
            </w:r>
          </w:p>
        </w:tc>
      </w:tr>
      <w:tr w:rsidR="00500C13" w:rsidRPr="008D3568" w14:paraId="3F544BAA" w14:textId="77777777" w:rsidTr="00772F4F">
        <w:tc>
          <w:tcPr>
            <w:tcW w:w="1532" w:type="dxa"/>
            <w:vMerge/>
            <w:tcBorders>
              <w:left w:val="single" w:sz="4" w:space="0" w:color="auto"/>
              <w:bottom w:val="single" w:sz="4" w:space="0" w:color="auto"/>
              <w:right w:val="single" w:sz="4" w:space="0" w:color="auto"/>
            </w:tcBorders>
            <w:vAlign w:val="center"/>
          </w:tcPr>
          <w:p w14:paraId="40CF1A2E"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42C2B74" w14:textId="11593F61" w:rsidR="00500C13" w:rsidRPr="008D3568" w:rsidRDefault="00500C13" w:rsidP="00500C13">
            <w:pPr>
              <w:rPr>
                <w:rFonts w:cs="Times New Roman"/>
                <w:sz w:val="16"/>
                <w:szCs w:val="16"/>
              </w:rPr>
            </w:pPr>
            <w:r>
              <w:rPr>
                <w:color w:val="000000"/>
                <w:sz w:val="16"/>
                <w:szCs w:val="16"/>
              </w:rPr>
              <w:t>teriflunomide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D8BEBB1" w14:textId="4553A623" w:rsidR="00500C13" w:rsidRPr="008D3568" w:rsidRDefault="00500C13" w:rsidP="00500C13">
            <w:pPr>
              <w:rPr>
                <w:rFonts w:cs="Times New Roman"/>
                <w:sz w:val="16"/>
                <w:szCs w:val="16"/>
              </w:rPr>
            </w:pPr>
            <w:r>
              <w:rPr>
                <w:color w:val="000000"/>
                <w:sz w:val="16"/>
                <w:szCs w:val="16"/>
              </w:rPr>
              <w:t>14</w:t>
            </w:r>
            <w:r w:rsidRPr="0096495F">
              <w:rPr>
                <w:color w:val="000000"/>
                <w:sz w:val="16"/>
                <w:szCs w:val="16"/>
              </w:rPr>
              <w:t xml:space="preserve"> mg</w:t>
            </w:r>
            <w:r w:rsidR="00442E54">
              <w:rPr>
                <w:color w:val="000000"/>
                <w:sz w:val="16"/>
                <w:szCs w:val="16"/>
              </w:rPr>
              <w:t xml:space="preserve"> </w:t>
            </w:r>
            <w:proofErr w:type="spellStart"/>
            <w:r w:rsidR="00442E54">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BDDA404" w14:textId="68BCBC5E" w:rsidR="00500C13" w:rsidRPr="008D3568" w:rsidRDefault="00500C13" w:rsidP="00500C13">
            <w:pPr>
              <w:rPr>
                <w:rFonts w:cs="Times New Roman"/>
                <w:sz w:val="16"/>
                <w:szCs w:val="16"/>
              </w:rPr>
            </w:pPr>
            <w:r>
              <w:rPr>
                <w:color w:val="000000"/>
                <w:sz w:val="16"/>
                <w:szCs w:val="16"/>
              </w:rPr>
              <w:t>108</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10EA0892" w14:textId="4C17B792" w:rsidR="00500C13" w:rsidRPr="008D3568" w:rsidRDefault="00500C13" w:rsidP="00500C13">
            <w:pPr>
              <w:rPr>
                <w:rFonts w:cs="Times New Roman"/>
                <w:color w:val="000000"/>
                <w:sz w:val="16"/>
                <w:szCs w:val="16"/>
              </w:rPr>
            </w:pPr>
            <w:r>
              <w:rPr>
                <w:color w:val="000000"/>
                <w:sz w:val="16"/>
                <w:szCs w:val="16"/>
              </w:rPr>
              <w:t>-1.27</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7D5777B7" w14:textId="69441D59" w:rsidR="00500C13" w:rsidRPr="008D3568" w:rsidRDefault="00500C13" w:rsidP="00500C13">
            <w:pPr>
              <w:rPr>
                <w:rFonts w:cs="Times New Roman"/>
                <w:color w:val="000000"/>
                <w:sz w:val="16"/>
                <w:szCs w:val="16"/>
              </w:rPr>
            </w:pPr>
            <w:r>
              <w:rPr>
                <w:color w:val="000000"/>
                <w:sz w:val="16"/>
                <w:szCs w:val="16"/>
              </w:rPr>
              <w:t>1.36</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1F98ADE7" w14:textId="6A66B579" w:rsidR="00500C13" w:rsidRPr="008D3568" w:rsidRDefault="00500C13" w:rsidP="00500C13">
            <w:pPr>
              <w:rPr>
                <w:rFonts w:cs="Times New Roman"/>
                <w:color w:val="000000"/>
                <w:sz w:val="16"/>
                <w:szCs w:val="16"/>
              </w:rPr>
            </w:pPr>
            <w:r>
              <w:rPr>
                <w:color w:val="000000"/>
                <w:sz w:val="16"/>
                <w:szCs w:val="16"/>
              </w:rPr>
              <w:t>368</w:t>
            </w:r>
          </w:p>
        </w:tc>
      </w:tr>
      <w:tr w:rsidR="00500C13" w:rsidRPr="008D3568" w14:paraId="7EFA342D" w14:textId="77777777" w:rsidTr="00CA2773">
        <w:tc>
          <w:tcPr>
            <w:tcW w:w="1532" w:type="dxa"/>
            <w:vMerge w:val="restart"/>
            <w:tcBorders>
              <w:top w:val="nil"/>
              <w:left w:val="single" w:sz="4" w:space="0" w:color="auto"/>
              <w:right w:val="single" w:sz="4" w:space="0" w:color="auto"/>
            </w:tcBorders>
            <w:shd w:val="clear" w:color="auto" w:fill="auto"/>
            <w:vAlign w:val="center"/>
          </w:tcPr>
          <w:p w14:paraId="1FE77CF2" w14:textId="48D86753" w:rsidR="00500C13" w:rsidRPr="008D3568" w:rsidRDefault="00500C13" w:rsidP="00500C13">
            <w:pPr>
              <w:rPr>
                <w:rFonts w:cs="Times New Roman"/>
                <w:sz w:val="16"/>
                <w:szCs w:val="16"/>
              </w:rPr>
            </w:pPr>
            <w:r>
              <w:rPr>
                <w:color w:val="000000"/>
                <w:sz w:val="16"/>
                <w:szCs w:val="16"/>
              </w:rPr>
              <w:t>RADIANCE B</w:t>
            </w:r>
          </w:p>
        </w:tc>
        <w:tc>
          <w:tcPr>
            <w:tcW w:w="1503" w:type="dxa"/>
            <w:tcBorders>
              <w:top w:val="nil"/>
              <w:left w:val="single" w:sz="4" w:space="0" w:color="auto"/>
              <w:bottom w:val="single" w:sz="4" w:space="0" w:color="auto"/>
              <w:right w:val="single" w:sz="4" w:space="0" w:color="auto"/>
            </w:tcBorders>
            <w:shd w:val="clear" w:color="auto" w:fill="auto"/>
            <w:vAlign w:val="center"/>
          </w:tcPr>
          <w:p w14:paraId="0EB10EA2" w14:textId="7A0A57B9" w:rsidR="00500C13" w:rsidRPr="008D3568" w:rsidRDefault="00500C13" w:rsidP="00500C13">
            <w:pPr>
              <w:rPr>
                <w:rFonts w:cs="Times New Roman"/>
                <w:sz w:val="16"/>
                <w:szCs w:val="16"/>
              </w:rPr>
            </w:pPr>
            <w:r>
              <w:rPr>
                <w:color w:val="000000"/>
                <w:sz w:val="16"/>
                <w:szCs w:val="16"/>
              </w:rPr>
              <w:t>IFNβ-1a IM</w:t>
            </w:r>
          </w:p>
        </w:tc>
        <w:tc>
          <w:tcPr>
            <w:tcW w:w="1272" w:type="dxa"/>
            <w:tcBorders>
              <w:top w:val="nil"/>
              <w:left w:val="nil"/>
              <w:bottom w:val="single" w:sz="4" w:space="0" w:color="auto"/>
              <w:right w:val="single" w:sz="4" w:space="0" w:color="auto"/>
            </w:tcBorders>
            <w:shd w:val="clear" w:color="auto" w:fill="auto"/>
            <w:vAlign w:val="center"/>
          </w:tcPr>
          <w:p w14:paraId="398B119A" w14:textId="77F6DAAB" w:rsidR="00500C13" w:rsidRPr="008D3568" w:rsidRDefault="00500C13" w:rsidP="00500C13">
            <w:pPr>
              <w:rPr>
                <w:rFonts w:cs="Times New Roman"/>
                <w:sz w:val="16"/>
                <w:szCs w:val="16"/>
              </w:rPr>
            </w:pPr>
            <w:r>
              <w:rPr>
                <w:color w:val="000000"/>
                <w:sz w:val="16"/>
                <w:szCs w:val="16"/>
              </w:rPr>
              <w:t>30</w:t>
            </w:r>
            <w:r w:rsidRPr="0098512B">
              <w:rPr>
                <w:color w:val="000000"/>
                <w:sz w:val="16"/>
                <w:szCs w:val="16"/>
              </w:rPr>
              <w:t xml:space="preserve"> µg</w:t>
            </w:r>
            <w:r w:rsidR="00E55772">
              <w:rPr>
                <w:color w:val="000000"/>
                <w:sz w:val="16"/>
                <w:szCs w:val="16"/>
              </w:rPr>
              <w:t xml:space="preserve"> IM </w:t>
            </w:r>
            <w:proofErr w:type="spellStart"/>
            <w:r w:rsidR="00E55772">
              <w:rPr>
                <w:color w:val="000000"/>
                <w:sz w:val="16"/>
                <w:szCs w:val="16"/>
              </w:rPr>
              <w:t>qw</w:t>
            </w:r>
            <w:proofErr w:type="spellEnd"/>
          </w:p>
        </w:tc>
        <w:tc>
          <w:tcPr>
            <w:tcW w:w="1708" w:type="dxa"/>
            <w:tcBorders>
              <w:top w:val="nil"/>
              <w:left w:val="nil"/>
              <w:bottom w:val="single" w:sz="4" w:space="0" w:color="auto"/>
              <w:right w:val="single" w:sz="4" w:space="0" w:color="auto"/>
            </w:tcBorders>
            <w:shd w:val="clear" w:color="auto" w:fill="auto"/>
            <w:vAlign w:val="center"/>
          </w:tcPr>
          <w:p w14:paraId="272F15FE" w14:textId="69A62762"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546B6AF8" w14:textId="45910F3D" w:rsidR="00500C13" w:rsidRPr="008D3568" w:rsidRDefault="00500C13" w:rsidP="00500C13">
            <w:pPr>
              <w:rPr>
                <w:rFonts w:cs="Times New Roman"/>
                <w:color w:val="000000"/>
                <w:sz w:val="16"/>
                <w:szCs w:val="16"/>
              </w:rPr>
            </w:pPr>
            <w:r>
              <w:rPr>
                <w:color w:val="000000"/>
                <w:sz w:val="16"/>
                <w:szCs w:val="16"/>
              </w:rPr>
              <w:t>-0.59</w:t>
            </w:r>
          </w:p>
        </w:tc>
        <w:tc>
          <w:tcPr>
            <w:tcW w:w="1104" w:type="dxa"/>
            <w:tcBorders>
              <w:top w:val="nil"/>
              <w:left w:val="nil"/>
              <w:bottom w:val="single" w:sz="4" w:space="0" w:color="auto"/>
              <w:right w:val="single" w:sz="4" w:space="0" w:color="auto"/>
            </w:tcBorders>
            <w:shd w:val="clear" w:color="auto" w:fill="auto"/>
            <w:vAlign w:val="center"/>
          </w:tcPr>
          <w:p w14:paraId="37F380B0" w14:textId="1C8DCBFF" w:rsidR="00500C13" w:rsidRPr="008D3568" w:rsidRDefault="00500C13" w:rsidP="00500C13">
            <w:pPr>
              <w:rPr>
                <w:rFonts w:cs="Times New Roman"/>
                <w:color w:val="000000"/>
                <w:sz w:val="16"/>
                <w:szCs w:val="16"/>
              </w:rPr>
            </w:pPr>
            <w:r>
              <w:rPr>
                <w:color w:val="000000"/>
                <w:sz w:val="16"/>
                <w:szCs w:val="16"/>
              </w:rPr>
              <w:t>0.90</w:t>
            </w:r>
          </w:p>
        </w:tc>
        <w:tc>
          <w:tcPr>
            <w:tcW w:w="1084" w:type="dxa"/>
            <w:tcBorders>
              <w:top w:val="nil"/>
              <w:left w:val="nil"/>
              <w:bottom w:val="single" w:sz="4" w:space="0" w:color="auto"/>
              <w:right w:val="single" w:sz="4" w:space="0" w:color="auto"/>
            </w:tcBorders>
            <w:shd w:val="clear" w:color="auto" w:fill="auto"/>
            <w:vAlign w:val="center"/>
          </w:tcPr>
          <w:p w14:paraId="139CBC8D" w14:textId="1ACD2BB8" w:rsidR="00500C13" w:rsidRPr="008D3568" w:rsidRDefault="00500C13" w:rsidP="00500C13">
            <w:pPr>
              <w:rPr>
                <w:rFonts w:cs="Times New Roman"/>
                <w:color w:val="000000"/>
                <w:sz w:val="16"/>
                <w:szCs w:val="16"/>
              </w:rPr>
            </w:pPr>
            <w:r>
              <w:rPr>
                <w:color w:val="000000"/>
                <w:sz w:val="16"/>
                <w:szCs w:val="16"/>
              </w:rPr>
              <w:t>363</w:t>
            </w:r>
          </w:p>
        </w:tc>
      </w:tr>
      <w:tr w:rsidR="00500C13" w:rsidRPr="008D3568" w14:paraId="17FA9106" w14:textId="77777777" w:rsidTr="003047F6">
        <w:tc>
          <w:tcPr>
            <w:tcW w:w="1532" w:type="dxa"/>
            <w:vMerge/>
            <w:tcBorders>
              <w:left w:val="single" w:sz="4" w:space="0" w:color="auto"/>
              <w:right w:val="single" w:sz="4" w:space="0" w:color="auto"/>
            </w:tcBorders>
            <w:shd w:val="clear" w:color="auto" w:fill="auto"/>
            <w:vAlign w:val="center"/>
          </w:tcPr>
          <w:p w14:paraId="5FB0A313" w14:textId="6E59280F"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166CEC24" w14:textId="0C75A6A5" w:rsidR="00500C13" w:rsidRPr="008D3568" w:rsidRDefault="00500C13" w:rsidP="00500C13">
            <w:pPr>
              <w:rPr>
                <w:rFonts w:cs="Times New Roman"/>
                <w:sz w:val="16"/>
                <w:szCs w:val="16"/>
              </w:rPr>
            </w:pPr>
            <w:r>
              <w:rPr>
                <w:color w:val="000000"/>
                <w:sz w:val="16"/>
                <w:szCs w:val="16"/>
              </w:rPr>
              <w:t>ozanimod</w:t>
            </w:r>
          </w:p>
        </w:tc>
        <w:tc>
          <w:tcPr>
            <w:tcW w:w="1272" w:type="dxa"/>
            <w:tcBorders>
              <w:top w:val="nil"/>
              <w:left w:val="nil"/>
              <w:bottom w:val="single" w:sz="4" w:space="0" w:color="auto"/>
              <w:right w:val="single" w:sz="4" w:space="0" w:color="auto"/>
            </w:tcBorders>
            <w:shd w:val="clear" w:color="auto" w:fill="auto"/>
            <w:vAlign w:val="center"/>
          </w:tcPr>
          <w:p w14:paraId="6BABEB8E" w14:textId="68C2EBD2" w:rsidR="00500C13" w:rsidRPr="008D3568" w:rsidRDefault="00500C13" w:rsidP="00500C13">
            <w:pPr>
              <w:rPr>
                <w:rFonts w:cs="Times New Roman"/>
                <w:sz w:val="16"/>
                <w:szCs w:val="16"/>
              </w:rPr>
            </w:pPr>
            <w:r>
              <w:rPr>
                <w:color w:val="000000"/>
                <w:sz w:val="16"/>
                <w:szCs w:val="16"/>
              </w:rPr>
              <w:t>0.5</w:t>
            </w:r>
            <w:r w:rsidRPr="00B434F3">
              <w:rPr>
                <w:color w:val="000000"/>
                <w:sz w:val="16"/>
                <w:szCs w:val="16"/>
              </w:rPr>
              <w:t xml:space="preserve"> mg</w:t>
            </w:r>
            <w:r w:rsidR="00E55772">
              <w:rPr>
                <w:color w:val="000000"/>
                <w:sz w:val="16"/>
                <w:szCs w:val="16"/>
              </w:rPr>
              <w:t xml:space="preserve"> </w:t>
            </w:r>
            <w:proofErr w:type="spellStart"/>
            <w:r w:rsidR="00E55772">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3D78958E" w14:textId="14F83CB6"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560E42E0" w14:textId="6902B0AB" w:rsidR="00500C13" w:rsidRPr="008D3568" w:rsidRDefault="00500C13" w:rsidP="00500C13">
            <w:pPr>
              <w:rPr>
                <w:rFonts w:cs="Times New Roman"/>
                <w:color w:val="000000"/>
                <w:sz w:val="16"/>
                <w:szCs w:val="16"/>
              </w:rPr>
            </w:pPr>
            <w:r>
              <w:rPr>
                <w:color w:val="000000"/>
                <w:sz w:val="16"/>
                <w:szCs w:val="16"/>
              </w:rPr>
              <w:t>-0.44</w:t>
            </w:r>
          </w:p>
        </w:tc>
        <w:tc>
          <w:tcPr>
            <w:tcW w:w="1104" w:type="dxa"/>
            <w:tcBorders>
              <w:top w:val="nil"/>
              <w:left w:val="nil"/>
              <w:bottom w:val="single" w:sz="4" w:space="0" w:color="auto"/>
              <w:right w:val="single" w:sz="4" w:space="0" w:color="auto"/>
            </w:tcBorders>
            <w:shd w:val="clear" w:color="auto" w:fill="auto"/>
            <w:vAlign w:val="center"/>
          </w:tcPr>
          <w:p w14:paraId="7C28607D" w14:textId="7329EF1B" w:rsidR="00500C13" w:rsidRPr="008D3568" w:rsidRDefault="00500C13" w:rsidP="00500C13">
            <w:pPr>
              <w:rPr>
                <w:rFonts w:cs="Times New Roman"/>
                <w:color w:val="000000"/>
                <w:sz w:val="16"/>
                <w:szCs w:val="16"/>
              </w:rPr>
            </w:pPr>
            <w:r>
              <w:rPr>
                <w:color w:val="000000"/>
                <w:sz w:val="16"/>
                <w:szCs w:val="16"/>
              </w:rPr>
              <w:t>0.84</w:t>
            </w:r>
          </w:p>
        </w:tc>
        <w:tc>
          <w:tcPr>
            <w:tcW w:w="1084" w:type="dxa"/>
            <w:tcBorders>
              <w:top w:val="nil"/>
              <w:left w:val="nil"/>
              <w:bottom w:val="single" w:sz="4" w:space="0" w:color="auto"/>
              <w:right w:val="single" w:sz="4" w:space="0" w:color="auto"/>
            </w:tcBorders>
            <w:shd w:val="clear" w:color="auto" w:fill="auto"/>
            <w:vAlign w:val="center"/>
          </w:tcPr>
          <w:p w14:paraId="340AA8CD" w14:textId="28DC79A2" w:rsidR="00500C13" w:rsidRPr="008D3568" w:rsidRDefault="00500C13" w:rsidP="00500C13">
            <w:pPr>
              <w:rPr>
                <w:rFonts w:cs="Times New Roman"/>
                <w:color w:val="000000"/>
                <w:sz w:val="16"/>
                <w:szCs w:val="16"/>
              </w:rPr>
            </w:pPr>
            <w:r>
              <w:rPr>
                <w:color w:val="000000"/>
                <w:sz w:val="16"/>
                <w:szCs w:val="16"/>
              </w:rPr>
              <w:t>369</w:t>
            </w:r>
          </w:p>
        </w:tc>
      </w:tr>
      <w:tr w:rsidR="00500C13" w:rsidRPr="008D3568" w14:paraId="7A796FA8" w14:textId="77777777" w:rsidTr="00772F4F">
        <w:tc>
          <w:tcPr>
            <w:tcW w:w="1532" w:type="dxa"/>
            <w:vMerge/>
            <w:tcBorders>
              <w:left w:val="single" w:sz="4" w:space="0" w:color="auto"/>
              <w:right w:val="single" w:sz="4" w:space="0" w:color="auto"/>
            </w:tcBorders>
            <w:vAlign w:val="center"/>
          </w:tcPr>
          <w:p w14:paraId="029A50C6"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5197B3E" w14:textId="1678D6AA" w:rsidR="00500C13" w:rsidRPr="008D3568" w:rsidRDefault="00500C13" w:rsidP="00500C13">
            <w:pPr>
              <w:rPr>
                <w:rFonts w:cs="Times New Roman"/>
                <w:sz w:val="16"/>
                <w:szCs w:val="16"/>
              </w:rPr>
            </w:pPr>
            <w:r>
              <w:rPr>
                <w:color w:val="000000"/>
                <w:sz w:val="16"/>
                <w:szCs w:val="16"/>
              </w:rPr>
              <w:t>ozanimod</w:t>
            </w:r>
          </w:p>
        </w:tc>
        <w:tc>
          <w:tcPr>
            <w:tcW w:w="1272" w:type="dxa"/>
            <w:tcBorders>
              <w:top w:val="nil"/>
              <w:left w:val="nil"/>
              <w:bottom w:val="single" w:sz="4" w:space="0" w:color="auto"/>
              <w:right w:val="single" w:sz="4" w:space="0" w:color="auto"/>
            </w:tcBorders>
            <w:shd w:val="clear" w:color="auto" w:fill="auto"/>
            <w:vAlign w:val="center"/>
          </w:tcPr>
          <w:p w14:paraId="6D99E605" w14:textId="3833269C" w:rsidR="00500C13" w:rsidRPr="008D3568" w:rsidRDefault="00500C13" w:rsidP="00500C13">
            <w:pPr>
              <w:rPr>
                <w:rFonts w:cs="Times New Roman"/>
                <w:sz w:val="16"/>
                <w:szCs w:val="16"/>
              </w:rPr>
            </w:pPr>
            <w:r>
              <w:rPr>
                <w:color w:val="000000"/>
                <w:sz w:val="16"/>
                <w:szCs w:val="16"/>
              </w:rPr>
              <w:t>1</w:t>
            </w:r>
            <w:r w:rsidRPr="00B434F3">
              <w:rPr>
                <w:color w:val="000000"/>
                <w:sz w:val="16"/>
                <w:szCs w:val="16"/>
              </w:rPr>
              <w:t xml:space="preserve"> mg</w:t>
            </w:r>
            <w:r w:rsidR="00E55772">
              <w:rPr>
                <w:color w:val="000000"/>
                <w:sz w:val="16"/>
                <w:szCs w:val="16"/>
              </w:rPr>
              <w:t xml:space="preserve"> </w:t>
            </w:r>
            <w:proofErr w:type="spellStart"/>
            <w:r w:rsidR="00E55772">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441A3F55" w14:textId="02585B80"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3DFC80E9" w14:textId="281D5F9C" w:rsidR="00500C13" w:rsidRPr="008D3568" w:rsidRDefault="00500C13" w:rsidP="00500C13">
            <w:pPr>
              <w:rPr>
                <w:rFonts w:cs="Times New Roman"/>
                <w:color w:val="000000"/>
                <w:sz w:val="16"/>
                <w:szCs w:val="16"/>
              </w:rPr>
            </w:pPr>
            <w:r>
              <w:rPr>
                <w:color w:val="000000"/>
                <w:sz w:val="16"/>
                <w:szCs w:val="16"/>
              </w:rPr>
              <w:t>-0.45</w:t>
            </w:r>
          </w:p>
        </w:tc>
        <w:tc>
          <w:tcPr>
            <w:tcW w:w="1104" w:type="dxa"/>
            <w:tcBorders>
              <w:top w:val="nil"/>
              <w:left w:val="nil"/>
              <w:bottom w:val="single" w:sz="4" w:space="0" w:color="auto"/>
              <w:right w:val="single" w:sz="4" w:space="0" w:color="auto"/>
            </w:tcBorders>
            <w:shd w:val="clear" w:color="auto" w:fill="auto"/>
            <w:vAlign w:val="center"/>
          </w:tcPr>
          <w:p w14:paraId="1AEA4D1A" w14:textId="64327DA0" w:rsidR="00500C13" w:rsidRPr="008D3568" w:rsidRDefault="00500C13" w:rsidP="00500C13">
            <w:pPr>
              <w:rPr>
                <w:rFonts w:cs="Times New Roman"/>
                <w:color w:val="000000"/>
                <w:sz w:val="16"/>
                <w:szCs w:val="16"/>
              </w:rPr>
            </w:pPr>
            <w:r>
              <w:rPr>
                <w:color w:val="000000"/>
                <w:sz w:val="16"/>
                <w:szCs w:val="16"/>
              </w:rPr>
              <w:t>0.85</w:t>
            </w:r>
          </w:p>
        </w:tc>
        <w:tc>
          <w:tcPr>
            <w:tcW w:w="1084" w:type="dxa"/>
            <w:tcBorders>
              <w:top w:val="nil"/>
              <w:left w:val="nil"/>
              <w:bottom w:val="single" w:sz="4" w:space="0" w:color="auto"/>
              <w:right w:val="single" w:sz="4" w:space="0" w:color="auto"/>
            </w:tcBorders>
            <w:shd w:val="clear" w:color="auto" w:fill="auto"/>
            <w:vAlign w:val="center"/>
          </w:tcPr>
          <w:p w14:paraId="299CABD9" w14:textId="27DC72D9" w:rsidR="00500C13" w:rsidRPr="008D3568" w:rsidRDefault="00500C13" w:rsidP="00500C13">
            <w:pPr>
              <w:rPr>
                <w:rFonts w:cs="Times New Roman"/>
                <w:color w:val="000000"/>
                <w:sz w:val="16"/>
                <w:szCs w:val="16"/>
              </w:rPr>
            </w:pPr>
            <w:r>
              <w:rPr>
                <w:color w:val="000000"/>
                <w:sz w:val="16"/>
                <w:szCs w:val="16"/>
              </w:rPr>
              <w:t>357</w:t>
            </w:r>
          </w:p>
        </w:tc>
      </w:tr>
      <w:tr w:rsidR="00500C13" w:rsidRPr="008D3568" w14:paraId="2A80D18F" w14:textId="77777777" w:rsidTr="00772F4F">
        <w:tc>
          <w:tcPr>
            <w:tcW w:w="1532" w:type="dxa"/>
            <w:vMerge/>
            <w:tcBorders>
              <w:left w:val="single" w:sz="4" w:space="0" w:color="auto"/>
              <w:right w:val="single" w:sz="4" w:space="0" w:color="auto"/>
            </w:tcBorders>
            <w:vAlign w:val="center"/>
          </w:tcPr>
          <w:p w14:paraId="1FBD7958"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2E4DB71" w14:textId="4CE73B0F" w:rsidR="00500C13" w:rsidRPr="008D3568" w:rsidRDefault="00500C13" w:rsidP="00500C13">
            <w:pPr>
              <w:rPr>
                <w:rFonts w:cs="Times New Roman"/>
                <w:sz w:val="16"/>
                <w:szCs w:val="16"/>
              </w:rPr>
            </w:pPr>
            <w:r>
              <w:rPr>
                <w:color w:val="000000"/>
                <w:sz w:val="16"/>
                <w:szCs w:val="16"/>
              </w:rPr>
              <w:t>IFNβ-1a IM</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0C359E9" w14:textId="1CAE7650" w:rsidR="00500C13" w:rsidRPr="008D3568" w:rsidRDefault="00500C13" w:rsidP="00500C13">
            <w:pPr>
              <w:rPr>
                <w:rFonts w:cs="Times New Roman"/>
                <w:sz w:val="16"/>
                <w:szCs w:val="16"/>
              </w:rPr>
            </w:pPr>
            <w:r>
              <w:rPr>
                <w:color w:val="000000"/>
                <w:sz w:val="16"/>
                <w:szCs w:val="16"/>
              </w:rPr>
              <w:t>30</w:t>
            </w:r>
            <w:r w:rsidRPr="0098512B">
              <w:rPr>
                <w:color w:val="000000"/>
                <w:sz w:val="16"/>
                <w:szCs w:val="16"/>
              </w:rPr>
              <w:t xml:space="preserve"> µg</w:t>
            </w:r>
            <w:r w:rsidR="00E55772">
              <w:rPr>
                <w:color w:val="000000"/>
                <w:sz w:val="16"/>
                <w:szCs w:val="16"/>
              </w:rPr>
              <w:t xml:space="preserve"> IM </w:t>
            </w:r>
            <w:proofErr w:type="spellStart"/>
            <w:r w:rsidR="00E55772">
              <w:rPr>
                <w:color w:val="000000"/>
                <w:sz w:val="16"/>
                <w:szCs w:val="16"/>
              </w:rPr>
              <w:t>qw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15D3402" w14:textId="527BB024"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2FA10DF0" w14:textId="0C0BA849" w:rsidR="00500C13" w:rsidRPr="008D3568" w:rsidRDefault="00500C13" w:rsidP="00500C13">
            <w:pPr>
              <w:rPr>
                <w:rFonts w:cs="Times New Roman"/>
                <w:color w:val="000000"/>
                <w:sz w:val="16"/>
                <w:szCs w:val="16"/>
              </w:rPr>
            </w:pPr>
            <w:r>
              <w:rPr>
                <w:color w:val="000000"/>
                <w:sz w:val="16"/>
                <w:szCs w:val="16"/>
              </w:rPr>
              <w:t>-0.94</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50A08887" w14:textId="5DA8A19E" w:rsidR="00500C13" w:rsidRPr="008D3568" w:rsidRDefault="00500C13" w:rsidP="00500C13">
            <w:pPr>
              <w:rPr>
                <w:rFonts w:cs="Times New Roman"/>
                <w:color w:val="000000"/>
                <w:sz w:val="16"/>
                <w:szCs w:val="16"/>
              </w:rPr>
            </w:pPr>
            <w:r>
              <w:rPr>
                <w:color w:val="000000"/>
                <w:sz w:val="16"/>
                <w:szCs w:val="16"/>
              </w:rPr>
              <w:t>0.94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39A282CD" w14:textId="0C299881" w:rsidR="00500C13" w:rsidRPr="008D3568" w:rsidRDefault="00500C13" w:rsidP="00500C13">
            <w:pPr>
              <w:rPr>
                <w:rFonts w:cs="Times New Roman"/>
                <w:color w:val="000000"/>
                <w:sz w:val="16"/>
                <w:szCs w:val="16"/>
              </w:rPr>
            </w:pPr>
            <w:r>
              <w:rPr>
                <w:color w:val="000000"/>
                <w:sz w:val="16"/>
                <w:szCs w:val="16"/>
              </w:rPr>
              <w:t>397</w:t>
            </w:r>
          </w:p>
        </w:tc>
      </w:tr>
      <w:tr w:rsidR="00500C13" w:rsidRPr="008D3568" w14:paraId="43E74753" w14:textId="77777777" w:rsidTr="00772F4F">
        <w:tc>
          <w:tcPr>
            <w:tcW w:w="1532" w:type="dxa"/>
            <w:vMerge/>
            <w:tcBorders>
              <w:left w:val="single" w:sz="4" w:space="0" w:color="auto"/>
              <w:right w:val="single" w:sz="4" w:space="0" w:color="auto"/>
            </w:tcBorders>
            <w:vAlign w:val="center"/>
          </w:tcPr>
          <w:p w14:paraId="2AF421AF"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72BCFC08" w14:textId="6436F3F6" w:rsidR="00500C13" w:rsidRPr="008D3568" w:rsidRDefault="00500C13" w:rsidP="00500C13">
            <w:pPr>
              <w:rPr>
                <w:rFonts w:cs="Times New Roman"/>
                <w:sz w:val="16"/>
                <w:szCs w:val="16"/>
              </w:rPr>
            </w:pPr>
            <w:r>
              <w:rPr>
                <w:color w:val="000000"/>
                <w:sz w:val="16"/>
                <w:szCs w:val="16"/>
              </w:rPr>
              <w:t>ozanimod</w:t>
            </w:r>
          </w:p>
        </w:tc>
        <w:tc>
          <w:tcPr>
            <w:tcW w:w="1272" w:type="dxa"/>
            <w:tcBorders>
              <w:top w:val="nil"/>
              <w:left w:val="nil"/>
              <w:bottom w:val="single" w:sz="4" w:space="0" w:color="auto"/>
              <w:right w:val="single" w:sz="4" w:space="0" w:color="auto"/>
            </w:tcBorders>
            <w:shd w:val="clear" w:color="auto" w:fill="auto"/>
            <w:vAlign w:val="center"/>
          </w:tcPr>
          <w:p w14:paraId="571DA75B" w14:textId="045B4EBD" w:rsidR="00500C13" w:rsidRPr="008D3568" w:rsidRDefault="00500C13" w:rsidP="00500C13">
            <w:pPr>
              <w:rPr>
                <w:rFonts w:cs="Times New Roman"/>
                <w:sz w:val="16"/>
                <w:szCs w:val="16"/>
              </w:rPr>
            </w:pPr>
            <w:r>
              <w:rPr>
                <w:color w:val="000000"/>
                <w:sz w:val="16"/>
                <w:szCs w:val="16"/>
              </w:rPr>
              <w:t>0.5</w:t>
            </w:r>
            <w:r w:rsidRPr="0098512B">
              <w:rPr>
                <w:color w:val="000000"/>
                <w:sz w:val="16"/>
                <w:szCs w:val="16"/>
              </w:rPr>
              <w:t xml:space="preserve"> mg</w:t>
            </w:r>
            <w:r w:rsidR="00E55772">
              <w:rPr>
                <w:color w:val="000000"/>
                <w:sz w:val="16"/>
                <w:szCs w:val="16"/>
              </w:rPr>
              <w:t xml:space="preserve"> </w:t>
            </w:r>
            <w:proofErr w:type="spellStart"/>
            <w:r w:rsidR="00E55772">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27AA2FFE" w14:textId="2F44DD2F" w:rsidR="00500C13" w:rsidRPr="008D3568" w:rsidRDefault="00500C13" w:rsidP="00500C13">
            <w:pPr>
              <w:rPr>
                <w:rFonts w:cs="Times New Roman"/>
                <w:sz w:val="16"/>
                <w:szCs w:val="16"/>
              </w:rPr>
            </w:pPr>
            <w:r>
              <w:rPr>
                <w:color w:val="000000"/>
                <w:sz w:val="16"/>
                <w:szCs w:val="16"/>
              </w:rPr>
              <w:t>104</w:t>
            </w:r>
          </w:p>
        </w:tc>
        <w:tc>
          <w:tcPr>
            <w:tcW w:w="1147" w:type="dxa"/>
            <w:tcBorders>
              <w:top w:val="nil"/>
              <w:left w:val="nil"/>
              <w:bottom w:val="single" w:sz="4" w:space="0" w:color="auto"/>
              <w:right w:val="single" w:sz="4" w:space="0" w:color="auto"/>
            </w:tcBorders>
            <w:shd w:val="clear" w:color="auto" w:fill="auto"/>
            <w:vAlign w:val="center"/>
          </w:tcPr>
          <w:p w14:paraId="46FFE642" w14:textId="37F0100F" w:rsidR="00500C13" w:rsidRPr="008D3568" w:rsidRDefault="00500C13" w:rsidP="00500C13">
            <w:pPr>
              <w:rPr>
                <w:rFonts w:cs="Times New Roman"/>
                <w:color w:val="000000"/>
                <w:sz w:val="16"/>
                <w:szCs w:val="16"/>
              </w:rPr>
            </w:pPr>
            <w:r>
              <w:rPr>
                <w:color w:val="000000"/>
                <w:sz w:val="16"/>
                <w:szCs w:val="16"/>
              </w:rPr>
              <w:t>-0.71</w:t>
            </w:r>
          </w:p>
        </w:tc>
        <w:tc>
          <w:tcPr>
            <w:tcW w:w="1104" w:type="dxa"/>
            <w:tcBorders>
              <w:top w:val="nil"/>
              <w:left w:val="nil"/>
              <w:bottom w:val="single" w:sz="4" w:space="0" w:color="auto"/>
              <w:right w:val="single" w:sz="4" w:space="0" w:color="auto"/>
            </w:tcBorders>
            <w:shd w:val="clear" w:color="auto" w:fill="auto"/>
            <w:vAlign w:val="center"/>
          </w:tcPr>
          <w:p w14:paraId="62315AA6" w14:textId="41B0EEEC" w:rsidR="00500C13" w:rsidRPr="008D3568" w:rsidRDefault="00500C13" w:rsidP="00500C13">
            <w:pPr>
              <w:rPr>
                <w:rFonts w:cs="Times New Roman"/>
                <w:color w:val="000000"/>
                <w:sz w:val="16"/>
                <w:szCs w:val="16"/>
              </w:rPr>
            </w:pPr>
            <w:r>
              <w:rPr>
                <w:color w:val="000000"/>
                <w:sz w:val="16"/>
                <w:szCs w:val="16"/>
              </w:rPr>
              <w:t>0.75</w:t>
            </w:r>
          </w:p>
        </w:tc>
        <w:tc>
          <w:tcPr>
            <w:tcW w:w="1084" w:type="dxa"/>
            <w:tcBorders>
              <w:top w:val="nil"/>
              <w:left w:val="nil"/>
              <w:bottom w:val="single" w:sz="4" w:space="0" w:color="auto"/>
              <w:right w:val="single" w:sz="4" w:space="0" w:color="auto"/>
            </w:tcBorders>
            <w:shd w:val="clear" w:color="auto" w:fill="auto"/>
            <w:vAlign w:val="center"/>
          </w:tcPr>
          <w:p w14:paraId="1A6F88FE" w14:textId="67BCC5BB" w:rsidR="00500C13" w:rsidRPr="008D3568" w:rsidRDefault="00500C13" w:rsidP="00500C13">
            <w:pPr>
              <w:rPr>
                <w:rFonts w:cs="Times New Roman"/>
                <w:color w:val="000000"/>
                <w:sz w:val="16"/>
                <w:szCs w:val="16"/>
              </w:rPr>
            </w:pPr>
            <w:r>
              <w:rPr>
                <w:color w:val="000000"/>
                <w:sz w:val="16"/>
                <w:szCs w:val="16"/>
              </w:rPr>
              <w:t>398</w:t>
            </w:r>
          </w:p>
        </w:tc>
      </w:tr>
      <w:tr w:rsidR="00500C13" w:rsidRPr="008D3568" w14:paraId="072E718F" w14:textId="77777777" w:rsidTr="00772F4F">
        <w:tc>
          <w:tcPr>
            <w:tcW w:w="1532" w:type="dxa"/>
            <w:vMerge/>
            <w:tcBorders>
              <w:left w:val="single" w:sz="4" w:space="0" w:color="auto"/>
              <w:bottom w:val="single" w:sz="4" w:space="0" w:color="auto"/>
              <w:right w:val="single" w:sz="4" w:space="0" w:color="auto"/>
            </w:tcBorders>
            <w:vAlign w:val="center"/>
          </w:tcPr>
          <w:p w14:paraId="1AA806D5"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3B1ADE63" w14:textId="5796D8A6" w:rsidR="00500C13" w:rsidRPr="008D3568" w:rsidRDefault="00500C13" w:rsidP="00500C13">
            <w:pPr>
              <w:rPr>
                <w:rFonts w:cs="Times New Roman"/>
                <w:sz w:val="16"/>
                <w:szCs w:val="16"/>
              </w:rPr>
            </w:pPr>
            <w:r>
              <w:rPr>
                <w:color w:val="000000"/>
                <w:sz w:val="16"/>
                <w:szCs w:val="16"/>
              </w:rPr>
              <w:t>ozanimod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10D260F9" w14:textId="768BC260" w:rsidR="00500C13" w:rsidRPr="008D3568" w:rsidRDefault="00500C13" w:rsidP="00500C13">
            <w:pPr>
              <w:rPr>
                <w:rFonts w:cs="Times New Roman"/>
                <w:sz w:val="16"/>
                <w:szCs w:val="16"/>
              </w:rPr>
            </w:pPr>
            <w:r>
              <w:rPr>
                <w:color w:val="000000"/>
                <w:sz w:val="16"/>
                <w:szCs w:val="16"/>
              </w:rPr>
              <w:t>1</w:t>
            </w:r>
            <w:r w:rsidRPr="0098512B">
              <w:rPr>
                <w:color w:val="000000"/>
                <w:sz w:val="16"/>
                <w:szCs w:val="16"/>
              </w:rPr>
              <w:t xml:space="preserve"> mg</w:t>
            </w:r>
            <w:r w:rsidR="00E55772">
              <w:rPr>
                <w:color w:val="000000"/>
                <w:sz w:val="16"/>
                <w:szCs w:val="16"/>
              </w:rPr>
              <w:t xml:space="preserve"> </w:t>
            </w:r>
            <w:proofErr w:type="spellStart"/>
            <w:r w:rsidR="00E55772">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1DEDE3C" w14:textId="10521B28"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E00A354" w14:textId="4B33F531" w:rsidR="00500C13" w:rsidRPr="008D3568" w:rsidRDefault="00500C13" w:rsidP="00500C13">
            <w:pPr>
              <w:rPr>
                <w:rFonts w:cs="Times New Roman"/>
                <w:color w:val="000000"/>
                <w:sz w:val="16"/>
                <w:szCs w:val="16"/>
              </w:rPr>
            </w:pPr>
            <w:r>
              <w:rPr>
                <w:color w:val="000000"/>
                <w:sz w:val="16"/>
                <w:szCs w:val="16"/>
              </w:rPr>
              <w:t>-0.71</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98686FC" w14:textId="22765A60" w:rsidR="00500C13" w:rsidRPr="008D3568" w:rsidRDefault="00500C13" w:rsidP="00500C13">
            <w:pPr>
              <w:rPr>
                <w:rFonts w:cs="Times New Roman"/>
                <w:color w:val="000000"/>
                <w:sz w:val="16"/>
                <w:szCs w:val="16"/>
              </w:rPr>
            </w:pPr>
            <w:r>
              <w:rPr>
                <w:color w:val="000000"/>
                <w:sz w:val="16"/>
                <w:szCs w:val="16"/>
              </w:rPr>
              <w:t>0.88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8F55799" w14:textId="0FE1675E" w:rsidR="00500C13" w:rsidRPr="008D3568" w:rsidRDefault="00500C13" w:rsidP="00500C13">
            <w:pPr>
              <w:rPr>
                <w:rFonts w:cs="Times New Roman"/>
                <w:color w:val="000000"/>
                <w:sz w:val="16"/>
                <w:szCs w:val="16"/>
              </w:rPr>
            </w:pPr>
            <w:r>
              <w:rPr>
                <w:color w:val="000000"/>
                <w:sz w:val="16"/>
                <w:szCs w:val="16"/>
              </w:rPr>
              <w:t>390</w:t>
            </w:r>
          </w:p>
        </w:tc>
      </w:tr>
      <w:tr w:rsidR="00500C13" w:rsidRPr="008D3568" w14:paraId="3A3D54A3" w14:textId="77777777" w:rsidTr="00772F4F">
        <w:tc>
          <w:tcPr>
            <w:tcW w:w="1532" w:type="dxa"/>
            <w:vMerge w:val="restart"/>
            <w:tcBorders>
              <w:top w:val="nil"/>
              <w:left w:val="single" w:sz="4" w:space="0" w:color="auto"/>
              <w:right w:val="single" w:sz="4" w:space="0" w:color="auto"/>
            </w:tcBorders>
            <w:shd w:val="clear" w:color="auto" w:fill="auto"/>
            <w:vAlign w:val="center"/>
          </w:tcPr>
          <w:p w14:paraId="1BC740C9" w14:textId="018D4524" w:rsidR="00500C13" w:rsidRPr="008D3568" w:rsidRDefault="00500C13" w:rsidP="00500C13">
            <w:pPr>
              <w:rPr>
                <w:rFonts w:cs="Times New Roman"/>
                <w:sz w:val="16"/>
                <w:szCs w:val="16"/>
              </w:rPr>
            </w:pPr>
            <w:r>
              <w:rPr>
                <w:color w:val="000000"/>
                <w:sz w:val="16"/>
                <w:szCs w:val="16"/>
              </w:rPr>
              <w:t>REGARD</w:t>
            </w:r>
          </w:p>
        </w:tc>
        <w:tc>
          <w:tcPr>
            <w:tcW w:w="1503" w:type="dxa"/>
            <w:tcBorders>
              <w:top w:val="nil"/>
              <w:left w:val="single" w:sz="4" w:space="0" w:color="auto"/>
              <w:bottom w:val="single" w:sz="4" w:space="0" w:color="auto"/>
              <w:right w:val="single" w:sz="4" w:space="0" w:color="auto"/>
            </w:tcBorders>
            <w:shd w:val="clear" w:color="auto" w:fill="auto"/>
            <w:vAlign w:val="center"/>
          </w:tcPr>
          <w:p w14:paraId="460D1D96" w14:textId="2AC2CCE1" w:rsidR="00500C13" w:rsidRPr="008D3568" w:rsidRDefault="00500C13" w:rsidP="00500C13">
            <w:pPr>
              <w:rPr>
                <w:rFonts w:cs="Times New Roman"/>
                <w:sz w:val="16"/>
                <w:szCs w:val="16"/>
              </w:rPr>
            </w:pPr>
            <w:r>
              <w:rPr>
                <w:color w:val="000000"/>
                <w:sz w:val="16"/>
                <w:szCs w:val="16"/>
              </w:rPr>
              <w:t>IFNβ-1a SC</w:t>
            </w:r>
          </w:p>
        </w:tc>
        <w:tc>
          <w:tcPr>
            <w:tcW w:w="1272" w:type="dxa"/>
            <w:tcBorders>
              <w:top w:val="nil"/>
              <w:left w:val="nil"/>
              <w:bottom w:val="single" w:sz="4" w:space="0" w:color="auto"/>
              <w:right w:val="single" w:sz="4" w:space="0" w:color="auto"/>
            </w:tcBorders>
            <w:shd w:val="clear" w:color="auto" w:fill="auto"/>
            <w:vAlign w:val="center"/>
          </w:tcPr>
          <w:p w14:paraId="0034D0AC" w14:textId="45F19BCD" w:rsidR="00500C13" w:rsidRPr="008D3568" w:rsidRDefault="00500C13" w:rsidP="00500C13">
            <w:pPr>
              <w:rPr>
                <w:rFonts w:cs="Times New Roman"/>
                <w:sz w:val="16"/>
                <w:szCs w:val="16"/>
              </w:rPr>
            </w:pPr>
            <w:r>
              <w:rPr>
                <w:color w:val="000000"/>
                <w:sz w:val="16"/>
                <w:szCs w:val="16"/>
              </w:rPr>
              <w:t>44</w:t>
            </w:r>
            <w:r w:rsidRPr="00B25251">
              <w:rPr>
                <w:color w:val="000000"/>
                <w:sz w:val="16"/>
                <w:szCs w:val="16"/>
              </w:rPr>
              <w:t xml:space="preserve"> µg</w:t>
            </w:r>
            <w:r w:rsidR="00267F10">
              <w:rPr>
                <w:color w:val="000000"/>
                <w:sz w:val="16"/>
                <w:szCs w:val="16"/>
              </w:rPr>
              <w:t xml:space="preserve"> SC </w:t>
            </w:r>
            <w:proofErr w:type="spellStart"/>
            <w:r w:rsidR="00267F10">
              <w:rPr>
                <w:color w:val="000000"/>
                <w:sz w:val="16"/>
                <w:szCs w:val="16"/>
              </w:rPr>
              <w:t>tiw</w:t>
            </w:r>
            <w:proofErr w:type="spellEnd"/>
          </w:p>
        </w:tc>
        <w:tc>
          <w:tcPr>
            <w:tcW w:w="1708" w:type="dxa"/>
            <w:tcBorders>
              <w:top w:val="nil"/>
              <w:left w:val="nil"/>
              <w:bottom w:val="single" w:sz="4" w:space="0" w:color="auto"/>
              <w:right w:val="single" w:sz="4" w:space="0" w:color="auto"/>
            </w:tcBorders>
            <w:shd w:val="clear" w:color="auto" w:fill="auto"/>
            <w:vAlign w:val="center"/>
          </w:tcPr>
          <w:p w14:paraId="05360D69" w14:textId="5B87BDF1" w:rsidR="00500C13" w:rsidRPr="008D3568" w:rsidRDefault="00500C13" w:rsidP="00500C13">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05AD2E18" w14:textId="5AD3A9A8" w:rsidR="00500C13" w:rsidRPr="008D3568" w:rsidRDefault="00500C13" w:rsidP="00500C13">
            <w:pPr>
              <w:rPr>
                <w:rFonts w:cs="Times New Roman"/>
                <w:color w:val="000000"/>
                <w:sz w:val="16"/>
                <w:szCs w:val="16"/>
              </w:rPr>
            </w:pPr>
            <w:r>
              <w:rPr>
                <w:color w:val="000000"/>
                <w:sz w:val="16"/>
                <w:szCs w:val="16"/>
              </w:rPr>
              <w:t>-0.82</w:t>
            </w:r>
          </w:p>
        </w:tc>
        <w:tc>
          <w:tcPr>
            <w:tcW w:w="1104" w:type="dxa"/>
            <w:tcBorders>
              <w:top w:val="nil"/>
              <w:left w:val="nil"/>
              <w:bottom w:val="single" w:sz="4" w:space="0" w:color="auto"/>
              <w:right w:val="single" w:sz="4" w:space="0" w:color="auto"/>
            </w:tcBorders>
            <w:shd w:val="clear" w:color="auto" w:fill="auto"/>
            <w:vAlign w:val="center"/>
          </w:tcPr>
          <w:p w14:paraId="5FCE125D" w14:textId="46870B28" w:rsidR="00500C13" w:rsidRPr="008D3568" w:rsidRDefault="007111D2" w:rsidP="00500C13">
            <w:pPr>
              <w:rPr>
                <w:rFonts w:cs="Times New Roman"/>
                <w:color w:val="000000"/>
                <w:sz w:val="16"/>
                <w:szCs w:val="16"/>
              </w:rPr>
            </w:pPr>
            <w:r>
              <w:rPr>
                <w:rFonts w:cs="Times New Roman"/>
                <w:color w:val="000000"/>
                <w:sz w:val="16"/>
                <w:szCs w:val="16"/>
              </w:rPr>
              <w:t>Imputed; 0.99</w:t>
            </w:r>
          </w:p>
        </w:tc>
        <w:tc>
          <w:tcPr>
            <w:tcW w:w="1084" w:type="dxa"/>
            <w:tcBorders>
              <w:top w:val="nil"/>
              <w:left w:val="nil"/>
              <w:bottom w:val="single" w:sz="4" w:space="0" w:color="auto"/>
              <w:right w:val="single" w:sz="4" w:space="0" w:color="auto"/>
            </w:tcBorders>
            <w:shd w:val="clear" w:color="auto" w:fill="auto"/>
            <w:vAlign w:val="center"/>
          </w:tcPr>
          <w:p w14:paraId="7FA363EC" w14:textId="547C9B90" w:rsidR="00500C13" w:rsidRPr="008D3568" w:rsidRDefault="00500C13" w:rsidP="00500C13">
            <w:pPr>
              <w:rPr>
                <w:rFonts w:cs="Times New Roman"/>
                <w:color w:val="000000"/>
                <w:sz w:val="16"/>
                <w:szCs w:val="16"/>
              </w:rPr>
            </w:pPr>
            <w:r>
              <w:rPr>
                <w:color w:val="000000"/>
                <w:sz w:val="16"/>
                <w:szCs w:val="16"/>
              </w:rPr>
              <w:t>230</w:t>
            </w:r>
          </w:p>
        </w:tc>
      </w:tr>
      <w:tr w:rsidR="00500C13" w:rsidRPr="008D3568" w14:paraId="4F53C52B" w14:textId="77777777" w:rsidTr="00772F4F">
        <w:tc>
          <w:tcPr>
            <w:tcW w:w="1532" w:type="dxa"/>
            <w:vMerge/>
            <w:tcBorders>
              <w:left w:val="single" w:sz="4" w:space="0" w:color="auto"/>
              <w:right w:val="single" w:sz="4" w:space="0" w:color="auto"/>
            </w:tcBorders>
            <w:vAlign w:val="center"/>
          </w:tcPr>
          <w:p w14:paraId="5DE4CD73"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2DAAA59F" w14:textId="0E77B876" w:rsidR="00500C13" w:rsidRPr="008D3568" w:rsidRDefault="00500C13" w:rsidP="00500C13">
            <w:pPr>
              <w:rPr>
                <w:rFonts w:cs="Times New Roman"/>
                <w:sz w:val="16"/>
                <w:szCs w:val="16"/>
              </w:rPr>
            </w:pPr>
            <w:r>
              <w:rPr>
                <w:color w:val="000000"/>
                <w:sz w:val="16"/>
                <w:szCs w:val="16"/>
              </w:rPr>
              <w:t>glatiramer acetate</w:t>
            </w:r>
          </w:p>
        </w:tc>
        <w:tc>
          <w:tcPr>
            <w:tcW w:w="1272" w:type="dxa"/>
            <w:tcBorders>
              <w:top w:val="nil"/>
              <w:left w:val="nil"/>
              <w:bottom w:val="single" w:sz="4" w:space="0" w:color="auto"/>
              <w:right w:val="single" w:sz="4" w:space="0" w:color="auto"/>
            </w:tcBorders>
            <w:shd w:val="clear" w:color="auto" w:fill="auto"/>
            <w:vAlign w:val="center"/>
          </w:tcPr>
          <w:p w14:paraId="06A08D5F" w14:textId="4397C8DF" w:rsidR="00500C13" w:rsidRPr="008D3568" w:rsidRDefault="00500C13" w:rsidP="00500C13">
            <w:pPr>
              <w:rPr>
                <w:rFonts w:cs="Times New Roman"/>
                <w:sz w:val="16"/>
                <w:szCs w:val="16"/>
              </w:rPr>
            </w:pPr>
            <w:r>
              <w:rPr>
                <w:color w:val="000000"/>
                <w:sz w:val="16"/>
                <w:szCs w:val="16"/>
              </w:rPr>
              <w:t>20</w:t>
            </w:r>
            <w:r w:rsidRPr="00B25251">
              <w:rPr>
                <w:color w:val="000000"/>
                <w:sz w:val="16"/>
                <w:szCs w:val="16"/>
              </w:rPr>
              <w:t xml:space="preserve"> mg</w:t>
            </w:r>
            <w:r w:rsidR="00267F10">
              <w:rPr>
                <w:color w:val="000000"/>
                <w:sz w:val="16"/>
                <w:szCs w:val="16"/>
              </w:rPr>
              <w:t xml:space="preserve"> </w:t>
            </w:r>
            <w:proofErr w:type="spellStart"/>
            <w:r w:rsidR="00267F10">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585C295C" w14:textId="413B0719" w:rsidR="00500C13" w:rsidRPr="008D3568" w:rsidRDefault="00500C13" w:rsidP="00500C13">
            <w:pPr>
              <w:rPr>
                <w:rFonts w:cs="Times New Roman"/>
                <w:sz w:val="16"/>
                <w:szCs w:val="16"/>
              </w:rPr>
            </w:pPr>
            <w:r>
              <w:rPr>
                <w:color w:val="000000"/>
                <w:sz w:val="16"/>
                <w:szCs w:val="16"/>
              </w:rPr>
              <w:t>48</w:t>
            </w:r>
          </w:p>
        </w:tc>
        <w:tc>
          <w:tcPr>
            <w:tcW w:w="1147" w:type="dxa"/>
            <w:tcBorders>
              <w:top w:val="nil"/>
              <w:left w:val="nil"/>
              <w:bottom w:val="single" w:sz="4" w:space="0" w:color="auto"/>
              <w:right w:val="single" w:sz="4" w:space="0" w:color="auto"/>
            </w:tcBorders>
            <w:shd w:val="clear" w:color="auto" w:fill="auto"/>
            <w:vAlign w:val="center"/>
          </w:tcPr>
          <w:p w14:paraId="62ABA2EF" w14:textId="6D2DD0AD" w:rsidR="00500C13" w:rsidRPr="008D3568" w:rsidRDefault="00500C13" w:rsidP="00500C13">
            <w:pPr>
              <w:rPr>
                <w:rFonts w:cs="Times New Roman"/>
                <w:color w:val="000000"/>
                <w:sz w:val="16"/>
                <w:szCs w:val="16"/>
              </w:rPr>
            </w:pPr>
            <w:r>
              <w:rPr>
                <w:color w:val="000000"/>
                <w:sz w:val="16"/>
                <w:szCs w:val="16"/>
              </w:rPr>
              <w:t>-0.76</w:t>
            </w:r>
          </w:p>
        </w:tc>
        <w:tc>
          <w:tcPr>
            <w:tcW w:w="1104" w:type="dxa"/>
            <w:tcBorders>
              <w:top w:val="nil"/>
              <w:left w:val="nil"/>
              <w:bottom w:val="single" w:sz="4" w:space="0" w:color="auto"/>
              <w:right w:val="single" w:sz="4" w:space="0" w:color="auto"/>
            </w:tcBorders>
            <w:shd w:val="clear" w:color="auto" w:fill="auto"/>
            <w:vAlign w:val="center"/>
          </w:tcPr>
          <w:p w14:paraId="6D9695F8" w14:textId="2D629D86" w:rsidR="00500C13" w:rsidRPr="008D3568" w:rsidRDefault="007111D2" w:rsidP="00500C13">
            <w:pPr>
              <w:rPr>
                <w:rFonts w:cs="Times New Roman"/>
                <w:color w:val="000000"/>
                <w:sz w:val="16"/>
                <w:szCs w:val="16"/>
              </w:rPr>
            </w:pPr>
            <w:r>
              <w:rPr>
                <w:rFonts w:cs="Times New Roman"/>
                <w:color w:val="000000"/>
                <w:sz w:val="16"/>
                <w:szCs w:val="16"/>
              </w:rPr>
              <w:t>Imputed; 0.96</w:t>
            </w:r>
          </w:p>
        </w:tc>
        <w:tc>
          <w:tcPr>
            <w:tcW w:w="1084" w:type="dxa"/>
            <w:tcBorders>
              <w:top w:val="nil"/>
              <w:left w:val="nil"/>
              <w:bottom w:val="single" w:sz="4" w:space="0" w:color="auto"/>
              <w:right w:val="single" w:sz="4" w:space="0" w:color="auto"/>
            </w:tcBorders>
            <w:shd w:val="clear" w:color="auto" w:fill="auto"/>
            <w:vAlign w:val="center"/>
          </w:tcPr>
          <w:p w14:paraId="4504418E" w14:textId="6144D8A9" w:rsidR="00500C13" w:rsidRPr="008D3568" w:rsidRDefault="00500C13" w:rsidP="00500C13">
            <w:pPr>
              <w:rPr>
                <w:rFonts w:cs="Times New Roman"/>
                <w:color w:val="000000"/>
                <w:sz w:val="16"/>
                <w:szCs w:val="16"/>
              </w:rPr>
            </w:pPr>
            <w:r>
              <w:rPr>
                <w:color w:val="000000"/>
                <w:sz w:val="16"/>
                <w:szCs w:val="16"/>
              </w:rPr>
              <w:t>230</w:t>
            </w:r>
          </w:p>
        </w:tc>
      </w:tr>
      <w:tr w:rsidR="00500C13" w:rsidRPr="008D3568" w14:paraId="7F30F784" w14:textId="77777777" w:rsidTr="00772F4F">
        <w:tc>
          <w:tcPr>
            <w:tcW w:w="1532" w:type="dxa"/>
            <w:vMerge/>
            <w:tcBorders>
              <w:left w:val="single" w:sz="4" w:space="0" w:color="auto"/>
              <w:right w:val="single" w:sz="4" w:space="0" w:color="auto"/>
            </w:tcBorders>
            <w:vAlign w:val="center"/>
          </w:tcPr>
          <w:p w14:paraId="5BBFE1A1"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B3FC39D" w14:textId="7F722615" w:rsidR="00500C13" w:rsidRPr="008D3568" w:rsidRDefault="00500C13" w:rsidP="00500C13">
            <w:pPr>
              <w:rPr>
                <w:rFonts w:cs="Times New Roman"/>
                <w:sz w:val="16"/>
                <w:szCs w:val="16"/>
              </w:rPr>
            </w:pPr>
            <w:r>
              <w:rPr>
                <w:color w:val="000000"/>
                <w:sz w:val="16"/>
                <w:szCs w:val="16"/>
              </w:rPr>
              <w:t>IFNβ-1a SC</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8404DFB" w14:textId="638A9AC4" w:rsidR="00500C13" w:rsidRPr="008D3568" w:rsidRDefault="00500C13" w:rsidP="00500C13">
            <w:pPr>
              <w:rPr>
                <w:rFonts w:cs="Times New Roman"/>
                <w:sz w:val="16"/>
                <w:szCs w:val="16"/>
              </w:rPr>
            </w:pPr>
            <w:r>
              <w:rPr>
                <w:color w:val="000000"/>
                <w:sz w:val="16"/>
                <w:szCs w:val="16"/>
              </w:rPr>
              <w:t>44</w:t>
            </w:r>
            <w:r w:rsidRPr="00B25251">
              <w:rPr>
                <w:color w:val="000000"/>
                <w:sz w:val="16"/>
                <w:szCs w:val="16"/>
              </w:rPr>
              <w:t xml:space="preserve"> µg</w:t>
            </w:r>
            <w:r w:rsidR="00267F10">
              <w:rPr>
                <w:color w:val="000000"/>
                <w:sz w:val="16"/>
                <w:szCs w:val="16"/>
              </w:rPr>
              <w:t xml:space="preserve"> SC </w:t>
            </w:r>
            <w:proofErr w:type="spellStart"/>
            <w:r w:rsidR="00267F10">
              <w:rPr>
                <w:color w:val="000000"/>
                <w:sz w:val="16"/>
                <w:szCs w:val="16"/>
              </w:rPr>
              <w:t>tiw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5FC580C" w14:textId="4AB0B85B"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5CCA913C" w14:textId="47B1E302" w:rsidR="00500C13" w:rsidRPr="008D3568" w:rsidRDefault="00500C13" w:rsidP="00500C13">
            <w:pPr>
              <w:rPr>
                <w:rFonts w:cs="Times New Roman"/>
                <w:color w:val="000000"/>
                <w:sz w:val="16"/>
                <w:szCs w:val="16"/>
              </w:rPr>
            </w:pPr>
            <w:r>
              <w:rPr>
                <w:color w:val="000000"/>
                <w:sz w:val="16"/>
                <w:szCs w:val="16"/>
              </w:rPr>
              <w:t>-1.24</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2329292" w14:textId="52FF5273" w:rsidR="00500C13" w:rsidRPr="008D3568" w:rsidRDefault="007111D2" w:rsidP="00500C13">
            <w:pPr>
              <w:rPr>
                <w:rFonts w:cs="Times New Roman"/>
                <w:color w:val="000000"/>
                <w:sz w:val="16"/>
                <w:szCs w:val="16"/>
              </w:rPr>
            </w:pPr>
            <w:r>
              <w:rPr>
                <w:rFonts w:cs="Times New Roman"/>
                <w:color w:val="000000"/>
                <w:sz w:val="16"/>
                <w:szCs w:val="16"/>
              </w:rPr>
              <w:t>Imputed; 1.33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92DDAD5" w14:textId="068B6BC0" w:rsidR="00500C13" w:rsidRPr="008D3568" w:rsidRDefault="00500C13" w:rsidP="00500C13">
            <w:pPr>
              <w:rPr>
                <w:rFonts w:cs="Times New Roman"/>
                <w:color w:val="000000"/>
                <w:sz w:val="16"/>
                <w:szCs w:val="16"/>
              </w:rPr>
            </w:pPr>
            <w:r>
              <w:rPr>
                <w:color w:val="000000"/>
                <w:sz w:val="16"/>
                <w:szCs w:val="16"/>
              </w:rPr>
              <w:t>230</w:t>
            </w:r>
          </w:p>
        </w:tc>
      </w:tr>
      <w:tr w:rsidR="00500C13" w:rsidRPr="008D3568" w14:paraId="4E857603" w14:textId="77777777" w:rsidTr="00772F4F">
        <w:tc>
          <w:tcPr>
            <w:tcW w:w="1532" w:type="dxa"/>
            <w:vMerge/>
            <w:tcBorders>
              <w:left w:val="single" w:sz="4" w:space="0" w:color="auto"/>
              <w:bottom w:val="single" w:sz="4" w:space="0" w:color="auto"/>
              <w:right w:val="single" w:sz="4" w:space="0" w:color="auto"/>
            </w:tcBorders>
            <w:vAlign w:val="center"/>
          </w:tcPr>
          <w:p w14:paraId="14947080"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1DACA78F" w14:textId="074D7DDA" w:rsidR="00500C13" w:rsidRPr="008D3568" w:rsidRDefault="00500C13" w:rsidP="00500C13">
            <w:pPr>
              <w:rPr>
                <w:rFonts w:cs="Times New Roman"/>
                <w:sz w:val="16"/>
                <w:szCs w:val="16"/>
              </w:rPr>
            </w:pPr>
            <w:r>
              <w:rPr>
                <w:color w:val="000000"/>
                <w:sz w:val="16"/>
                <w:szCs w:val="16"/>
              </w:rPr>
              <w:t>glatiramer acetate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03A4D040" w14:textId="3943CFB3" w:rsidR="00500C13" w:rsidRPr="008D3568" w:rsidRDefault="00500C13" w:rsidP="00500C13">
            <w:pPr>
              <w:rPr>
                <w:rFonts w:cs="Times New Roman"/>
                <w:sz w:val="16"/>
                <w:szCs w:val="16"/>
              </w:rPr>
            </w:pPr>
            <w:r>
              <w:rPr>
                <w:color w:val="000000"/>
                <w:sz w:val="16"/>
                <w:szCs w:val="16"/>
              </w:rPr>
              <w:t>20</w:t>
            </w:r>
            <w:r w:rsidRPr="00B25251">
              <w:rPr>
                <w:color w:val="000000"/>
                <w:sz w:val="16"/>
                <w:szCs w:val="16"/>
              </w:rPr>
              <w:t xml:space="preserve"> mg</w:t>
            </w:r>
            <w:r w:rsidR="00267F10">
              <w:rPr>
                <w:color w:val="000000"/>
                <w:sz w:val="16"/>
                <w:szCs w:val="16"/>
              </w:rPr>
              <w:t xml:space="preserve"> </w:t>
            </w:r>
            <w:proofErr w:type="spellStart"/>
            <w:r w:rsidR="00267F10">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64D5DCAC" w14:textId="4F2AF4F2" w:rsidR="00500C13" w:rsidRPr="008D3568" w:rsidRDefault="00500C13" w:rsidP="00500C13">
            <w:pPr>
              <w:rPr>
                <w:rFonts w:cs="Times New Roman"/>
                <w:sz w:val="16"/>
                <w:szCs w:val="16"/>
              </w:rPr>
            </w:pPr>
            <w:r>
              <w:rPr>
                <w:color w:val="000000"/>
                <w:sz w:val="16"/>
                <w:szCs w:val="16"/>
              </w:rPr>
              <w:t>96</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B7F9FE0" w14:textId="313E1A03" w:rsidR="00500C13" w:rsidRPr="008D3568" w:rsidRDefault="00500C13" w:rsidP="00500C13">
            <w:pPr>
              <w:rPr>
                <w:rFonts w:cs="Times New Roman"/>
                <w:color w:val="000000"/>
                <w:sz w:val="16"/>
                <w:szCs w:val="16"/>
              </w:rPr>
            </w:pPr>
            <w:r>
              <w:rPr>
                <w:color w:val="000000"/>
                <w:sz w:val="16"/>
                <w:szCs w:val="16"/>
              </w:rPr>
              <w:t>-1.07</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6A255C11" w14:textId="6D2FE1C6" w:rsidR="00500C13" w:rsidRPr="008D3568" w:rsidRDefault="007111D2" w:rsidP="00500C13">
            <w:pPr>
              <w:rPr>
                <w:rFonts w:cs="Times New Roman"/>
                <w:color w:val="000000"/>
                <w:sz w:val="16"/>
                <w:szCs w:val="16"/>
              </w:rPr>
            </w:pPr>
            <w:r>
              <w:rPr>
                <w:rFonts w:cs="Times New Roman"/>
                <w:color w:val="000000"/>
                <w:sz w:val="16"/>
                <w:szCs w:val="16"/>
              </w:rPr>
              <w:t>Imputed; 1.24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3649F695" w14:textId="6DB3A21E" w:rsidR="00500C13" w:rsidRPr="008D3568" w:rsidRDefault="00500C13" w:rsidP="00500C13">
            <w:pPr>
              <w:rPr>
                <w:rFonts w:cs="Times New Roman"/>
                <w:color w:val="000000"/>
                <w:sz w:val="16"/>
                <w:szCs w:val="16"/>
              </w:rPr>
            </w:pPr>
            <w:r>
              <w:rPr>
                <w:color w:val="000000"/>
                <w:sz w:val="16"/>
                <w:szCs w:val="16"/>
              </w:rPr>
              <w:t>230</w:t>
            </w:r>
          </w:p>
        </w:tc>
      </w:tr>
      <w:tr w:rsidR="00500C13" w:rsidRPr="008D3568" w14:paraId="7BB4E2F0" w14:textId="77777777" w:rsidTr="00772F4F">
        <w:tc>
          <w:tcPr>
            <w:tcW w:w="1532" w:type="dxa"/>
            <w:vMerge w:val="restart"/>
            <w:tcBorders>
              <w:top w:val="nil"/>
              <w:left w:val="single" w:sz="4" w:space="0" w:color="auto"/>
              <w:right w:val="single" w:sz="4" w:space="0" w:color="auto"/>
            </w:tcBorders>
            <w:shd w:val="clear" w:color="auto" w:fill="auto"/>
            <w:vAlign w:val="center"/>
          </w:tcPr>
          <w:p w14:paraId="08C79437" w14:textId="44B557CB" w:rsidR="00500C13" w:rsidRPr="008D3568" w:rsidRDefault="00500C13" w:rsidP="00500C13">
            <w:pPr>
              <w:rPr>
                <w:rFonts w:cs="Times New Roman"/>
                <w:sz w:val="16"/>
                <w:szCs w:val="16"/>
              </w:rPr>
            </w:pPr>
            <w:r>
              <w:rPr>
                <w:color w:val="000000"/>
                <w:sz w:val="16"/>
                <w:szCs w:val="16"/>
              </w:rPr>
              <w:t>SUNBEAM</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B8DC291" w14:textId="70130AFC" w:rsidR="00500C13" w:rsidRPr="008D3568" w:rsidRDefault="00500C13" w:rsidP="00500C13">
            <w:pPr>
              <w:rPr>
                <w:rFonts w:cs="Times New Roman"/>
                <w:sz w:val="16"/>
                <w:szCs w:val="16"/>
              </w:rPr>
            </w:pPr>
            <w:r>
              <w:rPr>
                <w:color w:val="000000"/>
                <w:sz w:val="16"/>
                <w:szCs w:val="16"/>
              </w:rPr>
              <w:t>IFNβ-1a IM</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86E248B" w14:textId="0B368A05" w:rsidR="00500C13" w:rsidRPr="008D3568" w:rsidRDefault="00500C13" w:rsidP="00500C13">
            <w:pPr>
              <w:rPr>
                <w:rFonts w:cs="Times New Roman"/>
                <w:sz w:val="16"/>
                <w:szCs w:val="16"/>
              </w:rPr>
            </w:pPr>
            <w:r>
              <w:rPr>
                <w:color w:val="000000"/>
                <w:sz w:val="16"/>
                <w:szCs w:val="16"/>
              </w:rPr>
              <w:t>30</w:t>
            </w:r>
            <w:r w:rsidRPr="00781B9B">
              <w:rPr>
                <w:color w:val="000000"/>
                <w:sz w:val="16"/>
                <w:szCs w:val="16"/>
              </w:rPr>
              <w:t xml:space="preserve"> µg</w:t>
            </w:r>
            <w:r w:rsidR="00E01914">
              <w:rPr>
                <w:color w:val="000000"/>
                <w:sz w:val="16"/>
                <w:szCs w:val="16"/>
              </w:rPr>
              <w:t xml:space="preserve"> IM </w:t>
            </w:r>
            <w:proofErr w:type="spellStart"/>
            <w:r w:rsidR="00E01914">
              <w:rPr>
                <w:color w:val="000000"/>
                <w:sz w:val="16"/>
                <w:szCs w:val="16"/>
              </w:rPr>
              <w:t>qw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47CC9AD" w14:textId="22A730D8"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251E23D" w14:textId="1EFBD064" w:rsidR="00500C13" w:rsidRPr="008D3568" w:rsidRDefault="00500C13" w:rsidP="00500C13">
            <w:pPr>
              <w:rPr>
                <w:rFonts w:cs="Times New Roman"/>
                <w:color w:val="000000"/>
                <w:sz w:val="16"/>
                <w:szCs w:val="16"/>
              </w:rPr>
            </w:pPr>
            <w:r>
              <w:rPr>
                <w:color w:val="000000"/>
                <w:sz w:val="16"/>
                <w:szCs w:val="16"/>
              </w:rPr>
              <w:t>-0.61</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4A6129AF" w14:textId="303D1B96" w:rsidR="00500C13" w:rsidRPr="008D3568" w:rsidRDefault="00500C13" w:rsidP="00500C13">
            <w:pPr>
              <w:rPr>
                <w:rFonts w:cs="Times New Roman"/>
                <w:color w:val="000000"/>
                <w:sz w:val="16"/>
                <w:szCs w:val="16"/>
              </w:rPr>
            </w:pPr>
            <w:r>
              <w:rPr>
                <w:color w:val="000000"/>
                <w:sz w:val="16"/>
                <w:szCs w:val="16"/>
              </w:rPr>
              <w:t>0.6</w:t>
            </w:r>
            <w:r w:rsidR="00202E74">
              <w:rPr>
                <w:color w:val="000000"/>
                <w:sz w:val="16"/>
                <w:szCs w:val="16"/>
              </w:rPr>
              <w:t>9</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0C88EB3B" w14:textId="7A4E67F5" w:rsidR="00500C13" w:rsidRPr="008D3568" w:rsidRDefault="00500C13" w:rsidP="00500C13">
            <w:pPr>
              <w:rPr>
                <w:rFonts w:cs="Times New Roman"/>
                <w:color w:val="000000"/>
                <w:sz w:val="16"/>
                <w:szCs w:val="16"/>
              </w:rPr>
            </w:pPr>
            <w:r>
              <w:rPr>
                <w:color w:val="000000"/>
                <w:sz w:val="16"/>
                <w:szCs w:val="16"/>
              </w:rPr>
              <w:t>406</w:t>
            </w:r>
          </w:p>
        </w:tc>
      </w:tr>
      <w:tr w:rsidR="00500C13" w:rsidRPr="008D3568" w14:paraId="671190B2" w14:textId="77777777" w:rsidTr="00772F4F">
        <w:tc>
          <w:tcPr>
            <w:tcW w:w="1532" w:type="dxa"/>
            <w:vMerge/>
            <w:tcBorders>
              <w:left w:val="single" w:sz="4" w:space="0" w:color="auto"/>
              <w:right w:val="single" w:sz="4" w:space="0" w:color="auto"/>
            </w:tcBorders>
            <w:vAlign w:val="center"/>
          </w:tcPr>
          <w:p w14:paraId="65730D57"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09D3C210" w14:textId="2104B046" w:rsidR="00500C13" w:rsidRPr="008D3568" w:rsidRDefault="00500C13" w:rsidP="00500C13">
            <w:pPr>
              <w:rPr>
                <w:rFonts w:cs="Times New Roman"/>
                <w:sz w:val="16"/>
                <w:szCs w:val="16"/>
              </w:rPr>
            </w:pPr>
            <w:r>
              <w:rPr>
                <w:color w:val="000000"/>
                <w:sz w:val="16"/>
                <w:szCs w:val="16"/>
              </w:rPr>
              <w:t>ozanimod</w:t>
            </w:r>
          </w:p>
        </w:tc>
        <w:tc>
          <w:tcPr>
            <w:tcW w:w="1272" w:type="dxa"/>
            <w:tcBorders>
              <w:top w:val="nil"/>
              <w:left w:val="nil"/>
              <w:bottom w:val="single" w:sz="4" w:space="0" w:color="auto"/>
              <w:right w:val="single" w:sz="4" w:space="0" w:color="auto"/>
            </w:tcBorders>
            <w:shd w:val="clear" w:color="auto" w:fill="auto"/>
            <w:vAlign w:val="center"/>
          </w:tcPr>
          <w:p w14:paraId="1BC8922B" w14:textId="09DBB77E" w:rsidR="00500C13" w:rsidRPr="008D3568" w:rsidRDefault="00500C13" w:rsidP="00500C13">
            <w:pPr>
              <w:rPr>
                <w:rFonts w:cs="Times New Roman"/>
                <w:sz w:val="16"/>
                <w:szCs w:val="16"/>
              </w:rPr>
            </w:pPr>
            <w:r>
              <w:rPr>
                <w:color w:val="000000"/>
                <w:sz w:val="16"/>
                <w:szCs w:val="16"/>
              </w:rPr>
              <w:t>0.5</w:t>
            </w:r>
            <w:r w:rsidRPr="00781B9B">
              <w:rPr>
                <w:color w:val="000000"/>
                <w:sz w:val="16"/>
                <w:szCs w:val="16"/>
              </w:rPr>
              <w:t xml:space="preserve"> mg</w:t>
            </w:r>
            <w:r w:rsidR="00E01914">
              <w:rPr>
                <w:color w:val="000000"/>
                <w:sz w:val="16"/>
                <w:szCs w:val="16"/>
              </w:rPr>
              <w:t xml:space="preserve"> </w:t>
            </w:r>
            <w:proofErr w:type="spellStart"/>
            <w:r w:rsidR="00E01914">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789C317E" w14:textId="3D191A8C"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1B239F9E" w14:textId="627DB673" w:rsidR="00500C13" w:rsidRPr="008D3568" w:rsidRDefault="00500C13" w:rsidP="00500C13">
            <w:pPr>
              <w:rPr>
                <w:rFonts w:cs="Times New Roman"/>
                <w:color w:val="000000"/>
                <w:sz w:val="16"/>
                <w:szCs w:val="16"/>
              </w:rPr>
            </w:pPr>
            <w:r>
              <w:rPr>
                <w:color w:val="000000"/>
                <w:sz w:val="16"/>
                <w:szCs w:val="16"/>
              </w:rPr>
              <w:t>-0.50</w:t>
            </w:r>
          </w:p>
        </w:tc>
        <w:tc>
          <w:tcPr>
            <w:tcW w:w="1104" w:type="dxa"/>
            <w:tcBorders>
              <w:top w:val="nil"/>
              <w:left w:val="nil"/>
              <w:bottom w:val="single" w:sz="4" w:space="0" w:color="auto"/>
              <w:right w:val="single" w:sz="4" w:space="0" w:color="auto"/>
            </w:tcBorders>
            <w:shd w:val="clear" w:color="auto" w:fill="auto"/>
            <w:vAlign w:val="center"/>
          </w:tcPr>
          <w:p w14:paraId="40AF3927" w14:textId="5ADA5F37" w:rsidR="00500C13" w:rsidRPr="008D3568" w:rsidRDefault="00500C13" w:rsidP="00500C13">
            <w:pPr>
              <w:rPr>
                <w:rFonts w:cs="Times New Roman"/>
                <w:color w:val="000000"/>
                <w:sz w:val="16"/>
                <w:szCs w:val="16"/>
              </w:rPr>
            </w:pPr>
            <w:r>
              <w:rPr>
                <w:color w:val="000000"/>
                <w:sz w:val="16"/>
                <w:szCs w:val="16"/>
              </w:rPr>
              <w:t>0.87</w:t>
            </w:r>
          </w:p>
        </w:tc>
        <w:tc>
          <w:tcPr>
            <w:tcW w:w="1084" w:type="dxa"/>
            <w:tcBorders>
              <w:top w:val="nil"/>
              <w:left w:val="nil"/>
              <w:bottom w:val="single" w:sz="4" w:space="0" w:color="auto"/>
              <w:right w:val="single" w:sz="4" w:space="0" w:color="auto"/>
            </w:tcBorders>
            <w:shd w:val="clear" w:color="auto" w:fill="auto"/>
            <w:vAlign w:val="center"/>
          </w:tcPr>
          <w:p w14:paraId="1D307552" w14:textId="20B1A83A" w:rsidR="00500C13" w:rsidRPr="008D3568" w:rsidRDefault="00202E74" w:rsidP="00500C13">
            <w:pPr>
              <w:rPr>
                <w:rFonts w:cs="Times New Roman"/>
                <w:color w:val="000000"/>
                <w:sz w:val="16"/>
                <w:szCs w:val="16"/>
              </w:rPr>
            </w:pPr>
            <w:r>
              <w:rPr>
                <w:color w:val="000000"/>
                <w:sz w:val="16"/>
                <w:szCs w:val="16"/>
              </w:rPr>
              <w:t>420</w:t>
            </w:r>
          </w:p>
        </w:tc>
      </w:tr>
      <w:tr w:rsidR="00500C13" w:rsidRPr="008D3568" w14:paraId="7F10198C" w14:textId="77777777" w:rsidTr="00772F4F">
        <w:tc>
          <w:tcPr>
            <w:tcW w:w="1532" w:type="dxa"/>
            <w:vMerge/>
            <w:tcBorders>
              <w:left w:val="single" w:sz="4" w:space="0" w:color="auto"/>
              <w:bottom w:val="single" w:sz="4" w:space="0" w:color="auto"/>
              <w:right w:val="single" w:sz="4" w:space="0" w:color="auto"/>
            </w:tcBorders>
            <w:vAlign w:val="center"/>
          </w:tcPr>
          <w:p w14:paraId="27E8E890"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D2EA55E" w14:textId="2CCCA052" w:rsidR="00500C13" w:rsidRPr="008D3568" w:rsidRDefault="00500C13" w:rsidP="00500C13">
            <w:pPr>
              <w:rPr>
                <w:rFonts w:cs="Times New Roman"/>
                <w:sz w:val="16"/>
                <w:szCs w:val="16"/>
              </w:rPr>
            </w:pPr>
            <w:r>
              <w:rPr>
                <w:color w:val="000000"/>
                <w:sz w:val="16"/>
                <w:szCs w:val="16"/>
              </w:rPr>
              <w:t>ozanimod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718AE4CE" w14:textId="2E906AFE" w:rsidR="00500C13" w:rsidRPr="008D3568" w:rsidRDefault="00500C13" w:rsidP="00500C13">
            <w:pPr>
              <w:rPr>
                <w:rFonts w:cs="Times New Roman"/>
                <w:sz w:val="16"/>
                <w:szCs w:val="16"/>
              </w:rPr>
            </w:pPr>
            <w:r>
              <w:rPr>
                <w:color w:val="000000"/>
                <w:sz w:val="16"/>
                <w:szCs w:val="16"/>
              </w:rPr>
              <w:t>1</w:t>
            </w:r>
            <w:r w:rsidRPr="00781B9B">
              <w:rPr>
                <w:color w:val="000000"/>
                <w:sz w:val="16"/>
                <w:szCs w:val="16"/>
              </w:rPr>
              <w:t xml:space="preserve"> mg</w:t>
            </w:r>
            <w:r w:rsidR="00E01914">
              <w:rPr>
                <w:color w:val="000000"/>
                <w:sz w:val="16"/>
                <w:szCs w:val="16"/>
              </w:rPr>
              <w:t xml:space="preserve"> </w:t>
            </w:r>
            <w:proofErr w:type="spellStart"/>
            <w:r w:rsidR="00E01914">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7878B4FC" w14:textId="50C1AE05"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49C41504" w14:textId="2D793901" w:rsidR="00500C13" w:rsidRPr="008D3568" w:rsidRDefault="00500C13" w:rsidP="00500C13">
            <w:pPr>
              <w:rPr>
                <w:rFonts w:cs="Times New Roman"/>
                <w:color w:val="000000"/>
                <w:sz w:val="16"/>
                <w:szCs w:val="16"/>
              </w:rPr>
            </w:pPr>
            <w:r>
              <w:rPr>
                <w:color w:val="000000"/>
                <w:sz w:val="16"/>
                <w:szCs w:val="16"/>
              </w:rPr>
              <w:t>-0.41</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026722D5" w14:textId="1405609D" w:rsidR="00500C13" w:rsidRPr="008D3568" w:rsidRDefault="00500C13" w:rsidP="00500C13">
            <w:pPr>
              <w:rPr>
                <w:rFonts w:cs="Times New Roman"/>
                <w:color w:val="000000"/>
                <w:sz w:val="16"/>
                <w:szCs w:val="16"/>
              </w:rPr>
            </w:pPr>
            <w:r>
              <w:rPr>
                <w:color w:val="000000"/>
                <w:sz w:val="16"/>
                <w:szCs w:val="16"/>
              </w:rPr>
              <w:t>0.64</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49AFF9D4" w14:textId="28907EAB" w:rsidR="00500C13" w:rsidRPr="008D3568" w:rsidRDefault="00500C13" w:rsidP="00500C13">
            <w:pPr>
              <w:rPr>
                <w:rFonts w:cs="Times New Roman"/>
                <w:color w:val="000000"/>
                <w:sz w:val="16"/>
                <w:szCs w:val="16"/>
              </w:rPr>
            </w:pPr>
            <w:r>
              <w:rPr>
                <w:color w:val="000000"/>
                <w:sz w:val="16"/>
                <w:szCs w:val="16"/>
              </w:rPr>
              <w:t>397</w:t>
            </w:r>
          </w:p>
        </w:tc>
      </w:tr>
      <w:tr w:rsidR="00500C13" w:rsidRPr="008D3568" w14:paraId="0E806157" w14:textId="77777777" w:rsidTr="00086ECC">
        <w:tc>
          <w:tcPr>
            <w:tcW w:w="1532" w:type="dxa"/>
            <w:vMerge w:val="restart"/>
            <w:tcBorders>
              <w:top w:val="nil"/>
              <w:left w:val="single" w:sz="4" w:space="0" w:color="auto"/>
              <w:right w:val="single" w:sz="4" w:space="0" w:color="auto"/>
            </w:tcBorders>
            <w:shd w:val="clear" w:color="auto" w:fill="auto"/>
            <w:vAlign w:val="center"/>
          </w:tcPr>
          <w:p w14:paraId="27B11768" w14:textId="191EAD29" w:rsidR="00500C13" w:rsidRPr="008D3568" w:rsidRDefault="00500C13" w:rsidP="00500C13">
            <w:pPr>
              <w:rPr>
                <w:rFonts w:cs="Times New Roman"/>
                <w:sz w:val="16"/>
                <w:szCs w:val="16"/>
              </w:rPr>
            </w:pPr>
            <w:r>
              <w:rPr>
                <w:color w:val="000000"/>
                <w:sz w:val="16"/>
                <w:szCs w:val="16"/>
              </w:rPr>
              <w:t>TEMSO</w:t>
            </w:r>
          </w:p>
        </w:tc>
        <w:tc>
          <w:tcPr>
            <w:tcW w:w="1503" w:type="dxa"/>
            <w:tcBorders>
              <w:top w:val="nil"/>
              <w:left w:val="single" w:sz="4" w:space="0" w:color="auto"/>
              <w:bottom w:val="single" w:sz="4" w:space="0" w:color="auto"/>
              <w:right w:val="single" w:sz="4" w:space="0" w:color="auto"/>
            </w:tcBorders>
            <w:shd w:val="clear" w:color="auto" w:fill="auto"/>
            <w:vAlign w:val="center"/>
          </w:tcPr>
          <w:p w14:paraId="4FDBBAE2" w14:textId="33C91280" w:rsidR="00500C13" w:rsidRPr="008D3568" w:rsidRDefault="00500C13" w:rsidP="00500C13">
            <w:pPr>
              <w:rPr>
                <w:rFonts w:cs="Times New Roman"/>
                <w:sz w:val="16"/>
                <w:szCs w:val="16"/>
              </w:rPr>
            </w:pPr>
            <w:r>
              <w:rPr>
                <w:color w:val="000000"/>
                <w:sz w:val="16"/>
                <w:szCs w:val="16"/>
              </w:rPr>
              <w:t>placebo</w:t>
            </w:r>
          </w:p>
        </w:tc>
        <w:tc>
          <w:tcPr>
            <w:tcW w:w="1272" w:type="dxa"/>
            <w:tcBorders>
              <w:top w:val="nil"/>
              <w:left w:val="nil"/>
              <w:bottom w:val="single" w:sz="4" w:space="0" w:color="auto"/>
              <w:right w:val="single" w:sz="4" w:space="0" w:color="auto"/>
            </w:tcBorders>
            <w:shd w:val="clear" w:color="auto" w:fill="auto"/>
            <w:vAlign w:val="center"/>
          </w:tcPr>
          <w:p w14:paraId="3B9D6298" w14:textId="3FCE0883" w:rsidR="00500C13" w:rsidRPr="008D3568" w:rsidRDefault="00500C13" w:rsidP="00500C13">
            <w:pPr>
              <w:rPr>
                <w:rFonts w:cs="Times New Roman"/>
                <w:sz w:val="16"/>
                <w:szCs w:val="16"/>
              </w:rPr>
            </w:pPr>
            <w:r>
              <w:rPr>
                <w:color w:val="000000"/>
                <w:sz w:val="16"/>
                <w:szCs w:val="16"/>
              </w:rPr>
              <w:t>-</w:t>
            </w:r>
          </w:p>
        </w:tc>
        <w:tc>
          <w:tcPr>
            <w:tcW w:w="1708" w:type="dxa"/>
            <w:tcBorders>
              <w:top w:val="nil"/>
              <w:left w:val="nil"/>
              <w:bottom w:val="single" w:sz="4" w:space="0" w:color="auto"/>
              <w:right w:val="single" w:sz="4" w:space="0" w:color="auto"/>
            </w:tcBorders>
            <w:shd w:val="clear" w:color="auto" w:fill="auto"/>
            <w:vAlign w:val="center"/>
          </w:tcPr>
          <w:p w14:paraId="1FDC29AD" w14:textId="72F83A3A"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5C379E20" w14:textId="778BCB09" w:rsidR="00500C13" w:rsidRPr="008D3568" w:rsidRDefault="00500C13" w:rsidP="00500C13">
            <w:pPr>
              <w:rPr>
                <w:rFonts w:cs="Times New Roman"/>
                <w:color w:val="000000"/>
                <w:sz w:val="16"/>
                <w:szCs w:val="16"/>
              </w:rPr>
            </w:pPr>
            <w:r>
              <w:rPr>
                <w:color w:val="000000"/>
                <w:sz w:val="16"/>
                <w:szCs w:val="16"/>
              </w:rPr>
              <w:t>-0.61</w:t>
            </w:r>
          </w:p>
        </w:tc>
        <w:tc>
          <w:tcPr>
            <w:tcW w:w="1104" w:type="dxa"/>
            <w:tcBorders>
              <w:top w:val="nil"/>
              <w:left w:val="nil"/>
              <w:bottom w:val="single" w:sz="4" w:space="0" w:color="auto"/>
              <w:right w:val="single" w:sz="4" w:space="0" w:color="auto"/>
            </w:tcBorders>
            <w:shd w:val="clear" w:color="auto" w:fill="auto"/>
            <w:vAlign w:val="center"/>
          </w:tcPr>
          <w:p w14:paraId="5CBA0804" w14:textId="036096F6" w:rsidR="00500C13" w:rsidRPr="008D3568" w:rsidRDefault="00703A69" w:rsidP="00500C13">
            <w:pPr>
              <w:rPr>
                <w:rFonts w:cs="Times New Roman"/>
                <w:color w:val="000000"/>
                <w:sz w:val="16"/>
                <w:szCs w:val="16"/>
              </w:rPr>
            </w:pPr>
            <w:r>
              <w:rPr>
                <w:color w:val="000000"/>
                <w:sz w:val="16"/>
                <w:szCs w:val="16"/>
              </w:rPr>
              <w:t>0.89</w:t>
            </w:r>
          </w:p>
        </w:tc>
        <w:tc>
          <w:tcPr>
            <w:tcW w:w="1084" w:type="dxa"/>
            <w:tcBorders>
              <w:top w:val="nil"/>
              <w:left w:val="nil"/>
              <w:bottom w:val="single" w:sz="4" w:space="0" w:color="auto"/>
              <w:right w:val="single" w:sz="4" w:space="0" w:color="auto"/>
            </w:tcBorders>
            <w:shd w:val="clear" w:color="auto" w:fill="auto"/>
            <w:vAlign w:val="center"/>
          </w:tcPr>
          <w:p w14:paraId="67D26BD9" w14:textId="2098FBCB" w:rsidR="00500C13" w:rsidRPr="008D3568" w:rsidRDefault="00500C13" w:rsidP="00500C13">
            <w:pPr>
              <w:rPr>
                <w:rFonts w:cs="Times New Roman"/>
                <w:color w:val="000000"/>
                <w:sz w:val="16"/>
                <w:szCs w:val="16"/>
              </w:rPr>
            </w:pPr>
            <w:r>
              <w:rPr>
                <w:color w:val="000000"/>
                <w:sz w:val="16"/>
                <w:szCs w:val="16"/>
              </w:rPr>
              <w:t>276</w:t>
            </w:r>
          </w:p>
        </w:tc>
      </w:tr>
      <w:tr w:rsidR="00500C13" w:rsidRPr="008D3568" w14:paraId="1AA83846" w14:textId="77777777" w:rsidTr="00086ECC">
        <w:tc>
          <w:tcPr>
            <w:tcW w:w="1532" w:type="dxa"/>
            <w:vMerge/>
            <w:tcBorders>
              <w:left w:val="single" w:sz="4" w:space="0" w:color="auto"/>
              <w:right w:val="single" w:sz="4" w:space="0" w:color="auto"/>
            </w:tcBorders>
            <w:vAlign w:val="center"/>
          </w:tcPr>
          <w:p w14:paraId="6E230398"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504DD8E0" w14:textId="309FFD0B" w:rsidR="00500C13" w:rsidRPr="008D3568" w:rsidRDefault="00500C13" w:rsidP="00500C13">
            <w:pPr>
              <w:rPr>
                <w:rFonts w:cs="Times New Roman"/>
                <w:sz w:val="16"/>
                <w:szCs w:val="16"/>
              </w:rPr>
            </w:pPr>
            <w:r>
              <w:rPr>
                <w:color w:val="000000"/>
                <w:sz w:val="16"/>
                <w:szCs w:val="16"/>
              </w:rPr>
              <w:t>teriflunomide</w:t>
            </w:r>
          </w:p>
        </w:tc>
        <w:tc>
          <w:tcPr>
            <w:tcW w:w="1272" w:type="dxa"/>
            <w:tcBorders>
              <w:top w:val="nil"/>
              <w:left w:val="nil"/>
              <w:bottom w:val="single" w:sz="4" w:space="0" w:color="auto"/>
              <w:right w:val="single" w:sz="4" w:space="0" w:color="auto"/>
            </w:tcBorders>
            <w:shd w:val="clear" w:color="auto" w:fill="auto"/>
            <w:vAlign w:val="center"/>
          </w:tcPr>
          <w:p w14:paraId="5585F08D" w14:textId="401AC851" w:rsidR="00500C13" w:rsidRPr="008D3568" w:rsidRDefault="00500C13" w:rsidP="00500C13">
            <w:pPr>
              <w:rPr>
                <w:rFonts w:cs="Times New Roman"/>
                <w:sz w:val="16"/>
                <w:szCs w:val="16"/>
              </w:rPr>
            </w:pPr>
            <w:r>
              <w:rPr>
                <w:color w:val="000000"/>
                <w:sz w:val="16"/>
                <w:szCs w:val="16"/>
              </w:rPr>
              <w:t>7</w:t>
            </w:r>
            <w:r w:rsidRPr="004C70DA">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0E6A2FA3" w14:textId="6CBD5B56"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1AB22E99" w14:textId="58B4A38B" w:rsidR="00500C13" w:rsidRPr="008D3568" w:rsidRDefault="00500C13" w:rsidP="00500C13">
            <w:pPr>
              <w:rPr>
                <w:rFonts w:cs="Times New Roman"/>
                <w:color w:val="000000"/>
                <w:sz w:val="16"/>
                <w:szCs w:val="16"/>
              </w:rPr>
            </w:pPr>
            <w:r>
              <w:rPr>
                <w:color w:val="000000"/>
                <w:sz w:val="16"/>
                <w:szCs w:val="16"/>
              </w:rPr>
              <w:t>-0.40</w:t>
            </w:r>
          </w:p>
        </w:tc>
        <w:tc>
          <w:tcPr>
            <w:tcW w:w="1104" w:type="dxa"/>
            <w:tcBorders>
              <w:top w:val="nil"/>
              <w:left w:val="nil"/>
              <w:bottom w:val="single" w:sz="4" w:space="0" w:color="auto"/>
              <w:right w:val="single" w:sz="4" w:space="0" w:color="auto"/>
            </w:tcBorders>
            <w:shd w:val="clear" w:color="auto" w:fill="auto"/>
            <w:vAlign w:val="center"/>
          </w:tcPr>
          <w:p w14:paraId="40B267C4" w14:textId="2B8C0A20" w:rsidR="00500C13" w:rsidRPr="008D3568" w:rsidRDefault="00703A69" w:rsidP="00500C13">
            <w:pPr>
              <w:rPr>
                <w:rFonts w:cs="Times New Roman"/>
                <w:color w:val="000000"/>
                <w:sz w:val="16"/>
                <w:szCs w:val="16"/>
              </w:rPr>
            </w:pPr>
            <w:r>
              <w:rPr>
                <w:color w:val="000000"/>
                <w:sz w:val="16"/>
                <w:szCs w:val="16"/>
              </w:rPr>
              <w:t>0.59</w:t>
            </w:r>
          </w:p>
        </w:tc>
        <w:tc>
          <w:tcPr>
            <w:tcW w:w="1084" w:type="dxa"/>
            <w:tcBorders>
              <w:top w:val="nil"/>
              <w:left w:val="nil"/>
              <w:bottom w:val="single" w:sz="4" w:space="0" w:color="auto"/>
              <w:right w:val="single" w:sz="4" w:space="0" w:color="auto"/>
            </w:tcBorders>
            <w:shd w:val="clear" w:color="auto" w:fill="auto"/>
            <w:vAlign w:val="center"/>
          </w:tcPr>
          <w:p w14:paraId="1743AF49" w14:textId="4A2324AD" w:rsidR="00500C13" w:rsidRPr="008D3568" w:rsidRDefault="00500C13" w:rsidP="00500C13">
            <w:pPr>
              <w:rPr>
                <w:rFonts w:cs="Times New Roman"/>
                <w:color w:val="000000"/>
                <w:sz w:val="16"/>
                <w:szCs w:val="16"/>
              </w:rPr>
            </w:pPr>
            <w:r>
              <w:rPr>
                <w:color w:val="000000"/>
                <w:sz w:val="16"/>
                <w:szCs w:val="16"/>
              </w:rPr>
              <w:t>269</w:t>
            </w:r>
          </w:p>
        </w:tc>
      </w:tr>
      <w:tr w:rsidR="00500C13" w:rsidRPr="008D3568" w14:paraId="3E0EDC5D" w14:textId="77777777" w:rsidTr="00086ECC">
        <w:tc>
          <w:tcPr>
            <w:tcW w:w="1532" w:type="dxa"/>
            <w:vMerge/>
            <w:tcBorders>
              <w:left w:val="single" w:sz="4" w:space="0" w:color="auto"/>
              <w:right w:val="single" w:sz="4" w:space="0" w:color="auto"/>
            </w:tcBorders>
            <w:vAlign w:val="center"/>
          </w:tcPr>
          <w:p w14:paraId="4283841C"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4A70063B" w14:textId="3D75FBFB" w:rsidR="00500C13" w:rsidRPr="008D3568" w:rsidRDefault="00500C13" w:rsidP="00500C13">
            <w:pPr>
              <w:rPr>
                <w:rFonts w:cs="Times New Roman"/>
                <w:sz w:val="16"/>
                <w:szCs w:val="16"/>
              </w:rPr>
            </w:pPr>
            <w:r>
              <w:rPr>
                <w:color w:val="000000"/>
                <w:sz w:val="16"/>
                <w:szCs w:val="16"/>
              </w:rPr>
              <w:t>teriflunomide</w:t>
            </w:r>
          </w:p>
        </w:tc>
        <w:tc>
          <w:tcPr>
            <w:tcW w:w="1272" w:type="dxa"/>
            <w:tcBorders>
              <w:top w:val="nil"/>
              <w:left w:val="nil"/>
              <w:bottom w:val="single" w:sz="4" w:space="0" w:color="auto"/>
              <w:right w:val="single" w:sz="4" w:space="0" w:color="auto"/>
            </w:tcBorders>
            <w:shd w:val="clear" w:color="auto" w:fill="auto"/>
            <w:vAlign w:val="center"/>
          </w:tcPr>
          <w:p w14:paraId="46ABDA07" w14:textId="3EC7939A" w:rsidR="00500C13" w:rsidRPr="008D3568" w:rsidRDefault="00500C13" w:rsidP="00500C13">
            <w:pPr>
              <w:rPr>
                <w:rFonts w:cs="Times New Roman"/>
                <w:sz w:val="16"/>
                <w:szCs w:val="16"/>
              </w:rPr>
            </w:pPr>
            <w:r>
              <w:rPr>
                <w:color w:val="000000"/>
                <w:sz w:val="16"/>
                <w:szCs w:val="16"/>
              </w:rPr>
              <w:t>14</w:t>
            </w:r>
            <w:r w:rsidRPr="004C70DA">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49D81B27" w14:textId="640DF54A"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0296947E" w14:textId="2DD1AF83" w:rsidR="00500C13" w:rsidRPr="008D3568" w:rsidRDefault="00500C13" w:rsidP="00500C13">
            <w:pPr>
              <w:rPr>
                <w:rFonts w:cs="Times New Roman"/>
                <w:color w:val="000000"/>
                <w:sz w:val="16"/>
                <w:szCs w:val="16"/>
              </w:rPr>
            </w:pPr>
            <w:r>
              <w:rPr>
                <w:color w:val="000000"/>
                <w:sz w:val="16"/>
                <w:szCs w:val="16"/>
              </w:rPr>
              <w:t>-0.39</w:t>
            </w:r>
          </w:p>
        </w:tc>
        <w:tc>
          <w:tcPr>
            <w:tcW w:w="1104" w:type="dxa"/>
            <w:tcBorders>
              <w:top w:val="nil"/>
              <w:left w:val="nil"/>
              <w:bottom w:val="single" w:sz="4" w:space="0" w:color="auto"/>
              <w:right w:val="single" w:sz="4" w:space="0" w:color="auto"/>
            </w:tcBorders>
            <w:shd w:val="clear" w:color="auto" w:fill="auto"/>
            <w:vAlign w:val="center"/>
          </w:tcPr>
          <w:p w14:paraId="65CB59C6" w14:textId="366D2E4A" w:rsidR="00500C13" w:rsidRPr="008D3568" w:rsidRDefault="00703A69" w:rsidP="00500C13">
            <w:pPr>
              <w:rPr>
                <w:rFonts w:cs="Times New Roman"/>
                <w:color w:val="000000"/>
                <w:sz w:val="16"/>
                <w:szCs w:val="16"/>
              </w:rPr>
            </w:pPr>
            <w:r>
              <w:rPr>
                <w:color w:val="000000"/>
                <w:sz w:val="16"/>
                <w:szCs w:val="16"/>
              </w:rPr>
              <w:t>0.81</w:t>
            </w:r>
          </w:p>
        </w:tc>
        <w:tc>
          <w:tcPr>
            <w:tcW w:w="1084" w:type="dxa"/>
            <w:tcBorders>
              <w:top w:val="nil"/>
              <w:left w:val="nil"/>
              <w:bottom w:val="single" w:sz="4" w:space="0" w:color="auto"/>
              <w:right w:val="single" w:sz="4" w:space="0" w:color="auto"/>
            </w:tcBorders>
            <w:shd w:val="clear" w:color="auto" w:fill="auto"/>
            <w:vAlign w:val="center"/>
          </w:tcPr>
          <w:p w14:paraId="453FDD05" w14:textId="0A16EFB7" w:rsidR="00500C13" w:rsidRPr="008D3568" w:rsidRDefault="00500C13" w:rsidP="00500C13">
            <w:pPr>
              <w:rPr>
                <w:rFonts w:cs="Times New Roman"/>
                <w:color w:val="000000"/>
                <w:sz w:val="16"/>
                <w:szCs w:val="16"/>
              </w:rPr>
            </w:pPr>
            <w:r>
              <w:rPr>
                <w:color w:val="000000"/>
                <w:sz w:val="16"/>
                <w:szCs w:val="16"/>
              </w:rPr>
              <w:t>263</w:t>
            </w:r>
          </w:p>
        </w:tc>
      </w:tr>
      <w:tr w:rsidR="00500C13" w:rsidRPr="008D3568" w14:paraId="2A91A911" w14:textId="77777777" w:rsidTr="00772F4F">
        <w:tc>
          <w:tcPr>
            <w:tcW w:w="1532" w:type="dxa"/>
            <w:vMerge/>
            <w:tcBorders>
              <w:left w:val="single" w:sz="4" w:space="0" w:color="auto"/>
              <w:right w:val="single" w:sz="4" w:space="0" w:color="auto"/>
            </w:tcBorders>
            <w:vAlign w:val="center"/>
          </w:tcPr>
          <w:p w14:paraId="5B28A391"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117CBF7" w14:textId="1A128453" w:rsidR="00500C13" w:rsidRPr="008D3568" w:rsidRDefault="00500C13" w:rsidP="00500C13">
            <w:pPr>
              <w:rPr>
                <w:rFonts w:cs="Times New Roman"/>
                <w:sz w:val="16"/>
                <w:szCs w:val="16"/>
              </w:rPr>
            </w:pPr>
            <w:r>
              <w:rPr>
                <w:color w:val="000000"/>
                <w:sz w:val="16"/>
                <w:szCs w:val="16"/>
              </w:rPr>
              <w:t>placebo</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48F897D9" w14:textId="4ED528E4" w:rsidR="00500C13" w:rsidRPr="008D3568" w:rsidRDefault="00500C13" w:rsidP="00500C13">
            <w:pPr>
              <w:rPr>
                <w:rFonts w:cs="Times New Roman"/>
                <w:sz w:val="16"/>
                <w:szCs w:val="16"/>
              </w:rPr>
            </w:pPr>
            <w:r>
              <w:rPr>
                <w:color w:val="000000"/>
                <w:sz w:val="16"/>
                <w:szCs w:val="16"/>
              </w:rPr>
              <w:t>-</w:t>
            </w:r>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3E646DD" w14:textId="1443D070"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34393665" w14:textId="0277B0F9" w:rsidR="00500C13" w:rsidRPr="008D3568" w:rsidRDefault="00500C13" w:rsidP="00500C13">
            <w:pPr>
              <w:rPr>
                <w:rFonts w:cs="Times New Roman"/>
                <w:color w:val="000000"/>
                <w:sz w:val="16"/>
                <w:szCs w:val="16"/>
              </w:rPr>
            </w:pPr>
            <w:r>
              <w:rPr>
                <w:color w:val="000000"/>
                <w:sz w:val="16"/>
                <w:szCs w:val="16"/>
              </w:rPr>
              <w:t>-1.29</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11E89DAE" w14:textId="1BEDF37D" w:rsidR="00500C13" w:rsidRPr="008D3568" w:rsidRDefault="00500C13" w:rsidP="00500C13">
            <w:pPr>
              <w:rPr>
                <w:rFonts w:cs="Times New Roman"/>
                <w:color w:val="000000"/>
                <w:sz w:val="16"/>
                <w:szCs w:val="16"/>
              </w:rPr>
            </w:pPr>
            <w:r>
              <w:rPr>
                <w:color w:val="000000"/>
                <w:sz w:val="16"/>
                <w:szCs w:val="16"/>
              </w:rPr>
              <w:t>1.</w:t>
            </w:r>
            <w:r w:rsidR="00703A69">
              <w:rPr>
                <w:color w:val="000000"/>
                <w:sz w:val="16"/>
                <w:szCs w:val="16"/>
              </w:rPr>
              <w:t>42</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23F5DFA6" w14:textId="37E34A47" w:rsidR="00500C13" w:rsidRPr="008D3568" w:rsidRDefault="00500C13" w:rsidP="00500C13">
            <w:pPr>
              <w:rPr>
                <w:rFonts w:cs="Times New Roman"/>
                <w:color w:val="000000"/>
                <w:sz w:val="16"/>
                <w:szCs w:val="16"/>
              </w:rPr>
            </w:pPr>
            <w:r>
              <w:rPr>
                <w:color w:val="000000"/>
                <w:sz w:val="16"/>
                <w:szCs w:val="16"/>
              </w:rPr>
              <w:t>234</w:t>
            </w:r>
          </w:p>
        </w:tc>
      </w:tr>
      <w:tr w:rsidR="00500C13" w:rsidRPr="008D3568" w14:paraId="66E93EBF" w14:textId="77777777" w:rsidTr="00772F4F">
        <w:tc>
          <w:tcPr>
            <w:tcW w:w="1532" w:type="dxa"/>
            <w:vMerge/>
            <w:tcBorders>
              <w:left w:val="single" w:sz="4" w:space="0" w:color="auto"/>
              <w:right w:val="single" w:sz="4" w:space="0" w:color="auto"/>
            </w:tcBorders>
            <w:vAlign w:val="center"/>
          </w:tcPr>
          <w:p w14:paraId="310FA8C6"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40CA853A" w14:textId="50420A57" w:rsidR="00500C13" w:rsidRPr="008D3568" w:rsidRDefault="00500C13" w:rsidP="00500C13">
            <w:pPr>
              <w:rPr>
                <w:rFonts w:cs="Times New Roman"/>
                <w:sz w:val="16"/>
                <w:szCs w:val="16"/>
              </w:rPr>
            </w:pPr>
            <w:r>
              <w:rPr>
                <w:color w:val="000000"/>
                <w:sz w:val="16"/>
                <w:szCs w:val="16"/>
              </w:rPr>
              <w:t>teriflunomide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465DEFC" w14:textId="76CBB23F" w:rsidR="00500C13" w:rsidRPr="008D3568" w:rsidRDefault="00500C13" w:rsidP="00500C13">
            <w:pPr>
              <w:rPr>
                <w:rFonts w:cs="Times New Roman"/>
                <w:sz w:val="16"/>
                <w:szCs w:val="16"/>
              </w:rPr>
            </w:pPr>
            <w:r>
              <w:rPr>
                <w:color w:val="000000"/>
                <w:sz w:val="16"/>
                <w:szCs w:val="16"/>
              </w:rPr>
              <w:t>7</w:t>
            </w:r>
            <w:r w:rsidRPr="004C70DA">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43282604" w14:textId="6B31D9D9"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6473154" w14:textId="17D97D9C" w:rsidR="00500C13" w:rsidRPr="008D3568" w:rsidRDefault="00500C13" w:rsidP="00500C13">
            <w:pPr>
              <w:rPr>
                <w:rFonts w:cs="Times New Roman"/>
                <w:color w:val="000000"/>
                <w:sz w:val="16"/>
                <w:szCs w:val="16"/>
              </w:rPr>
            </w:pPr>
            <w:r>
              <w:rPr>
                <w:color w:val="000000"/>
                <w:sz w:val="16"/>
                <w:szCs w:val="16"/>
              </w:rPr>
              <w:t>-0.94</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43C6777" w14:textId="4EA03219" w:rsidR="00500C13" w:rsidRPr="008D3568" w:rsidRDefault="00500C13" w:rsidP="00500C13">
            <w:pPr>
              <w:rPr>
                <w:rFonts w:cs="Times New Roman"/>
                <w:color w:val="000000"/>
                <w:sz w:val="16"/>
                <w:szCs w:val="16"/>
              </w:rPr>
            </w:pPr>
            <w:r>
              <w:rPr>
                <w:color w:val="000000"/>
                <w:sz w:val="16"/>
                <w:szCs w:val="16"/>
              </w:rPr>
              <w:t>1.4</w:t>
            </w:r>
            <w:r w:rsidR="00703A69">
              <w:rPr>
                <w:color w:val="000000"/>
                <w:sz w:val="16"/>
                <w:szCs w:val="16"/>
              </w:rPr>
              <w:t>8</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3C5A1520" w14:textId="23C2367D" w:rsidR="00500C13" w:rsidRPr="008D3568" w:rsidRDefault="00500C13" w:rsidP="00500C13">
            <w:pPr>
              <w:rPr>
                <w:rFonts w:cs="Times New Roman"/>
                <w:color w:val="000000"/>
                <w:sz w:val="16"/>
                <w:szCs w:val="16"/>
              </w:rPr>
            </w:pPr>
            <w:r>
              <w:rPr>
                <w:color w:val="000000"/>
                <w:sz w:val="16"/>
                <w:szCs w:val="16"/>
              </w:rPr>
              <w:t>240</w:t>
            </w:r>
          </w:p>
        </w:tc>
      </w:tr>
      <w:tr w:rsidR="00500C13" w:rsidRPr="008D3568" w14:paraId="1538C7D5" w14:textId="77777777" w:rsidTr="00772F4F">
        <w:tc>
          <w:tcPr>
            <w:tcW w:w="1532" w:type="dxa"/>
            <w:vMerge/>
            <w:tcBorders>
              <w:left w:val="single" w:sz="4" w:space="0" w:color="auto"/>
              <w:bottom w:val="single" w:sz="4" w:space="0" w:color="auto"/>
              <w:right w:val="single" w:sz="4" w:space="0" w:color="auto"/>
            </w:tcBorders>
            <w:vAlign w:val="center"/>
          </w:tcPr>
          <w:p w14:paraId="1D19023A"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63772091" w14:textId="60B82195" w:rsidR="00500C13" w:rsidRPr="008D3568" w:rsidRDefault="00500C13" w:rsidP="00500C13">
            <w:pPr>
              <w:rPr>
                <w:rFonts w:cs="Times New Roman"/>
                <w:sz w:val="16"/>
                <w:szCs w:val="16"/>
              </w:rPr>
            </w:pPr>
            <w:r>
              <w:rPr>
                <w:color w:val="000000"/>
                <w:sz w:val="16"/>
                <w:szCs w:val="16"/>
              </w:rPr>
              <w:t>teriflunomide</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6C294F09" w14:textId="37D260C7" w:rsidR="00500C13" w:rsidRPr="008D3568" w:rsidRDefault="00500C13" w:rsidP="00500C13">
            <w:pPr>
              <w:rPr>
                <w:rFonts w:cs="Times New Roman"/>
                <w:sz w:val="16"/>
                <w:szCs w:val="16"/>
              </w:rPr>
            </w:pPr>
            <w:r>
              <w:rPr>
                <w:color w:val="000000"/>
                <w:sz w:val="16"/>
                <w:szCs w:val="16"/>
              </w:rPr>
              <w:t>14</w:t>
            </w:r>
            <w:r w:rsidRPr="004C70DA">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7CA0FD9" w14:textId="21BFAB97" w:rsidR="00500C13" w:rsidRPr="008D3568" w:rsidRDefault="00500C13" w:rsidP="00500C13">
            <w:pPr>
              <w:rPr>
                <w:rFonts w:cs="Times New Roman"/>
                <w:sz w:val="16"/>
                <w:szCs w:val="16"/>
              </w:rPr>
            </w:pPr>
            <w:r>
              <w:rPr>
                <w:color w:val="000000"/>
                <w:sz w:val="16"/>
                <w:szCs w:val="16"/>
              </w:rPr>
              <w:t>104</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6DCEA9CF" w14:textId="4C9344FF" w:rsidR="00500C13" w:rsidRPr="008D3568" w:rsidRDefault="00500C13" w:rsidP="00500C13">
            <w:pPr>
              <w:rPr>
                <w:rFonts w:cs="Times New Roman"/>
                <w:color w:val="000000"/>
                <w:sz w:val="16"/>
                <w:szCs w:val="16"/>
              </w:rPr>
            </w:pPr>
            <w:r>
              <w:rPr>
                <w:color w:val="000000"/>
                <w:sz w:val="16"/>
                <w:szCs w:val="16"/>
              </w:rPr>
              <w:t>-0.90</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C5549F6" w14:textId="12A2D283" w:rsidR="00500C13" w:rsidRPr="008D3568" w:rsidRDefault="00500C13" w:rsidP="00500C13">
            <w:pPr>
              <w:rPr>
                <w:rFonts w:cs="Times New Roman"/>
                <w:color w:val="000000"/>
                <w:sz w:val="16"/>
                <w:szCs w:val="16"/>
              </w:rPr>
            </w:pPr>
            <w:r>
              <w:rPr>
                <w:color w:val="000000"/>
                <w:sz w:val="16"/>
                <w:szCs w:val="16"/>
              </w:rPr>
              <w:t>1.</w:t>
            </w:r>
            <w:r w:rsidR="00703A69">
              <w:rPr>
                <w:color w:val="000000"/>
                <w:sz w:val="16"/>
                <w:szCs w:val="16"/>
              </w:rPr>
              <w:t>13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5F031B3C" w14:textId="668E9AB8" w:rsidR="00500C13" w:rsidRPr="008D3568" w:rsidRDefault="00500C13" w:rsidP="00500C13">
            <w:pPr>
              <w:rPr>
                <w:rFonts w:cs="Times New Roman"/>
                <w:color w:val="000000"/>
                <w:sz w:val="16"/>
                <w:szCs w:val="16"/>
              </w:rPr>
            </w:pPr>
            <w:r>
              <w:rPr>
                <w:color w:val="000000"/>
                <w:sz w:val="16"/>
                <w:szCs w:val="16"/>
              </w:rPr>
              <w:t>235</w:t>
            </w:r>
          </w:p>
        </w:tc>
      </w:tr>
      <w:tr w:rsidR="00500C13" w:rsidRPr="008D3568" w14:paraId="67B1C15F" w14:textId="77777777" w:rsidTr="00772F4F">
        <w:tc>
          <w:tcPr>
            <w:tcW w:w="1532" w:type="dxa"/>
            <w:vMerge w:val="restart"/>
            <w:tcBorders>
              <w:top w:val="nil"/>
              <w:left w:val="single" w:sz="4" w:space="0" w:color="auto"/>
              <w:right w:val="single" w:sz="4" w:space="0" w:color="auto"/>
            </w:tcBorders>
            <w:shd w:val="clear" w:color="auto" w:fill="auto"/>
            <w:vAlign w:val="center"/>
          </w:tcPr>
          <w:p w14:paraId="3E56F399" w14:textId="4BDE2D79" w:rsidR="00500C13" w:rsidRPr="008D3568" w:rsidRDefault="00500C13" w:rsidP="00500C13">
            <w:pPr>
              <w:rPr>
                <w:rFonts w:cs="Times New Roman"/>
                <w:sz w:val="16"/>
                <w:szCs w:val="16"/>
              </w:rPr>
            </w:pPr>
            <w:r>
              <w:rPr>
                <w:color w:val="000000"/>
                <w:sz w:val="16"/>
                <w:szCs w:val="16"/>
              </w:rPr>
              <w:t>TRANSFORMS</w:t>
            </w: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8CBF76B" w14:textId="2F055489" w:rsidR="00500C13" w:rsidRPr="008D3568" w:rsidRDefault="00500C13" w:rsidP="00500C13">
            <w:pPr>
              <w:rPr>
                <w:rFonts w:cs="Times New Roman"/>
                <w:sz w:val="16"/>
                <w:szCs w:val="16"/>
              </w:rPr>
            </w:pPr>
            <w:r>
              <w:rPr>
                <w:color w:val="000000"/>
                <w:sz w:val="16"/>
                <w:szCs w:val="16"/>
              </w:rPr>
              <w:t>IFNβ-1a IM</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3DF9E9C" w14:textId="017C2086" w:rsidR="00500C13" w:rsidRPr="008D3568" w:rsidRDefault="00500C13" w:rsidP="00500C13">
            <w:pPr>
              <w:rPr>
                <w:rFonts w:cs="Times New Roman"/>
                <w:sz w:val="16"/>
                <w:szCs w:val="16"/>
              </w:rPr>
            </w:pPr>
            <w:r>
              <w:rPr>
                <w:color w:val="000000"/>
                <w:sz w:val="16"/>
                <w:szCs w:val="16"/>
              </w:rPr>
              <w:t>30</w:t>
            </w:r>
            <w:r w:rsidRPr="001455CC">
              <w:rPr>
                <w:color w:val="000000"/>
                <w:sz w:val="16"/>
                <w:szCs w:val="16"/>
              </w:rPr>
              <w:t xml:space="preserve"> µg</w:t>
            </w:r>
            <w:r w:rsidR="00262F5A">
              <w:rPr>
                <w:color w:val="000000"/>
                <w:sz w:val="16"/>
                <w:szCs w:val="16"/>
              </w:rPr>
              <w:t xml:space="preserve"> IM </w:t>
            </w:r>
            <w:proofErr w:type="spellStart"/>
            <w:r w:rsidR="00262F5A">
              <w:rPr>
                <w:color w:val="000000"/>
                <w:sz w:val="16"/>
                <w:szCs w:val="16"/>
              </w:rPr>
              <w:t>qw</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24D49F3D" w14:textId="2B4BE610"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0BEDB577" w14:textId="5463D1DB" w:rsidR="00500C13" w:rsidRPr="008D3568" w:rsidRDefault="00500C13" w:rsidP="00500C13">
            <w:pPr>
              <w:rPr>
                <w:rFonts w:cs="Times New Roman"/>
                <w:color w:val="000000"/>
                <w:sz w:val="16"/>
                <w:szCs w:val="16"/>
              </w:rPr>
            </w:pPr>
            <w:r>
              <w:rPr>
                <w:color w:val="000000"/>
                <w:sz w:val="16"/>
                <w:szCs w:val="16"/>
              </w:rPr>
              <w:t>-0.45</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39574297" w14:textId="2728770D" w:rsidR="00500C13" w:rsidRPr="008D3568" w:rsidRDefault="00500C13" w:rsidP="00500C13">
            <w:pPr>
              <w:rPr>
                <w:rFonts w:cs="Times New Roman"/>
                <w:color w:val="000000"/>
                <w:sz w:val="16"/>
                <w:szCs w:val="16"/>
              </w:rPr>
            </w:pPr>
            <w:r>
              <w:rPr>
                <w:color w:val="000000"/>
                <w:sz w:val="16"/>
                <w:szCs w:val="16"/>
              </w:rPr>
              <w:t>0.73</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63A262B6" w14:textId="096AF0FD" w:rsidR="00500C13" w:rsidRPr="008D3568" w:rsidRDefault="00500C13" w:rsidP="00500C13">
            <w:pPr>
              <w:rPr>
                <w:rFonts w:cs="Times New Roman"/>
                <w:color w:val="000000"/>
                <w:sz w:val="16"/>
                <w:szCs w:val="16"/>
              </w:rPr>
            </w:pPr>
            <w:r>
              <w:rPr>
                <w:color w:val="000000"/>
                <w:sz w:val="16"/>
                <w:szCs w:val="16"/>
              </w:rPr>
              <w:t>431</w:t>
            </w:r>
          </w:p>
        </w:tc>
      </w:tr>
      <w:tr w:rsidR="00500C13" w:rsidRPr="008D3568" w14:paraId="56D14D7E" w14:textId="77777777" w:rsidTr="00772F4F">
        <w:tc>
          <w:tcPr>
            <w:tcW w:w="1532" w:type="dxa"/>
            <w:vMerge/>
            <w:tcBorders>
              <w:left w:val="single" w:sz="4" w:space="0" w:color="auto"/>
              <w:right w:val="single" w:sz="4" w:space="0" w:color="auto"/>
            </w:tcBorders>
            <w:vAlign w:val="center"/>
          </w:tcPr>
          <w:p w14:paraId="295450E0" w14:textId="77777777" w:rsidR="00500C13" w:rsidRPr="008D3568" w:rsidRDefault="00500C13" w:rsidP="00500C13">
            <w:pPr>
              <w:rPr>
                <w:rFonts w:cs="Times New Roman"/>
                <w:sz w:val="16"/>
                <w:szCs w:val="16"/>
              </w:rPr>
            </w:pPr>
          </w:p>
        </w:tc>
        <w:tc>
          <w:tcPr>
            <w:tcW w:w="1503" w:type="dxa"/>
            <w:tcBorders>
              <w:top w:val="single" w:sz="4" w:space="0" w:color="auto"/>
              <w:left w:val="single" w:sz="4" w:space="0" w:color="auto"/>
              <w:bottom w:val="single" w:sz="4" w:space="0" w:color="auto"/>
              <w:right w:val="single" w:sz="4" w:space="0" w:color="auto"/>
            </w:tcBorders>
            <w:shd w:val="clear" w:color="000000" w:fill="D9D9D9"/>
            <w:vAlign w:val="center"/>
          </w:tcPr>
          <w:p w14:paraId="22AF626A" w14:textId="67E1E169" w:rsidR="00500C13" w:rsidRPr="008D3568" w:rsidRDefault="00500C13" w:rsidP="00500C13">
            <w:pPr>
              <w:rPr>
                <w:rFonts w:cs="Times New Roman"/>
                <w:sz w:val="16"/>
                <w:szCs w:val="16"/>
              </w:rPr>
            </w:pPr>
            <w:r>
              <w:rPr>
                <w:color w:val="000000"/>
                <w:sz w:val="16"/>
                <w:szCs w:val="16"/>
              </w:rPr>
              <w:t>fingolimod</w:t>
            </w:r>
          </w:p>
        </w:tc>
        <w:tc>
          <w:tcPr>
            <w:tcW w:w="1272" w:type="dxa"/>
            <w:tcBorders>
              <w:top w:val="single" w:sz="4" w:space="0" w:color="auto"/>
              <w:left w:val="single" w:sz="4" w:space="0" w:color="auto"/>
              <w:bottom w:val="single" w:sz="4" w:space="0" w:color="auto"/>
              <w:right w:val="single" w:sz="4" w:space="0" w:color="auto"/>
            </w:tcBorders>
            <w:shd w:val="clear" w:color="000000" w:fill="D9D9D9"/>
            <w:vAlign w:val="center"/>
          </w:tcPr>
          <w:p w14:paraId="3D5F4976" w14:textId="44C935BC" w:rsidR="00500C13" w:rsidRPr="008D3568" w:rsidRDefault="00500C13" w:rsidP="00500C13">
            <w:pPr>
              <w:rPr>
                <w:rFonts w:cs="Times New Roman"/>
                <w:sz w:val="16"/>
                <w:szCs w:val="16"/>
              </w:rPr>
            </w:pPr>
            <w:r>
              <w:rPr>
                <w:color w:val="000000"/>
                <w:sz w:val="16"/>
                <w:szCs w:val="16"/>
              </w:rPr>
              <w:t>0.5</w:t>
            </w:r>
            <w:r w:rsidRPr="001455CC">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single" w:sz="4" w:space="0" w:color="auto"/>
              <w:left w:val="single" w:sz="4" w:space="0" w:color="auto"/>
              <w:bottom w:val="single" w:sz="4" w:space="0" w:color="auto"/>
              <w:right w:val="single" w:sz="4" w:space="0" w:color="auto"/>
            </w:tcBorders>
            <w:shd w:val="clear" w:color="000000" w:fill="D9D9D9"/>
            <w:vAlign w:val="center"/>
          </w:tcPr>
          <w:p w14:paraId="0B91FC40" w14:textId="1F223C38" w:rsidR="00500C13" w:rsidRPr="008D3568" w:rsidRDefault="00500C13" w:rsidP="00500C13">
            <w:pPr>
              <w:rPr>
                <w:rFonts w:cs="Times New Roman"/>
                <w:sz w:val="16"/>
                <w:szCs w:val="16"/>
              </w:rPr>
            </w:pPr>
            <w:r>
              <w:rPr>
                <w:color w:val="000000"/>
                <w:sz w:val="16"/>
                <w:szCs w:val="16"/>
              </w:rPr>
              <w:t>52</w:t>
            </w:r>
          </w:p>
        </w:tc>
        <w:tc>
          <w:tcPr>
            <w:tcW w:w="1147" w:type="dxa"/>
            <w:tcBorders>
              <w:top w:val="single" w:sz="4" w:space="0" w:color="auto"/>
              <w:left w:val="single" w:sz="4" w:space="0" w:color="auto"/>
              <w:bottom w:val="single" w:sz="4" w:space="0" w:color="auto"/>
              <w:right w:val="single" w:sz="4" w:space="0" w:color="auto"/>
            </w:tcBorders>
            <w:shd w:val="clear" w:color="000000" w:fill="D9D9D9"/>
            <w:vAlign w:val="center"/>
          </w:tcPr>
          <w:p w14:paraId="7A86E88E" w14:textId="148B85FE" w:rsidR="00500C13" w:rsidRPr="008D3568" w:rsidRDefault="00500C13" w:rsidP="00500C13">
            <w:pPr>
              <w:rPr>
                <w:rFonts w:cs="Times New Roman"/>
                <w:color w:val="000000"/>
                <w:sz w:val="16"/>
                <w:szCs w:val="16"/>
              </w:rPr>
            </w:pPr>
            <w:r>
              <w:rPr>
                <w:color w:val="000000"/>
                <w:sz w:val="16"/>
                <w:szCs w:val="16"/>
              </w:rPr>
              <w:t>-0.31</w:t>
            </w:r>
          </w:p>
        </w:tc>
        <w:tc>
          <w:tcPr>
            <w:tcW w:w="1104" w:type="dxa"/>
            <w:tcBorders>
              <w:top w:val="single" w:sz="4" w:space="0" w:color="auto"/>
              <w:left w:val="single" w:sz="4" w:space="0" w:color="auto"/>
              <w:bottom w:val="single" w:sz="4" w:space="0" w:color="auto"/>
              <w:right w:val="single" w:sz="4" w:space="0" w:color="auto"/>
            </w:tcBorders>
            <w:shd w:val="clear" w:color="000000" w:fill="D9D9D9"/>
            <w:vAlign w:val="center"/>
          </w:tcPr>
          <w:p w14:paraId="24949077" w14:textId="63545AE7" w:rsidR="00500C13" w:rsidRPr="008D3568" w:rsidRDefault="00500C13" w:rsidP="00500C13">
            <w:pPr>
              <w:rPr>
                <w:rFonts w:cs="Times New Roman"/>
                <w:color w:val="000000"/>
                <w:sz w:val="16"/>
                <w:szCs w:val="16"/>
              </w:rPr>
            </w:pPr>
            <w:r>
              <w:rPr>
                <w:color w:val="000000"/>
                <w:sz w:val="16"/>
                <w:szCs w:val="16"/>
              </w:rPr>
              <w:t>0.65</w:t>
            </w:r>
          </w:p>
        </w:tc>
        <w:tc>
          <w:tcPr>
            <w:tcW w:w="1084" w:type="dxa"/>
            <w:tcBorders>
              <w:top w:val="single" w:sz="4" w:space="0" w:color="auto"/>
              <w:left w:val="single" w:sz="4" w:space="0" w:color="auto"/>
              <w:bottom w:val="single" w:sz="4" w:space="0" w:color="auto"/>
              <w:right w:val="single" w:sz="4" w:space="0" w:color="auto"/>
            </w:tcBorders>
            <w:shd w:val="clear" w:color="000000" w:fill="D9D9D9"/>
            <w:vAlign w:val="center"/>
          </w:tcPr>
          <w:p w14:paraId="7276E8E3" w14:textId="73F4E429" w:rsidR="00500C13" w:rsidRPr="008D3568" w:rsidRDefault="00500C13" w:rsidP="00500C13">
            <w:pPr>
              <w:rPr>
                <w:rFonts w:cs="Times New Roman"/>
                <w:color w:val="000000"/>
                <w:sz w:val="16"/>
                <w:szCs w:val="16"/>
              </w:rPr>
            </w:pPr>
            <w:r>
              <w:rPr>
                <w:color w:val="000000"/>
                <w:sz w:val="16"/>
                <w:szCs w:val="16"/>
              </w:rPr>
              <w:t>429</w:t>
            </w:r>
          </w:p>
        </w:tc>
      </w:tr>
      <w:tr w:rsidR="00500C13" w:rsidRPr="008D3568" w14:paraId="0D32E77C" w14:textId="77777777" w:rsidTr="00772F4F">
        <w:tc>
          <w:tcPr>
            <w:tcW w:w="1532" w:type="dxa"/>
            <w:vMerge/>
            <w:tcBorders>
              <w:left w:val="single" w:sz="4" w:space="0" w:color="auto"/>
              <w:bottom w:val="single" w:sz="4" w:space="0" w:color="auto"/>
              <w:right w:val="single" w:sz="4" w:space="0" w:color="auto"/>
            </w:tcBorders>
            <w:vAlign w:val="center"/>
          </w:tcPr>
          <w:p w14:paraId="3696AC85" w14:textId="77777777" w:rsidR="00500C13" w:rsidRPr="008D3568" w:rsidRDefault="00500C13" w:rsidP="00500C13">
            <w:pPr>
              <w:rPr>
                <w:rFonts w:cs="Times New Roman"/>
                <w:sz w:val="16"/>
                <w:szCs w:val="16"/>
              </w:rPr>
            </w:pPr>
          </w:p>
        </w:tc>
        <w:tc>
          <w:tcPr>
            <w:tcW w:w="1503" w:type="dxa"/>
            <w:tcBorders>
              <w:top w:val="nil"/>
              <w:left w:val="single" w:sz="4" w:space="0" w:color="auto"/>
              <w:bottom w:val="single" w:sz="4" w:space="0" w:color="auto"/>
              <w:right w:val="single" w:sz="4" w:space="0" w:color="auto"/>
            </w:tcBorders>
            <w:shd w:val="clear" w:color="auto" w:fill="auto"/>
            <w:vAlign w:val="center"/>
          </w:tcPr>
          <w:p w14:paraId="4D654AAC" w14:textId="37E53675" w:rsidR="00500C13" w:rsidRPr="008D3568" w:rsidRDefault="00500C13" w:rsidP="00500C13">
            <w:pPr>
              <w:rPr>
                <w:rFonts w:cs="Times New Roman"/>
                <w:sz w:val="16"/>
                <w:szCs w:val="16"/>
              </w:rPr>
            </w:pPr>
            <w:r>
              <w:rPr>
                <w:color w:val="000000"/>
                <w:sz w:val="16"/>
                <w:szCs w:val="16"/>
              </w:rPr>
              <w:t>fingolimod</w:t>
            </w:r>
          </w:p>
        </w:tc>
        <w:tc>
          <w:tcPr>
            <w:tcW w:w="1272" w:type="dxa"/>
            <w:tcBorders>
              <w:top w:val="nil"/>
              <w:left w:val="nil"/>
              <w:bottom w:val="single" w:sz="4" w:space="0" w:color="auto"/>
              <w:right w:val="single" w:sz="4" w:space="0" w:color="auto"/>
            </w:tcBorders>
            <w:shd w:val="clear" w:color="auto" w:fill="auto"/>
            <w:vAlign w:val="center"/>
          </w:tcPr>
          <w:p w14:paraId="41EE98F4" w14:textId="147C8D10" w:rsidR="00500C13" w:rsidRPr="008D3568" w:rsidRDefault="00500C13" w:rsidP="00500C13">
            <w:pPr>
              <w:rPr>
                <w:rFonts w:cs="Times New Roman"/>
                <w:sz w:val="16"/>
                <w:szCs w:val="16"/>
              </w:rPr>
            </w:pPr>
            <w:r>
              <w:rPr>
                <w:color w:val="000000"/>
                <w:sz w:val="16"/>
                <w:szCs w:val="16"/>
              </w:rPr>
              <w:t>1.25</w:t>
            </w:r>
            <w:r w:rsidRPr="001455CC">
              <w:rPr>
                <w:color w:val="000000"/>
                <w:sz w:val="16"/>
                <w:szCs w:val="16"/>
              </w:rPr>
              <w:t xml:space="preserve"> mg</w:t>
            </w:r>
            <w:r w:rsidR="00262F5A">
              <w:rPr>
                <w:color w:val="000000"/>
                <w:sz w:val="16"/>
                <w:szCs w:val="16"/>
              </w:rPr>
              <w:t xml:space="preserve"> </w:t>
            </w:r>
            <w:proofErr w:type="spellStart"/>
            <w:r w:rsidR="00262F5A">
              <w:rPr>
                <w:color w:val="000000"/>
                <w:sz w:val="16"/>
                <w:szCs w:val="16"/>
              </w:rPr>
              <w:t>qd</w:t>
            </w:r>
            <w:proofErr w:type="spellEnd"/>
          </w:p>
        </w:tc>
        <w:tc>
          <w:tcPr>
            <w:tcW w:w="1708" w:type="dxa"/>
            <w:tcBorders>
              <w:top w:val="nil"/>
              <w:left w:val="nil"/>
              <w:bottom w:val="single" w:sz="4" w:space="0" w:color="auto"/>
              <w:right w:val="single" w:sz="4" w:space="0" w:color="auto"/>
            </w:tcBorders>
            <w:shd w:val="clear" w:color="auto" w:fill="auto"/>
            <w:vAlign w:val="center"/>
          </w:tcPr>
          <w:p w14:paraId="796E94C4" w14:textId="7DED5F90" w:rsidR="00500C13" w:rsidRPr="008D3568" w:rsidRDefault="00500C13" w:rsidP="00500C13">
            <w:pPr>
              <w:rPr>
                <w:rFonts w:cs="Times New Roman"/>
                <w:sz w:val="16"/>
                <w:szCs w:val="16"/>
              </w:rPr>
            </w:pPr>
            <w:r>
              <w:rPr>
                <w:color w:val="000000"/>
                <w:sz w:val="16"/>
                <w:szCs w:val="16"/>
              </w:rPr>
              <w:t>52</w:t>
            </w:r>
          </w:p>
        </w:tc>
        <w:tc>
          <w:tcPr>
            <w:tcW w:w="1147" w:type="dxa"/>
            <w:tcBorders>
              <w:top w:val="nil"/>
              <w:left w:val="nil"/>
              <w:bottom w:val="single" w:sz="4" w:space="0" w:color="auto"/>
              <w:right w:val="single" w:sz="4" w:space="0" w:color="auto"/>
            </w:tcBorders>
            <w:shd w:val="clear" w:color="auto" w:fill="auto"/>
            <w:vAlign w:val="center"/>
          </w:tcPr>
          <w:p w14:paraId="224E1206" w14:textId="193368CE" w:rsidR="00500C13" w:rsidRPr="008D3568" w:rsidRDefault="00500C13" w:rsidP="00500C13">
            <w:pPr>
              <w:rPr>
                <w:rFonts w:cs="Times New Roman"/>
                <w:color w:val="000000"/>
                <w:sz w:val="16"/>
                <w:szCs w:val="16"/>
              </w:rPr>
            </w:pPr>
            <w:r>
              <w:rPr>
                <w:color w:val="000000"/>
                <w:sz w:val="16"/>
                <w:szCs w:val="16"/>
              </w:rPr>
              <w:t>-0.30</w:t>
            </w:r>
          </w:p>
        </w:tc>
        <w:tc>
          <w:tcPr>
            <w:tcW w:w="1104" w:type="dxa"/>
            <w:tcBorders>
              <w:top w:val="nil"/>
              <w:left w:val="nil"/>
              <w:bottom w:val="single" w:sz="4" w:space="0" w:color="auto"/>
              <w:right w:val="single" w:sz="4" w:space="0" w:color="auto"/>
            </w:tcBorders>
            <w:shd w:val="clear" w:color="auto" w:fill="auto"/>
            <w:vAlign w:val="center"/>
          </w:tcPr>
          <w:p w14:paraId="28163C89" w14:textId="48640DB9" w:rsidR="00500C13" w:rsidRPr="008D3568" w:rsidRDefault="00500C13" w:rsidP="00500C13">
            <w:pPr>
              <w:rPr>
                <w:rFonts w:cs="Times New Roman"/>
                <w:color w:val="000000"/>
                <w:sz w:val="16"/>
                <w:szCs w:val="16"/>
              </w:rPr>
            </w:pPr>
            <w:r>
              <w:rPr>
                <w:color w:val="000000"/>
                <w:sz w:val="16"/>
                <w:szCs w:val="16"/>
              </w:rPr>
              <w:t>0.65</w:t>
            </w:r>
          </w:p>
        </w:tc>
        <w:tc>
          <w:tcPr>
            <w:tcW w:w="1084" w:type="dxa"/>
            <w:tcBorders>
              <w:top w:val="nil"/>
              <w:left w:val="nil"/>
              <w:bottom w:val="single" w:sz="4" w:space="0" w:color="auto"/>
              <w:right w:val="single" w:sz="4" w:space="0" w:color="auto"/>
            </w:tcBorders>
            <w:shd w:val="clear" w:color="auto" w:fill="auto"/>
            <w:vAlign w:val="center"/>
          </w:tcPr>
          <w:p w14:paraId="781D0AC4" w14:textId="5427F4AA" w:rsidR="00500C13" w:rsidRPr="008D3568" w:rsidRDefault="00202E74" w:rsidP="00500C13">
            <w:pPr>
              <w:rPr>
                <w:rFonts w:cs="Times New Roman"/>
                <w:color w:val="000000"/>
                <w:sz w:val="16"/>
                <w:szCs w:val="16"/>
              </w:rPr>
            </w:pPr>
            <w:r>
              <w:rPr>
                <w:color w:val="000000"/>
                <w:sz w:val="16"/>
                <w:szCs w:val="16"/>
              </w:rPr>
              <w:t>420</w:t>
            </w:r>
          </w:p>
        </w:tc>
      </w:tr>
    </w:tbl>
    <w:p w14:paraId="518CEB47" w14:textId="39D6CFB4" w:rsidR="00013343" w:rsidRDefault="00013343" w:rsidP="00013343">
      <w:pPr>
        <w:rPr>
          <w:rFonts w:ascii="Times New Roman" w:hAnsi="Times New Roman" w:cs="Times New Roman"/>
          <w:lang w:bidi="ar-SA"/>
        </w:rPr>
      </w:pPr>
      <w:r w:rsidRPr="00A14942">
        <w:rPr>
          <w:rFonts w:ascii="Times New Roman" w:hAnsi="Times New Roman" w:cs="Times New Roman"/>
          <w:lang w:bidi="ar-SA"/>
        </w:rPr>
        <w:t xml:space="preserve">Note: </w:t>
      </w:r>
      <w:r w:rsidR="00A14942" w:rsidRPr="00A14942">
        <w:rPr>
          <w:rFonts w:ascii="Times New Roman" w:hAnsi="Times New Roman" w:cs="Times New Roman"/>
          <w:lang w:bidi="ar-SA"/>
        </w:rPr>
        <w:t>All data was incorporated in the MBMA. Only s</w:t>
      </w:r>
      <w:r w:rsidRPr="00A14942">
        <w:rPr>
          <w:rFonts w:ascii="Times New Roman" w:hAnsi="Times New Roman" w:cs="Times New Roman"/>
          <w:lang w:bidi="ar-SA"/>
        </w:rPr>
        <w:t xml:space="preserve">haded rows were incorporated in the NMA, based on </w:t>
      </w:r>
      <w:r w:rsidR="00A14942" w:rsidRPr="00A14942">
        <w:rPr>
          <w:rFonts w:ascii="Times New Roman" w:hAnsi="Times New Roman" w:cs="Times New Roman"/>
          <w:lang w:bidi="ar-SA"/>
        </w:rPr>
        <w:t>matching approved dosages for administration and reporting at roughly two years</w:t>
      </w:r>
      <w:r w:rsidRPr="00A14942">
        <w:rPr>
          <w:rFonts w:ascii="Times New Roman" w:hAnsi="Times New Roman" w:cs="Times New Roman"/>
          <w:lang w:bidi="ar-SA"/>
        </w:rPr>
        <w:t>.</w:t>
      </w:r>
    </w:p>
    <w:p w14:paraId="00EAEC29" w14:textId="66E9838E" w:rsidR="00273A9C" w:rsidRPr="00A14942" w:rsidRDefault="00273A9C" w:rsidP="00013343">
      <w:pPr>
        <w:rPr>
          <w:rFonts w:ascii="Times New Roman" w:hAnsi="Times New Roman" w:cs="Times New Roman"/>
          <w:lang w:bidi="ar-SA"/>
        </w:rPr>
      </w:pPr>
      <w:r>
        <w:rPr>
          <w:rFonts w:ascii="Times New Roman" w:hAnsi="Times New Roman" w:cs="Times New Roman"/>
          <w:lang w:bidi="ar-SA"/>
        </w:rPr>
        <w:t>Abbreviations:</w:t>
      </w:r>
      <w:r w:rsidR="00651FF0">
        <w:rPr>
          <w:rFonts w:ascii="Times New Roman" w:hAnsi="Times New Roman" w:cs="Times New Roman"/>
          <w:lang w:bidi="ar-SA"/>
        </w:rPr>
        <w:t xml:space="preserve"> </w:t>
      </w:r>
      <w:r w:rsidR="009C5505">
        <w:rPr>
          <w:rFonts w:ascii="Times New Roman" w:hAnsi="Times New Roman" w:cs="Times New Roman"/>
          <w:lang w:bidi="ar-SA"/>
        </w:rPr>
        <w:t>2</w:t>
      </w:r>
      <w:r w:rsidR="00060DF6">
        <w:rPr>
          <w:rFonts w:ascii="Times New Roman" w:hAnsi="Times New Roman" w:cs="Times New Roman"/>
          <w:lang w:bidi="ar-SA"/>
        </w:rPr>
        <w:t xml:space="preserve">W = </w:t>
      </w:r>
      <w:r w:rsidR="000A2498">
        <w:rPr>
          <w:rFonts w:ascii="Times New Roman" w:hAnsi="Times New Roman" w:cs="Times New Roman"/>
          <w:lang w:bidi="ar-SA"/>
        </w:rPr>
        <w:t xml:space="preserve">every </w:t>
      </w:r>
      <w:r w:rsidR="00060DF6">
        <w:rPr>
          <w:rFonts w:ascii="Times New Roman" w:hAnsi="Times New Roman" w:cs="Times New Roman"/>
          <w:lang w:bidi="ar-SA"/>
        </w:rPr>
        <w:t>two weeks</w:t>
      </w:r>
      <w:r w:rsidR="00A707AE">
        <w:rPr>
          <w:rFonts w:ascii="Times New Roman" w:hAnsi="Times New Roman" w:cs="Times New Roman"/>
          <w:lang w:bidi="ar-SA"/>
        </w:rPr>
        <w:t>;</w:t>
      </w:r>
      <w:r w:rsidR="00060DF6">
        <w:rPr>
          <w:rFonts w:ascii="Times New Roman" w:hAnsi="Times New Roman" w:cs="Times New Roman"/>
          <w:lang w:bidi="ar-SA"/>
        </w:rPr>
        <w:t xml:space="preserve"> 4W = </w:t>
      </w:r>
      <w:r w:rsidR="000A2498">
        <w:rPr>
          <w:rFonts w:ascii="Times New Roman" w:hAnsi="Times New Roman" w:cs="Times New Roman"/>
          <w:lang w:bidi="ar-SA"/>
        </w:rPr>
        <w:t xml:space="preserve">every </w:t>
      </w:r>
      <w:r w:rsidR="00060DF6">
        <w:rPr>
          <w:rFonts w:ascii="Times New Roman" w:hAnsi="Times New Roman" w:cs="Times New Roman"/>
          <w:lang w:bidi="ar-SA"/>
        </w:rPr>
        <w:t>four weeks</w:t>
      </w:r>
      <w:r w:rsidR="00A707AE">
        <w:rPr>
          <w:rFonts w:ascii="Times New Roman" w:hAnsi="Times New Roman" w:cs="Times New Roman"/>
          <w:lang w:bidi="ar-SA"/>
        </w:rPr>
        <w:t>;</w:t>
      </w:r>
      <w:r w:rsidR="00060DF6">
        <w:rPr>
          <w:rFonts w:ascii="Times New Roman" w:hAnsi="Times New Roman" w:cs="Times New Roman"/>
          <w:lang w:bidi="ar-SA"/>
        </w:rPr>
        <w:t xml:space="preserve"> 24W = </w:t>
      </w:r>
      <w:r w:rsidR="000A2498">
        <w:rPr>
          <w:rFonts w:ascii="Times New Roman" w:hAnsi="Times New Roman" w:cs="Times New Roman"/>
          <w:lang w:bidi="ar-SA"/>
        </w:rPr>
        <w:t xml:space="preserve">every </w:t>
      </w:r>
      <w:r w:rsidR="00060DF6">
        <w:rPr>
          <w:rFonts w:ascii="Times New Roman" w:hAnsi="Times New Roman" w:cs="Times New Roman"/>
          <w:lang w:bidi="ar-SA"/>
        </w:rPr>
        <w:t>24 weeks</w:t>
      </w:r>
      <w:r w:rsidR="00A707AE">
        <w:rPr>
          <w:rFonts w:ascii="Times New Roman" w:hAnsi="Times New Roman" w:cs="Times New Roman"/>
          <w:lang w:bidi="ar-SA"/>
        </w:rPr>
        <w:t>;</w:t>
      </w:r>
      <w:r w:rsidR="00060DF6">
        <w:rPr>
          <w:rFonts w:ascii="Times New Roman" w:hAnsi="Times New Roman" w:cs="Times New Roman"/>
          <w:lang w:bidi="ar-SA"/>
        </w:rPr>
        <w:t xml:space="preserve"> </w:t>
      </w:r>
      <w:r w:rsidR="004E3ACC">
        <w:rPr>
          <w:rFonts w:ascii="Times New Roman" w:hAnsi="Times New Roman" w:cs="Times New Roman"/>
          <w:lang w:bidi="ar-SA"/>
        </w:rPr>
        <w:t xml:space="preserve">bid = twice daily; </w:t>
      </w:r>
      <w:r w:rsidR="00E00877">
        <w:rPr>
          <w:rFonts w:ascii="Times New Roman" w:hAnsi="Times New Roman" w:cs="Times New Roman"/>
          <w:lang w:bidi="ar-SA"/>
        </w:rPr>
        <w:t>BVL</w:t>
      </w:r>
      <w:r w:rsidR="0050461E">
        <w:rPr>
          <w:rFonts w:ascii="Times New Roman" w:hAnsi="Times New Roman" w:cs="Times New Roman"/>
          <w:lang w:bidi="ar-SA"/>
        </w:rPr>
        <w:t xml:space="preserve"> = brain volume loss; </w:t>
      </w:r>
      <w:r w:rsidR="001F50B1" w:rsidRPr="001F50B1">
        <w:rPr>
          <w:rFonts w:ascii="Times New Roman" w:hAnsi="Times New Roman" w:cs="Times New Roman"/>
          <w:lang w:bidi="ar-SA"/>
        </w:rPr>
        <w:t>IFNβ-1</w:t>
      </w:r>
      <w:r w:rsidR="001F50B1">
        <w:rPr>
          <w:rFonts w:ascii="Times New Roman" w:hAnsi="Times New Roman" w:cs="Times New Roman"/>
          <w:lang w:bidi="ar-SA"/>
        </w:rPr>
        <w:t xml:space="preserve">a = interferon </w:t>
      </w:r>
      <w:r w:rsidR="00D56298">
        <w:rPr>
          <w:rFonts w:ascii="Times New Roman" w:hAnsi="Times New Roman" w:cs="Times New Roman"/>
          <w:lang w:bidi="ar-SA"/>
        </w:rPr>
        <w:t xml:space="preserve">beta-1a; </w:t>
      </w:r>
      <w:r w:rsidR="00D56298" w:rsidRPr="00D56298">
        <w:rPr>
          <w:rFonts w:ascii="Times New Roman" w:hAnsi="Times New Roman" w:cs="Times New Roman"/>
          <w:lang w:bidi="ar-SA"/>
        </w:rPr>
        <w:t>IFNβ-1b</w:t>
      </w:r>
      <w:r w:rsidR="00D56298">
        <w:rPr>
          <w:rFonts w:ascii="Times New Roman" w:hAnsi="Times New Roman" w:cs="Times New Roman"/>
          <w:lang w:bidi="ar-SA"/>
        </w:rPr>
        <w:t xml:space="preserve"> = interferon beta-1b;</w:t>
      </w:r>
      <w:r w:rsidR="001F50B1" w:rsidRPr="001F50B1">
        <w:rPr>
          <w:rFonts w:ascii="Times New Roman" w:hAnsi="Times New Roman" w:cs="Times New Roman"/>
          <w:lang w:bidi="ar-SA"/>
        </w:rPr>
        <w:t xml:space="preserve"> </w:t>
      </w:r>
      <w:r w:rsidR="00D56298">
        <w:rPr>
          <w:rFonts w:ascii="Times New Roman" w:hAnsi="Times New Roman" w:cs="Times New Roman"/>
          <w:lang w:bidi="ar-SA"/>
        </w:rPr>
        <w:t xml:space="preserve">IM = intramuscular; </w:t>
      </w:r>
      <w:r w:rsidR="00A707AE">
        <w:rPr>
          <w:rFonts w:ascii="Times New Roman" w:hAnsi="Times New Roman" w:cs="Times New Roman"/>
          <w:lang w:bidi="ar-SA"/>
        </w:rPr>
        <w:t xml:space="preserve">IV = intravenous; </w:t>
      </w:r>
      <w:r w:rsidR="001F6C0D">
        <w:rPr>
          <w:rFonts w:ascii="Times New Roman" w:hAnsi="Times New Roman" w:cs="Times New Roman"/>
          <w:lang w:bidi="ar-SA"/>
        </w:rPr>
        <w:t>mg = milligram</w:t>
      </w:r>
      <w:r w:rsidR="001455CC" w:rsidRPr="001455CC">
        <w:rPr>
          <w:rFonts w:ascii="Times New Roman" w:hAnsi="Times New Roman" w:cs="Times New Roman"/>
          <w:lang w:bidi="ar-SA"/>
        </w:rPr>
        <w:t>;</w:t>
      </w:r>
      <w:r w:rsidR="001F6C0D">
        <w:rPr>
          <w:rFonts w:ascii="Times New Roman" w:hAnsi="Times New Roman" w:cs="Times New Roman"/>
          <w:lang w:bidi="ar-SA"/>
        </w:rPr>
        <w:t xml:space="preserve"> </w:t>
      </w:r>
      <w:r w:rsidR="00651FF0">
        <w:rPr>
          <w:rFonts w:ascii="Times New Roman" w:hAnsi="Times New Roman" w:cs="Times New Roman"/>
          <w:lang w:bidi="ar-SA"/>
        </w:rPr>
        <w:t xml:space="preserve">N = number of patients; </w:t>
      </w:r>
      <w:proofErr w:type="spellStart"/>
      <w:r w:rsidR="00102557">
        <w:rPr>
          <w:rFonts w:ascii="Times New Roman" w:hAnsi="Times New Roman" w:cs="Times New Roman"/>
          <w:lang w:bidi="ar-SA"/>
        </w:rPr>
        <w:t>qd</w:t>
      </w:r>
      <w:proofErr w:type="spellEnd"/>
      <w:r w:rsidR="00102557">
        <w:rPr>
          <w:rFonts w:ascii="Times New Roman" w:hAnsi="Times New Roman" w:cs="Times New Roman"/>
          <w:lang w:bidi="ar-SA"/>
        </w:rPr>
        <w:t xml:space="preserve"> = </w:t>
      </w:r>
      <w:r w:rsidR="000B02EB">
        <w:rPr>
          <w:rFonts w:ascii="Times New Roman" w:hAnsi="Times New Roman" w:cs="Times New Roman"/>
          <w:lang w:bidi="ar-SA"/>
        </w:rPr>
        <w:t xml:space="preserve">once daily; </w:t>
      </w:r>
      <w:proofErr w:type="spellStart"/>
      <w:r w:rsidR="000B02EB">
        <w:rPr>
          <w:rFonts w:ascii="Times New Roman" w:hAnsi="Times New Roman" w:cs="Times New Roman"/>
          <w:lang w:bidi="ar-SA"/>
        </w:rPr>
        <w:t>qod</w:t>
      </w:r>
      <w:proofErr w:type="spellEnd"/>
      <w:r w:rsidR="000B02EB">
        <w:rPr>
          <w:rFonts w:ascii="Times New Roman" w:hAnsi="Times New Roman" w:cs="Times New Roman"/>
          <w:lang w:bidi="ar-SA"/>
        </w:rPr>
        <w:t xml:space="preserve">; every other day; </w:t>
      </w:r>
      <w:proofErr w:type="spellStart"/>
      <w:r w:rsidR="000B02EB">
        <w:rPr>
          <w:rFonts w:ascii="Times New Roman" w:hAnsi="Times New Roman" w:cs="Times New Roman"/>
          <w:lang w:bidi="ar-SA"/>
        </w:rPr>
        <w:t>qw</w:t>
      </w:r>
      <w:proofErr w:type="spellEnd"/>
      <w:r w:rsidR="000B02EB">
        <w:rPr>
          <w:rFonts w:ascii="Times New Roman" w:hAnsi="Times New Roman" w:cs="Times New Roman"/>
          <w:lang w:bidi="ar-SA"/>
        </w:rPr>
        <w:t xml:space="preserve"> = once weekly</w:t>
      </w:r>
      <w:r w:rsidR="004E3ACC">
        <w:rPr>
          <w:rFonts w:ascii="Times New Roman" w:hAnsi="Times New Roman" w:cs="Times New Roman"/>
          <w:lang w:bidi="ar-SA"/>
        </w:rPr>
        <w:t xml:space="preserve">; </w:t>
      </w:r>
      <w:r w:rsidR="00D56298">
        <w:rPr>
          <w:rFonts w:ascii="Times New Roman" w:hAnsi="Times New Roman" w:cs="Times New Roman"/>
          <w:lang w:bidi="ar-SA"/>
        </w:rPr>
        <w:t xml:space="preserve">SC = subcutaneous; </w:t>
      </w:r>
      <w:r w:rsidR="0050461E">
        <w:rPr>
          <w:rFonts w:ascii="Times New Roman" w:hAnsi="Times New Roman" w:cs="Times New Roman"/>
          <w:lang w:bidi="ar-SA"/>
        </w:rPr>
        <w:t xml:space="preserve">SD = </w:t>
      </w:r>
      <w:r w:rsidR="00651FF0">
        <w:rPr>
          <w:rFonts w:ascii="Times New Roman" w:hAnsi="Times New Roman" w:cs="Times New Roman"/>
          <w:lang w:bidi="ar-SA"/>
        </w:rPr>
        <w:t xml:space="preserve">standard deviation; </w:t>
      </w:r>
      <w:proofErr w:type="spellStart"/>
      <w:r w:rsidR="004E3ACC">
        <w:rPr>
          <w:rFonts w:ascii="Times New Roman" w:hAnsi="Times New Roman" w:cs="Times New Roman"/>
          <w:lang w:bidi="ar-SA"/>
        </w:rPr>
        <w:t>tid</w:t>
      </w:r>
      <w:proofErr w:type="spellEnd"/>
      <w:r w:rsidR="004E3ACC">
        <w:rPr>
          <w:rFonts w:ascii="Times New Roman" w:hAnsi="Times New Roman" w:cs="Times New Roman"/>
          <w:lang w:bidi="ar-SA"/>
        </w:rPr>
        <w:t xml:space="preserve"> = three times daily</w:t>
      </w:r>
      <w:r w:rsidR="00FA079C">
        <w:rPr>
          <w:rFonts w:ascii="Times New Roman" w:hAnsi="Times New Roman" w:cs="Times New Roman"/>
          <w:lang w:bidi="ar-SA"/>
        </w:rPr>
        <w:t xml:space="preserve">; </w:t>
      </w:r>
      <w:r w:rsidR="001455CC" w:rsidRPr="008333DB">
        <w:rPr>
          <w:rFonts w:ascii="Times New Roman" w:hAnsi="Times New Roman" w:cs="Times New Roman"/>
          <w:lang w:bidi="ar-SA"/>
        </w:rPr>
        <w:t>µg</w:t>
      </w:r>
      <w:r w:rsidR="001455CC">
        <w:rPr>
          <w:rFonts w:ascii="Times New Roman" w:hAnsi="Times New Roman" w:cs="Times New Roman"/>
          <w:lang w:bidi="ar-SA"/>
        </w:rPr>
        <w:t xml:space="preserve"> = </w:t>
      </w:r>
      <w:proofErr w:type="gramStart"/>
      <w:r w:rsidR="001455CC">
        <w:rPr>
          <w:rFonts w:ascii="Times New Roman" w:hAnsi="Times New Roman" w:cs="Times New Roman"/>
          <w:lang w:bidi="ar-SA"/>
        </w:rPr>
        <w:t>microgram;</w:t>
      </w:r>
      <w:proofErr w:type="gramEnd"/>
    </w:p>
    <w:sectPr w:rsidR="00273A9C" w:rsidRPr="00A14942" w:rsidSect="00B145B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BC4A1" w14:textId="77777777" w:rsidR="00771EC9" w:rsidRDefault="00771EC9" w:rsidP="00C059E0">
      <w:pPr>
        <w:spacing w:after="0" w:line="240" w:lineRule="auto"/>
      </w:pPr>
      <w:r>
        <w:separator/>
      </w:r>
    </w:p>
  </w:endnote>
  <w:endnote w:type="continuationSeparator" w:id="0">
    <w:p w14:paraId="79D8CB4D" w14:textId="77777777" w:rsidR="00771EC9" w:rsidRDefault="00771EC9" w:rsidP="00C059E0">
      <w:pPr>
        <w:spacing w:after="0" w:line="240" w:lineRule="auto"/>
      </w:pPr>
      <w:r>
        <w:continuationSeparator/>
      </w:r>
    </w:p>
  </w:endnote>
  <w:endnote w:type="continuationNotice" w:id="1">
    <w:p w14:paraId="475080EB" w14:textId="77777777" w:rsidR="00771EC9" w:rsidRDefault="00771E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Kokila">
    <w:charset w:val="00"/>
    <w:family w:val="swiss"/>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473741"/>
      <w:docPartObj>
        <w:docPartGallery w:val="Page Numbers (Bottom of Page)"/>
        <w:docPartUnique/>
      </w:docPartObj>
    </w:sdtPr>
    <w:sdtEndPr>
      <w:rPr>
        <w:noProof/>
      </w:rPr>
    </w:sdtEndPr>
    <w:sdtContent>
      <w:p w14:paraId="688858F0" w14:textId="22A35760" w:rsidR="00BD6BB7" w:rsidRDefault="00BD6BB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15A78F" w14:textId="77777777" w:rsidR="00BD6BB7" w:rsidRDefault="00BD6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51DAC" w14:textId="77777777" w:rsidR="00771EC9" w:rsidRDefault="00771EC9" w:rsidP="00C059E0">
      <w:pPr>
        <w:spacing w:after="0" w:line="240" w:lineRule="auto"/>
      </w:pPr>
      <w:r>
        <w:separator/>
      </w:r>
    </w:p>
  </w:footnote>
  <w:footnote w:type="continuationSeparator" w:id="0">
    <w:p w14:paraId="71481636" w14:textId="77777777" w:rsidR="00771EC9" w:rsidRDefault="00771EC9" w:rsidP="00C059E0">
      <w:pPr>
        <w:spacing w:after="0" w:line="240" w:lineRule="auto"/>
      </w:pPr>
      <w:r>
        <w:continuationSeparator/>
      </w:r>
    </w:p>
  </w:footnote>
  <w:footnote w:type="continuationNotice" w:id="1">
    <w:p w14:paraId="25C69A3E" w14:textId="77777777" w:rsidR="00771EC9" w:rsidRDefault="00771EC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154AF"/>
    <w:multiLevelType w:val="hybridMultilevel"/>
    <w:tmpl w:val="F13E9332"/>
    <w:lvl w:ilvl="0" w:tplc="10090003">
      <w:start w:val="1"/>
      <w:numFmt w:val="bullet"/>
      <w:lvlText w:val="o"/>
      <w:lvlJc w:val="left"/>
      <w:pPr>
        <w:tabs>
          <w:tab w:val="num" w:pos="720"/>
        </w:tabs>
        <w:ind w:left="720" w:hanging="360"/>
      </w:pPr>
      <w:rPr>
        <w:rFonts w:ascii="Courier New" w:hAnsi="Courier New" w:cs="Courier New" w:hint="default"/>
      </w:rPr>
    </w:lvl>
    <w:lvl w:ilvl="1" w:tplc="F7448A9C">
      <w:start w:val="1"/>
      <w:numFmt w:val="bullet"/>
      <w:lvlText w:val=""/>
      <w:lvlJc w:val="left"/>
      <w:pPr>
        <w:tabs>
          <w:tab w:val="num" w:pos="1440"/>
        </w:tabs>
        <w:ind w:left="1440" w:hanging="360"/>
      </w:pPr>
      <w:rPr>
        <w:rFonts w:ascii="Symbol" w:hAnsi="Symbol" w:hint="default"/>
      </w:rPr>
    </w:lvl>
    <w:lvl w:ilvl="2" w:tplc="1E46D15E">
      <w:start w:val="1"/>
      <w:numFmt w:val="bullet"/>
      <w:lvlText w:val=""/>
      <w:lvlJc w:val="left"/>
      <w:pPr>
        <w:tabs>
          <w:tab w:val="num" w:pos="2160"/>
        </w:tabs>
        <w:ind w:left="2160" w:hanging="360"/>
      </w:pPr>
      <w:rPr>
        <w:rFonts w:ascii="Symbol" w:hAnsi="Symbol" w:hint="default"/>
      </w:rPr>
    </w:lvl>
    <w:lvl w:ilvl="3" w:tplc="BDA02B6C">
      <w:start w:val="1"/>
      <w:numFmt w:val="bullet"/>
      <w:lvlText w:val=""/>
      <w:lvlJc w:val="left"/>
      <w:pPr>
        <w:tabs>
          <w:tab w:val="num" w:pos="2880"/>
        </w:tabs>
        <w:ind w:left="2880" w:hanging="360"/>
      </w:pPr>
      <w:rPr>
        <w:rFonts w:ascii="Symbol" w:hAnsi="Symbol" w:hint="default"/>
      </w:rPr>
    </w:lvl>
    <w:lvl w:ilvl="4" w:tplc="3DCE8A84">
      <w:start w:val="1"/>
      <w:numFmt w:val="bullet"/>
      <w:lvlText w:val=""/>
      <w:lvlJc w:val="left"/>
      <w:pPr>
        <w:tabs>
          <w:tab w:val="num" w:pos="3600"/>
        </w:tabs>
        <w:ind w:left="3600" w:hanging="360"/>
      </w:pPr>
      <w:rPr>
        <w:rFonts w:ascii="Symbol" w:hAnsi="Symbol" w:hint="default"/>
      </w:rPr>
    </w:lvl>
    <w:lvl w:ilvl="5" w:tplc="90B63F18">
      <w:start w:val="1"/>
      <w:numFmt w:val="bullet"/>
      <w:lvlText w:val=""/>
      <w:lvlJc w:val="left"/>
      <w:pPr>
        <w:tabs>
          <w:tab w:val="num" w:pos="4320"/>
        </w:tabs>
        <w:ind w:left="4320" w:hanging="360"/>
      </w:pPr>
      <w:rPr>
        <w:rFonts w:ascii="Symbol" w:hAnsi="Symbol" w:hint="default"/>
      </w:rPr>
    </w:lvl>
    <w:lvl w:ilvl="6" w:tplc="F8DEFAA6">
      <w:start w:val="1"/>
      <w:numFmt w:val="bullet"/>
      <w:lvlText w:val=""/>
      <w:lvlJc w:val="left"/>
      <w:pPr>
        <w:tabs>
          <w:tab w:val="num" w:pos="5040"/>
        </w:tabs>
        <w:ind w:left="5040" w:hanging="360"/>
      </w:pPr>
      <w:rPr>
        <w:rFonts w:ascii="Symbol" w:hAnsi="Symbol" w:hint="default"/>
      </w:rPr>
    </w:lvl>
    <w:lvl w:ilvl="7" w:tplc="612A0BDC">
      <w:start w:val="1"/>
      <w:numFmt w:val="bullet"/>
      <w:lvlText w:val=""/>
      <w:lvlJc w:val="left"/>
      <w:pPr>
        <w:tabs>
          <w:tab w:val="num" w:pos="5760"/>
        </w:tabs>
        <w:ind w:left="5760" w:hanging="360"/>
      </w:pPr>
      <w:rPr>
        <w:rFonts w:ascii="Symbol" w:hAnsi="Symbol" w:hint="default"/>
      </w:rPr>
    </w:lvl>
    <w:lvl w:ilvl="8" w:tplc="394EE54E">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1495C76"/>
    <w:multiLevelType w:val="multilevel"/>
    <w:tmpl w:val="DE3C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1737D8"/>
    <w:multiLevelType w:val="multilevel"/>
    <w:tmpl w:val="21FE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CF5A20"/>
    <w:multiLevelType w:val="hybridMultilevel"/>
    <w:tmpl w:val="E214A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461980"/>
    <w:multiLevelType w:val="multilevel"/>
    <w:tmpl w:val="E8828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462462"/>
    <w:multiLevelType w:val="hybridMultilevel"/>
    <w:tmpl w:val="F7D07A62"/>
    <w:lvl w:ilvl="0" w:tplc="8FF8B9D0">
      <w:start w:val="1"/>
      <w:numFmt w:val="bullet"/>
      <w:lvlText w:val=""/>
      <w:lvlJc w:val="left"/>
      <w:pPr>
        <w:tabs>
          <w:tab w:val="num" w:pos="720"/>
        </w:tabs>
        <w:ind w:left="720" w:hanging="360"/>
      </w:pPr>
      <w:rPr>
        <w:rFonts w:ascii="Symbol" w:hAnsi="Symbol" w:hint="default"/>
      </w:rPr>
    </w:lvl>
    <w:lvl w:ilvl="1" w:tplc="F7448A9C">
      <w:start w:val="1"/>
      <w:numFmt w:val="bullet"/>
      <w:lvlText w:val=""/>
      <w:lvlJc w:val="left"/>
      <w:pPr>
        <w:tabs>
          <w:tab w:val="num" w:pos="1440"/>
        </w:tabs>
        <w:ind w:left="1440" w:hanging="360"/>
      </w:pPr>
      <w:rPr>
        <w:rFonts w:ascii="Symbol" w:hAnsi="Symbol" w:hint="default"/>
      </w:rPr>
    </w:lvl>
    <w:lvl w:ilvl="2" w:tplc="1E46D15E">
      <w:start w:val="1"/>
      <w:numFmt w:val="bullet"/>
      <w:lvlText w:val=""/>
      <w:lvlJc w:val="left"/>
      <w:pPr>
        <w:tabs>
          <w:tab w:val="num" w:pos="2160"/>
        </w:tabs>
        <w:ind w:left="2160" w:hanging="360"/>
      </w:pPr>
      <w:rPr>
        <w:rFonts w:ascii="Symbol" w:hAnsi="Symbol" w:hint="default"/>
      </w:rPr>
    </w:lvl>
    <w:lvl w:ilvl="3" w:tplc="BDA02B6C">
      <w:start w:val="1"/>
      <w:numFmt w:val="bullet"/>
      <w:lvlText w:val=""/>
      <w:lvlJc w:val="left"/>
      <w:pPr>
        <w:tabs>
          <w:tab w:val="num" w:pos="2880"/>
        </w:tabs>
        <w:ind w:left="2880" w:hanging="360"/>
      </w:pPr>
      <w:rPr>
        <w:rFonts w:ascii="Symbol" w:hAnsi="Symbol" w:hint="default"/>
      </w:rPr>
    </w:lvl>
    <w:lvl w:ilvl="4" w:tplc="3DCE8A84">
      <w:start w:val="1"/>
      <w:numFmt w:val="bullet"/>
      <w:lvlText w:val=""/>
      <w:lvlJc w:val="left"/>
      <w:pPr>
        <w:tabs>
          <w:tab w:val="num" w:pos="3600"/>
        </w:tabs>
        <w:ind w:left="3600" w:hanging="360"/>
      </w:pPr>
      <w:rPr>
        <w:rFonts w:ascii="Symbol" w:hAnsi="Symbol" w:hint="default"/>
      </w:rPr>
    </w:lvl>
    <w:lvl w:ilvl="5" w:tplc="90B63F18">
      <w:start w:val="1"/>
      <w:numFmt w:val="bullet"/>
      <w:lvlText w:val=""/>
      <w:lvlJc w:val="left"/>
      <w:pPr>
        <w:tabs>
          <w:tab w:val="num" w:pos="4320"/>
        </w:tabs>
        <w:ind w:left="4320" w:hanging="360"/>
      </w:pPr>
      <w:rPr>
        <w:rFonts w:ascii="Symbol" w:hAnsi="Symbol" w:hint="default"/>
      </w:rPr>
    </w:lvl>
    <w:lvl w:ilvl="6" w:tplc="F8DEFAA6">
      <w:start w:val="1"/>
      <w:numFmt w:val="bullet"/>
      <w:lvlText w:val=""/>
      <w:lvlJc w:val="left"/>
      <w:pPr>
        <w:tabs>
          <w:tab w:val="num" w:pos="5040"/>
        </w:tabs>
        <w:ind w:left="5040" w:hanging="360"/>
      </w:pPr>
      <w:rPr>
        <w:rFonts w:ascii="Symbol" w:hAnsi="Symbol" w:hint="default"/>
      </w:rPr>
    </w:lvl>
    <w:lvl w:ilvl="7" w:tplc="612A0BDC">
      <w:start w:val="1"/>
      <w:numFmt w:val="bullet"/>
      <w:lvlText w:val=""/>
      <w:lvlJc w:val="left"/>
      <w:pPr>
        <w:tabs>
          <w:tab w:val="num" w:pos="5760"/>
        </w:tabs>
        <w:ind w:left="5760" w:hanging="360"/>
      </w:pPr>
      <w:rPr>
        <w:rFonts w:ascii="Symbol" w:hAnsi="Symbol" w:hint="default"/>
      </w:rPr>
    </w:lvl>
    <w:lvl w:ilvl="8" w:tplc="394EE54E">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BB23F46"/>
    <w:multiLevelType w:val="hybridMultilevel"/>
    <w:tmpl w:val="39A2869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0C16BD"/>
    <w:multiLevelType w:val="hybridMultilevel"/>
    <w:tmpl w:val="1C2887D4"/>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B40479"/>
    <w:multiLevelType w:val="hybridMultilevel"/>
    <w:tmpl w:val="85F473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5C20B2"/>
    <w:multiLevelType w:val="multilevel"/>
    <w:tmpl w:val="06483E00"/>
    <w:lvl w:ilvl="0">
      <w:start w:val="1"/>
      <w:numFmt w:val="decimal"/>
      <w:pStyle w:val="Heading1"/>
      <w:lvlText w:val="%1.0"/>
      <w:lvlJc w:val="left"/>
      <w:pPr>
        <w:ind w:left="964" w:hanging="964"/>
      </w:pPr>
      <w:rPr>
        <w:color w:val="auto"/>
      </w:rPr>
    </w:lvl>
    <w:lvl w:ilvl="1">
      <w:start w:val="1"/>
      <w:numFmt w:val="decimal"/>
      <w:pStyle w:val="Heading2"/>
      <w:lvlText w:val="%1.%2"/>
      <w:lvlJc w:val="left"/>
      <w:pPr>
        <w:ind w:left="964" w:hanging="964"/>
      </w:pPr>
    </w:lvl>
    <w:lvl w:ilvl="2">
      <w:start w:val="1"/>
      <w:numFmt w:val="decimal"/>
      <w:pStyle w:val="Heading3"/>
      <w:lvlText w:val="%1.%2.%3"/>
      <w:lvlJc w:val="left"/>
      <w:pPr>
        <w:ind w:left="1361" w:hanging="1361"/>
      </w:pPr>
    </w:lvl>
    <w:lvl w:ilvl="3">
      <w:start w:val="1"/>
      <w:numFmt w:val="decimal"/>
      <w:pStyle w:val="Heading4"/>
      <w:lvlText w:val="%1.%2.%3.%4"/>
      <w:lvlJc w:val="left"/>
      <w:pPr>
        <w:ind w:left="1904" w:hanging="1814"/>
      </w:pPr>
    </w:lvl>
    <w:lvl w:ilvl="4">
      <w:start w:val="1"/>
      <w:numFmt w:val="decimal"/>
      <w:pStyle w:val="Heading5"/>
      <w:lvlText w:val="%1.%2.%3.%4.%5"/>
      <w:lvlJc w:val="left"/>
      <w:pPr>
        <w:ind w:left="2268" w:hanging="2268"/>
      </w:pPr>
    </w:lvl>
    <w:lvl w:ilvl="5">
      <w:start w:val="1"/>
      <w:numFmt w:val="decimal"/>
      <w:lvlText w:val="%1.%2.%3.%4.%5.%6"/>
      <w:lvlJc w:val="left"/>
      <w:pPr>
        <w:ind w:left="2608" w:hanging="2608"/>
      </w:pPr>
    </w:lvl>
    <w:lvl w:ilvl="6">
      <w:start w:val="1"/>
      <w:numFmt w:val="decimal"/>
      <w:lvlText w:val="%1.%2.%3.%4.%5.%6.%7"/>
      <w:lvlJc w:val="left"/>
      <w:pPr>
        <w:ind w:left="3062" w:hanging="3062"/>
      </w:pPr>
    </w:lvl>
    <w:lvl w:ilvl="7">
      <w:start w:val="1"/>
      <w:numFmt w:val="decimal"/>
      <w:lvlText w:val="%1.%2.%3.%4.%5.%6.%7.%8"/>
      <w:lvlJc w:val="left"/>
      <w:pPr>
        <w:ind w:left="3515" w:hanging="3515"/>
      </w:pPr>
    </w:lvl>
    <w:lvl w:ilvl="8">
      <w:start w:val="1"/>
      <w:numFmt w:val="decimal"/>
      <w:lvlText w:val="%1.%2.%3.%4.%5.%6.%7.%8.%9"/>
      <w:lvlJc w:val="left"/>
      <w:pPr>
        <w:ind w:left="3912" w:hanging="3912"/>
      </w:pPr>
    </w:lvl>
  </w:abstractNum>
  <w:abstractNum w:abstractNumId="10" w15:restartNumberingAfterBreak="0">
    <w:nsid w:val="2EB878B4"/>
    <w:multiLevelType w:val="hybridMultilevel"/>
    <w:tmpl w:val="D3028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FE706F"/>
    <w:multiLevelType w:val="hybridMultilevel"/>
    <w:tmpl w:val="E01C3576"/>
    <w:lvl w:ilvl="0" w:tplc="954C19E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8D6D5B"/>
    <w:multiLevelType w:val="hybridMultilevel"/>
    <w:tmpl w:val="289C38A2"/>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FD78DC"/>
    <w:multiLevelType w:val="multilevel"/>
    <w:tmpl w:val="82CC3838"/>
    <w:lvl w:ilvl="0">
      <w:start w:val="1"/>
      <w:numFmt w:val="bullet"/>
      <w:pStyle w:val="TableListParagraph"/>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E6C70A2"/>
    <w:multiLevelType w:val="multilevel"/>
    <w:tmpl w:val="7A7C6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BE68CF"/>
    <w:multiLevelType w:val="hybridMultilevel"/>
    <w:tmpl w:val="1FD0DDDA"/>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47477A"/>
    <w:multiLevelType w:val="hybridMultilevel"/>
    <w:tmpl w:val="6BB0A724"/>
    <w:lvl w:ilvl="0" w:tplc="2A42A668">
      <w:numFmt w:val="bullet"/>
      <w:lvlText w:val="•"/>
      <w:lvlJc w:val="left"/>
      <w:pPr>
        <w:ind w:left="1440" w:hanging="720"/>
      </w:pPr>
      <w:rPr>
        <w:rFonts w:ascii="Calibri" w:eastAsiaTheme="minorHAnsi" w:hAnsi="Calibri" w:cs="Calibri" w:hint="default"/>
      </w:rPr>
    </w:lvl>
    <w:lvl w:ilvl="1" w:tplc="10090003">
      <w:start w:val="1"/>
      <w:numFmt w:val="bullet"/>
      <w:lvlText w:val="o"/>
      <w:lvlJc w:val="left"/>
      <w:pPr>
        <w:ind w:left="1800"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start w:val="1"/>
      <w:numFmt w:val="bullet"/>
      <w:lvlText w:val=""/>
      <w:lvlJc w:val="left"/>
      <w:pPr>
        <w:ind w:left="3240" w:hanging="360"/>
      </w:pPr>
      <w:rPr>
        <w:rFonts w:ascii="Symbol" w:hAnsi="Symbol" w:hint="default"/>
      </w:rPr>
    </w:lvl>
    <w:lvl w:ilvl="4" w:tplc="10090003">
      <w:start w:val="1"/>
      <w:numFmt w:val="bullet"/>
      <w:lvlText w:val="o"/>
      <w:lvlJc w:val="left"/>
      <w:pPr>
        <w:ind w:left="3960" w:hanging="360"/>
      </w:pPr>
      <w:rPr>
        <w:rFonts w:ascii="Courier New" w:hAnsi="Courier New" w:cs="Courier New" w:hint="default"/>
      </w:rPr>
    </w:lvl>
    <w:lvl w:ilvl="5" w:tplc="10090005">
      <w:start w:val="1"/>
      <w:numFmt w:val="bullet"/>
      <w:lvlText w:val=""/>
      <w:lvlJc w:val="left"/>
      <w:pPr>
        <w:ind w:left="4680" w:hanging="360"/>
      </w:pPr>
      <w:rPr>
        <w:rFonts w:ascii="Wingdings" w:hAnsi="Wingdings" w:hint="default"/>
      </w:rPr>
    </w:lvl>
    <w:lvl w:ilvl="6" w:tplc="10090001">
      <w:start w:val="1"/>
      <w:numFmt w:val="bullet"/>
      <w:lvlText w:val=""/>
      <w:lvlJc w:val="left"/>
      <w:pPr>
        <w:ind w:left="5400" w:hanging="360"/>
      </w:pPr>
      <w:rPr>
        <w:rFonts w:ascii="Symbol" w:hAnsi="Symbol" w:hint="default"/>
      </w:rPr>
    </w:lvl>
    <w:lvl w:ilvl="7" w:tplc="10090003">
      <w:start w:val="1"/>
      <w:numFmt w:val="bullet"/>
      <w:lvlText w:val="o"/>
      <w:lvlJc w:val="left"/>
      <w:pPr>
        <w:ind w:left="6120" w:hanging="360"/>
      </w:pPr>
      <w:rPr>
        <w:rFonts w:ascii="Courier New" w:hAnsi="Courier New" w:cs="Courier New" w:hint="default"/>
      </w:rPr>
    </w:lvl>
    <w:lvl w:ilvl="8" w:tplc="10090005">
      <w:start w:val="1"/>
      <w:numFmt w:val="bullet"/>
      <w:lvlText w:val=""/>
      <w:lvlJc w:val="left"/>
      <w:pPr>
        <w:ind w:left="6840" w:hanging="360"/>
      </w:pPr>
      <w:rPr>
        <w:rFonts w:ascii="Wingdings" w:hAnsi="Wingdings" w:hint="default"/>
      </w:rPr>
    </w:lvl>
  </w:abstractNum>
  <w:abstractNum w:abstractNumId="17" w15:restartNumberingAfterBreak="0">
    <w:nsid w:val="44FA63B9"/>
    <w:multiLevelType w:val="hybridMultilevel"/>
    <w:tmpl w:val="044C4DEC"/>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337E4E"/>
    <w:multiLevelType w:val="multilevel"/>
    <w:tmpl w:val="8946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FA1C96"/>
    <w:multiLevelType w:val="hybridMultilevel"/>
    <w:tmpl w:val="DE061C1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E52C21"/>
    <w:multiLevelType w:val="hybridMultilevel"/>
    <w:tmpl w:val="52227390"/>
    <w:lvl w:ilvl="0" w:tplc="10090003">
      <w:start w:val="1"/>
      <w:numFmt w:val="bullet"/>
      <w:lvlText w:val="o"/>
      <w:lvlJc w:val="left"/>
      <w:pPr>
        <w:tabs>
          <w:tab w:val="num" w:pos="720"/>
        </w:tabs>
        <w:ind w:left="720" w:hanging="360"/>
      </w:pPr>
      <w:rPr>
        <w:rFonts w:ascii="Courier New" w:hAnsi="Courier New" w:cs="Courier New" w:hint="default"/>
      </w:rPr>
    </w:lvl>
    <w:lvl w:ilvl="1" w:tplc="F7448A9C">
      <w:start w:val="1"/>
      <w:numFmt w:val="bullet"/>
      <w:lvlText w:val=""/>
      <w:lvlJc w:val="left"/>
      <w:pPr>
        <w:tabs>
          <w:tab w:val="num" w:pos="1440"/>
        </w:tabs>
        <w:ind w:left="1440" w:hanging="360"/>
      </w:pPr>
      <w:rPr>
        <w:rFonts w:ascii="Symbol" w:hAnsi="Symbol" w:hint="default"/>
      </w:rPr>
    </w:lvl>
    <w:lvl w:ilvl="2" w:tplc="1E46D15E">
      <w:start w:val="1"/>
      <w:numFmt w:val="bullet"/>
      <w:lvlText w:val=""/>
      <w:lvlJc w:val="left"/>
      <w:pPr>
        <w:tabs>
          <w:tab w:val="num" w:pos="2160"/>
        </w:tabs>
        <w:ind w:left="2160" w:hanging="360"/>
      </w:pPr>
      <w:rPr>
        <w:rFonts w:ascii="Symbol" w:hAnsi="Symbol" w:hint="default"/>
      </w:rPr>
    </w:lvl>
    <w:lvl w:ilvl="3" w:tplc="BDA02B6C">
      <w:start w:val="1"/>
      <w:numFmt w:val="bullet"/>
      <w:lvlText w:val=""/>
      <w:lvlJc w:val="left"/>
      <w:pPr>
        <w:tabs>
          <w:tab w:val="num" w:pos="2880"/>
        </w:tabs>
        <w:ind w:left="2880" w:hanging="360"/>
      </w:pPr>
      <w:rPr>
        <w:rFonts w:ascii="Symbol" w:hAnsi="Symbol" w:hint="default"/>
      </w:rPr>
    </w:lvl>
    <w:lvl w:ilvl="4" w:tplc="3DCE8A84">
      <w:start w:val="1"/>
      <w:numFmt w:val="bullet"/>
      <w:lvlText w:val=""/>
      <w:lvlJc w:val="left"/>
      <w:pPr>
        <w:tabs>
          <w:tab w:val="num" w:pos="3600"/>
        </w:tabs>
        <w:ind w:left="3600" w:hanging="360"/>
      </w:pPr>
      <w:rPr>
        <w:rFonts w:ascii="Symbol" w:hAnsi="Symbol" w:hint="default"/>
      </w:rPr>
    </w:lvl>
    <w:lvl w:ilvl="5" w:tplc="90B63F18">
      <w:start w:val="1"/>
      <w:numFmt w:val="bullet"/>
      <w:lvlText w:val=""/>
      <w:lvlJc w:val="left"/>
      <w:pPr>
        <w:tabs>
          <w:tab w:val="num" w:pos="4320"/>
        </w:tabs>
        <w:ind w:left="4320" w:hanging="360"/>
      </w:pPr>
      <w:rPr>
        <w:rFonts w:ascii="Symbol" w:hAnsi="Symbol" w:hint="default"/>
      </w:rPr>
    </w:lvl>
    <w:lvl w:ilvl="6" w:tplc="F8DEFAA6">
      <w:start w:val="1"/>
      <w:numFmt w:val="bullet"/>
      <w:lvlText w:val=""/>
      <w:lvlJc w:val="left"/>
      <w:pPr>
        <w:tabs>
          <w:tab w:val="num" w:pos="5040"/>
        </w:tabs>
        <w:ind w:left="5040" w:hanging="360"/>
      </w:pPr>
      <w:rPr>
        <w:rFonts w:ascii="Symbol" w:hAnsi="Symbol" w:hint="default"/>
      </w:rPr>
    </w:lvl>
    <w:lvl w:ilvl="7" w:tplc="612A0BDC">
      <w:start w:val="1"/>
      <w:numFmt w:val="bullet"/>
      <w:lvlText w:val=""/>
      <w:lvlJc w:val="left"/>
      <w:pPr>
        <w:tabs>
          <w:tab w:val="num" w:pos="5760"/>
        </w:tabs>
        <w:ind w:left="5760" w:hanging="360"/>
      </w:pPr>
      <w:rPr>
        <w:rFonts w:ascii="Symbol" w:hAnsi="Symbol" w:hint="default"/>
      </w:rPr>
    </w:lvl>
    <w:lvl w:ilvl="8" w:tplc="394EE54E">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9D516D5"/>
    <w:multiLevelType w:val="hybridMultilevel"/>
    <w:tmpl w:val="D30288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CCC4B69"/>
    <w:multiLevelType w:val="hybridMultilevel"/>
    <w:tmpl w:val="8ADA50EE"/>
    <w:lvl w:ilvl="0" w:tplc="CEAE674C">
      <w:start w:val="1"/>
      <w:numFmt w:val="bullet"/>
      <w:lvlText w:val=""/>
      <w:lvlJc w:val="left"/>
      <w:pPr>
        <w:tabs>
          <w:tab w:val="num" w:pos="-374"/>
        </w:tabs>
        <w:ind w:left="-374" w:hanging="360"/>
      </w:pPr>
      <w:rPr>
        <w:rFonts w:ascii="Symbol" w:hAnsi="Symbol" w:hint="default"/>
      </w:rPr>
    </w:lvl>
    <w:lvl w:ilvl="1" w:tplc="10090003">
      <w:start w:val="1"/>
      <w:numFmt w:val="bullet"/>
      <w:lvlText w:val="o"/>
      <w:lvlJc w:val="left"/>
      <w:pPr>
        <w:tabs>
          <w:tab w:val="num" w:pos="785"/>
        </w:tabs>
        <w:ind w:left="785" w:hanging="360"/>
      </w:pPr>
      <w:rPr>
        <w:rFonts w:ascii="Courier New" w:hAnsi="Courier New" w:cs="Courier New" w:hint="default"/>
      </w:rPr>
    </w:lvl>
    <w:lvl w:ilvl="2" w:tplc="D2F0C88A">
      <w:start w:val="1"/>
      <w:numFmt w:val="bullet"/>
      <w:lvlText w:val=""/>
      <w:lvlJc w:val="left"/>
      <w:pPr>
        <w:tabs>
          <w:tab w:val="num" w:pos="1066"/>
        </w:tabs>
        <w:ind w:left="1066" w:hanging="360"/>
      </w:pPr>
      <w:rPr>
        <w:rFonts w:ascii="Symbol" w:hAnsi="Symbol" w:hint="default"/>
      </w:rPr>
    </w:lvl>
    <w:lvl w:ilvl="3" w:tplc="E384D8A2">
      <w:start w:val="1"/>
      <w:numFmt w:val="bullet"/>
      <w:lvlText w:val=""/>
      <w:lvlJc w:val="left"/>
      <w:pPr>
        <w:tabs>
          <w:tab w:val="num" w:pos="1786"/>
        </w:tabs>
        <w:ind w:left="1786" w:hanging="360"/>
      </w:pPr>
      <w:rPr>
        <w:rFonts w:ascii="Symbol" w:hAnsi="Symbol" w:hint="default"/>
      </w:rPr>
    </w:lvl>
    <w:lvl w:ilvl="4" w:tplc="4F54BC82">
      <w:start w:val="1"/>
      <w:numFmt w:val="bullet"/>
      <w:lvlText w:val=""/>
      <w:lvlJc w:val="left"/>
      <w:pPr>
        <w:tabs>
          <w:tab w:val="num" w:pos="2506"/>
        </w:tabs>
        <w:ind w:left="2506" w:hanging="360"/>
      </w:pPr>
      <w:rPr>
        <w:rFonts w:ascii="Symbol" w:hAnsi="Symbol" w:hint="default"/>
      </w:rPr>
    </w:lvl>
    <w:lvl w:ilvl="5" w:tplc="57D0433A">
      <w:start w:val="1"/>
      <w:numFmt w:val="bullet"/>
      <w:lvlText w:val=""/>
      <w:lvlJc w:val="left"/>
      <w:pPr>
        <w:tabs>
          <w:tab w:val="num" w:pos="3226"/>
        </w:tabs>
        <w:ind w:left="3226" w:hanging="360"/>
      </w:pPr>
      <w:rPr>
        <w:rFonts w:ascii="Symbol" w:hAnsi="Symbol" w:hint="default"/>
      </w:rPr>
    </w:lvl>
    <w:lvl w:ilvl="6" w:tplc="84F420D6">
      <w:start w:val="1"/>
      <w:numFmt w:val="bullet"/>
      <w:lvlText w:val=""/>
      <w:lvlJc w:val="left"/>
      <w:pPr>
        <w:tabs>
          <w:tab w:val="num" w:pos="3946"/>
        </w:tabs>
        <w:ind w:left="3946" w:hanging="360"/>
      </w:pPr>
      <w:rPr>
        <w:rFonts w:ascii="Symbol" w:hAnsi="Symbol" w:hint="default"/>
      </w:rPr>
    </w:lvl>
    <w:lvl w:ilvl="7" w:tplc="2EB2E292">
      <w:start w:val="1"/>
      <w:numFmt w:val="bullet"/>
      <w:lvlText w:val=""/>
      <w:lvlJc w:val="left"/>
      <w:pPr>
        <w:tabs>
          <w:tab w:val="num" w:pos="4666"/>
        </w:tabs>
        <w:ind w:left="4666" w:hanging="360"/>
      </w:pPr>
      <w:rPr>
        <w:rFonts w:ascii="Symbol" w:hAnsi="Symbol" w:hint="default"/>
      </w:rPr>
    </w:lvl>
    <w:lvl w:ilvl="8" w:tplc="B9626CCE">
      <w:start w:val="1"/>
      <w:numFmt w:val="bullet"/>
      <w:lvlText w:val=""/>
      <w:lvlJc w:val="left"/>
      <w:pPr>
        <w:tabs>
          <w:tab w:val="num" w:pos="5386"/>
        </w:tabs>
        <w:ind w:left="5386" w:hanging="360"/>
      </w:pPr>
      <w:rPr>
        <w:rFonts w:ascii="Symbol" w:hAnsi="Symbol" w:hint="default"/>
      </w:rPr>
    </w:lvl>
  </w:abstractNum>
  <w:abstractNum w:abstractNumId="23" w15:restartNumberingAfterBreak="0">
    <w:nsid w:val="5D500397"/>
    <w:multiLevelType w:val="multilevel"/>
    <w:tmpl w:val="87B6B904"/>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Calibri" w:eastAsiaTheme="minorHAnsi" w:hAnsi="Calibri" w:cs="Calibri"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6600B1"/>
    <w:multiLevelType w:val="hybridMultilevel"/>
    <w:tmpl w:val="7184433A"/>
    <w:lvl w:ilvl="0" w:tplc="74A679BA">
      <w:start w:val="1"/>
      <w:numFmt w:val="decimal"/>
      <w:suff w:val="space"/>
      <w:lvlText w:val="%1."/>
      <w:lvlJc w:val="left"/>
      <w:pPr>
        <w:ind w:left="432" w:hanging="432"/>
      </w:pPr>
      <w:rPr>
        <w:rFonts w:ascii="Calibri" w:hAnsi="Calibri" w:cs="Times New Roman" w:hint="default"/>
        <w:b/>
        <w:i w:val="0"/>
        <w:w w:val="105"/>
        <w:sz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60E03D53"/>
    <w:multiLevelType w:val="hybridMultilevel"/>
    <w:tmpl w:val="B7CC81EC"/>
    <w:lvl w:ilvl="0" w:tplc="CEAE674C">
      <w:start w:val="1"/>
      <w:numFmt w:val="bullet"/>
      <w:lvlText w:val=""/>
      <w:lvlJc w:val="left"/>
      <w:pPr>
        <w:tabs>
          <w:tab w:val="num" w:pos="-374"/>
        </w:tabs>
        <w:ind w:left="-374" w:hanging="360"/>
      </w:pPr>
      <w:rPr>
        <w:rFonts w:ascii="Symbol" w:hAnsi="Symbol" w:hint="default"/>
      </w:rPr>
    </w:lvl>
    <w:lvl w:ilvl="1" w:tplc="04090001">
      <w:start w:val="1"/>
      <w:numFmt w:val="bullet"/>
      <w:lvlText w:val=""/>
      <w:lvlJc w:val="left"/>
      <w:pPr>
        <w:tabs>
          <w:tab w:val="num" w:pos="785"/>
        </w:tabs>
        <w:ind w:left="785" w:hanging="360"/>
      </w:pPr>
      <w:rPr>
        <w:rFonts w:ascii="Symbol" w:hAnsi="Symbol" w:hint="default"/>
      </w:rPr>
    </w:lvl>
    <w:lvl w:ilvl="2" w:tplc="D2F0C88A">
      <w:start w:val="1"/>
      <w:numFmt w:val="bullet"/>
      <w:lvlText w:val=""/>
      <w:lvlJc w:val="left"/>
      <w:pPr>
        <w:tabs>
          <w:tab w:val="num" w:pos="1066"/>
        </w:tabs>
        <w:ind w:left="1066" w:hanging="360"/>
      </w:pPr>
      <w:rPr>
        <w:rFonts w:ascii="Symbol" w:hAnsi="Symbol" w:hint="default"/>
      </w:rPr>
    </w:lvl>
    <w:lvl w:ilvl="3" w:tplc="E384D8A2">
      <w:start w:val="1"/>
      <w:numFmt w:val="bullet"/>
      <w:lvlText w:val=""/>
      <w:lvlJc w:val="left"/>
      <w:pPr>
        <w:tabs>
          <w:tab w:val="num" w:pos="1786"/>
        </w:tabs>
        <w:ind w:left="1786" w:hanging="360"/>
      </w:pPr>
      <w:rPr>
        <w:rFonts w:ascii="Symbol" w:hAnsi="Symbol" w:hint="default"/>
      </w:rPr>
    </w:lvl>
    <w:lvl w:ilvl="4" w:tplc="4F54BC82">
      <w:start w:val="1"/>
      <w:numFmt w:val="bullet"/>
      <w:lvlText w:val=""/>
      <w:lvlJc w:val="left"/>
      <w:pPr>
        <w:tabs>
          <w:tab w:val="num" w:pos="2506"/>
        </w:tabs>
        <w:ind w:left="2506" w:hanging="360"/>
      </w:pPr>
      <w:rPr>
        <w:rFonts w:ascii="Symbol" w:hAnsi="Symbol" w:hint="default"/>
      </w:rPr>
    </w:lvl>
    <w:lvl w:ilvl="5" w:tplc="57D0433A">
      <w:start w:val="1"/>
      <w:numFmt w:val="bullet"/>
      <w:lvlText w:val=""/>
      <w:lvlJc w:val="left"/>
      <w:pPr>
        <w:tabs>
          <w:tab w:val="num" w:pos="3226"/>
        </w:tabs>
        <w:ind w:left="3226" w:hanging="360"/>
      </w:pPr>
      <w:rPr>
        <w:rFonts w:ascii="Symbol" w:hAnsi="Symbol" w:hint="default"/>
      </w:rPr>
    </w:lvl>
    <w:lvl w:ilvl="6" w:tplc="84F420D6">
      <w:start w:val="1"/>
      <w:numFmt w:val="bullet"/>
      <w:lvlText w:val=""/>
      <w:lvlJc w:val="left"/>
      <w:pPr>
        <w:tabs>
          <w:tab w:val="num" w:pos="3946"/>
        </w:tabs>
        <w:ind w:left="3946" w:hanging="360"/>
      </w:pPr>
      <w:rPr>
        <w:rFonts w:ascii="Symbol" w:hAnsi="Symbol" w:hint="default"/>
      </w:rPr>
    </w:lvl>
    <w:lvl w:ilvl="7" w:tplc="2EB2E292">
      <w:start w:val="1"/>
      <w:numFmt w:val="bullet"/>
      <w:lvlText w:val=""/>
      <w:lvlJc w:val="left"/>
      <w:pPr>
        <w:tabs>
          <w:tab w:val="num" w:pos="4666"/>
        </w:tabs>
        <w:ind w:left="4666" w:hanging="360"/>
      </w:pPr>
      <w:rPr>
        <w:rFonts w:ascii="Symbol" w:hAnsi="Symbol" w:hint="default"/>
      </w:rPr>
    </w:lvl>
    <w:lvl w:ilvl="8" w:tplc="B9626CCE">
      <w:start w:val="1"/>
      <w:numFmt w:val="bullet"/>
      <w:lvlText w:val=""/>
      <w:lvlJc w:val="left"/>
      <w:pPr>
        <w:tabs>
          <w:tab w:val="num" w:pos="5386"/>
        </w:tabs>
        <w:ind w:left="5386" w:hanging="360"/>
      </w:pPr>
      <w:rPr>
        <w:rFonts w:ascii="Symbol" w:hAnsi="Symbol" w:hint="default"/>
      </w:rPr>
    </w:lvl>
  </w:abstractNum>
  <w:abstractNum w:abstractNumId="26" w15:restartNumberingAfterBreak="0">
    <w:nsid w:val="66F336A4"/>
    <w:multiLevelType w:val="hybridMultilevel"/>
    <w:tmpl w:val="D30288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8C1737B"/>
    <w:multiLevelType w:val="hybridMultilevel"/>
    <w:tmpl w:val="EA28A1F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BB597A"/>
    <w:multiLevelType w:val="hybridMultilevel"/>
    <w:tmpl w:val="6A7EE450"/>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29" w15:restartNumberingAfterBreak="0">
    <w:nsid w:val="6C6F2D67"/>
    <w:multiLevelType w:val="hybridMultilevel"/>
    <w:tmpl w:val="F1A2699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740DF8"/>
    <w:multiLevelType w:val="hybridMultilevel"/>
    <w:tmpl w:val="4EF8FCFE"/>
    <w:lvl w:ilvl="0" w:tplc="5D5C201C">
      <w:start w:val="1"/>
      <w:numFmt w:val="bullet"/>
      <w:lvlText w:val=""/>
      <w:lvlJc w:val="left"/>
      <w:pPr>
        <w:tabs>
          <w:tab w:val="num" w:pos="720"/>
        </w:tabs>
        <w:ind w:left="720" w:hanging="360"/>
      </w:pPr>
      <w:rPr>
        <w:rFonts w:ascii="Symbol" w:hAnsi="Symbol" w:hint="default"/>
      </w:rPr>
    </w:lvl>
    <w:lvl w:ilvl="1" w:tplc="5016E78A">
      <w:start w:val="1"/>
      <w:numFmt w:val="bullet"/>
      <w:lvlText w:val=""/>
      <w:lvlJc w:val="left"/>
      <w:pPr>
        <w:tabs>
          <w:tab w:val="num" w:pos="1440"/>
        </w:tabs>
        <w:ind w:left="1440" w:hanging="360"/>
      </w:pPr>
      <w:rPr>
        <w:rFonts w:ascii="Symbol" w:hAnsi="Symbol" w:hint="default"/>
      </w:rPr>
    </w:lvl>
    <w:lvl w:ilvl="2" w:tplc="2C94770E">
      <w:start w:val="1"/>
      <w:numFmt w:val="bullet"/>
      <w:lvlText w:val=""/>
      <w:lvlJc w:val="left"/>
      <w:pPr>
        <w:tabs>
          <w:tab w:val="num" w:pos="2160"/>
        </w:tabs>
        <w:ind w:left="2160" w:hanging="360"/>
      </w:pPr>
      <w:rPr>
        <w:rFonts w:ascii="Symbol" w:hAnsi="Symbol" w:hint="default"/>
      </w:rPr>
    </w:lvl>
    <w:lvl w:ilvl="3" w:tplc="B2701846">
      <w:start w:val="1"/>
      <w:numFmt w:val="bullet"/>
      <w:lvlText w:val=""/>
      <w:lvlJc w:val="left"/>
      <w:pPr>
        <w:tabs>
          <w:tab w:val="num" w:pos="2880"/>
        </w:tabs>
        <w:ind w:left="2880" w:hanging="360"/>
      </w:pPr>
      <w:rPr>
        <w:rFonts w:ascii="Symbol" w:hAnsi="Symbol" w:hint="default"/>
      </w:rPr>
    </w:lvl>
    <w:lvl w:ilvl="4" w:tplc="B0BA6D78">
      <w:start w:val="1"/>
      <w:numFmt w:val="bullet"/>
      <w:lvlText w:val=""/>
      <w:lvlJc w:val="left"/>
      <w:pPr>
        <w:tabs>
          <w:tab w:val="num" w:pos="3600"/>
        </w:tabs>
        <w:ind w:left="3600" w:hanging="360"/>
      </w:pPr>
      <w:rPr>
        <w:rFonts w:ascii="Symbol" w:hAnsi="Symbol" w:hint="default"/>
      </w:rPr>
    </w:lvl>
    <w:lvl w:ilvl="5" w:tplc="185CCDEA">
      <w:start w:val="1"/>
      <w:numFmt w:val="bullet"/>
      <w:lvlText w:val=""/>
      <w:lvlJc w:val="left"/>
      <w:pPr>
        <w:tabs>
          <w:tab w:val="num" w:pos="4320"/>
        </w:tabs>
        <w:ind w:left="4320" w:hanging="360"/>
      </w:pPr>
      <w:rPr>
        <w:rFonts w:ascii="Symbol" w:hAnsi="Symbol" w:hint="default"/>
      </w:rPr>
    </w:lvl>
    <w:lvl w:ilvl="6" w:tplc="3BFA5EF4">
      <w:start w:val="1"/>
      <w:numFmt w:val="bullet"/>
      <w:lvlText w:val=""/>
      <w:lvlJc w:val="left"/>
      <w:pPr>
        <w:tabs>
          <w:tab w:val="num" w:pos="5040"/>
        </w:tabs>
        <w:ind w:left="5040" w:hanging="360"/>
      </w:pPr>
      <w:rPr>
        <w:rFonts w:ascii="Symbol" w:hAnsi="Symbol" w:hint="default"/>
      </w:rPr>
    </w:lvl>
    <w:lvl w:ilvl="7" w:tplc="2BF8311C">
      <w:start w:val="1"/>
      <w:numFmt w:val="bullet"/>
      <w:lvlText w:val=""/>
      <w:lvlJc w:val="left"/>
      <w:pPr>
        <w:tabs>
          <w:tab w:val="num" w:pos="5760"/>
        </w:tabs>
        <w:ind w:left="5760" w:hanging="360"/>
      </w:pPr>
      <w:rPr>
        <w:rFonts w:ascii="Symbol" w:hAnsi="Symbol" w:hint="default"/>
      </w:rPr>
    </w:lvl>
    <w:lvl w:ilvl="8" w:tplc="8C541D40">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724026F"/>
    <w:multiLevelType w:val="hybridMultilevel"/>
    <w:tmpl w:val="E214A8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8D83D06"/>
    <w:multiLevelType w:val="hybridMultilevel"/>
    <w:tmpl w:val="81BEC0A4"/>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32132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0790792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0725080">
    <w:abstractNumId w:val="28"/>
  </w:num>
  <w:num w:numId="4" w16cid:durableId="282078293">
    <w:abstractNumId w:val="30"/>
  </w:num>
  <w:num w:numId="5" w16cid:durableId="515537514">
    <w:abstractNumId w:val="22"/>
  </w:num>
  <w:num w:numId="6" w16cid:durableId="448012623">
    <w:abstractNumId w:val="25"/>
  </w:num>
  <w:num w:numId="7" w16cid:durableId="1722168557">
    <w:abstractNumId w:val="5"/>
  </w:num>
  <w:num w:numId="8" w16cid:durableId="1999535181">
    <w:abstractNumId w:val="0"/>
  </w:num>
  <w:num w:numId="9" w16cid:durableId="1944605349">
    <w:abstractNumId w:val="20"/>
  </w:num>
  <w:num w:numId="10" w16cid:durableId="1700857088">
    <w:abstractNumId w:val="10"/>
  </w:num>
  <w:num w:numId="11" w16cid:durableId="1465732836">
    <w:abstractNumId w:val="3"/>
  </w:num>
  <w:num w:numId="12" w16cid:durableId="1207763331">
    <w:abstractNumId w:val="2"/>
  </w:num>
  <w:num w:numId="13" w16cid:durableId="344090026">
    <w:abstractNumId w:val="18"/>
  </w:num>
  <w:num w:numId="14" w16cid:durableId="275873160">
    <w:abstractNumId w:val="1"/>
  </w:num>
  <w:num w:numId="15" w16cid:durableId="682827396">
    <w:abstractNumId w:val="14"/>
  </w:num>
  <w:num w:numId="16" w16cid:durableId="1708604189">
    <w:abstractNumId w:val="23"/>
  </w:num>
  <w:num w:numId="17" w16cid:durableId="621960031">
    <w:abstractNumId w:val="4"/>
  </w:num>
  <w:num w:numId="18" w16cid:durableId="75636199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64029671">
    <w:abstractNumId w:val="16"/>
  </w:num>
  <w:num w:numId="20" w16cid:durableId="1417705257">
    <w:abstractNumId w:val="31"/>
  </w:num>
  <w:num w:numId="21" w16cid:durableId="1463696452">
    <w:abstractNumId w:val="8"/>
  </w:num>
  <w:num w:numId="22" w16cid:durableId="870849562">
    <w:abstractNumId w:val="11"/>
  </w:num>
  <w:num w:numId="23" w16cid:durableId="619143854">
    <w:abstractNumId w:val="21"/>
  </w:num>
  <w:num w:numId="24" w16cid:durableId="1973201">
    <w:abstractNumId w:val="26"/>
  </w:num>
  <w:num w:numId="25" w16cid:durableId="989946045">
    <w:abstractNumId w:val="32"/>
  </w:num>
  <w:num w:numId="26" w16cid:durableId="215245317">
    <w:abstractNumId w:val="7"/>
  </w:num>
  <w:num w:numId="27" w16cid:durableId="229004292">
    <w:abstractNumId w:val="19"/>
  </w:num>
  <w:num w:numId="28" w16cid:durableId="209414968">
    <w:abstractNumId w:val="6"/>
  </w:num>
  <w:num w:numId="29" w16cid:durableId="1299336011">
    <w:abstractNumId w:val="12"/>
  </w:num>
  <w:num w:numId="30" w16cid:durableId="274992828">
    <w:abstractNumId w:val="27"/>
  </w:num>
  <w:num w:numId="31" w16cid:durableId="2103531795">
    <w:abstractNumId w:val="29"/>
  </w:num>
  <w:num w:numId="32" w16cid:durableId="484277394">
    <w:abstractNumId w:val="17"/>
  </w:num>
  <w:num w:numId="33" w16cid:durableId="1401556043">
    <w:abstractNumId w:val="1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MTS3NDO3MDE1MjNV0lEKTi0uzszPAykwqgUABfYwiiwAAAA="/>
  </w:docVars>
  <w:rsids>
    <w:rsidRoot w:val="00C059E0"/>
    <w:rsid w:val="00006B49"/>
    <w:rsid w:val="00012ACD"/>
    <w:rsid w:val="00013343"/>
    <w:rsid w:val="00021AFA"/>
    <w:rsid w:val="000259ED"/>
    <w:rsid w:val="00031AD2"/>
    <w:rsid w:val="00036303"/>
    <w:rsid w:val="00045234"/>
    <w:rsid w:val="0004580C"/>
    <w:rsid w:val="00060996"/>
    <w:rsid w:val="00060DF6"/>
    <w:rsid w:val="00061253"/>
    <w:rsid w:val="000670E1"/>
    <w:rsid w:val="000726D4"/>
    <w:rsid w:val="00074855"/>
    <w:rsid w:val="00086ECC"/>
    <w:rsid w:val="000910FA"/>
    <w:rsid w:val="00094A31"/>
    <w:rsid w:val="00095531"/>
    <w:rsid w:val="000A1028"/>
    <w:rsid w:val="000A2498"/>
    <w:rsid w:val="000A2A64"/>
    <w:rsid w:val="000A6579"/>
    <w:rsid w:val="000B02EB"/>
    <w:rsid w:val="000B53AC"/>
    <w:rsid w:val="000C2844"/>
    <w:rsid w:val="000C2A45"/>
    <w:rsid w:val="000D147F"/>
    <w:rsid w:val="000D3932"/>
    <w:rsid w:val="000D423F"/>
    <w:rsid w:val="000D4FDF"/>
    <w:rsid w:val="000D6F6D"/>
    <w:rsid w:val="000E318A"/>
    <w:rsid w:val="000F0012"/>
    <w:rsid w:val="000F06FD"/>
    <w:rsid w:val="00102557"/>
    <w:rsid w:val="00107E49"/>
    <w:rsid w:val="0011136F"/>
    <w:rsid w:val="00112054"/>
    <w:rsid w:val="00115C4F"/>
    <w:rsid w:val="00121299"/>
    <w:rsid w:val="00125113"/>
    <w:rsid w:val="00127721"/>
    <w:rsid w:val="0013117E"/>
    <w:rsid w:val="00133B4E"/>
    <w:rsid w:val="00143ECF"/>
    <w:rsid w:val="00144F5E"/>
    <w:rsid w:val="001455CC"/>
    <w:rsid w:val="001468DA"/>
    <w:rsid w:val="00147B5D"/>
    <w:rsid w:val="00151E8F"/>
    <w:rsid w:val="0015433F"/>
    <w:rsid w:val="00160246"/>
    <w:rsid w:val="0016218A"/>
    <w:rsid w:val="00162648"/>
    <w:rsid w:val="00166A62"/>
    <w:rsid w:val="00170A97"/>
    <w:rsid w:val="0017201F"/>
    <w:rsid w:val="0017222D"/>
    <w:rsid w:val="00175A2F"/>
    <w:rsid w:val="00181FE9"/>
    <w:rsid w:val="00185D99"/>
    <w:rsid w:val="00191A05"/>
    <w:rsid w:val="001979A0"/>
    <w:rsid w:val="001C288D"/>
    <w:rsid w:val="001C7C1D"/>
    <w:rsid w:val="001D2D0B"/>
    <w:rsid w:val="001D4F27"/>
    <w:rsid w:val="001D550F"/>
    <w:rsid w:val="001E0864"/>
    <w:rsid w:val="001E2F71"/>
    <w:rsid w:val="001F4F8C"/>
    <w:rsid w:val="001F50B1"/>
    <w:rsid w:val="001F6349"/>
    <w:rsid w:val="001F6AC8"/>
    <w:rsid w:val="001F6C0D"/>
    <w:rsid w:val="00202C42"/>
    <w:rsid w:val="00202E74"/>
    <w:rsid w:val="002130EA"/>
    <w:rsid w:val="002136B4"/>
    <w:rsid w:val="00213976"/>
    <w:rsid w:val="002213DA"/>
    <w:rsid w:val="00223A29"/>
    <w:rsid w:val="00227CB4"/>
    <w:rsid w:val="002327DA"/>
    <w:rsid w:val="002349DE"/>
    <w:rsid w:val="002527D0"/>
    <w:rsid w:val="00262F5A"/>
    <w:rsid w:val="0026501E"/>
    <w:rsid w:val="002651D7"/>
    <w:rsid w:val="00267F10"/>
    <w:rsid w:val="002709CE"/>
    <w:rsid w:val="00273A9C"/>
    <w:rsid w:val="00276D48"/>
    <w:rsid w:val="00283574"/>
    <w:rsid w:val="00286E23"/>
    <w:rsid w:val="00290BE0"/>
    <w:rsid w:val="00290BF6"/>
    <w:rsid w:val="00293076"/>
    <w:rsid w:val="002A178B"/>
    <w:rsid w:val="002A2270"/>
    <w:rsid w:val="002A3A11"/>
    <w:rsid w:val="002B349A"/>
    <w:rsid w:val="002B3BD8"/>
    <w:rsid w:val="002B76DA"/>
    <w:rsid w:val="002C0ED9"/>
    <w:rsid w:val="002C13B2"/>
    <w:rsid w:val="002C356A"/>
    <w:rsid w:val="002C6ED8"/>
    <w:rsid w:val="002D6D53"/>
    <w:rsid w:val="002D7D0E"/>
    <w:rsid w:val="002E7382"/>
    <w:rsid w:val="002E74AB"/>
    <w:rsid w:val="002F3FD7"/>
    <w:rsid w:val="00300895"/>
    <w:rsid w:val="0030391A"/>
    <w:rsid w:val="00303D10"/>
    <w:rsid w:val="003047F6"/>
    <w:rsid w:val="0031672D"/>
    <w:rsid w:val="00327805"/>
    <w:rsid w:val="00332E93"/>
    <w:rsid w:val="0033799B"/>
    <w:rsid w:val="00337F23"/>
    <w:rsid w:val="00341A10"/>
    <w:rsid w:val="00343B29"/>
    <w:rsid w:val="0035061E"/>
    <w:rsid w:val="00350E69"/>
    <w:rsid w:val="00354B41"/>
    <w:rsid w:val="0035734B"/>
    <w:rsid w:val="0036334F"/>
    <w:rsid w:val="00364E7D"/>
    <w:rsid w:val="00367D58"/>
    <w:rsid w:val="00372118"/>
    <w:rsid w:val="00372D29"/>
    <w:rsid w:val="00373FD2"/>
    <w:rsid w:val="00383B24"/>
    <w:rsid w:val="00386AA3"/>
    <w:rsid w:val="003876D6"/>
    <w:rsid w:val="0039058A"/>
    <w:rsid w:val="00391747"/>
    <w:rsid w:val="00392910"/>
    <w:rsid w:val="00396294"/>
    <w:rsid w:val="003A0471"/>
    <w:rsid w:val="003A22C9"/>
    <w:rsid w:val="003A2E9C"/>
    <w:rsid w:val="003A734F"/>
    <w:rsid w:val="003B4492"/>
    <w:rsid w:val="003C1898"/>
    <w:rsid w:val="003C21F0"/>
    <w:rsid w:val="003C3053"/>
    <w:rsid w:val="003C5D65"/>
    <w:rsid w:val="003C7D6C"/>
    <w:rsid w:val="003D2176"/>
    <w:rsid w:val="003D26FB"/>
    <w:rsid w:val="003D274B"/>
    <w:rsid w:val="003D3057"/>
    <w:rsid w:val="003D33DB"/>
    <w:rsid w:val="003E1D58"/>
    <w:rsid w:val="003F15B4"/>
    <w:rsid w:val="003F1C2B"/>
    <w:rsid w:val="00403DCC"/>
    <w:rsid w:val="00406AEC"/>
    <w:rsid w:val="004114C7"/>
    <w:rsid w:val="00413B0A"/>
    <w:rsid w:val="0042088E"/>
    <w:rsid w:val="004209BD"/>
    <w:rsid w:val="00425442"/>
    <w:rsid w:val="00437498"/>
    <w:rsid w:val="00440ECA"/>
    <w:rsid w:val="00442E54"/>
    <w:rsid w:val="00451665"/>
    <w:rsid w:val="00464DEA"/>
    <w:rsid w:val="0046592E"/>
    <w:rsid w:val="004660DD"/>
    <w:rsid w:val="0047116A"/>
    <w:rsid w:val="004712E7"/>
    <w:rsid w:val="0047675F"/>
    <w:rsid w:val="00484211"/>
    <w:rsid w:val="00485F19"/>
    <w:rsid w:val="00486E25"/>
    <w:rsid w:val="004A2FBA"/>
    <w:rsid w:val="004A6560"/>
    <w:rsid w:val="004B460D"/>
    <w:rsid w:val="004C14D9"/>
    <w:rsid w:val="004C430B"/>
    <w:rsid w:val="004C501F"/>
    <w:rsid w:val="004C6C9F"/>
    <w:rsid w:val="004C70DA"/>
    <w:rsid w:val="004E24CE"/>
    <w:rsid w:val="004E33B6"/>
    <w:rsid w:val="004E3ACC"/>
    <w:rsid w:val="004E558F"/>
    <w:rsid w:val="004E5DC4"/>
    <w:rsid w:val="005000B9"/>
    <w:rsid w:val="00500C13"/>
    <w:rsid w:val="00500C98"/>
    <w:rsid w:val="0050461E"/>
    <w:rsid w:val="005069EF"/>
    <w:rsid w:val="00514471"/>
    <w:rsid w:val="00515944"/>
    <w:rsid w:val="005161E6"/>
    <w:rsid w:val="00530181"/>
    <w:rsid w:val="00531551"/>
    <w:rsid w:val="00534910"/>
    <w:rsid w:val="005351AE"/>
    <w:rsid w:val="005358E4"/>
    <w:rsid w:val="0053725F"/>
    <w:rsid w:val="00541694"/>
    <w:rsid w:val="00542975"/>
    <w:rsid w:val="0054410D"/>
    <w:rsid w:val="00545D74"/>
    <w:rsid w:val="00546E09"/>
    <w:rsid w:val="00556EE4"/>
    <w:rsid w:val="005576EB"/>
    <w:rsid w:val="005641D6"/>
    <w:rsid w:val="0056770A"/>
    <w:rsid w:val="00570D56"/>
    <w:rsid w:val="00572C81"/>
    <w:rsid w:val="00573F77"/>
    <w:rsid w:val="00574B41"/>
    <w:rsid w:val="005765E9"/>
    <w:rsid w:val="00576EB9"/>
    <w:rsid w:val="00577509"/>
    <w:rsid w:val="005814C3"/>
    <w:rsid w:val="00585396"/>
    <w:rsid w:val="00592DE9"/>
    <w:rsid w:val="005977E8"/>
    <w:rsid w:val="005A1455"/>
    <w:rsid w:val="005A6CDA"/>
    <w:rsid w:val="005B061B"/>
    <w:rsid w:val="005B3FF3"/>
    <w:rsid w:val="005B6341"/>
    <w:rsid w:val="005B6B19"/>
    <w:rsid w:val="005B7BA1"/>
    <w:rsid w:val="005D220F"/>
    <w:rsid w:val="005D4DCE"/>
    <w:rsid w:val="005D6897"/>
    <w:rsid w:val="005D789A"/>
    <w:rsid w:val="005E330F"/>
    <w:rsid w:val="005F0A7F"/>
    <w:rsid w:val="005F5C20"/>
    <w:rsid w:val="006005BB"/>
    <w:rsid w:val="00600CBB"/>
    <w:rsid w:val="00602B14"/>
    <w:rsid w:val="00604B79"/>
    <w:rsid w:val="00607A0C"/>
    <w:rsid w:val="00616C11"/>
    <w:rsid w:val="0061749D"/>
    <w:rsid w:val="00620FBB"/>
    <w:rsid w:val="00623EAC"/>
    <w:rsid w:val="00624B45"/>
    <w:rsid w:val="006306D7"/>
    <w:rsid w:val="00634DE4"/>
    <w:rsid w:val="006350AF"/>
    <w:rsid w:val="0064259B"/>
    <w:rsid w:val="00644D90"/>
    <w:rsid w:val="00650D2F"/>
    <w:rsid w:val="00651FF0"/>
    <w:rsid w:val="00652A56"/>
    <w:rsid w:val="00661791"/>
    <w:rsid w:val="0066359D"/>
    <w:rsid w:val="00663818"/>
    <w:rsid w:val="00664F8E"/>
    <w:rsid w:val="00665F10"/>
    <w:rsid w:val="00670750"/>
    <w:rsid w:val="0067179E"/>
    <w:rsid w:val="006746C8"/>
    <w:rsid w:val="00675935"/>
    <w:rsid w:val="00675FA8"/>
    <w:rsid w:val="00684DDD"/>
    <w:rsid w:val="00685955"/>
    <w:rsid w:val="00693849"/>
    <w:rsid w:val="00695596"/>
    <w:rsid w:val="006961E1"/>
    <w:rsid w:val="006A05DF"/>
    <w:rsid w:val="006A31C6"/>
    <w:rsid w:val="006A7E9A"/>
    <w:rsid w:val="006B0868"/>
    <w:rsid w:val="006B44A8"/>
    <w:rsid w:val="006C22F8"/>
    <w:rsid w:val="006D412F"/>
    <w:rsid w:val="006E5EBD"/>
    <w:rsid w:val="006F1E70"/>
    <w:rsid w:val="006F64F7"/>
    <w:rsid w:val="006F7DC3"/>
    <w:rsid w:val="00703A69"/>
    <w:rsid w:val="007111D2"/>
    <w:rsid w:val="00713F1E"/>
    <w:rsid w:val="007207C1"/>
    <w:rsid w:val="00726D3F"/>
    <w:rsid w:val="00733EA1"/>
    <w:rsid w:val="00744DCB"/>
    <w:rsid w:val="007543FF"/>
    <w:rsid w:val="00754D5C"/>
    <w:rsid w:val="0075624F"/>
    <w:rsid w:val="00756815"/>
    <w:rsid w:val="00756D9A"/>
    <w:rsid w:val="007620F8"/>
    <w:rsid w:val="007635A2"/>
    <w:rsid w:val="00767835"/>
    <w:rsid w:val="00767C26"/>
    <w:rsid w:val="0077149D"/>
    <w:rsid w:val="00771EC9"/>
    <w:rsid w:val="00772F4F"/>
    <w:rsid w:val="00781B9B"/>
    <w:rsid w:val="00781E25"/>
    <w:rsid w:val="00784234"/>
    <w:rsid w:val="00784D84"/>
    <w:rsid w:val="00785B03"/>
    <w:rsid w:val="00791794"/>
    <w:rsid w:val="007A0439"/>
    <w:rsid w:val="007B426C"/>
    <w:rsid w:val="007B5CDE"/>
    <w:rsid w:val="007B7560"/>
    <w:rsid w:val="007C304F"/>
    <w:rsid w:val="007E0498"/>
    <w:rsid w:val="007E061A"/>
    <w:rsid w:val="007E2ACD"/>
    <w:rsid w:val="007E499F"/>
    <w:rsid w:val="007F575B"/>
    <w:rsid w:val="00804BEC"/>
    <w:rsid w:val="008074EA"/>
    <w:rsid w:val="00812F94"/>
    <w:rsid w:val="008169C4"/>
    <w:rsid w:val="00820A2A"/>
    <w:rsid w:val="00824EC4"/>
    <w:rsid w:val="008274BA"/>
    <w:rsid w:val="00830770"/>
    <w:rsid w:val="00831582"/>
    <w:rsid w:val="00832EAA"/>
    <w:rsid w:val="008333DB"/>
    <w:rsid w:val="00837853"/>
    <w:rsid w:val="00843FC1"/>
    <w:rsid w:val="00847B73"/>
    <w:rsid w:val="00850299"/>
    <w:rsid w:val="00851260"/>
    <w:rsid w:val="00852A47"/>
    <w:rsid w:val="008553E5"/>
    <w:rsid w:val="008557BE"/>
    <w:rsid w:val="00856D89"/>
    <w:rsid w:val="00857392"/>
    <w:rsid w:val="00860515"/>
    <w:rsid w:val="00873467"/>
    <w:rsid w:val="0087352C"/>
    <w:rsid w:val="008736FB"/>
    <w:rsid w:val="00874280"/>
    <w:rsid w:val="008742FD"/>
    <w:rsid w:val="008749E2"/>
    <w:rsid w:val="008760F7"/>
    <w:rsid w:val="00885F3E"/>
    <w:rsid w:val="008903B3"/>
    <w:rsid w:val="00893A07"/>
    <w:rsid w:val="0089704E"/>
    <w:rsid w:val="008A3032"/>
    <w:rsid w:val="008A7157"/>
    <w:rsid w:val="008A7F39"/>
    <w:rsid w:val="008B365F"/>
    <w:rsid w:val="008B7709"/>
    <w:rsid w:val="008C3D1F"/>
    <w:rsid w:val="008C4979"/>
    <w:rsid w:val="008D0BB0"/>
    <w:rsid w:val="008D3568"/>
    <w:rsid w:val="008E0402"/>
    <w:rsid w:val="008E7B0A"/>
    <w:rsid w:val="008F2D3B"/>
    <w:rsid w:val="008F2F62"/>
    <w:rsid w:val="008F3DAC"/>
    <w:rsid w:val="008F6A7A"/>
    <w:rsid w:val="008F75F9"/>
    <w:rsid w:val="00900628"/>
    <w:rsid w:val="009217F1"/>
    <w:rsid w:val="009228BB"/>
    <w:rsid w:val="00923D8B"/>
    <w:rsid w:val="00923DD1"/>
    <w:rsid w:val="00924F8F"/>
    <w:rsid w:val="00933F41"/>
    <w:rsid w:val="00934346"/>
    <w:rsid w:val="0094079F"/>
    <w:rsid w:val="00941988"/>
    <w:rsid w:val="009451D2"/>
    <w:rsid w:val="00951BC1"/>
    <w:rsid w:val="0095462C"/>
    <w:rsid w:val="00955DCD"/>
    <w:rsid w:val="00963325"/>
    <w:rsid w:val="0096495F"/>
    <w:rsid w:val="009659C5"/>
    <w:rsid w:val="00966CF2"/>
    <w:rsid w:val="0097003E"/>
    <w:rsid w:val="00971705"/>
    <w:rsid w:val="009750C0"/>
    <w:rsid w:val="00977BDD"/>
    <w:rsid w:val="00982B1E"/>
    <w:rsid w:val="0098419A"/>
    <w:rsid w:val="0098512B"/>
    <w:rsid w:val="00985252"/>
    <w:rsid w:val="00991D3A"/>
    <w:rsid w:val="00992B08"/>
    <w:rsid w:val="00993240"/>
    <w:rsid w:val="0099776A"/>
    <w:rsid w:val="009A4548"/>
    <w:rsid w:val="009A5624"/>
    <w:rsid w:val="009B47AC"/>
    <w:rsid w:val="009C06B1"/>
    <w:rsid w:val="009C4DBE"/>
    <w:rsid w:val="009C5505"/>
    <w:rsid w:val="009E6909"/>
    <w:rsid w:val="009F068C"/>
    <w:rsid w:val="009F2446"/>
    <w:rsid w:val="00A012E0"/>
    <w:rsid w:val="00A017AB"/>
    <w:rsid w:val="00A07DF9"/>
    <w:rsid w:val="00A103AC"/>
    <w:rsid w:val="00A14942"/>
    <w:rsid w:val="00A16A74"/>
    <w:rsid w:val="00A172E5"/>
    <w:rsid w:val="00A24B3F"/>
    <w:rsid w:val="00A25CFE"/>
    <w:rsid w:val="00A273DA"/>
    <w:rsid w:val="00A277F1"/>
    <w:rsid w:val="00A3058D"/>
    <w:rsid w:val="00A30F63"/>
    <w:rsid w:val="00A3155D"/>
    <w:rsid w:val="00A32FB5"/>
    <w:rsid w:val="00A34700"/>
    <w:rsid w:val="00A4629D"/>
    <w:rsid w:val="00A52251"/>
    <w:rsid w:val="00A61CF7"/>
    <w:rsid w:val="00A660DA"/>
    <w:rsid w:val="00A707AE"/>
    <w:rsid w:val="00A77FD1"/>
    <w:rsid w:val="00A81315"/>
    <w:rsid w:val="00A8216F"/>
    <w:rsid w:val="00A8313B"/>
    <w:rsid w:val="00A835C3"/>
    <w:rsid w:val="00A842AF"/>
    <w:rsid w:val="00A8552E"/>
    <w:rsid w:val="00A85E31"/>
    <w:rsid w:val="00A909AA"/>
    <w:rsid w:val="00A937C8"/>
    <w:rsid w:val="00A945DF"/>
    <w:rsid w:val="00A94D51"/>
    <w:rsid w:val="00A94EBA"/>
    <w:rsid w:val="00AA1E00"/>
    <w:rsid w:val="00AA5DBA"/>
    <w:rsid w:val="00AA7F8D"/>
    <w:rsid w:val="00AB09FC"/>
    <w:rsid w:val="00AB0D97"/>
    <w:rsid w:val="00AC019C"/>
    <w:rsid w:val="00AC368C"/>
    <w:rsid w:val="00AD1355"/>
    <w:rsid w:val="00AD17B9"/>
    <w:rsid w:val="00AE29C7"/>
    <w:rsid w:val="00AE548D"/>
    <w:rsid w:val="00AE6D2B"/>
    <w:rsid w:val="00AF4082"/>
    <w:rsid w:val="00AF4B4F"/>
    <w:rsid w:val="00AF7CB3"/>
    <w:rsid w:val="00B02331"/>
    <w:rsid w:val="00B02C8C"/>
    <w:rsid w:val="00B056C6"/>
    <w:rsid w:val="00B13C59"/>
    <w:rsid w:val="00B13D4B"/>
    <w:rsid w:val="00B145B9"/>
    <w:rsid w:val="00B17650"/>
    <w:rsid w:val="00B214B3"/>
    <w:rsid w:val="00B242B0"/>
    <w:rsid w:val="00B25251"/>
    <w:rsid w:val="00B331B1"/>
    <w:rsid w:val="00B33A3B"/>
    <w:rsid w:val="00B33BCF"/>
    <w:rsid w:val="00B37166"/>
    <w:rsid w:val="00B41C66"/>
    <w:rsid w:val="00B434F3"/>
    <w:rsid w:val="00B516A1"/>
    <w:rsid w:val="00B52C13"/>
    <w:rsid w:val="00B611A1"/>
    <w:rsid w:val="00B70F02"/>
    <w:rsid w:val="00B750AA"/>
    <w:rsid w:val="00B77535"/>
    <w:rsid w:val="00B81F36"/>
    <w:rsid w:val="00B85669"/>
    <w:rsid w:val="00B92E3E"/>
    <w:rsid w:val="00B94F0C"/>
    <w:rsid w:val="00B96A15"/>
    <w:rsid w:val="00BA04B5"/>
    <w:rsid w:val="00BA7561"/>
    <w:rsid w:val="00BA77B0"/>
    <w:rsid w:val="00BA7B73"/>
    <w:rsid w:val="00BB2A2D"/>
    <w:rsid w:val="00BB2FBD"/>
    <w:rsid w:val="00BB3679"/>
    <w:rsid w:val="00BC4207"/>
    <w:rsid w:val="00BD0FA7"/>
    <w:rsid w:val="00BD44DF"/>
    <w:rsid w:val="00BD6BB7"/>
    <w:rsid w:val="00BD6D39"/>
    <w:rsid w:val="00BD7A05"/>
    <w:rsid w:val="00BE2AF5"/>
    <w:rsid w:val="00BF6ADA"/>
    <w:rsid w:val="00C059E0"/>
    <w:rsid w:val="00C07742"/>
    <w:rsid w:val="00C2644A"/>
    <w:rsid w:val="00C3100A"/>
    <w:rsid w:val="00C346BC"/>
    <w:rsid w:val="00C45A29"/>
    <w:rsid w:val="00C50CFC"/>
    <w:rsid w:val="00C56EFC"/>
    <w:rsid w:val="00C61912"/>
    <w:rsid w:val="00C61E6A"/>
    <w:rsid w:val="00C70B2E"/>
    <w:rsid w:val="00C711AA"/>
    <w:rsid w:val="00C7160C"/>
    <w:rsid w:val="00C73BB1"/>
    <w:rsid w:val="00C77DB5"/>
    <w:rsid w:val="00C85F0E"/>
    <w:rsid w:val="00C9151B"/>
    <w:rsid w:val="00C941D5"/>
    <w:rsid w:val="00C97699"/>
    <w:rsid w:val="00CA063D"/>
    <w:rsid w:val="00CA1D53"/>
    <w:rsid w:val="00CA2773"/>
    <w:rsid w:val="00CA296E"/>
    <w:rsid w:val="00CA68FD"/>
    <w:rsid w:val="00CA71D5"/>
    <w:rsid w:val="00CB1454"/>
    <w:rsid w:val="00CC08AC"/>
    <w:rsid w:val="00CD33F5"/>
    <w:rsid w:val="00CD4563"/>
    <w:rsid w:val="00CD5379"/>
    <w:rsid w:val="00CE02EB"/>
    <w:rsid w:val="00CE2A54"/>
    <w:rsid w:val="00CE3290"/>
    <w:rsid w:val="00CE54C0"/>
    <w:rsid w:val="00CE7C79"/>
    <w:rsid w:val="00CF0E52"/>
    <w:rsid w:val="00CF53C7"/>
    <w:rsid w:val="00D01C05"/>
    <w:rsid w:val="00D0254A"/>
    <w:rsid w:val="00D147A8"/>
    <w:rsid w:val="00D1755D"/>
    <w:rsid w:val="00D17D64"/>
    <w:rsid w:val="00D2294B"/>
    <w:rsid w:val="00D24820"/>
    <w:rsid w:val="00D327B4"/>
    <w:rsid w:val="00D40BF9"/>
    <w:rsid w:val="00D43925"/>
    <w:rsid w:val="00D43C07"/>
    <w:rsid w:val="00D449B7"/>
    <w:rsid w:val="00D46587"/>
    <w:rsid w:val="00D47E73"/>
    <w:rsid w:val="00D512FB"/>
    <w:rsid w:val="00D52E40"/>
    <w:rsid w:val="00D56298"/>
    <w:rsid w:val="00D65916"/>
    <w:rsid w:val="00D70C19"/>
    <w:rsid w:val="00D72506"/>
    <w:rsid w:val="00D82427"/>
    <w:rsid w:val="00D85F9F"/>
    <w:rsid w:val="00D86A3B"/>
    <w:rsid w:val="00D90677"/>
    <w:rsid w:val="00D90E11"/>
    <w:rsid w:val="00D95A5E"/>
    <w:rsid w:val="00D95EC9"/>
    <w:rsid w:val="00D97356"/>
    <w:rsid w:val="00DA6CE5"/>
    <w:rsid w:val="00DB1547"/>
    <w:rsid w:val="00DB2533"/>
    <w:rsid w:val="00DC09AE"/>
    <w:rsid w:val="00DC0E50"/>
    <w:rsid w:val="00DC12BB"/>
    <w:rsid w:val="00DC7409"/>
    <w:rsid w:val="00DD0FAD"/>
    <w:rsid w:val="00DD4D06"/>
    <w:rsid w:val="00DD548F"/>
    <w:rsid w:val="00DE0D5F"/>
    <w:rsid w:val="00DE5248"/>
    <w:rsid w:val="00DE70AB"/>
    <w:rsid w:val="00DF2F8D"/>
    <w:rsid w:val="00DF7EB7"/>
    <w:rsid w:val="00E00877"/>
    <w:rsid w:val="00E01914"/>
    <w:rsid w:val="00E04B09"/>
    <w:rsid w:val="00E118BC"/>
    <w:rsid w:val="00E11B77"/>
    <w:rsid w:val="00E126C7"/>
    <w:rsid w:val="00E133DB"/>
    <w:rsid w:val="00E1630B"/>
    <w:rsid w:val="00E2272E"/>
    <w:rsid w:val="00E31698"/>
    <w:rsid w:val="00E3285A"/>
    <w:rsid w:val="00E42F76"/>
    <w:rsid w:val="00E435DB"/>
    <w:rsid w:val="00E45E99"/>
    <w:rsid w:val="00E462C0"/>
    <w:rsid w:val="00E55772"/>
    <w:rsid w:val="00E557BD"/>
    <w:rsid w:val="00E56440"/>
    <w:rsid w:val="00E56C9F"/>
    <w:rsid w:val="00E57A37"/>
    <w:rsid w:val="00E63585"/>
    <w:rsid w:val="00E63E7C"/>
    <w:rsid w:val="00E643C8"/>
    <w:rsid w:val="00E758FB"/>
    <w:rsid w:val="00E767ED"/>
    <w:rsid w:val="00E7690E"/>
    <w:rsid w:val="00E77480"/>
    <w:rsid w:val="00E83127"/>
    <w:rsid w:val="00E8364D"/>
    <w:rsid w:val="00E858C5"/>
    <w:rsid w:val="00E93631"/>
    <w:rsid w:val="00E956D9"/>
    <w:rsid w:val="00EA044F"/>
    <w:rsid w:val="00EA0A0C"/>
    <w:rsid w:val="00EA23EE"/>
    <w:rsid w:val="00EA2C21"/>
    <w:rsid w:val="00EA2F4C"/>
    <w:rsid w:val="00EA4110"/>
    <w:rsid w:val="00EB0727"/>
    <w:rsid w:val="00EB277E"/>
    <w:rsid w:val="00EB3512"/>
    <w:rsid w:val="00EB7D2D"/>
    <w:rsid w:val="00EC15B6"/>
    <w:rsid w:val="00EC2600"/>
    <w:rsid w:val="00EC6205"/>
    <w:rsid w:val="00ED21D8"/>
    <w:rsid w:val="00EE0727"/>
    <w:rsid w:val="00EE0B0B"/>
    <w:rsid w:val="00EE325B"/>
    <w:rsid w:val="00EF1150"/>
    <w:rsid w:val="00EF1A5A"/>
    <w:rsid w:val="00EF6745"/>
    <w:rsid w:val="00EF6CB6"/>
    <w:rsid w:val="00F00682"/>
    <w:rsid w:val="00F00735"/>
    <w:rsid w:val="00F01CC8"/>
    <w:rsid w:val="00F036EC"/>
    <w:rsid w:val="00F046C7"/>
    <w:rsid w:val="00F2035A"/>
    <w:rsid w:val="00F238DB"/>
    <w:rsid w:val="00F24CBF"/>
    <w:rsid w:val="00F309F6"/>
    <w:rsid w:val="00F314D0"/>
    <w:rsid w:val="00F3157F"/>
    <w:rsid w:val="00F32BAD"/>
    <w:rsid w:val="00F32F93"/>
    <w:rsid w:val="00F35178"/>
    <w:rsid w:val="00F420C2"/>
    <w:rsid w:val="00F4347E"/>
    <w:rsid w:val="00F45A13"/>
    <w:rsid w:val="00F474BD"/>
    <w:rsid w:val="00F53DAB"/>
    <w:rsid w:val="00F633EA"/>
    <w:rsid w:val="00F6391E"/>
    <w:rsid w:val="00F64D34"/>
    <w:rsid w:val="00F70886"/>
    <w:rsid w:val="00F73473"/>
    <w:rsid w:val="00F86AFC"/>
    <w:rsid w:val="00F934DB"/>
    <w:rsid w:val="00F934EF"/>
    <w:rsid w:val="00F93E19"/>
    <w:rsid w:val="00F9743A"/>
    <w:rsid w:val="00FA079C"/>
    <w:rsid w:val="00FA535F"/>
    <w:rsid w:val="00FA6323"/>
    <w:rsid w:val="00FB45DA"/>
    <w:rsid w:val="00FC03D7"/>
    <w:rsid w:val="00FC189C"/>
    <w:rsid w:val="00FD0F17"/>
    <w:rsid w:val="00FE107B"/>
    <w:rsid w:val="00FE2125"/>
    <w:rsid w:val="00FE2991"/>
    <w:rsid w:val="00FF0BAB"/>
    <w:rsid w:val="00FF1AD3"/>
    <w:rsid w:val="00FF4081"/>
    <w:rsid w:val="00FF4EE6"/>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7F20D351"/>
  <w15:docId w15:val="{38147040-69E7-4EA9-AC92-780F65017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6" w:qFormat="1"/>
    <w:lsdException w:name="heading 2" w:semiHidden="1" w:uiPriority="6" w:unhideWhenUsed="1" w:qFormat="1"/>
    <w:lsdException w:name="heading 3" w:semiHidden="1" w:uiPriority="6" w:unhideWhenUsed="1" w:qFormat="1"/>
    <w:lsdException w:name="heading 4" w:semiHidden="1" w:uiPriority="6" w:unhideWhenUsed="1" w:qFormat="1"/>
    <w:lsdException w:name="heading 5" w:semiHidden="1" w:uiPriority="6"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Kokila"/>
    </w:rPr>
  </w:style>
  <w:style w:type="paragraph" w:styleId="Heading1">
    <w:name w:val="heading 1"/>
    <w:basedOn w:val="Normal"/>
    <w:next w:val="Normal"/>
    <w:link w:val="Heading1Char"/>
    <w:uiPriority w:val="6"/>
    <w:qFormat/>
    <w:rsid w:val="00A937C8"/>
    <w:pPr>
      <w:keepNext/>
      <w:keepLines/>
      <w:numPr>
        <w:numId w:val="1"/>
      </w:numPr>
      <w:spacing w:after="240" w:line="276" w:lineRule="auto"/>
      <w:outlineLvl w:val="0"/>
    </w:pPr>
    <w:rPr>
      <w:rFonts w:ascii="Arial" w:eastAsiaTheme="majorEastAsia" w:hAnsi="Arial" w:cstheme="minorBidi"/>
      <w:b/>
      <w:bCs/>
      <w:sz w:val="28"/>
      <w:szCs w:val="28"/>
      <w:lang w:bidi="ar-SA"/>
    </w:rPr>
  </w:style>
  <w:style w:type="paragraph" w:styleId="Heading2">
    <w:name w:val="heading 2"/>
    <w:basedOn w:val="Normal"/>
    <w:next w:val="Normal"/>
    <w:link w:val="Heading2Char"/>
    <w:uiPriority w:val="6"/>
    <w:unhideWhenUsed/>
    <w:qFormat/>
    <w:rsid w:val="00A937C8"/>
    <w:pPr>
      <w:keepNext/>
      <w:keepLines/>
      <w:numPr>
        <w:ilvl w:val="1"/>
        <w:numId w:val="1"/>
      </w:numPr>
      <w:spacing w:before="240" w:after="240" w:line="276" w:lineRule="auto"/>
      <w:outlineLvl w:val="1"/>
    </w:pPr>
    <w:rPr>
      <w:rFonts w:ascii="Arial" w:eastAsiaTheme="majorEastAsia" w:hAnsi="Arial" w:cstheme="minorBidi"/>
      <w:b/>
      <w:bCs/>
      <w:sz w:val="24"/>
      <w:szCs w:val="26"/>
      <w:lang w:bidi="ar-SA"/>
    </w:rPr>
  </w:style>
  <w:style w:type="paragraph" w:styleId="Heading3">
    <w:name w:val="heading 3"/>
    <w:basedOn w:val="Normal"/>
    <w:next w:val="Normal"/>
    <w:link w:val="Heading3Char"/>
    <w:uiPriority w:val="6"/>
    <w:unhideWhenUsed/>
    <w:qFormat/>
    <w:rsid w:val="00A937C8"/>
    <w:pPr>
      <w:keepNext/>
      <w:keepLines/>
      <w:numPr>
        <w:ilvl w:val="2"/>
        <w:numId w:val="1"/>
      </w:numPr>
      <w:spacing w:before="240" w:after="240" w:line="276" w:lineRule="auto"/>
      <w:outlineLvl w:val="2"/>
    </w:pPr>
    <w:rPr>
      <w:rFonts w:ascii="Arial" w:eastAsiaTheme="majorEastAsia" w:hAnsi="Arial" w:cstheme="minorBidi"/>
      <w:b/>
      <w:bCs/>
      <w:i/>
      <w:sz w:val="24"/>
      <w:szCs w:val="22"/>
      <w:lang w:bidi="ar-SA"/>
    </w:rPr>
  </w:style>
  <w:style w:type="paragraph" w:styleId="Heading4">
    <w:name w:val="heading 4"/>
    <w:basedOn w:val="Normal"/>
    <w:next w:val="Normal"/>
    <w:link w:val="Heading4Char"/>
    <w:uiPriority w:val="6"/>
    <w:semiHidden/>
    <w:unhideWhenUsed/>
    <w:qFormat/>
    <w:rsid w:val="00A937C8"/>
    <w:pPr>
      <w:numPr>
        <w:ilvl w:val="3"/>
        <w:numId w:val="1"/>
      </w:numPr>
      <w:spacing w:before="240" w:after="240" w:line="276" w:lineRule="auto"/>
      <w:jc w:val="both"/>
      <w:outlineLvl w:val="3"/>
    </w:pPr>
    <w:rPr>
      <w:rFonts w:ascii="Arial" w:eastAsia="Times New Roman" w:hAnsi="Arial" w:cstheme="minorBidi"/>
      <w:b/>
      <w:szCs w:val="22"/>
      <w:lang w:bidi="ar-SA"/>
    </w:rPr>
  </w:style>
  <w:style w:type="paragraph" w:styleId="Heading5">
    <w:name w:val="heading 5"/>
    <w:basedOn w:val="Heading4"/>
    <w:next w:val="Normal"/>
    <w:link w:val="Heading5Char"/>
    <w:uiPriority w:val="6"/>
    <w:semiHidden/>
    <w:unhideWhenUsed/>
    <w:qFormat/>
    <w:rsid w:val="00A937C8"/>
    <w:pPr>
      <w:numPr>
        <w:ilvl w:val="4"/>
      </w:numPr>
      <w:outlineLvl w:val="4"/>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C059E0"/>
  </w:style>
  <w:style w:type="paragraph" w:styleId="Header">
    <w:name w:val="header"/>
    <w:basedOn w:val="Normal"/>
    <w:link w:val="HeaderChar"/>
    <w:uiPriority w:val="99"/>
    <w:unhideWhenUsed/>
    <w:rsid w:val="00C059E0"/>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rsid w:val="00C059E0"/>
    <w:rPr>
      <w:rFonts w:cs="Mangal"/>
    </w:rPr>
  </w:style>
  <w:style w:type="paragraph" w:styleId="Footer">
    <w:name w:val="footer"/>
    <w:basedOn w:val="Normal"/>
    <w:link w:val="FooterChar"/>
    <w:uiPriority w:val="99"/>
    <w:unhideWhenUsed/>
    <w:rsid w:val="00C059E0"/>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C059E0"/>
    <w:rPr>
      <w:rFonts w:cs="Mangal"/>
    </w:rPr>
  </w:style>
  <w:style w:type="character" w:styleId="CommentReference">
    <w:name w:val="annotation reference"/>
    <w:basedOn w:val="DefaultParagraphFont"/>
    <w:uiPriority w:val="99"/>
    <w:semiHidden/>
    <w:unhideWhenUsed/>
    <w:rsid w:val="00440ECA"/>
    <w:rPr>
      <w:sz w:val="16"/>
      <w:szCs w:val="16"/>
    </w:rPr>
  </w:style>
  <w:style w:type="paragraph" w:styleId="CommentText">
    <w:name w:val="annotation text"/>
    <w:basedOn w:val="Normal"/>
    <w:link w:val="CommentTextChar"/>
    <w:uiPriority w:val="99"/>
    <w:unhideWhenUsed/>
    <w:rsid w:val="00440ECA"/>
    <w:pPr>
      <w:spacing w:line="240" w:lineRule="auto"/>
    </w:pPr>
    <w:rPr>
      <w:rFonts w:cs="Mangal"/>
      <w:sz w:val="20"/>
      <w:szCs w:val="18"/>
    </w:rPr>
  </w:style>
  <w:style w:type="character" w:customStyle="1" w:styleId="CommentTextChar">
    <w:name w:val="Comment Text Char"/>
    <w:basedOn w:val="DefaultParagraphFont"/>
    <w:link w:val="CommentText"/>
    <w:uiPriority w:val="99"/>
    <w:rsid w:val="00440ECA"/>
    <w:rPr>
      <w:rFonts w:cs="Mangal"/>
      <w:sz w:val="20"/>
      <w:szCs w:val="18"/>
    </w:rPr>
  </w:style>
  <w:style w:type="paragraph" w:styleId="CommentSubject">
    <w:name w:val="annotation subject"/>
    <w:basedOn w:val="CommentText"/>
    <w:next w:val="CommentText"/>
    <w:link w:val="CommentSubjectChar"/>
    <w:uiPriority w:val="99"/>
    <w:semiHidden/>
    <w:unhideWhenUsed/>
    <w:rsid w:val="00440ECA"/>
    <w:rPr>
      <w:b/>
      <w:bCs/>
    </w:rPr>
  </w:style>
  <w:style w:type="character" w:customStyle="1" w:styleId="CommentSubjectChar">
    <w:name w:val="Comment Subject Char"/>
    <w:basedOn w:val="CommentTextChar"/>
    <w:link w:val="CommentSubject"/>
    <w:uiPriority w:val="99"/>
    <w:semiHidden/>
    <w:rsid w:val="00440ECA"/>
    <w:rPr>
      <w:rFonts w:cs="Mangal"/>
      <w:b/>
      <w:bCs/>
      <w:sz w:val="20"/>
      <w:szCs w:val="18"/>
    </w:rPr>
  </w:style>
  <w:style w:type="character" w:styleId="Hyperlink">
    <w:name w:val="Hyperlink"/>
    <w:basedOn w:val="DefaultParagraphFont"/>
    <w:uiPriority w:val="99"/>
    <w:unhideWhenUsed/>
    <w:rsid w:val="00440ECA"/>
    <w:rPr>
      <w:color w:val="0563C1" w:themeColor="hyperlink"/>
      <w:u w:val="single"/>
    </w:rPr>
  </w:style>
  <w:style w:type="character" w:styleId="UnresolvedMention">
    <w:name w:val="Unresolved Mention"/>
    <w:basedOn w:val="DefaultParagraphFont"/>
    <w:uiPriority w:val="99"/>
    <w:semiHidden/>
    <w:unhideWhenUsed/>
    <w:rsid w:val="00440ECA"/>
    <w:rPr>
      <w:color w:val="605E5C"/>
      <w:shd w:val="clear" w:color="auto" w:fill="E1DFDD"/>
    </w:rPr>
  </w:style>
  <w:style w:type="character" w:styleId="FollowedHyperlink">
    <w:name w:val="FollowedHyperlink"/>
    <w:basedOn w:val="DefaultParagraphFont"/>
    <w:uiPriority w:val="99"/>
    <w:semiHidden/>
    <w:unhideWhenUsed/>
    <w:rsid w:val="00E42F76"/>
    <w:rPr>
      <w:color w:val="954F72" w:themeColor="followedHyperlink"/>
      <w:u w:val="single"/>
    </w:rPr>
  </w:style>
  <w:style w:type="paragraph" w:styleId="ListParagraph">
    <w:name w:val="List Paragraph"/>
    <w:aliases w:val="Bullet List"/>
    <w:basedOn w:val="Normal"/>
    <w:link w:val="ListParagraphChar"/>
    <w:uiPriority w:val="34"/>
    <w:qFormat/>
    <w:rsid w:val="00607A0C"/>
    <w:pPr>
      <w:ind w:left="720"/>
      <w:contextualSpacing/>
    </w:pPr>
    <w:rPr>
      <w:rFonts w:cs="Mangal"/>
    </w:rPr>
  </w:style>
  <w:style w:type="character" w:customStyle="1" w:styleId="Heading1Char">
    <w:name w:val="Heading 1 Char"/>
    <w:basedOn w:val="DefaultParagraphFont"/>
    <w:link w:val="Heading1"/>
    <w:uiPriority w:val="6"/>
    <w:rsid w:val="00A937C8"/>
    <w:rPr>
      <w:rFonts w:ascii="Arial" w:eastAsiaTheme="majorEastAsia" w:hAnsi="Arial"/>
      <w:b/>
      <w:bCs/>
      <w:sz w:val="28"/>
      <w:szCs w:val="28"/>
      <w:lang w:bidi="ar-SA"/>
    </w:rPr>
  </w:style>
  <w:style w:type="character" w:customStyle="1" w:styleId="Heading2Char">
    <w:name w:val="Heading 2 Char"/>
    <w:basedOn w:val="DefaultParagraphFont"/>
    <w:link w:val="Heading2"/>
    <w:uiPriority w:val="6"/>
    <w:rsid w:val="00A937C8"/>
    <w:rPr>
      <w:rFonts w:ascii="Arial" w:eastAsiaTheme="majorEastAsia" w:hAnsi="Arial"/>
      <w:b/>
      <w:bCs/>
      <w:sz w:val="24"/>
      <w:szCs w:val="26"/>
      <w:lang w:bidi="ar-SA"/>
    </w:rPr>
  </w:style>
  <w:style w:type="character" w:customStyle="1" w:styleId="Heading3Char">
    <w:name w:val="Heading 3 Char"/>
    <w:basedOn w:val="DefaultParagraphFont"/>
    <w:link w:val="Heading3"/>
    <w:uiPriority w:val="6"/>
    <w:rsid w:val="00A937C8"/>
    <w:rPr>
      <w:rFonts w:ascii="Arial" w:eastAsiaTheme="majorEastAsia" w:hAnsi="Arial"/>
      <w:b/>
      <w:bCs/>
      <w:i/>
      <w:sz w:val="24"/>
      <w:szCs w:val="22"/>
      <w:lang w:bidi="ar-SA"/>
    </w:rPr>
  </w:style>
  <w:style w:type="character" w:customStyle="1" w:styleId="Heading4Char">
    <w:name w:val="Heading 4 Char"/>
    <w:basedOn w:val="DefaultParagraphFont"/>
    <w:link w:val="Heading4"/>
    <w:uiPriority w:val="6"/>
    <w:semiHidden/>
    <w:rsid w:val="00A937C8"/>
    <w:rPr>
      <w:rFonts w:ascii="Arial" w:eastAsia="Times New Roman" w:hAnsi="Arial"/>
      <w:b/>
      <w:szCs w:val="22"/>
      <w:lang w:bidi="ar-SA"/>
    </w:rPr>
  </w:style>
  <w:style w:type="character" w:customStyle="1" w:styleId="Heading5Char">
    <w:name w:val="Heading 5 Char"/>
    <w:basedOn w:val="DefaultParagraphFont"/>
    <w:link w:val="Heading5"/>
    <w:uiPriority w:val="6"/>
    <w:semiHidden/>
    <w:rsid w:val="00A937C8"/>
    <w:rPr>
      <w:rFonts w:ascii="Arial" w:eastAsia="Times New Roman" w:hAnsi="Arial"/>
      <w:b/>
      <w:i/>
      <w:szCs w:val="22"/>
      <w:lang w:bidi="ar-SA"/>
    </w:rPr>
  </w:style>
  <w:style w:type="character" w:customStyle="1" w:styleId="ListParagraphChar">
    <w:name w:val="List Paragraph Char"/>
    <w:aliases w:val="Bullet List Char"/>
    <w:link w:val="ListParagraph"/>
    <w:uiPriority w:val="34"/>
    <w:locked/>
    <w:rsid w:val="00A937C8"/>
    <w:rPr>
      <w:rFonts w:cs="Mangal"/>
    </w:rPr>
  </w:style>
  <w:style w:type="paragraph" w:customStyle="1" w:styleId="TableCaptions">
    <w:name w:val="Table Captions"/>
    <w:basedOn w:val="Normal"/>
    <w:next w:val="Normal"/>
    <w:uiPriority w:val="4"/>
    <w:qFormat/>
    <w:rsid w:val="00A937C8"/>
    <w:pPr>
      <w:keepNext/>
      <w:spacing w:before="480" w:after="60" w:line="276" w:lineRule="auto"/>
    </w:pPr>
    <w:rPr>
      <w:rFonts w:ascii="Arial" w:eastAsia="Calibri" w:hAnsi="Arial" w:cstheme="minorBidi"/>
      <w:b/>
      <w:bCs/>
      <w:lang w:bidi="ar-SA"/>
    </w:rPr>
  </w:style>
  <w:style w:type="character" w:customStyle="1" w:styleId="TableTextChar">
    <w:name w:val="Table Text Char"/>
    <w:basedOn w:val="DefaultParagraphFont"/>
    <w:link w:val="TableText"/>
    <w:locked/>
    <w:rsid w:val="00A937C8"/>
    <w:rPr>
      <w:rFonts w:ascii="Arial" w:hAnsi="Arial" w:cs="Arial"/>
      <w:sz w:val="18"/>
    </w:rPr>
  </w:style>
  <w:style w:type="paragraph" w:customStyle="1" w:styleId="TableText">
    <w:name w:val="Table Text"/>
    <w:basedOn w:val="Normal"/>
    <w:link w:val="TableTextChar"/>
    <w:qFormat/>
    <w:rsid w:val="00A937C8"/>
    <w:pPr>
      <w:spacing w:after="0" w:line="240" w:lineRule="auto"/>
    </w:pPr>
    <w:rPr>
      <w:rFonts w:ascii="Arial" w:hAnsi="Arial" w:cs="Arial"/>
      <w:sz w:val="18"/>
    </w:rPr>
  </w:style>
  <w:style w:type="paragraph" w:customStyle="1" w:styleId="TableListParagraph">
    <w:name w:val="Table List Paragraph"/>
    <w:basedOn w:val="TableText"/>
    <w:link w:val="TableListParagraphChar"/>
    <w:uiPriority w:val="3"/>
    <w:qFormat/>
    <w:rsid w:val="00A937C8"/>
    <w:pPr>
      <w:numPr>
        <w:numId w:val="2"/>
      </w:numPr>
    </w:pPr>
  </w:style>
  <w:style w:type="character" w:customStyle="1" w:styleId="TableListParagraphChar">
    <w:name w:val="Table List Paragraph Char"/>
    <w:basedOn w:val="TableTextChar"/>
    <w:link w:val="TableListParagraph"/>
    <w:uiPriority w:val="3"/>
    <w:locked/>
    <w:rsid w:val="00A937C8"/>
    <w:rPr>
      <w:rFonts w:ascii="Arial" w:hAnsi="Arial" w:cs="Arial"/>
      <w:sz w:val="18"/>
    </w:rPr>
  </w:style>
  <w:style w:type="table" w:styleId="TableGridLight">
    <w:name w:val="Grid Table Light"/>
    <w:basedOn w:val="TableNormal"/>
    <w:uiPriority w:val="40"/>
    <w:rsid w:val="00A937C8"/>
    <w:pPr>
      <w:spacing w:after="0" w:line="240" w:lineRule="auto"/>
    </w:pPr>
    <w:rPr>
      <w:rFonts w:eastAsia="SimSun"/>
      <w:szCs w:val="22"/>
      <w:lang w:bidi="ar-SA"/>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A937C8"/>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Caption">
    <w:name w:val="caption"/>
    <w:basedOn w:val="Normal"/>
    <w:next w:val="Normal"/>
    <w:uiPriority w:val="35"/>
    <w:unhideWhenUsed/>
    <w:qFormat/>
    <w:rsid w:val="008A7157"/>
    <w:pPr>
      <w:tabs>
        <w:tab w:val="left" w:pos="1080"/>
      </w:tabs>
      <w:spacing w:after="200" w:line="240" w:lineRule="auto"/>
      <w:ind w:left="1080" w:hanging="1080"/>
    </w:pPr>
    <w:rPr>
      <w:rFonts w:ascii="Times New Roman" w:eastAsia="Times New Roman" w:hAnsi="Times New Roman" w:cs="Times New Roman"/>
      <w:b/>
      <w:iCs/>
      <w:sz w:val="20"/>
      <w:lang w:bidi="ar-SA"/>
    </w:rPr>
  </w:style>
  <w:style w:type="paragraph" w:customStyle="1" w:styleId="BodyText12">
    <w:name w:val="Body Text 12"/>
    <w:link w:val="BodyText12Char"/>
    <w:qFormat/>
    <w:rsid w:val="00031AD2"/>
    <w:pPr>
      <w:spacing w:after="240" w:line="264" w:lineRule="auto"/>
      <w:jc w:val="both"/>
    </w:pPr>
    <w:rPr>
      <w:rFonts w:ascii="Times New Roman" w:eastAsia="Times New Roman" w:hAnsi="Times New Roman" w:cs="Times New Roman"/>
      <w:sz w:val="24"/>
      <w:lang w:bidi="ar-SA"/>
    </w:rPr>
  </w:style>
  <w:style w:type="character" w:customStyle="1" w:styleId="BodyText12Char">
    <w:name w:val="Body Text 12 Char"/>
    <w:basedOn w:val="DefaultParagraphFont"/>
    <w:link w:val="BodyText12"/>
    <w:locked/>
    <w:rsid w:val="00031AD2"/>
    <w:rPr>
      <w:rFonts w:ascii="Times New Roman" w:eastAsia="Times New Roman" w:hAnsi="Times New Roman" w:cs="Times New Roman"/>
      <w:sz w:val="24"/>
      <w:lang w:bidi="ar-SA"/>
    </w:rPr>
  </w:style>
  <w:style w:type="character" w:customStyle="1" w:styleId="period">
    <w:name w:val="period"/>
    <w:basedOn w:val="DefaultParagraphFont"/>
    <w:rsid w:val="00500C98"/>
  </w:style>
  <w:style w:type="character" w:customStyle="1" w:styleId="cit">
    <w:name w:val="cit"/>
    <w:basedOn w:val="DefaultParagraphFont"/>
    <w:rsid w:val="00500C98"/>
  </w:style>
  <w:style w:type="character" w:customStyle="1" w:styleId="citation-doi">
    <w:name w:val="citation-doi"/>
    <w:basedOn w:val="DefaultParagraphFont"/>
    <w:rsid w:val="00500C98"/>
  </w:style>
  <w:style w:type="paragraph" w:styleId="Revision">
    <w:name w:val="Revision"/>
    <w:hidden/>
    <w:uiPriority w:val="99"/>
    <w:semiHidden/>
    <w:rsid w:val="00F420C2"/>
    <w:pPr>
      <w:spacing w:after="0" w:line="240" w:lineRule="auto"/>
    </w:pPr>
    <w:rPr>
      <w:rFonts w:cs="Mangal"/>
    </w:rPr>
  </w:style>
  <w:style w:type="paragraph" w:customStyle="1" w:styleId="rteindent1">
    <w:name w:val="rteindent1"/>
    <w:basedOn w:val="Normal"/>
    <w:rsid w:val="00A103A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103AC"/>
    <w:rPr>
      <w:i/>
      <w:iCs/>
    </w:rPr>
  </w:style>
  <w:style w:type="paragraph" w:styleId="BodyText">
    <w:name w:val="Body Text"/>
    <w:basedOn w:val="Normal"/>
    <w:link w:val="BodyTextChar"/>
    <w:uiPriority w:val="1"/>
    <w:semiHidden/>
    <w:unhideWhenUsed/>
    <w:qFormat/>
    <w:rsid w:val="00DC0E50"/>
    <w:pPr>
      <w:spacing w:after="120" w:line="276" w:lineRule="auto"/>
    </w:pPr>
    <w:rPr>
      <w:rFonts w:ascii="Calibri" w:eastAsiaTheme="minorEastAsia" w:hAnsi="Calibri" w:cstheme="minorBidi"/>
      <w:sz w:val="19"/>
      <w:szCs w:val="22"/>
      <w:lang w:bidi="en-US"/>
    </w:rPr>
  </w:style>
  <w:style w:type="character" w:customStyle="1" w:styleId="BodyTextChar">
    <w:name w:val="Body Text Char"/>
    <w:basedOn w:val="DefaultParagraphFont"/>
    <w:link w:val="BodyText"/>
    <w:uiPriority w:val="1"/>
    <w:semiHidden/>
    <w:rsid w:val="00DC0E50"/>
    <w:rPr>
      <w:rFonts w:ascii="Calibri" w:eastAsiaTheme="minorEastAsia" w:hAnsi="Calibri"/>
      <w:sz w:val="19"/>
      <w:szCs w:val="22"/>
      <w:lang w:bidi="en-US"/>
    </w:rPr>
  </w:style>
  <w:style w:type="paragraph" w:styleId="NoSpacing">
    <w:name w:val="No Spacing"/>
    <w:uiPriority w:val="1"/>
    <w:qFormat/>
    <w:rsid w:val="00DC0E50"/>
    <w:pPr>
      <w:spacing w:after="0" w:line="240" w:lineRule="auto"/>
    </w:pPr>
    <w:rPr>
      <w:rFonts w:ascii="Calibri" w:hAnsi="Calibri"/>
      <w:sz w:val="19"/>
      <w:szCs w:val="22"/>
      <w:lang w:val="en-CA" w:bidi="ar-SA"/>
    </w:rPr>
  </w:style>
  <w:style w:type="paragraph" w:customStyle="1" w:styleId="TableParagraph">
    <w:name w:val="Table Paragraph"/>
    <w:basedOn w:val="Normal"/>
    <w:uiPriority w:val="1"/>
    <w:qFormat/>
    <w:rsid w:val="00DC0E50"/>
    <w:pPr>
      <w:widowControl w:val="0"/>
      <w:spacing w:after="0" w:line="240" w:lineRule="auto"/>
    </w:pPr>
    <w:rPr>
      <w:rFonts w:ascii="Calibri" w:hAnsi="Calibri" w:cstheme="minorBidi"/>
      <w:sz w:val="19"/>
      <w:szCs w:val="22"/>
      <w:lang w:bidi="ar-SA"/>
    </w:rPr>
  </w:style>
  <w:style w:type="character" w:customStyle="1" w:styleId="searchhistory-search-term">
    <w:name w:val="searchhistory-search-term"/>
    <w:basedOn w:val="DefaultParagraphFont"/>
    <w:rsid w:val="00DC0E50"/>
  </w:style>
  <w:style w:type="table" w:styleId="TableGrid">
    <w:name w:val="Table Grid"/>
    <w:basedOn w:val="TableNormal"/>
    <w:uiPriority w:val="59"/>
    <w:rsid w:val="00DC0E50"/>
    <w:pPr>
      <w:spacing w:after="0" w:line="240" w:lineRule="auto"/>
    </w:pPr>
    <w:rPr>
      <w:rFonts w:ascii="Times New Roman" w:eastAsia="Times New Roman" w:hAnsi="Times New Roman" w:cs="Times New Roman"/>
      <w:sz w:val="20"/>
      <w:lang w:val="en-CA"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036303"/>
    <w:rPr>
      <w:rFonts w:ascii="Segoe UI" w:hAnsi="Segoe UI" w:cs="Segoe UI" w:hint="default"/>
      <w:sz w:val="18"/>
      <w:szCs w:val="18"/>
    </w:rPr>
  </w:style>
  <w:style w:type="paragraph" w:customStyle="1" w:styleId="msonormal0">
    <w:name w:val="msonormal"/>
    <w:basedOn w:val="Normal"/>
    <w:rsid w:val="00406A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406AEC"/>
    <w:pPr>
      <w:spacing w:before="100" w:beforeAutospacing="1" w:after="100" w:afterAutospacing="1" w:line="240" w:lineRule="auto"/>
    </w:pPr>
    <w:rPr>
      <w:rFonts w:ascii="Times New Roman" w:eastAsia="Times New Roman" w:hAnsi="Times New Roman" w:cs="Times New Roman"/>
      <w:b/>
      <w:bCs/>
      <w:sz w:val="24"/>
      <w:szCs w:val="24"/>
      <w:u w:val="single"/>
    </w:rPr>
  </w:style>
  <w:style w:type="paragraph" w:customStyle="1" w:styleId="xl64">
    <w:name w:val="xl64"/>
    <w:basedOn w:val="Normal"/>
    <w:rsid w:val="00406AEC"/>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856D89"/>
    <w:pPr>
      <w:numPr>
        <w:numId w:val="0"/>
      </w:numPr>
      <w:spacing w:before="240" w:after="0" w:line="259" w:lineRule="auto"/>
      <w:outlineLvl w:val="9"/>
    </w:pPr>
    <w:rPr>
      <w:rFonts w:asciiTheme="majorHAnsi"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856D89"/>
    <w:pPr>
      <w:spacing w:after="100"/>
    </w:pPr>
    <w:rPr>
      <w:rFonts w:cs="Mangal"/>
    </w:rPr>
  </w:style>
  <w:style w:type="paragraph" w:styleId="TOC2">
    <w:name w:val="toc 2"/>
    <w:basedOn w:val="Normal"/>
    <w:next w:val="Normal"/>
    <w:autoRedefine/>
    <w:uiPriority w:val="39"/>
    <w:unhideWhenUsed/>
    <w:rsid w:val="00856D89"/>
    <w:pPr>
      <w:spacing w:after="100"/>
      <w:ind w:left="220"/>
    </w:pPr>
    <w:rPr>
      <w:rFonts w:cs="Mangal"/>
    </w:rPr>
  </w:style>
  <w:style w:type="paragraph" w:styleId="TOC3">
    <w:name w:val="toc 3"/>
    <w:basedOn w:val="Normal"/>
    <w:next w:val="Normal"/>
    <w:autoRedefine/>
    <w:uiPriority w:val="39"/>
    <w:unhideWhenUsed/>
    <w:rsid w:val="00856D89"/>
    <w:pPr>
      <w:spacing w:after="100"/>
      <w:ind w:left="440"/>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06409">
      <w:bodyDiv w:val="1"/>
      <w:marLeft w:val="0"/>
      <w:marRight w:val="0"/>
      <w:marTop w:val="0"/>
      <w:marBottom w:val="0"/>
      <w:divBdr>
        <w:top w:val="none" w:sz="0" w:space="0" w:color="auto"/>
        <w:left w:val="none" w:sz="0" w:space="0" w:color="auto"/>
        <w:bottom w:val="none" w:sz="0" w:space="0" w:color="auto"/>
        <w:right w:val="none" w:sz="0" w:space="0" w:color="auto"/>
      </w:divBdr>
    </w:div>
    <w:div w:id="109402621">
      <w:bodyDiv w:val="1"/>
      <w:marLeft w:val="0"/>
      <w:marRight w:val="0"/>
      <w:marTop w:val="0"/>
      <w:marBottom w:val="0"/>
      <w:divBdr>
        <w:top w:val="none" w:sz="0" w:space="0" w:color="auto"/>
        <w:left w:val="none" w:sz="0" w:space="0" w:color="auto"/>
        <w:bottom w:val="none" w:sz="0" w:space="0" w:color="auto"/>
        <w:right w:val="none" w:sz="0" w:space="0" w:color="auto"/>
      </w:divBdr>
      <w:divsChild>
        <w:div w:id="1923484623">
          <w:marLeft w:val="0"/>
          <w:marRight w:val="0"/>
          <w:marTop w:val="0"/>
          <w:marBottom w:val="0"/>
          <w:divBdr>
            <w:top w:val="none" w:sz="0" w:space="0" w:color="auto"/>
            <w:left w:val="none" w:sz="0" w:space="0" w:color="auto"/>
            <w:bottom w:val="none" w:sz="0" w:space="0" w:color="auto"/>
            <w:right w:val="none" w:sz="0" w:space="0" w:color="auto"/>
          </w:divBdr>
          <w:divsChild>
            <w:div w:id="461576010">
              <w:marLeft w:val="0"/>
              <w:marRight w:val="0"/>
              <w:marTop w:val="600"/>
              <w:marBottom w:val="0"/>
              <w:divBdr>
                <w:top w:val="single" w:sz="12" w:space="0" w:color="A6CE39"/>
                <w:left w:val="single" w:sz="12" w:space="9" w:color="A6CE39"/>
                <w:bottom w:val="single" w:sz="12" w:space="24" w:color="A6CE39"/>
                <w:right w:val="single" w:sz="12" w:space="9" w:color="A6CE39"/>
              </w:divBdr>
              <w:divsChild>
                <w:div w:id="10593048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29828138">
      <w:bodyDiv w:val="1"/>
      <w:marLeft w:val="0"/>
      <w:marRight w:val="0"/>
      <w:marTop w:val="0"/>
      <w:marBottom w:val="0"/>
      <w:divBdr>
        <w:top w:val="none" w:sz="0" w:space="0" w:color="auto"/>
        <w:left w:val="none" w:sz="0" w:space="0" w:color="auto"/>
        <w:bottom w:val="none" w:sz="0" w:space="0" w:color="auto"/>
        <w:right w:val="none" w:sz="0" w:space="0" w:color="auto"/>
      </w:divBdr>
    </w:div>
    <w:div w:id="139082169">
      <w:bodyDiv w:val="1"/>
      <w:marLeft w:val="0"/>
      <w:marRight w:val="0"/>
      <w:marTop w:val="0"/>
      <w:marBottom w:val="0"/>
      <w:divBdr>
        <w:top w:val="none" w:sz="0" w:space="0" w:color="auto"/>
        <w:left w:val="none" w:sz="0" w:space="0" w:color="auto"/>
        <w:bottom w:val="none" w:sz="0" w:space="0" w:color="auto"/>
        <w:right w:val="none" w:sz="0" w:space="0" w:color="auto"/>
      </w:divBdr>
    </w:div>
    <w:div w:id="323557205">
      <w:bodyDiv w:val="1"/>
      <w:marLeft w:val="0"/>
      <w:marRight w:val="0"/>
      <w:marTop w:val="0"/>
      <w:marBottom w:val="0"/>
      <w:divBdr>
        <w:top w:val="none" w:sz="0" w:space="0" w:color="auto"/>
        <w:left w:val="none" w:sz="0" w:space="0" w:color="auto"/>
        <w:bottom w:val="none" w:sz="0" w:space="0" w:color="auto"/>
        <w:right w:val="none" w:sz="0" w:space="0" w:color="auto"/>
      </w:divBdr>
    </w:div>
    <w:div w:id="337270235">
      <w:bodyDiv w:val="1"/>
      <w:marLeft w:val="0"/>
      <w:marRight w:val="0"/>
      <w:marTop w:val="0"/>
      <w:marBottom w:val="0"/>
      <w:divBdr>
        <w:top w:val="none" w:sz="0" w:space="0" w:color="auto"/>
        <w:left w:val="none" w:sz="0" w:space="0" w:color="auto"/>
        <w:bottom w:val="none" w:sz="0" w:space="0" w:color="auto"/>
        <w:right w:val="none" w:sz="0" w:space="0" w:color="auto"/>
      </w:divBdr>
    </w:div>
    <w:div w:id="346714905">
      <w:bodyDiv w:val="1"/>
      <w:marLeft w:val="0"/>
      <w:marRight w:val="0"/>
      <w:marTop w:val="0"/>
      <w:marBottom w:val="0"/>
      <w:divBdr>
        <w:top w:val="none" w:sz="0" w:space="0" w:color="auto"/>
        <w:left w:val="none" w:sz="0" w:space="0" w:color="auto"/>
        <w:bottom w:val="none" w:sz="0" w:space="0" w:color="auto"/>
        <w:right w:val="none" w:sz="0" w:space="0" w:color="auto"/>
      </w:divBdr>
    </w:div>
    <w:div w:id="353501889">
      <w:bodyDiv w:val="1"/>
      <w:marLeft w:val="0"/>
      <w:marRight w:val="0"/>
      <w:marTop w:val="0"/>
      <w:marBottom w:val="0"/>
      <w:divBdr>
        <w:top w:val="none" w:sz="0" w:space="0" w:color="auto"/>
        <w:left w:val="none" w:sz="0" w:space="0" w:color="auto"/>
        <w:bottom w:val="none" w:sz="0" w:space="0" w:color="auto"/>
        <w:right w:val="none" w:sz="0" w:space="0" w:color="auto"/>
      </w:divBdr>
    </w:div>
    <w:div w:id="364407946">
      <w:bodyDiv w:val="1"/>
      <w:marLeft w:val="0"/>
      <w:marRight w:val="0"/>
      <w:marTop w:val="0"/>
      <w:marBottom w:val="0"/>
      <w:divBdr>
        <w:top w:val="none" w:sz="0" w:space="0" w:color="auto"/>
        <w:left w:val="none" w:sz="0" w:space="0" w:color="auto"/>
        <w:bottom w:val="none" w:sz="0" w:space="0" w:color="auto"/>
        <w:right w:val="none" w:sz="0" w:space="0" w:color="auto"/>
      </w:divBdr>
    </w:div>
    <w:div w:id="389621494">
      <w:bodyDiv w:val="1"/>
      <w:marLeft w:val="0"/>
      <w:marRight w:val="0"/>
      <w:marTop w:val="0"/>
      <w:marBottom w:val="0"/>
      <w:divBdr>
        <w:top w:val="none" w:sz="0" w:space="0" w:color="auto"/>
        <w:left w:val="none" w:sz="0" w:space="0" w:color="auto"/>
        <w:bottom w:val="none" w:sz="0" w:space="0" w:color="auto"/>
        <w:right w:val="none" w:sz="0" w:space="0" w:color="auto"/>
      </w:divBdr>
      <w:divsChild>
        <w:div w:id="45686596">
          <w:marLeft w:val="0"/>
          <w:marRight w:val="0"/>
          <w:marTop w:val="0"/>
          <w:marBottom w:val="200"/>
          <w:divBdr>
            <w:top w:val="none" w:sz="0" w:space="0" w:color="auto"/>
            <w:left w:val="none" w:sz="0" w:space="0" w:color="auto"/>
            <w:bottom w:val="none" w:sz="0" w:space="0" w:color="auto"/>
            <w:right w:val="none" w:sz="0" w:space="0" w:color="auto"/>
          </w:divBdr>
        </w:div>
        <w:div w:id="1220753225">
          <w:marLeft w:val="0"/>
          <w:marRight w:val="0"/>
          <w:marTop w:val="0"/>
          <w:marBottom w:val="200"/>
          <w:divBdr>
            <w:top w:val="none" w:sz="0" w:space="0" w:color="auto"/>
            <w:left w:val="none" w:sz="0" w:space="0" w:color="auto"/>
            <w:bottom w:val="none" w:sz="0" w:space="0" w:color="auto"/>
            <w:right w:val="none" w:sz="0" w:space="0" w:color="auto"/>
          </w:divBdr>
        </w:div>
        <w:div w:id="1761095260">
          <w:marLeft w:val="0"/>
          <w:marRight w:val="0"/>
          <w:marTop w:val="0"/>
          <w:marBottom w:val="200"/>
          <w:divBdr>
            <w:top w:val="none" w:sz="0" w:space="0" w:color="auto"/>
            <w:left w:val="none" w:sz="0" w:space="0" w:color="auto"/>
            <w:bottom w:val="none" w:sz="0" w:space="0" w:color="auto"/>
            <w:right w:val="none" w:sz="0" w:space="0" w:color="auto"/>
          </w:divBdr>
        </w:div>
        <w:div w:id="1953318278">
          <w:marLeft w:val="0"/>
          <w:marRight w:val="0"/>
          <w:marTop w:val="0"/>
          <w:marBottom w:val="200"/>
          <w:divBdr>
            <w:top w:val="none" w:sz="0" w:space="0" w:color="auto"/>
            <w:left w:val="none" w:sz="0" w:space="0" w:color="auto"/>
            <w:bottom w:val="none" w:sz="0" w:space="0" w:color="auto"/>
            <w:right w:val="none" w:sz="0" w:space="0" w:color="auto"/>
          </w:divBdr>
        </w:div>
      </w:divsChild>
    </w:div>
    <w:div w:id="406853107">
      <w:bodyDiv w:val="1"/>
      <w:marLeft w:val="0"/>
      <w:marRight w:val="0"/>
      <w:marTop w:val="0"/>
      <w:marBottom w:val="0"/>
      <w:divBdr>
        <w:top w:val="none" w:sz="0" w:space="0" w:color="auto"/>
        <w:left w:val="none" w:sz="0" w:space="0" w:color="auto"/>
        <w:bottom w:val="none" w:sz="0" w:space="0" w:color="auto"/>
        <w:right w:val="none" w:sz="0" w:space="0" w:color="auto"/>
      </w:divBdr>
    </w:div>
    <w:div w:id="425426511">
      <w:bodyDiv w:val="1"/>
      <w:marLeft w:val="0"/>
      <w:marRight w:val="0"/>
      <w:marTop w:val="0"/>
      <w:marBottom w:val="0"/>
      <w:divBdr>
        <w:top w:val="none" w:sz="0" w:space="0" w:color="auto"/>
        <w:left w:val="none" w:sz="0" w:space="0" w:color="auto"/>
        <w:bottom w:val="none" w:sz="0" w:space="0" w:color="auto"/>
        <w:right w:val="none" w:sz="0" w:space="0" w:color="auto"/>
      </w:divBdr>
    </w:div>
    <w:div w:id="550069254">
      <w:bodyDiv w:val="1"/>
      <w:marLeft w:val="0"/>
      <w:marRight w:val="0"/>
      <w:marTop w:val="0"/>
      <w:marBottom w:val="0"/>
      <w:divBdr>
        <w:top w:val="none" w:sz="0" w:space="0" w:color="auto"/>
        <w:left w:val="none" w:sz="0" w:space="0" w:color="auto"/>
        <w:bottom w:val="none" w:sz="0" w:space="0" w:color="auto"/>
        <w:right w:val="none" w:sz="0" w:space="0" w:color="auto"/>
      </w:divBdr>
    </w:div>
    <w:div w:id="781656545">
      <w:bodyDiv w:val="1"/>
      <w:marLeft w:val="0"/>
      <w:marRight w:val="0"/>
      <w:marTop w:val="0"/>
      <w:marBottom w:val="0"/>
      <w:divBdr>
        <w:top w:val="none" w:sz="0" w:space="0" w:color="auto"/>
        <w:left w:val="none" w:sz="0" w:space="0" w:color="auto"/>
        <w:bottom w:val="none" w:sz="0" w:space="0" w:color="auto"/>
        <w:right w:val="none" w:sz="0" w:space="0" w:color="auto"/>
      </w:divBdr>
    </w:div>
    <w:div w:id="787088559">
      <w:bodyDiv w:val="1"/>
      <w:marLeft w:val="0"/>
      <w:marRight w:val="0"/>
      <w:marTop w:val="0"/>
      <w:marBottom w:val="0"/>
      <w:divBdr>
        <w:top w:val="none" w:sz="0" w:space="0" w:color="auto"/>
        <w:left w:val="none" w:sz="0" w:space="0" w:color="auto"/>
        <w:bottom w:val="none" w:sz="0" w:space="0" w:color="auto"/>
        <w:right w:val="none" w:sz="0" w:space="0" w:color="auto"/>
      </w:divBdr>
    </w:div>
    <w:div w:id="895164154">
      <w:bodyDiv w:val="1"/>
      <w:marLeft w:val="0"/>
      <w:marRight w:val="0"/>
      <w:marTop w:val="0"/>
      <w:marBottom w:val="0"/>
      <w:divBdr>
        <w:top w:val="none" w:sz="0" w:space="0" w:color="auto"/>
        <w:left w:val="none" w:sz="0" w:space="0" w:color="auto"/>
        <w:bottom w:val="none" w:sz="0" w:space="0" w:color="auto"/>
        <w:right w:val="none" w:sz="0" w:space="0" w:color="auto"/>
      </w:divBdr>
    </w:div>
    <w:div w:id="1026443644">
      <w:bodyDiv w:val="1"/>
      <w:marLeft w:val="0"/>
      <w:marRight w:val="0"/>
      <w:marTop w:val="0"/>
      <w:marBottom w:val="0"/>
      <w:divBdr>
        <w:top w:val="none" w:sz="0" w:space="0" w:color="auto"/>
        <w:left w:val="none" w:sz="0" w:space="0" w:color="auto"/>
        <w:bottom w:val="none" w:sz="0" w:space="0" w:color="auto"/>
        <w:right w:val="none" w:sz="0" w:space="0" w:color="auto"/>
      </w:divBdr>
    </w:div>
    <w:div w:id="1167599131">
      <w:bodyDiv w:val="1"/>
      <w:marLeft w:val="0"/>
      <w:marRight w:val="0"/>
      <w:marTop w:val="0"/>
      <w:marBottom w:val="0"/>
      <w:divBdr>
        <w:top w:val="none" w:sz="0" w:space="0" w:color="auto"/>
        <w:left w:val="none" w:sz="0" w:space="0" w:color="auto"/>
        <w:bottom w:val="none" w:sz="0" w:space="0" w:color="auto"/>
        <w:right w:val="none" w:sz="0" w:space="0" w:color="auto"/>
      </w:divBdr>
    </w:div>
    <w:div w:id="1210217227">
      <w:bodyDiv w:val="1"/>
      <w:marLeft w:val="0"/>
      <w:marRight w:val="0"/>
      <w:marTop w:val="0"/>
      <w:marBottom w:val="0"/>
      <w:divBdr>
        <w:top w:val="none" w:sz="0" w:space="0" w:color="auto"/>
        <w:left w:val="none" w:sz="0" w:space="0" w:color="auto"/>
        <w:bottom w:val="none" w:sz="0" w:space="0" w:color="auto"/>
        <w:right w:val="none" w:sz="0" w:space="0" w:color="auto"/>
      </w:divBdr>
    </w:div>
    <w:div w:id="1283806342">
      <w:bodyDiv w:val="1"/>
      <w:marLeft w:val="0"/>
      <w:marRight w:val="0"/>
      <w:marTop w:val="0"/>
      <w:marBottom w:val="0"/>
      <w:divBdr>
        <w:top w:val="none" w:sz="0" w:space="0" w:color="auto"/>
        <w:left w:val="none" w:sz="0" w:space="0" w:color="auto"/>
        <w:bottom w:val="none" w:sz="0" w:space="0" w:color="auto"/>
        <w:right w:val="none" w:sz="0" w:space="0" w:color="auto"/>
      </w:divBdr>
    </w:div>
    <w:div w:id="1292860102">
      <w:bodyDiv w:val="1"/>
      <w:marLeft w:val="0"/>
      <w:marRight w:val="0"/>
      <w:marTop w:val="0"/>
      <w:marBottom w:val="0"/>
      <w:divBdr>
        <w:top w:val="none" w:sz="0" w:space="0" w:color="auto"/>
        <w:left w:val="none" w:sz="0" w:space="0" w:color="auto"/>
        <w:bottom w:val="none" w:sz="0" w:space="0" w:color="auto"/>
        <w:right w:val="none" w:sz="0" w:space="0" w:color="auto"/>
      </w:divBdr>
    </w:div>
    <w:div w:id="1315061959">
      <w:bodyDiv w:val="1"/>
      <w:marLeft w:val="0"/>
      <w:marRight w:val="0"/>
      <w:marTop w:val="0"/>
      <w:marBottom w:val="0"/>
      <w:divBdr>
        <w:top w:val="none" w:sz="0" w:space="0" w:color="auto"/>
        <w:left w:val="none" w:sz="0" w:space="0" w:color="auto"/>
        <w:bottom w:val="none" w:sz="0" w:space="0" w:color="auto"/>
        <w:right w:val="none" w:sz="0" w:space="0" w:color="auto"/>
      </w:divBdr>
      <w:divsChild>
        <w:div w:id="14815806">
          <w:marLeft w:val="1152"/>
          <w:marRight w:val="0"/>
          <w:marTop w:val="200"/>
          <w:marBottom w:val="0"/>
          <w:divBdr>
            <w:top w:val="none" w:sz="0" w:space="0" w:color="auto"/>
            <w:left w:val="none" w:sz="0" w:space="0" w:color="auto"/>
            <w:bottom w:val="none" w:sz="0" w:space="0" w:color="auto"/>
            <w:right w:val="none" w:sz="0" w:space="0" w:color="auto"/>
          </w:divBdr>
        </w:div>
        <w:div w:id="345786285">
          <w:marLeft w:val="1152"/>
          <w:marRight w:val="0"/>
          <w:marTop w:val="200"/>
          <w:marBottom w:val="0"/>
          <w:divBdr>
            <w:top w:val="none" w:sz="0" w:space="0" w:color="auto"/>
            <w:left w:val="none" w:sz="0" w:space="0" w:color="auto"/>
            <w:bottom w:val="none" w:sz="0" w:space="0" w:color="auto"/>
            <w:right w:val="none" w:sz="0" w:space="0" w:color="auto"/>
          </w:divBdr>
        </w:div>
        <w:div w:id="431316849">
          <w:marLeft w:val="720"/>
          <w:marRight w:val="0"/>
          <w:marTop w:val="240"/>
          <w:marBottom w:val="0"/>
          <w:divBdr>
            <w:top w:val="none" w:sz="0" w:space="0" w:color="auto"/>
            <w:left w:val="none" w:sz="0" w:space="0" w:color="auto"/>
            <w:bottom w:val="none" w:sz="0" w:space="0" w:color="auto"/>
            <w:right w:val="none" w:sz="0" w:space="0" w:color="auto"/>
          </w:divBdr>
        </w:div>
        <w:div w:id="498235663">
          <w:marLeft w:val="1152"/>
          <w:marRight w:val="0"/>
          <w:marTop w:val="200"/>
          <w:marBottom w:val="0"/>
          <w:divBdr>
            <w:top w:val="none" w:sz="0" w:space="0" w:color="auto"/>
            <w:left w:val="none" w:sz="0" w:space="0" w:color="auto"/>
            <w:bottom w:val="none" w:sz="0" w:space="0" w:color="auto"/>
            <w:right w:val="none" w:sz="0" w:space="0" w:color="auto"/>
          </w:divBdr>
        </w:div>
        <w:div w:id="596523363">
          <w:marLeft w:val="720"/>
          <w:marRight w:val="0"/>
          <w:marTop w:val="240"/>
          <w:marBottom w:val="0"/>
          <w:divBdr>
            <w:top w:val="none" w:sz="0" w:space="0" w:color="auto"/>
            <w:left w:val="none" w:sz="0" w:space="0" w:color="auto"/>
            <w:bottom w:val="none" w:sz="0" w:space="0" w:color="auto"/>
            <w:right w:val="none" w:sz="0" w:space="0" w:color="auto"/>
          </w:divBdr>
        </w:div>
        <w:div w:id="653684374">
          <w:marLeft w:val="1152"/>
          <w:marRight w:val="0"/>
          <w:marTop w:val="200"/>
          <w:marBottom w:val="0"/>
          <w:divBdr>
            <w:top w:val="none" w:sz="0" w:space="0" w:color="auto"/>
            <w:left w:val="none" w:sz="0" w:space="0" w:color="auto"/>
            <w:bottom w:val="none" w:sz="0" w:space="0" w:color="auto"/>
            <w:right w:val="none" w:sz="0" w:space="0" w:color="auto"/>
          </w:divBdr>
        </w:div>
        <w:div w:id="666714381">
          <w:marLeft w:val="1152"/>
          <w:marRight w:val="0"/>
          <w:marTop w:val="200"/>
          <w:marBottom w:val="0"/>
          <w:divBdr>
            <w:top w:val="none" w:sz="0" w:space="0" w:color="auto"/>
            <w:left w:val="none" w:sz="0" w:space="0" w:color="auto"/>
            <w:bottom w:val="none" w:sz="0" w:space="0" w:color="auto"/>
            <w:right w:val="none" w:sz="0" w:space="0" w:color="auto"/>
          </w:divBdr>
        </w:div>
        <w:div w:id="801968436">
          <w:marLeft w:val="720"/>
          <w:marRight w:val="0"/>
          <w:marTop w:val="240"/>
          <w:marBottom w:val="0"/>
          <w:divBdr>
            <w:top w:val="none" w:sz="0" w:space="0" w:color="auto"/>
            <w:left w:val="none" w:sz="0" w:space="0" w:color="auto"/>
            <w:bottom w:val="none" w:sz="0" w:space="0" w:color="auto"/>
            <w:right w:val="none" w:sz="0" w:space="0" w:color="auto"/>
          </w:divBdr>
        </w:div>
        <w:div w:id="852568004">
          <w:marLeft w:val="720"/>
          <w:marRight w:val="0"/>
          <w:marTop w:val="240"/>
          <w:marBottom w:val="0"/>
          <w:divBdr>
            <w:top w:val="none" w:sz="0" w:space="0" w:color="auto"/>
            <w:left w:val="none" w:sz="0" w:space="0" w:color="auto"/>
            <w:bottom w:val="none" w:sz="0" w:space="0" w:color="auto"/>
            <w:right w:val="none" w:sz="0" w:space="0" w:color="auto"/>
          </w:divBdr>
        </w:div>
        <w:div w:id="1297028185">
          <w:marLeft w:val="720"/>
          <w:marRight w:val="0"/>
          <w:marTop w:val="240"/>
          <w:marBottom w:val="0"/>
          <w:divBdr>
            <w:top w:val="none" w:sz="0" w:space="0" w:color="auto"/>
            <w:left w:val="none" w:sz="0" w:space="0" w:color="auto"/>
            <w:bottom w:val="none" w:sz="0" w:space="0" w:color="auto"/>
            <w:right w:val="none" w:sz="0" w:space="0" w:color="auto"/>
          </w:divBdr>
        </w:div>
        <w:div w:id="1327585482">
          <w:marLeft w:val="720"/>
          <w:marRight w:val="0"/>
          <w:marTop w:val="240"/>
          <w:marBottom w:val="0"/>
          <w:divBdr>
            <w:top w:val="none" w:sz="0" w:space="0" w:color="auto"/>
            <w:left w:val="none" w:sz="0" w:space="0" w:color="auto"/>
            <w:bottom w:val="none" w:sz="0" w:space="0" w:color="auto"/>
            <w:right w:val="none" w:sz="0" w:space="0" w:color="auto"/>
          </w:divBdr>
        </w:div>
        <w:div w:id="1375423096">
          <w:marLeft w:val="288"/>
          <w:marRight w:val="0"/>
          <w:marTop w:val="320"/>
          <w:marBottom w:val="0"/>
          <w:divBdr>
            <w:top w:val="none" w:sz="0" w:space="0" w:color="auto"/>
            <w:left w:val="none" w:sz="0" w:space="0" w:color="auto"/>
            <w:bottom w:val="none" w:sz="0" w:space="0" w:color="auto"/>
            <w:right w:val="none" w:sz="0" w:space="0" w:color="auto"/>
          </w:divBdr>
        </w:div>
        <w:div w:id="1450665803">
          <w:marLeft w:val="288"/>
          <w:marRight w:val="0"/>
          <w:marTop w:val="320"/>
          <w:marBottom w:val="0"/>
          <w:divBdr>
            <w:top w:val="none" w:sz="0" w:space="0" w:color="auto"/>
            <w:left w:val="none" w:sz="0" w:space="0" w:color="auto"/>
            <w:bottom w:val="none" w:sz="0" w:space="0" w:color="auto"/>
            <w:right w:val="none" w:sz="0" w:space="0" w:color="auto"/>
          </w:divBdr>
        </w:div>
      </w:divsChild>
    </w:div>
    <w:div w:id="1340616044">
      <w:bodyDiv w:val="1"/>
      <w:marLeft w:val="0"/>
      <w:marRight w:val="0"/>
      <w:marTop w:val="0"/>
      <w:marBottom w:val="0"/>
      <w:divBdr>
        <w:top w:val="none" w:sz="0" w:space="0" w:color="auto"/>
        <w:left w:val="none" w:sz="0" w:space="0" w:color="auto"/>
        <w:bottom w:val="none" w:sz="0" w:space="0" w:color="auto"/>
        <w:right w:val="none" w:sz="0" w:space="0" w:color="auto"/>
      </w:divBdr>
    </w:div>
    <w:div w:id="1353219129">
      <w:bodyDiv w:val="1"/>
      <w:marLeft w:val="0"/>
      <w:marRight w:val="0"/>
      <w:marTop w:val="0"/>
      <w:marBottom w:val="0"/>
      <w:divBdr>
        <w:top w:val="none" w:sz="0" w:space="0" w:color="auto"/>
        <w:left w:val="none" w:sz="0" w:space="0" w:color="auto"/>
        <w:bottom w:val="none" w:sz="0" w:space="0" w:color="auto"/>
        <w:right w:val="none" w:sz="0" w:space="0" w:color="auto"/>
      </w:divBdr>
      <w:divsChild>
        <w:div w:id="1692411692">
          <w:marLeft w:val="0"/>
          <w:marRight w:val="0"/>
          <w:marTop w:val="0"/>
          <w:marBottom w:val="0"/>
          <w:divBdr>
            <w:top w:val="none" w:sz="0" w:space="0" w:color="auto"/>
            <w:left w:val="none" w:sz="0" w:space="0" w:color="auto"/>
            <w:bottom w:val="none" w:sz="0" w:space="0" w:color="auto"/>
            <w:right w:val="none" w:sz="0" w:space="0" w:color="auto"/>
          </w:divBdr>
          <w:divsChild>
            <w:div w:id="435246519">
              <w:marLeft w:val="0"/>
              <w:marRight w:val="0"/>
              <w:marTop w:val="0"/>
              <w:marBottom w:val="0"/>
              <w:divBdr>
                <w:top w:val="none" w:sz="0" w:space="0" w:color="auto"/>
                <w:left w:val="none" w:sz="0" w:space="0" w:color="auto"/>
                <w:bottom w:val="none" w:sz="0" w:space="0" w:color="auto"/>
                <w:right w:val="none" w:sz="0" w:space="0" w:color="auto"/>
              </w:divBdr>
              <w:divsChild>
                <w:div w:id="24125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236489">
      <w:bodyDiv w:val="1"/>
      <w:marLeft w:val="0"/>
      <w:marRight w:val="0"/>
      <w:marTop w:val="0"/>
      <w:marBottom w:val="0"/>
      <w:divBdr>
        <w:top w:val="none" w:sz="0" w:space="0" w:color="auto"/>
        <w:left w:val="none" w:sz="0" w:space="0" w:color="auto"/>
        <w:bottom w:val="none" w:sz="0" w:space="0" w:color="auto"/>
        <w:right w:val="none" w:sz="0" w:space="0" w:color="auto"/>
      </w:divBdr>
    </w:div>
    <w:div w:id="1518957454">
      <w:bodyDiv w:val="1"/>
      <w:marLeft w:val="0"/>
      <w:marRight w:val="0"/>
      <w:marTop w:val="0"/>
      <w:marBottom w:val="0"/>
      <w:divBdr>
        <w:top w:val="none" w:sz="0" w:space="0" w:color="auto"/>
        <w:left w:val="none" w:sz="0" w:space="0" w:color="auto"/>
        <w:bottom w:val="none" w:sz="0" w:space="0" w:color="auto"/>
        <w:right w:val="none" w:sz="0" w:space="0" w:color="auto"/>
      </w:divBdr>
    </w:div>
    <w:div w:id="1608930181">
      <w:bodyDiv w:val="1"/>
      <w:marLeft w:val="0"/>
      <w:marRight w:val="0"/>
      <w:marTop w:val="0"/>
      <w:marBottom w:val="0"/>
      <w:divBdr>
        <w:top w:val="none" w:sz="0" w:space="0" w:color="auto"/>
        <w:left w:val="none" w:sz="0" w:space="0" w:color="auto"/>
        <w:bottom w:val="none" w:sz="0" w:space="0" w:color="auto"/>
        <w:right w:val="none" w:sz="0" w:space="0" w:color="auto"/>
      </w:divBdr>
    </w:div>
    <w:div w:id="1638604922">
      <w:bodyDiv w:val="1"/>
      <w:marLeft w:val="0"/>
      <w:marRight w:val="0"/>
      <w:marTop w:val="0"/>
      <w:marBottom w:val="0"/>
      <w:divBdr>
        <w:top w:val="none" w:sz="0" w:space="0" w:color="auto"/>
        <w:left w:val="none" w:sz="0" w:space="0" w:color="auto"/>
        <w:bottom w:val="none" w:sz="0" w:space="0" w:color="auto"/>
        <w:right w:val="none" w:sz="0" w:space="0" w:color="auto"/>
      </w:divBdr>
    </w:div>
    <w:div w:id="1648122525">
      <w:bodyDiv w:val="1"/>
      <w:marLeft w:val="0"/>
      <w:marRight w:val="0"/>
      <w:marTop w:val="0"/>
      <w:marBottom w:val="0"/>
      <w:divBdr>
        <w:top w:val="none" w:sz="0" w:space="0" w:color="auto"/>
        <w:left w:val="none" w:sz="0" w:space="0" w:color="auto"/>
        <w:bottom w:val="none" w:sz="0" w:space="0" w:color="auto"/>
        <w:right w:val="none" w:sz="0" w:space="0" w:color="auto"/>
      </w:divBdr>
    </w:div>
    <w:div w:id="1658074335">
      <w:bodyDiv w:val="1"/>
      <w:marLeft w:val="0"/>
      <w:marRight w:val="0"/>
      <w:marTop w:val="0"/>
      <w:marBottom w:val="0"/>
      <w:divBdr>
        <w:top w:val="none" w:sz="0" w:space="0" w:color="auto"/>
        <w:left w:val="none" w:sz="0" w:space="0" w:color="auto"/>
        <w:bottom w:val="none" w:sz="0" w:space="0" w:color="auto"/>
        <w:right w:val="none" w:sz="0" w:space="0" w:color="auto"/>
      </w:divBdr>
    </w:div>
    <w:div w:id="1729647285">
      <w:bodyDiv w:val="1"/>
      <w:marLeft w:val="0"/>
      <w:marRight w:val="0"/>
      <w:marTop w:val="0"/>
      <w:marBottom w:val="0"/>
      <w:divBdr>
        <w:top w:val="none" w:sz="0" w:space="0" w:color="auto"/>
        <w:left w:val="none" w:sz="0" w:space="0" w:color="auto"/>
        <w:bottom w:val="none" w:sz="0" w:space="0" w:color="auto"/>
        <w:right w:val="none" w:sz="0" w:space="0" w:color="auto"/>
      </w:divBdr>
    </w:div>
    <w:div w:id="1809084192">
      <w:bodyDiv w:val="1"/>
      <w:marLeft w:val="0"/>
      <w:marRight w:val="0"/>
      <w:marTop w:val="0"/>
      <w:marBottom w:val="0"/>
      <w:divBdr>
        <w:top w:val="none" w:sz="0" w:space="0" w:color="auto"/>
        <w:left w:val="none" w:sz="0" w:space="0" w:color="auto"/>
        <w:bottom w:val="none" w:sz="0" w:space="0" w:color="auto"/>
        <w:right w:val="none" w:sz="0" w:space="0" w:color="auto"/>
      </w:divBdr>
    </w:div>
    <w:div w:id="1903952819">
      <w:bodyDiv w:val="1"/>
      <w:marLeft w:val="0"/>
      <w:marRight w:val="0"/>
      <w:marTop w:val="0"/>
      <w:marBottom w:val="0"/>
      <w:divBdr>
        <w:top w:val="none" w:sz="0" w:space="0" w:color="auto"/>
        <w:left w:val="none" w:sz="0" w:space="0" w:color="auto"/>
        <w:bottom w:val="none" w:sz="0" w:space="0" w:color="auto"/>
        <w:right w:val="none" w:sz="0" w:space="0" w:color="auto"/>
      </w:divBdr>
    </w:div>
    <w:div w:id="1944222159">
      <w:bodyDiv w:val="1"/>
      <w:marLeft w:val="0"/>
      <w:marRight w:val="0"/>
      <w:marTop w:val="0"/>
      <w:marBottom w:val="0"/>
      <w:divBdr>
        <w:top w:val="none" w:sz="0" w:space="0" w:color="auto"/>
        <w:left w:val="none" w:sz="0" w:space="0" w:color="auto"/>
        <w:bottom w:val="none" w:sz="0" w:space="0" w:color="auto"/>
        <w:right w:val="none" w:sz="0" w:space="0" w:color="auto"/>
      </w:divBdr>
    </w:div>
    <w:div w:id="1953126114">
      <w:bodyDiv w:val="1"/>
      <w:marLeft w:val="0"/>
      <w:marRight w:val="0"/>
      <w:marTop w:val="0"/>
      <w:marBottom w:val="0"/>
      <w:divBdr>
        <w:top w:val="none" w:sz="0" w:space="0" w:color="auto"/>
        <w:left w:val="none" w:sz="0" w:space="0" w:color="auto"/>
        <w:bottom w:val="none" w:sz="0" w:space="0" w:color="auto"/>
        <w:right w:val="none" w:sz="0" w:space="0" w:color="auto"/>
      </w:divBdr>
    </w:div>
    <w:div w:id="2061442507">
      <w:bodyDiv w:val="1"/>
      <w:marLeft w:val="0"/>
      <w:marRight w:val="0"/>
      <w:marTop w:val="0"/>
      <w:marBottom w:val="0"/>
      <w:divBdr>
        <w:top w:val="none" w:sz="0" w:space="0" w:color="auto"/>
        <w:left w:val="none" w:sz="0" w:space="0" w:color="auto"/>
        <w:bottom w:val="none" w:sz="0" w:space="0" w:color="auto"/>
        <w:right w:val="none" w:sz="0" w:space="0" w:color="auto"/>
      </w:divBdr>
    </w:div>
    <w:div w:id="2065906733">
      <w:bodyDiv w:val="1"/>
      <w:marLeft w:val="0"/>
      <w:marRight w:val="0"/>
      <w:marTop w:val="0"/>
      <w:marBottom w:val="0"/>
      <w:divBdr>
        <w:top w:val="none" w:sz="0" w:space="0" w:color="auto"/>
        <w:left w:val="none" w:sz="0" w:space="0" w:color="auto"/>
        <w:bottom w:val="none" w:sz="0" w:space="0" w:color="auto"/>
        <w:right w:val="none" w:sz="0" w:space="0" w:color="auto"/>
      </w:divBdr>
      <w:divsChild>
        <w:div w:id="72511598">
          <w:marLeft w:val="1152"/>
          <w:marRight w:val="0"/>
          <w:marTop w:val="200"/>
          <w:marBottom w:val="0"/>
          <w:divBdr>
            <w:top w:val="none" w:sz="0" w:space="0" w:color="auto"/>
            <w:left w:val="none" w:sz="0" w:space="0" w:color="auto"/>
            <w:bottom w:val="none" w:sz="0" w:space="0" w:color="auto"/>
            <w:right w:val="none" w:sz="0" w:space="0" w:color="auto"/>
          </w:divBdr>
        </w:div>
        <w:div w:id="125589453">
          <w:marLeft w:val="720"/>
          <w:marRight w:val="0"/>
          <w:marTop w:val="240"/>
          <w:marBottom w:val="0"/>
          <w:divBdr>
            <w:top w:val="none" w:sz="0" w:space="0" w:color="auto"/>
            <w:left w:val="none" w:sz="0" w:space="0" w:color="auto"/>
            <w:bottom w:val="none" w:sz="0" w:space="0" w:color="auto"/>
            <w:right w:val="none" w:sz="0" w:space="0" w:color="auto"/>
          </w:divBdr>
        </w:div>
        <w:div w:id="525799862">
          <w:marLeft w:val="720"/>
          <w:marRight w:val="0"/>
          <w:marTop w:val="240"/>
          <w:marBottom w:val="0"/>
          <w:divBdr>
            <w:top w:val="none" w:sz="0" w:space="0" w:color="auto"/>
            <w:left w:val="none" w:sz="0" w:space="0" w:color="auto"/>
            <w:bottom w:val="none" w:sz="0" w:space="0" w:color="auto"/>
            <w:right w:val="none" w:sz="0" w:space="0" w:color="auto"/>
          </w:divBdr>
        </w:div>
        <w:div w:id="1101409467">
          <w:marLeft w:val="720"/>
          <w:marRight w:val="0"/>
          <w:marTop w:val="240"/>
          <w:marBottom w:val="0"/>
          <w:divBdr>
            <w:top w:val="none" w:sz="0" w:space="0" w:color="auto"/>
            <w:left w:val="none" w:sz="0" w:space="0" w:color="auto"/>
            <w:bottom w:val="none" w:sz="0" w:space="0" w:color="auto"/>
            <w:right w:val="none" w:sz="0" w:space="0" w:color="auto"/>
          </w:divBdr>
        </w:div>
        <w:div w:id="1519465762">
          <w:marLeft w:val="1152"/>
          <w:marRight w:val="0"/>
          <w:marTop w:val="200"/>
          <w:marBottom w:val="0"/>
          <w:divBdr>
            <w:top w:val="none" w:sz="0" w:space="0" w:color="auto"/>
            <w:left w:val="none" w:sz="0" w:space="0" w:color="auto"/>
            <w:bottom w:val="none" w:sz="0" w:space="0" w:color="auto"/>
            <w:right w:val="none" w:sz="0" w:space="0" w:color="auto"/>
          </w:divBdr>
        </w:div>
        <w:div w:id="1533303252">
          <w:marLeft w:val="720"/>
          <w:marRight w:val="0"/>
          <w:marTop w:val="240"/>
          <w:marBottom w:val="0"/>
          <w:divBdr>
            <w:top w:val="none" w:sz="0" w:space="0" w:color="auto"/>
            <w:left w:val="none" w:sz="0" w:space="0" w:color="auto"/>
            <w:bottom w:val="none" w:sz="0" w:space="0" w:color="auto"/>
            <w:right w:val="none" w:sz="0" w:space="0" w:color="auto"/>
          </w:divBdr>
        </w:div>
        <w:div w:id="1918663290">
          <w:marLeft w:val="288"/>
          <w:marRight w:val="0"/>
          <w:marTop w:val="320"/>
          <w:marBottom w:val="0"/>
          <w:divBdr>
            <w:top w:val="none" w:sz="0" w:space="0" w:color="auto"/>
            <w:left w:val="none" w:sz="0" w:space="0" w:color="auto"/>
            <w:bottom w:val="none" w:sz="0" w:space="0" w:color="auto"/>
            <w:right w:val="none" w:sz="0" w:space="0" w:color="auto"/>
          </w:divBdr>
        </w:div>
        <w:div w:id="1932739345">
          <w:marLeft w:val="720"/>
          <w:marRight w:val="0"/>
          <w:marTop w:val="240"/>
          <w:marBottom w:val="0"/>
          <w:divBdr>
            <w:top w:val="none" w:sz="0" w:space="0" w:color="auto"/>
            <w:left w:val="none" w:sz="0" w:space="0" w:color="auto"/>
            <w:bottom w:val="none" w:sz="0" w:space="0" w:color="auto"/>
            <w:right w:val="none" w:sz="0" w:space="0" w:color="auto"/>
          </w:divBdr>
        </w:div>
      </w:divsChild>
    </w:div>
    <w:div w:id="21145508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ools.ovid.com/ovidtools/expertsearches.html" TargetMode="External"/><Relationship Id="rId18" Type="http://schemas.openxmlformats.org/officeDocument/2006/relationships/image" Target="media/image4.png"/><Relationship Id="rId26" Type="http://schemas.openxmlformats.org/officeDocument/2006/relationships/chart" Target="charts/chart7.xml"/><Relationship Id="rId3" Type="http://schemas.openxmlformats.org/officeDocument/2006/relationships/customXml" Target="../customXml/item3.xml"/><Relationship Id="rId21" Type="http://schemas.openxmlformats.org/officeDocument/2006/relationships/chart" Target="charts/chart2.xml"/><Relationship Id="rId7" Type="http://schemas.openxmlformats.org/officeDocument/2006/relationships/settings" Target="settings.xml"/><Relationship Id="rId12" Type="http://schemas.openxmlformats.org/officeDocument/2006/relationships/hyperlink" Target="http://www.training.cochrane.org/handbook" TargetMode="External"/><Relationship Id="rId17" Type="http://schemas.openxmlformats.org/officeDocument/2006/relationships/footer" Target="footer1.xml"/><Relationship Id="rId25" Type="http://schemas.openxmlformats.org/officeDocument/2006/relationships/chart" Target="charts/chart6.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raining.cochrane.org/handbook/current/chapter-04-technical-supplement-searching-and-selecting-studies" TargetMode="External"/><Relationship Id="rId24" Type="http://schemas.openxmlformats.org/officeDocument/2006/relationships/chart" Target="charts/chart5.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chart" Target="charts/chart4.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chart" Target="charts/chart3.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eversana.sharepoint.com/sites/CRG-JanssenGlobal2/Shared%20Documents/Ponesimod/BVL,%20CUAL%202021/Ponesimod_RCT%20SLR_Feasibility%20tables(ALL)%202022%2003%2030.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(BVL,6m+)'!$D$1</c:f>
              <c:strCache>
                <c:ptCount val="1"/>
                <c:pt idx="0">
                  <c:v>MeanAge</c:v>
                </c:pt>
              </c:strCache>
            </c:strRef>
          </c:tx>
          <c:spPr>
            <a:solidFill>
              <a:schemeClr val="accent1"/>
            </a:solidFill>
            <a:ln>
              <a:noFill/>
            </a:ln>
            <a:effectLst/>
          </c:spPr>
          <c:invertIfNegative val="0"/>
          <c:dLbls>
            <c:dLbl>
              <c:idx val="0"/>
              <c:tx>
                <c:rich>
                  <a:bodyPr/>
                  <a:lstStyle/>
                  <a:p>
                    <a:fld id="{55562704-89F2-4A05-A327-63F8799B5A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0001-433D-94F8-55374129B91B}"/>
                </c:ext>
              </c:extLst>
            </c:dLbl>
            <c:dLbl>
              <c:idx val="1"/>
              <c:tx>
                <c:rich>
                  <a:bodyPr/>
                  <a:lstStyle/>
                  <a:p>
                    <a:fld id="{2EDACE24-EC77-4181-9C30-84129A29E8A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0001-433D-94F8-55374129B91B}"/>
                </c:ext>
              </c:extLst>
            </c:dLbl>
            <c:dLbl>
              <c:idx val="2"/>
              <c:tx>
                <c:rich>
                  <a:bodyPr/>
                  <a:lstStyle/>
                  <a:p>
                    <a:fld id="{D69E598B-57A9-4921-904D-FB2301C33D4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0001-433D-94F8-55374129B91B}"/>
                </c:ext>
              </c:extLst>
            </c:dLbl>
            <c:dLbl>
              <c:idx val="3"/>
              <c:tx>
                <c:rich>
                  <a:bodyPr/>
                  <a:lstStyle/>
                  <a:p>
                    <a:fld id="{CD61D642-8FF7-4795-9C4E-7498AAB9D09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0001-433D-94F8-55374129B91B}"/>
                </c:ext>
              </c:extLst>
            </c:dLbl>
            <c:dLbl>
              <c:idx val="4"/>
              <c:tx>
                <c:rich>
                  <a:bodyPr/>
                  <a:lstStyle/>
                  <a:p>
                    <a:fld id="{10826294-ADA2-4C7F-A20C-EB3838D31E9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0001-433D-94F8-55374129B91B}"/>
                </c:ext>
              </c:extLst>
            </c:dLbl>
            <c:dLbl>
              <c:idx val="5"/>
              <c:tx>
                <c:rich>
                  <a:bodyPr/>
                  <a:lstStyle/>
                  <a:p>
                    <a:fld id="{E4839654-7FB6-4176-AFA2-47FF926E7A5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0001-433D-94F8-55374129B91B}"/>
                </c:ext>
              </c:extLst>
            </c:dLbl>
            <c:dLbl>
              <c:idx val="6"/>
              <c:tx>
                <c:rich>
                  <a:bodyPr/>
                  <a:lstStyle/>
                  <a:p>
                    <a:fld id="{1386A9EE-7287-4099-BEA8-81A47E1C43C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0001-433D-94F8-55374129B91B}"/>
                </c:ext>
              </c:extLst>
            </c:dLbl>
            <c:dLbl>
              <c:idx val="7"/>
              <c:tx>
                <c:rich>
                  <a:bodyPr/>
                  <a:lstStyle/>
                  <a:p>
                    <a:fld id="{0B0A3A1E-01BE-4435-8B35-77BDF547D10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0001-433D-94F8-55374129B91B}"/>
                </c:ext>
              </c:extLst>
            </c:dLbl>
            <c:dLbl>
              <c:idx val="8"/>
              <c:tx>
                <c:rich>
                  <a:bodyPr/>
                  <a:lstStyle/>
                  <a:p>
                    <a:fld id="{DB288B4F-28DA-478B-B4DD-5ADD10EC4DF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0001-433D-94F8-55374129B91B}"/>
                </c:ext>
              </c:extLst>
            </c:dLbl>
            <c:dLbl>
              <c:idx val="9"/>
              <c:tx>
                <c:rich>
                  <a:bodyPr/>
                  <a:lstStyle/>
                  <a:p>
                    <a:fld id="{C82E7CC0-8933-4CB5-A905-DB637B2005A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0001-433D-94F8-55374129B91B}"/>
                </c:ext>
              </c:extLst>
            </c:dLbl>
            <c:dLbl>
              <c:idx val="10"/>
              <c:tx>
                <c:rich>
                  <a:bodyPr/>
                  <a:lstStyle/>
                  <a:p>
                    <a:fld id="{A77B3C01-7D5C-4CB1-B362-C7A75904CB8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0001-433D-94F8-55374129B91B}"/>
                </c:ext>
              </c:extLst>
            </c:dLbl>
            <c:dLbl>
              <c:idx val="11"/>
              <c:tx>
                <c:rich>
                  <a:bodyPr/>
                  <a:lstStyle/>
                  <a:p>
                    <a:fld id="{DA994351-46C8-4E40-8F6C-7F885C6BA4A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0001-433D-94F8-55374129B91B}"/>
                </c:ext>
              </c:extLst>
            </c:dLbl>
            <c:dLbl>
              <c:idx val="12"/>
              <c:tx>
                <c:rich>
                  <a:bodyPr/>
                  <a:lstStyle/>
                  <a:p>
                    <a:fld id="{A77D045F-DCEB-4CBD-AC56-B48ADADFE34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0001-433D-94F8-55374129B91B}"/>
                </c:ext>
              </c:extLst>
            </c:dLbl>
            <c:dLbl>
              <c:idx val="13"/>
              <c:tx>
                <c:rich>
                  <a:bodyPr/>
                  <a:lstStyle/>
                  <a:p>
                    <a:fld id="{E5BEC062-D0E9-4934-AE1F-45C49C6608A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0001-433D-94F8-55374129B91B}"/>
                </c:ext>
              </c:extLst>
            </c:dLbl>
            <c:dLbl>
              <c:idx val="14"/>
              <c:tx>
                <c:rich>
                  <a:bodyPr/>
                  <a:lstStyle/>
                  <a:p>
                    <a:fld id="{FED89A6C-50CB-413D-A522-936E47DAF1C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0001-433D-94F8-55374129B91B}"/>
                </c:ext>
              </c:extLst>
            </c:dLbl>
            <c:dLbl>
              <c:idx val="15"/>
              <c:tx>
                <c:rich>
                  <a:bodyPr/>
                  <a:lstStyle/>
                  <a:p>
                    <a:fld id="{810303AE-61CE-48F2-A0E5-9E443CAF72E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0001-433D-94F8-55374129B91B}"/>
                </c:ext>
              </c:extLst>
            </c:dLbl>
            <c:dLbl>
              <c:idx val="16"/>
              <c:tx>
                <c:rich>
                  <a:bodyPr/>
                  <a:lstStyle/>
                  <a:p>
                    <a:fld id="{7637C4BF-3903-46E7-B895-9B2676E5907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0-0001-433D-94F8-55374129B91B}"/>
                </c:ext>
              </c:extLst>
            </c:dLbl>
            <c:dLbl>
              <c:idx val="17"/>
              <c:tx>
                <c:rich>
                  <a:bodyPr/>
                  <a:lstStyle/>
                  <a:p>
                    <a:fld id="{50CDEF25-38A2-431F-AC51-4EDCE4B3803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0001-433D-94F8-55374129B91B}"/>
                </c:ext>
              </c:extLst>
            </c:dLbl>
            <c:dLbl>
              <c:idx val="18"/>
              <c:tx>
                <c:rich>
                  <a:bodyPr/>
                  <a:lstStyle/>
                  <a:p>
                    <a:fld id="{F3BA4A38-9F90-4E27-A1FA-3B6D1AC59CD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0001-433D-94F8-55374129B91B}"/>
                </c:ext>
              </c:extLst>
            </c:dLbl>
            <c:dLbl>
              <c:idx val="19"/>
              <c:tx>
                <c:rich>
                  <a:bodyPr/>
                  <a:lstStyle/>
                  <a:p>
                    <a:fld id="{D37D7701-342B-402C-8E4F-050F8C51DD5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0001-433D-94F8-55374129B91B}"/>
                </c:ext>
              </c:extLst>
            </c:dLbl>
            <c:dLbl>
              <c:idx val="20"/>
              <c:tx>
                <c:rich>
                  <a:bodyPr/>
                  <a:lstStyle/>
                  <a:p>
                    <a:fld id="{CA82F910-B84A-4741-B8E0-55D6A3990D4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0001-433D-94F8-55374129B91B}"/>
                </c:ext>
              </c:extLst>
            </c:dLbl>
            <c:dLbl>
              <c:idx val="21"/>
              <c:tx>
                <c:rich>
                  <a:bodyPr/>
                  <a:lstStyle/>
                  <a:p>
                    <a:fld id="{692F1CC5-2E3F-41F1-8CC8-169D0C61163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0001-433D-94F8-55374129B91B}"/>
                </c:ext>
              </c:extLst>
            </c:dLbl>
            <c:dLbl>
              <c:idx val="22"/>
              <c:tx>
                <c:rich>
                  <a:bodyPr/>
                  <a:lstStyle/>
                  <a:p>
                    <a:fld id="{C3238798-93C7-4A1B-B0D2-39E12372754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0001-433D-94F8-55374129B91B}"/>
                </c:ext>
              </c:extLst>
            </c:dLbl>
            <c:dLbl>
              <c:idx val="23"/>
              <c:tx>
                <c:rich>
                  <a:bodyPr/>
                  <a:lstStyle/>
                  <a:p>
                    <a:fld id="{C783A36E-74E6-4D99-80ED-5A70DC25FDD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0001-433D-94F8-55374129B91B}"/>
                </c:ext>
              </c:extLst>
            </c:dLbl>
            <c:dLbl>
              <c:idx val="24"/>
              <c:tx>
                <c:rich>
                  <a:bodyPr/>
                  <a:lstStyle/>
                  <a:p>
                    <a:fld id="{2F156D8A-8437-4C9B-A11D-C81BACA0872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0001-433D-94F8-55374129B91B}"/>
                </c:ext>
              </c:extLst>
            </c:dLbl>
            <c:dLbl>
              <c:idx val="25"/>
              <c:tx>
                <c:rich>
                  <a:bodyPr/>
                  <a:lstStyle/>
                  <a:p>
                    <a:fld id="{ADE8FBA5-BBCC-4926-A946-1B7542066C9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0001-433D-94F8-55374129B91B}"/>
                </c:ext>
              </c:extLst>
            </c:dLbl>
            <c:dLbl>
              <c:idx val="26"/>
              <c:tx>
                <c:rich>
                  <a:bodyPr/>
                  <a:lstStyle/>
                  <a:p>
                    <a:fld id="{2656BD2A-79EE-4578-ABE0-EDE54C167DB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0001-433D-94F8-55374129B91B}"/>
                </c:ext>
              </c:extLst>
            </c:dLbl>
            <c:dLbl>
              <c:idx val="27"/>
              <c:tx>
                <c:rich>
                  <a:bodyPr/>
                  <a:lstStyle/>
                  <a:p>
                    <a:fld id="{C76F4BC2-219A-4541-A954-18031D592FA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0001-433D-94F8-55374129B91B}"/>
                </c:ext>
              </c:extLst>
            </c:dLbl>
            <c:dLbl>
              <c:idx val="28"/>
              <c:tx>
                <c:rich>
                  <a:bodyPr/>
                  <a:lstStyle/>
                  <a:p>
                    <a:fld id="{334BD88D-EB0E-45E5-978A-52C9E7F3267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0001-433D-94F8-55374129B91B}"/>
                </c:ext>
              </c:extLst>
            </c:dLbl>
            <c:dLbl>
              <c:idx val="29"/>
              <c:tx>
                <c:rich>
                  <a:bodyPr/>
                  <a:lstStyle/>
                  <a:p>
                    <a:fld id="{514CADAC-AC6F-4B94-9260-D6D9D74470E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D-0001-433D-94F8-55374129B91B}"/>
                </c:ext>
              </c:extLst>
            </c:dLbl>
            <c:dLbl>
              <c:idx val="30"/>
              <c:tx>
                <c:rich>
                  <a:bodyPr/>
                  <a:lstStyle/>
                  <a:p>
                    <a:fld id="{4B17FB84-29D1-4DF3-B29B-8AA73846597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E-0001-433D-94F8-55374129B91B}"/>
                </c:ext>
              </c:extLst>
            </c:dLbl>
            <c:dLbl>
              <c:idx val="31"/>
              <c:tx>
                <c:rich>
                  <a:bodyPr/>
                  <a:lstStyle/>
                  <a:p>
                    <a:fld id="{66154484-5C67-4F2F-92D1-4489F58791B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0001-433D-94F8-55374129B91B}"/>
                </c:ext>
              </c:extLst>
            </c:dLbl>
            <c:dLbl>
              <c:idx val="32"/>
              <c:tx>
                <c:rich>
                  <a:bodyPr/>
                  <a:lstStyle/>
                  <a:p>
                    <a:fld id="{E9E2808E-075C-40AE-9B4D-3DF50389C5F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0001-433D-94F8-55374129B91B}"/>
                </c:ext>
              </c:extLst>
            </c:dLbl>
            <c:dLbl>
              <c:idx val="33"/>
              <c:tx>
                <c:rich>
                  <a:bodyPr/>
                  <a:lstStyle/>
                  <a:p>
                    <a:fld id="{60EA752B-8D51-4BB7-A70E-C4C09CDBA37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1-0001-433D-94F8-55374129B91B}"/>
                </c:ext>
              </c:extLst>
            </c:dLbl>
            <c:dLbl>
              <c:idx val="34"/>
              <c:tx>
                <c:rich>
                  <a:bodyPr/>
                  <a:lstStyle/>
                  <a:p>
                    <a:fld id="{AB4D12B7-8E65-477A-9654-A2FF061FE11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0001-433D-94F8-55374129B91B}"/>
                </c:ext>
              </c:extLst>
            </c:dLbl>
            <c:dLbl>
              <c:idx val="35"/>
              <c:tx>
                <c:rich>
                  <a:bodyPr/>
                  <a:lstStyle/>
                  <a:p>
                    <a:fld id="{6D7B08A1-10C9-424B-8EFD-93FCCD4F5FC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0001-433D-94F8-55374129B91B}"/>
                </c:ext>
              </c:extLst>
            </c:dLbl>
            <c:dLbl>
              <c:idx val="36"/>
              <c:tx>
                <c:rich>
                  <a:bodyPr/>
                  <a:lstStyle/>
                  <a:p>
                    <a:fld id="{3702ABCB-13AC-457C-894C-EB9204364CA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0001-433D-94F8-55374129B91B}"/>
                </c:ext>
              </c:extLst>
            </c:dLbl>
            <c:dLbl>
              <c:idx val="37"/>
              <c:tx>
                <c:rich>
                  <a:bodyPr/>
                  <a:lstStyle/>
                  <a:p>
                    <a:fld id="{4C041454-8CC8-4E43-BE25-F5153D4CE4F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5-0001-433D-94F8-55374129B91B}"/>
                </c:ext>
              </c:extLst>
            </c:dLbl>
            <c:dLbl>
              <c:idx val="38"/>
              <c:tx>
                <c:rich>
                  <a:bodyPr/>
                  <a:lstStyle/>
                  <a:p>
                    <a:fld id="{5D9725E1-9C5B-4AC7-8FFB-E5A95AB329C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6-0001-433D-94F8-55374129B91B}"/>
                </c:ext>
              </c:extLst>
            </c:dLbl>
            <c:dLbl>
              <c:idx val="39"/>
              <c:tx>
                <c:rich>
                  <a:bodyPr/>
                  <a:lstStyle/>
                  <a:p>
                    <a:fld id="{EC7A6899-A877-4472-BF25-313E565F3D2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0001-433D-94F8-55374129B91B}"/>
                </c:ext>
              </c:extLst>
            </c:dLbl>
            <c:dLbl>
              <c:idx val="40"/>
              <c:tx>
                <c:rich>
                  <a:bodyPr/>
                  <a:lstStyle/>
                  <a:p>
                    <a:fld id="{280EDA33-43A1-4D28-A665-B8C22C0AE71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0001-433D-94F8-55374129B91B}"/>
                </c:ext>
              </c:extLst>
            </c:dLbl>
            <c:dLbl>
              <c:idx val="41"/>
              <c:tx>
                <c:rich>
                  <a:bodyPr/>
                  <a:lstStyle/>
                  <a:p>
                    <a:fld id="{1210BC41-9189-4FFF-BFCE-AB37529B865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9-0001-433D-94F8-55374129B91B}"/>
                </c:ext>
              </c:extLst>
            </c:dLbl>
            <c:dLbl>
              <c:idx val="42"/>
              <c:tx>
                <c:rich>
                  <a:bodyPr/>
                  <a:lstStyle/>
                  <a:p>
                    <a:fld id="{12104E22-3929-4F2A-A523-8692AB81767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A-0001-433D-94F8-55374129B91B}"/>
                </c:ext>
              </c:extLst>
            </c:dLbl>
            <c:dLbl>
              <c:idx val="43"/>
              <c:tx>
                <c:rich>
                  <a:bodyPr/>
                  <a:lstStyle/>
                  <a:p>
                    <a:fld id="{FD9D4176-3291-485B-8495-57408DE3839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B-0001-433D-94F8-55374129B91B}"/>
                </c:ext>
              </c:extLst>
            </c:dLbl>
            <c:dLbl>
              <c:idx val="44"/>
              <c:tx>
                <c:rich>
                  <a:bodyPr/>
                  <a:lstStyle/>
                  <a:p>
                    <a:fld id="{C6F14B21-72D3-4644-A525-D0D6445AAB0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C-0001-433D-94F8-55374129B91B}"/>
                </c:ext>
              </c:extLst>
            </c:dLbl>
            <c:dLbl>
              <c:idx val="45"/>
              <c:tx>
                <c:rich>
                  <a:bodyPr/>
                  <a:lstStyle/>
                  <a:p>
                    <a:fld id="{F02C1A40-2F2F-4E69-9773-14252399CC6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0001-433D-94F8-55374129B91B}"/>
                </c:ext>
              </c:extLst>
            </c:dLbl>
            <c:dLbl>
              <c:idx val="46"/>
              <c:tx>
                <c:rich>
                  <a:bodyPr/>
                  <a:lstStyle/>
                  <a:p>
                    <a:fld id="{725DB774-D434-484F-BFA9-D595B6A0A43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E-0001-433D-94F8-55374129B91B}"/>
                </c:ext>
              </c:extLst>
            </c:dLbl>
            <c:dLbl>
              <c:idx val="47"/>
              <c:tx>
                <c:rich>
                  <a:bodyPr/>
                  <a:lstStyle/>
                  <a:p>
                    <a:fld id="{FFC2CE09-97F7-4E1A-B6D2-9BEB43F6931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0001-433D-94F8-55374129B91B}"/>
                </c:ext>
              </c:extLst>
            </c:dLbl>
            <c:dLbl>
              <c:idx val="48"/>
              <c:tx>
                <c:rich>
                  <a:bodyPr/>
                  <a:lstStyle/>
                  <a:p>
                    <a:fld id="{BAAA19F0-D49B-4CE6-8558-84A82DB14BB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0001-433D-94F8-55374129B91B}"/>
                </c:ext>
              </c:extLst>
            </c:dLbl>
            <c:dLbl>
              <c:idx val="49"/>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1-0001-433D-94F8-55374129B91B}"/>
                </c:ext>
              </c:extLst>
            </c:dLbl>
            <c:dLbl>
              <c:idx val="50"/>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2-0001-433D-94F8-55374129B91B}"/>
                </c:ext>
              </c:extLst>
            </c:dLbl>
            <c:dLbl>
              <c:idx val="51"/>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3-0001-433D-94F8-55374129B91B}"/>
                </c:ext>
              </c:extLst>
            </c:dLbl>
            <c:dLbl>
              <c:idx val="52"/>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4-0001-433D-94F8-55374129B91B}"/>
                </c:ext>
              </c:extLst>
            </c:dLbl>
            <c:dLbl>
              <c:idx val="53"/>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5-0001-433D-94F8-55374129B91B}"/>
                </c:ext>
              </c:extLst>
            </c:dLbl>
            <c:dLbl>
              <c:idx val="54"/>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6-0001-433D-94F8-55374129B91B}"/>
                </c:ext>
              </c:extLst>
            </c:dLbl>
            <c:dLbl>
              <c:idx val="55"/>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7-0001-433D-94F8-55374129B91B}"/>
                </c:ext>
              </c:extLst>
            </c:dLbl>
            <c:dLbl>
              <c:idx val="56"/>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8-0001-433D-94F8-55374129B91B}"/>
                </c:ext>
              </c:extLst>
            </c:dLbl>
            <c:dLbl>
              <c:idx val="57"/>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xForSave val="1"/>
                  <c15:showDataLabelsRange val="1"/>
                </c:ext>
                <c:ext xmlns:c16="http://schemas.microsoft.com/office/drawing/2014/chart" uri="{C3380CC4-5D6E-409C-BE32-E72D297353CC}">
                  <c16:uniqueId val="{00000039-0001-433D-94F8-55374129B91B}"/>
                </c:ext>
              </c:extLst>
            </c:dLbl>
            <c:dLbl>
              <c:idx val="120"/>
              <c:tx>
                <c:rich>
                  <a:bodyPr/>
                  <a:lstStyle/>
                  <a:p>
                    <a:fld id="{E067FF5B-7852-4935-A5F8-114DECD2F89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A-0001-433D-94F8-55374129B91B}"/>
                </c:ext>
              </c:extLst>
            </c:dLbl>
            <c:dLbl>
              <c:idx val="121"/>
              <c:tx>
                <c:rich>
                  <a:bodyPr/>
                  <a:lstStyle/>
                  <a:p>
                    <a:fld id="{DD4FB725-B397-4D9F-9543-11FBFE0CFB13}"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B-0001-433D-94F8-55374129B91B}"/>
                </c:ext>
              </c:extLst>
            </c:dLbl>
            <c:dLbl>
              <c:idx val="124"/>
              <c:tx>
                <c:rich>
                  <a:bodyPr/>
                  <a:lstStyle/>
                  <a:p>
                    <a:fld id="{779D8D43-CCAC-44C6-B055-96DCA610CC9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C-0001-433D-94F8-55374129B91B}"/>
                </c:ext>
              </c:extLst>
            </c:dLbl>
            <c:dLbl>
              <c:idx val="125"/>
              <c:tx>
                <c:rich>
                  <a:bodyPr/>
                  <a:lstStyle/>
                  <a:p>
                    <a:fld id="{198543B9-6FA8-4621-9846-084FCEEE8F17}"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D-0001-433D-94F8-55374129B91B}"/>
                </c:ext>
              </c:extLst>
            </c:dLbl>
            <c:dLbl>
              <c:idx val="126"/>
              <c:tx>
                <c:rich>
                  <a:bodyPr/>
                  <a:lstStyle/>
                  <a:p>
                    <a:fld id="{F61B978C-379A-4F58-A51C-9BDD5C56103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E-0001-433D-94F8-55374129B91B}"/>
                </c:ext>
              </c:extLst>
            </c:dLbl>
            <c:dLbl>
              <c:idx val="127"/>
              <c:tx>
                <c:rich>
                  <a:bodyPr/>
                  <a:lstStyle/>
                  <a:p>
                    <a:fld id="{D9FEC577-4D76-45BD-970F-499DD0F5942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F-0001-433D-94F8-55374129B91B}"/>
                </c:ext>
              </c:extLst>
            </c:dLbl>
            <c:dLbl>
              <c:idx val="128"/>
              <c:tx>
                <c:rich>
                  <a:bodyPr/>
                  <a:lstStyle/>
                  <a:p>
                    <a:fld id="{E6993188-F79B-4EFC-B15E-B28665D832A6}"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0-0001-433D-94F8-55374129B91B}"/>
                </c:ext>
              </c:extLst>
            </c:dLbl>
            <c:dLbl>
              <c:idx val="129"/>
              <c:tx>
                <c:rich>
                  <a:bodyPr/>
                  <a:lstStyle/>
                  <a:p>
                    <a:fld id="{986986E4-4AC8-4448-B37F-0B32A62F7FAE}"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1-0001-433D-94F8-55374129B91B}"/>
                </c:ext>
              </c:extLst>
            </c:dLbl>
            <c:dLbl>
              <c:idx val="130"/>
              <c:tx>
                <c:rich>
                  <a:bodyPr/>
                  <a:lstStyle/>
                  <a:p>
                    <a:fld id="{4943A19B-8071-4725-B95D-F861B413B561}"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2-0001-433D-94F8-55374129B91B}"/>
                </c:ext>
              </c:extLst>
            </c:dLbl>
            <c:dLbl>
              <c:idx val="131"/>
              <c:tx>
                <c:rich>
                  <a:bodyPr/>
                  <a:lstStyle/>
                  <a:p>
                    <a:fld id="{980CCEC6-FB66-44BB-8823-0BE9293D7AC8}"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3-0001-433D-94F8-55374129B91B}"/>
                </c:ext>
              </c:extLst>
            </c:dLbl>
            <c:dLbl>
              <c:idx val="132"/>
              <c:tx>
                <c:rich>
                  <a:bodyPr/>
                  <a:lstStyle/>
                  <a:p>
                    <a:fld id="{9BCA5FD2-9419-49DA-8D6C-BB17FAAEFFD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4-0001-433D-94F8-55374129B91B}"/>
                </c:ext>
              </c:extLst>
            </c:dLbl>
            <c:dLbl>
              <c:idx val="133"/>
              <c:tx>
                <c:rich>
                  <a:bodyPr/>
                  <a:lstStyle/>
                  <a:p>
                    <a:fld id="{8F1AD6A2-B62B-4248-BD4A-012C56CD8584}"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5-0001-433D-94F8-55374129B91B}"/>
                </c:ext>
              </c:extLst>
            </c:dLbl>
            <c:dLbl>
              <c:idx val="134"/>
              <c:tx>
                <c:rich>
                  <a:bodyPr/>
                  <a:lstStyle/>
                  <a:p>
                    <a:fld id="{FD54C3EE-B193-4685-8439-BC9A90685A4B}"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6-0001-433D-94F8-55374129B91B}"/>
                </c:ext>
              </c:extLst>
            </c:dLbl>
            <c:dLbl>
              <c:idx val="135"/>
              <c:tx>
                <c:rich>
                  <a:bodyPr/>
                  <a:lstStyle/>
                  <a:p>
                    <a:fld id="{14E42424-2E68-40C7-8CF4-B41D59A4E6D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7-0001-433D-94F8-55374129B91B}"/>
                </c:ext>
              </c:extLst>
            </c:dLbl>
            <c:dLbl>
              <c:idx val="136"/>
              <c:tx>
                <c:rich>
                  <a:bodyPr/>
                  <a:lstStyle/>
                  <a:p>
                    <a:fld id="{621903A4-4F3C-4D5C-91CD-2FD3706D2644}"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8-0001-433D-94F8-55374129B91B}"/>
                </c:ext>
              </c:extLst>
            </c:dLbl>
            <c:dLbl>
              <c:idx val="137"/>
              <c:tx>
                <c:rich>
                  <a:bodyPr/>
                  <a:lstStyle/>
                  <a:p>
                    <a:fld id="{9C7244D2-7865-4972-8E53-07FD6CEAE814}"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9-0001-433D-94F8-55374129B91B}"/>
                </c:ext>
              </c:extLst>
            </c:dLbl>
            <c:dLbl>
              <c:idx val="138"/>
              <c:tx>
                <c:rich>
                  <a:bodyPr/>
                  <a:lstStyle/>
                  <a:p>
                    <a:fld id="{BA3F70DA-26F4-4785-BC75-4C7AC44BD3F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A-0001-433D-94F8-55374129B91B}"/>
                </c:ext>
              </c:extLst>
            </c:dLbl>
            <c:dLbl>
              <c:idx val="139"/>
              <c:tx>
                <c:rich>
                  <a:bodyPr/>
                  <a:lstStyle/>
                  <a:p>
                    <a:fld id="{7A385C81-CD97-49EB-B807-A77A16D74D7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B-0001-433D-94F8-55374129B91B}"/>
                </c:ext>
              </c:extLst>
            </c:dLbl>
            <c:dLbl>
              <c:idx val="140"/>
              <c:tx>
                <c:rich>
                  <a:bodyPr/>
                  <a:lstStyle/>
                  <a:p>
                    <a:fld id="{50B1AB0A-93BC-4720-B11C-91067F34A275}"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C-0001-433D-94F8-55374129B91B}"/>
                </c:ext>
              </c:extLst>
            </c:dLbl>
            <c:dLbl>
              <c:idx val="141"/>
              <c:tx>
                <c:rich>
                  <a:bodyPr/>
                  <a:lstStyle/>
                  <a:p>
                    <a:fld id="{0641AFAD-91FE-4B47-86CB-04294CAEC65D}"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D-0001-433D-94F8-55374129B91B}"/>
                </c:ext>
              </c:extLst>
            </c:dLbl>
            <c:dLbl>
              <c:idx val="142"/>
              <c:tx>
                <c:rich>
                  <a:bodyPr/>
                  <a:lstStyle/>
                  <a:p>
                    <a:fld id="{BD5E29FD-EED3-478D-B32F-4DE0DB43C1B5}"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E-0001-433D-94F8-55374129B91B}"/>
                </c:ext>
              </c:extLst>
            </c:dLbl>
            <c:dLbl>
              <c:idx val="143"/>
              <c:tx>
                <c:rich>
                  <a:bodyPr/>
                  <a:lstStyle/>
                  <a:p>
                    <a:fld id="{828CBA03-EF04-4E5C-B825-8B915D3E145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F-0001-433D-94F8-55374129B91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0"/>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(BVL,6m+)'!$D$2:$D$59</c:f>
              <c:numCache>
                <c:formatCode>General</c:formatCode>
                <c:ptCount val="58"/>
                <c:pt idx="0">
                  <c:v>37.799999999999997</c:v>
                </c:pt>
                <c:pt idx="1">
                  <c:v>36.799999999999997</c:v>
                </c:pt>
                <c:pt idx="2">
                  <c:v>38.200000000000003</c:v>
                </c:pt>
                <c:pt idx="3">
                  <c:v>37.799999999999997</c:v>
                </c:pt>
                <c:pt idx="4">
                  <c:v>36.700000000000003</c:v>
                </c:pt>
                <c:pt idx="5">
                  <c:v>36.9</c:v>
                </c:pt>
                <c:pt idx="6">
                  <c:v>38.4</c:v>
                </c:pt>
                <c:pt idx="7">
                  <c:v>36.9</c:v>
                </c:pt>
                <c:pt idx="8">
                  <c:v>32.6</c:v>
                </c:pt>
                <c:pt idx="9">
                  <c:v>38.1</c:v>
                </c:pt>
                <c:pt idx="10">
                  <c:v>40.1</c:v>
                </c:pt>
                <c:pt idx="11">
                  <c:v>37.200000000000003</c:v>
                </c:pt>
                <c:pt idx="12">
                  <c:v>34</c:v>
                </c:pt>
                <c:pt idx="13">
                  <c:v>38.5</c:v>
                </c:pt>
                <c:pt idx="14">
                  <c:v>34.299999999999997</c:v>
                </c:pt>
                <c:pt idx="15">
                  <c:v>36.9</c:v>
                </c:pt>
                <c:pt idx="16">
                  <c:v>37.5</c:v>
                </c:pt>
                <c:pt idx="17">
                  <c:v>36.700000000000003</c:v>
                </c:pt>
                <c:pt idx="18">
                  <c:v>36.299999999999997</c:v>
                </c:pt>
                <c:pt idx="19">
                  <c:v>34.799999999999997</c:v>
                </c:pt>
                <c:pt idx="20">
                  <c:v>36</c:v>
                </c:pt>
                <c:pt idx="21">
                  <c:v>38</c:v>
                </c:pt>
                <c:pt idx="22">
                  <c:v>38.9</c:v>
                </c:pt>
                <c:pt idx="23">
                  <c:v>37.200000000000003</c:v>
                </c:pt>
                <c:pt idx="24">
                  <c:v>37.1</c:v>
                </c:pt>
                <c:pt idx="25">
                  <c:v>35.6</c:v>
                </c:pt>
                <c:pt idx="26">
                  <c:v>37.64</c:v>
                </c:pt>
                <c:pt idx="27">
                  <c:v>35.799999999999997</c:v>
                </c:pt>
                <c:pt idx="28">
                  <c:v>36.700000000000003</c:v>
                </c:pt>
                <c:pt idx="29">
                  <c:v>37.4</c:v>
                </c:pt>
                <c:pt idx="30">
                  <c:v>36.9</c:v>
                </c:pt>
                <c:pt idx="31">
                  <c:v>35.799999999999997</c:v>
                </c:pt>
                <c:pt idx="32">
                  <c:v>33.200000000000003</c:v>
                </c:pt>
                <c:pt idx="33">
                  <c:v>32.799999999999997</c:v>
                </c:pt>
                <c:pt idx="34">
                  <c:v>36</c:v>
                </c:pt>
                <c:pt idx="35">
                  <c:v>35.9</c:v>
                </c:pt>
                <c:pt idx="36">
                  <c:v>35.1</c:v>
                </c:pt>
                <c:pt idx="37">
                  <c:v>36.700000000000003</c:v>
                </c:pt>
                <c:pt idx="38">
                  <c:v>38.5</c:v>
                </c:pt>
                <c:pt idx="39">
                  <c:v>37.4</c:v>
                </c:pt>
                <c:pt idx="40">
                  <c:v>36.799999999999997</c:v>
                </c:pt>
                <c:pt idx="41">
                  <c:v>33.799999999999997</c:v>
                </c:pt>
                <c:pt idx="42">
                  <c:v>32.6</c:v>
                </c:pt>
                <c:pt idx="43">
                  <c:v>34.1</c:v>
                </c:pt>
                <c:pt idx="44">
                  <c:v>34.6</c:v>
                </c:pt>
                <c:pt idx="45">
                  <c:v>36.700000000000003</c:v>
                </c:pt>
                <c:pt idx="46">
                  <c:v>35.200000000000003</c:v>
                </c:pt>
                <c:pt idx="47">
                  <c:v>39.6</c:v>
                </c:pt>
                <c:pt idx="48">
                  <c:v>36.700000000000003</c:v>
                </c:pt>
                <c:pt idx="49">
                  <c:v>40.229999999999997</c:v>
                </c:pt>
                <c:pt idx="50">
                  <c:v>40.6</c:v>
                </c:pt>
                <c:pt idx="51">
                  <c:v>36.6</c:v>
                </c:pt>
                <c:pt idx="52">
                  <c:v>40.299999999999997</c:v>
                </c:pt>
                <c:pt idx="53">
                  <c:v>38.1</c:v>
                </c:pt>
                <c:pt idx="54">
                  <c:v>37.799999999999997</c:v>
                </c:pt>
                <c:pt idx="55">
                  <c:v>34.799999999999997</c:v>
                </c:pt>
                <c:pt idx="56">
                  <c:v>33</c:v>
                </c:pt>
                <c:pt idx="57">
                  <c:v>31.9</c:v>
                </c:pt>
              </c:numCache>
            </c:numRef>
          </c:val>
          <c:extLst>
            <c:ext xmlns:c15="http://schemas.microsoft.com/office/drawing/2012/chart" uri="{02D57815-91ED-43cb-92C2-25804820EDAC}">
              <c15:datalabelsRange>
                <c15:f>'ALL-baselines_ (BVL,6m+)'!$BH$2:$BH$50</c15:f>
                <c15:dlblRangeCache>
                  <c:ptCount val="49"/>
                  <c:pt idx="16">
                    <c:v>*</c:v>
                  </c:pt>
                  <c:pt idx="38">
                    <c:v>*</c:v>
                  </c:pt>
                </c15:dlblRangeCache>
              </c15:datalabelsRange>
            </c:ext>
            <c:ext xmlns:c16="http://schemas.microsoft.com/office/drawing/2014/chart" uri="{C3380CC4-5D6E-409C-BE32-E72D297353CC}">
              <c16:uniqueId val="{00000050-0001-433D-94F8-55374129B91B}"/>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55"/>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Mean Age (Years)</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(BVL,6m+)'!$E$1</c:f>
              <c:strCache>
                <c:ptCount val="1"/>
                <c:pt idx="0">
                  <c:v>Race(PercentWhite)</c:v>
                </c:pt>
              </c:strCache>
            </c:strRef>
          </c:tx>
          <c:spPr>
            <a:solidFill>
              <a:schemeClr val="accent1"/>
            </a:solidFill>
            <a:ln>
              <a:noFill/>
            </a:ln>
            <a:effectLst/>
          </c:spPr>
          <c:invertIfNegative val="0"/>
          <c:dLbls>
            <c:dLbl>
              <c:idx val="0"/>
              <c:tx>
                <c:rich>
                  <a:bodyPr/>
                  <a:lstStyle/>
                  <a:p>
                    <a:fld id="{42F23760-FC03-4777-934C-835671600AB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C0F8-4F55-941C-5949C2566CE8}"/>
                </c:ext>
              </c:extLst>
            </c:dLbl>
            <c:dLbl>
              <c:idx val="1"/>
              <c:tx>
                <c:rich>
                  <a:bodyPr/>
                  <a:lstStyle/>
                  <a:p>
                    <a:fld id="{1A41DFB2-75B7-47F5-92A3-552EEF4026B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C0F8-4F55-941C-5949C2566CE8}"/>
                </c:ext>
              </c:extLst>
            </c:dLbl>
            <c:dLbl>
              <c:idx val="2"/>
              <c:tx>
                <c:rich>
                  <a:bodyPr/>
                  <a:lstStyle/>
                  <a:p>
                    <a:fld id="{E00530EF-B7BD-42C3-81D3-A38E1111255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2-C0F8-4F55-941C-5949C2566CE8}"/>
                </c:ext>
              </c:extLst>
            </c:dLbl>
            <c:dLbl>
              <c:idx val="3"/>
              <c:tx>
                <c:rich>
                  <a:bodyPr/>
                  <a:lstStyle/>
                  <a:p>
                    <a:fld id="{595C4C4D-A215-427A-AA40-663ACA7B3E3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3-C0F8-4F55-941C-5949C2566CE8}"/>
                </c:ext>
              </c:extLst>
            </c:dLbl>
            <c:dLbl>
              <c:idx val="4"/>
              <c:tx>
                <c:rich>
                  <a:bodyPr/>
                  <a:lstStyle/>
                  <a:p>
                    <a:fld id="{DE4487EF-901A-4A72-B093-3C725E5B02A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C0F8-4F55-941C-5949C2566CE8}"/>
                </c:ext>
              </c:extLst>
            </c:dLbl>
            <c:dLbl>
              <c:idx val="5"/>
              <c:tx>
                <c:rich>
                  <a:bodyPr/>
                  <a:lstStyle/>
                  <a:p>
                    <a:fld id="{3BED222E-E4FB-4652-BEB1-716284F3A72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C0F8-4F55-941C-5949C2566CE8}"/>
                </c:ext>
              </c:extLst>
            </c:dLbl>
            <c:dLbl>
              <c:idx val="6"/>
              <c:tx>
                <c:rich>
                  <a:bodyPr/>
                  <a:lstStyle/>
                  <a:p>
                    <a:fld id="{6B8CD70B-BBBA-46A4-A268-B220C698BEA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C0F8-4F55-941C-5949C2566CE8}"/>
                </c:ext>
              </c:extLst>
            </c:dLbl>
            <c:dLbl>
              <c:idx val="7"/>
              <c:tx>
                <c:rich>
                  <a:bodyPr/>
                  <a:lstStyle/>
                  <a:p>
                    <a:fld id="{03B739D2-75D2-4661-8867-6947D761F8D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C0F8-4F55-941C-5949C2566CE8}"/>
                </c:ext>
              </c:extLst>
            </c:dLbl>
            <c:dLbl>
              <c:idx val="8"/>
              <c:tx>
                <c:rich>
                  <a:bodyPr/>
                  <a:lstStyle/>
                  <a:p>
                    <a:fld id="{66981520-48CF-4C1C-BE4B-050A70F5E64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8-C0F8-4F55-941C-5949C2566CE8}"/>
                </c:ext>
              </c:extLst>
            </c:dLbl>
            <c:dLbl>
              <c:idx val="9"/>
              <c:tx>
                <c:rich>
                  <a:bodyPr/>
                  <a:lstStyle/>
                  <a:p>
                    <a:fld id="{16587F7F-F91B-4ACF-AA49-015E5F3BFC4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C0F8-4F55-941C-5949C2566CE8}"/>
                </c:ext>
              </c:extLst>
            </c:dLbl>
            <c:dLbl>
              <c:idx val="10"/>
              <c:tx>
                <c:rich>
                  <a:bodyPr/>
                  <a:lstStyle/>
                  <a:p>
                    <a:fld id="{9F96FD0A-13ED-4A82-BF66-FF6ACF5CB42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A-C0F8-4F55-941C-5949C2566CE8}"/>
                </c:ext>
              </c:extLst>
            </c:dLbl>
            <c:dLbl>
              <c:idx val="11"/>
              <c:tx>
                <c:rich>
                  <a:bodyPr/>
                  <a:lstStyle/>
                  <a:p>
                    <a:fld id="{EA86E2A4-AD18-4F0B-A455-0D70E0170D1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B-C0F8-4F55-941C-5949C2566CE8}"/>
                </c:ext>
              </c:extLst>
            </c:dLbl>
            <c:dLbl>
              <c:idx val="12"/>
              <c:tx>
                <c:rich>
                  <a:bodyPr/>
                  <a:lstStyle/>
                  <a:p>
                    <a:fld id="{480B1AD6-2E90-4072-B892-07E2686C1DE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C-C0F8-4F55-941C-5949C2566CE8}"/>
                </c:ext>
              </c:extLst>
            </c:dLbl>
            <c:dLbl>
              <c:idx val="13"/>
              <c:tx>
                <c:rich>
                  <a:bodyPr/>
                  <a:lstStyle/>
                  <a:p>
                    <a:fld id="{85EC2E80-B367-4D46-ACAA-83F87E70F49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C0F8-4F55-941C-5949C2566CE8}"/>
                </c:ext>
              </c:extLst>
            </c:dLbl>
            <c:dLbl>
              <c:idx val="14"/>
              <c:tx>
                <c:rich>
                  <a:bodyPr/>
                  <a:lstStyle/>
                  <a:p>
                    <a:fld id="{861E7FB9-0E48-4ECE-9DE8-B4030F3F941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C0F8-4F55-941C-5949C2566CE8}"/>
                </c:ext>
              </c:extLst>
            </c:dLbl>
            <c:dLbl>
              <c:idx val="15"/>
              <c:tx>
                <c:rich>
                  <a:bodyPr/>
                  <a:lstStyle/>
                  <a:p>
                    <a:fld id="{99FFC342-D1D4-4B55-8FF3-B71E21CD83D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C0F8-4F55-941C-5949C2566CE8}"/>
                </c:ext>
              </c:extLst>
            </c:dLbl>
            <c:dLbl>
              <c:idx val="16"/>
              <c:tx>
                <c:rich>
                  <a:bodyPr/>
                  <a:lstStyle/>
                  <a:p>
                    <a:fld id="{BA513007-D536-424E-AC4B-9B6DA2A6A00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0-C0F8-4F55-941C-5949C2566CE8}"/>
                </c:ext>
              </c:extLst>
            </c:dLbl>
            <c:dLbl>
              <c:idx val="17"/>
              <c:tx>
                <c:rich>
                  <a:bodyPr/>
                  <a:lstStyle/>
                  <a:p>
                    <a:fld id="{CD067629-850F-44B3-8CA7-015B640D467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C0F8-4F55-941C-5949C2566CE8}"/>
                </c:ext>
              </c:extLst>
            </c:dLbl>
            <c:dLbl>
              <c:idx val="18"/>
              <c:tx>
                <c:rich>
                  <a:bodyPr/>
                  <a:lstStyle/>
                  <a:p>
                    <a:fld id="{A9F03D86-4EC2-4443-913E-F4CEC5B1CB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C0F8-4F55-941C-5949C2566CE8}"/>
                </c:ext>
              </c:extLst>
            </c:dLbl>
            <c:dLbl>
              <c:idx val="19"/>
              <c:tx>
                <c:rich>
                  <a:bodyPr/>
                  <a:lstStyle/>
                  <a:p>
                    <a:fld id="{12599FDB-F49C-4B3D-9CF9-07D3BCFAE09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3-C0F8-4F55-941C-5949C2566CE8}"/>
                </c:ext>
              </c:extLst>
            </c:dLbl>
            <c:dLbl>
              <c:idx val="20"/>
              <c:tx>
                <c:rich>
                  <a:bodyPr/>
                  <a:lstStyle/>
                  <a:p>
                    <a:fld id="{939FE3C6-9A58-4FC7-BEA3-DEB6CCC0EE7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C0F8-4F55-941C-5949C2566CE8}"/>
                </c:ext>
              </c:extLst>
            </c:dLbl>
            <c:dLbl>
              <c:idx val="21"/>
              <c:tx>
                <c:rich>
                  <a:bodyPr/>
                  <a:lstStyle/>
                  <a:p>
                    <a:fld id="{73B8F81E-10A5-45FE-91D9-F1D65FC5D47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5-C0F8-4F55-941C-5949C2566CE8}"/>
                </c:ext>
              </c:extLst>
            </c:dLbl>
            <c:dLbl>
              <c:idx val="22"/>
              <c:tx>
                <c:rich>
                  <a:bodyPr/>
                  <a:lstStyle/>
                  <a:p>
                    <a:fld id="{251B3489-26AE-40BF-8B1E-E0267C88ACF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6-C0F8-4F55-941C-5949C2566CE8}"/>
                </c:ext>
              </c:extLst>
            </c:dLbl>
            <c:dLbl>
              <c:idx val="23"/>
              <c:tx>
                <c:rich>
                  <a:bodyPr/>
                  <a:lstStyle/>
                  <a:p>
                    <a:fld id="{3739CE2B-41F6-4542-8498-83F0F893757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7-C0F8-4F55-941C-5949C2566CE8}"/>
                </c:ext>
              </c:extLst>
            </c:dLbl>
            <c:dLbl>
              <c:idx val="24"/>
              <c:tx>
                <c:rich>
                  <a:bodyPr/>
                  <a:lstStyle/>
                  <a:p>
                    <a:fld id="{21D2B4A1-C42E-49F1-B98F-F23A4253722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8-C0F8-4F55-941C-5949C2566CE8}"/>
                </c:ext>
              </c:extLst>
            </c:dLbl>
            <c:dLbl>
              <c:idx val="25"/>
              <c:tx>
                <c:rich>
                  <a:bodyPr/>
                  <a:lstStyle/>
                  <a:p>
                    <a:fld id="{37ACD6B4-7DEF-4FBC-9853-002794B149A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C0F8-4F55-941C-5949C2566CE8}"/>
                </c:ext>
              </c:extLst>
            </c:dLbl>
            <c:dLbl>
              <c:idx val="26"/>
              <c:tx>
                <c:rich>
                  <a:bodyPr/>
                  <a:lstStyle/>
                  <a:p>
                    <a:fld id="{F6131BBF-7D13-46D1-93A9-65C56AFEE17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C0F8-4F55-941C-5949C2566CE8}"/>
                </c:ext>
              </c:extLst>
            </c:dLbl>
            <c:dLbl>
              <c:idx val="27"/>
              <c:tx>
                <c:rich>
                  <a:bodyPr/>
                  <a:lstStyle/>
                  <a:p>
                    <a:fld id="{FDA9A390-6FC6-4D6E-A392-DC498FBCDD2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C0F8-4F55-941C-5949C2566CE8}"/>
                </c:ext>
              </c:extLst>
            </c:dLbl>
            <c:dLbl>
              <c:idx val="28"/>
              <c:tx>
                <c:rich>
                  <a:bodyPr/>
                  <a:lstStyle/>
                  <a:p>
                    <a:fld id="{E3D79329-CB11-4115-A3E8-9709D468707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C0F8-4F55-941C-5949C2566CE8}"/>
                </c:ext>
              </c:extLst>
            </c:dLbl>
            <c:dLbl>
              <c:idx val="29"/>
              <c:tx>
                <c:rich>
                  <a:bodyPr/>
                  <a:lstStyle/>
                  <a:p>
                    <a:fld id="{F4D5C4ED-0B38-474B-B81F-1BA7B9D546B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D-C0F8-4F55-941C-5949C2566CE8}"/>
                </c:ext>
              </c:extLst>
            </c:dLbl>
            <c:dLbl>
              <c:idx val="30"/>
              <c:tx>
                <c:rich>
                  <a:bodyPr/>
                  <a:lstStyle/>
                  <a:p>
                    <a:fld id="{B4E8AF7A-FD2F-4F5B-883C-F2876152A3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E-C0F8-4F55-941C-5949C2566CE8}"/>
                </c:ext>
              </c:extLst>
            </c:dLbl>
            <c:dLbl>
              <c:idx val="31"/>
              <c:tx>
                <c:rich>
                  <a:bodyPr/>
                  <a:lstStyle/>
                  <a:p>
                    <a:fld id="{AD567E37-42C3-496C-9758-515A7900DE4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C0F8-4F55-941C-5949C2566CE8}"/>
                </c:ext>
              </c:extLst>
            </c:dLbl>
            <c:dLbl>
              <c:idx val="32"/>
              <c:tx>
                <c:rich>
                  <a:bodyPr/>
                  <a:lstStyle/>
                  <a:p>
                    <a:fld id="{F5D4C5DD-0A28-478A-8BF9-CC17D32CC65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C0F8-4F55-941C-5949C2566CE8}"/>
                </c:ext>
              </c:extLst>
            </c:dLbl>
            <c:dLbl>
              <c:idx val="33"/>
              <c:tx>
                <c:rich>
                  <a:bodyPr/>
                  <a:lstStyle/>
                  <a:p>
                    <a:fld id="{A6A6527C-59BF-4951-A480-312FBCE230E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1-C0F8-4F55-941C-5949C2566CE8}"/>
                </c:ext>
              </c:extLst>
            </c:dLbl>
            <c:dLbl>
              <c:idx val="34"/>
              <c:tx>
                <c:rich>
                  <a:bodyPr/>
                  <a:lstStyle/>
                  <a:p>
                    <a:fld id="{6EC7850E-95C9-4D00-871C-A7FCD94B42A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C0F8-4F55-941C-5949C2566CE8}"/>
                </c:ext>
              </c:extLst>
            </c:dLbl>
            <c:dLbl>
              <c:idx val="35"/>
              <c:tx>
                <c:rich>
                  <a:bodyPr/>
                  <a:lstStyle/>
                  <a:p>
                    <a:fld id="{96D728DD-67B7-4896-A18E-1783423AE4D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3-C0F8-4F55-941C-5949C2566CE8}"/>
                </c:ext>
              </c:extLst>
            </c:dLbl>
            <c:dLbl>
              <c:idx val="36"/>
              <c:tx>
                <c:rich>
                  <a:bodyPr/>
                  <a:lstStyle/>
                  <a:p>
                    <a:fld id="{184A4D73-5DA6-4AAF-A484-6C5C4018F1C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C0F8-4F55-941C-5949C2566CE8}"/>
                </c:ext>
              </c:extLst>
            </c:dLbl>
            <c:dLbl>
              <c:idx val="37"/>
              <c:tx>
                <c:rich>
                  <a:bodyPr/>
                  <a:lstStyle/>
                  <a:p>
                    <a:fld id="{629E8F33-CFFC-4E60-B940-D661021BBB3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5-C0F8-4F55-941C-5949C2566CE8}"/>
                </c:ext>
              </c:extLst>
            </c:dLbl>
            <c:dLbl>
              <c:idx val="38"/>
              <c:tx>
                <c:rich>
                  <a:bodyPr/>
                  <a:lstStyle/>
                  <a:p>
                    <a:fld id="{0CE3F18A-3BAD-4B56-BCE9-A23A03FB1CC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6-C0F8-4F55-941C-5949C2566CE8}"/>
                </c:ext>
              </c:extLst>
            </c:dLbl>
            <c:dLbl>
              <c:idx val="39"/>
              <c:tx>
                <c:rich>
                  <a:bodyPr/>
                  <a:lstStyle/>
                  <a:p>
                    <a:fld id="{7A457FAB-CBCC-4751-AD1B-BE0611E5BFC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C0F8-4F55-941C-5949C2566CE8}"/>
                </c:ext>
              </c:extLst>
            </c:dLbl>
            <c:dLbl>
              <c:idx val="40"/>
              <c:tx>
                <c:rich>
                  <a:bodyPr/>
                  <a:lstStyle/>
                  <a:p>
                    <a:fld id="{AE85BFC0-3798-490B-A9C5-3D1F289F55E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C0F8-4F55-941C-5949C2566CE8}"/>
                </c:ext>
              </c:extLst>
            </c:dLbl>
            <c:dLbl>
              <c:idx val="41"/>
              <c:tx>
                <c:rich>
                  <a:bodyPr/>
                  <a:lstStyle/>
                  <a:p>
                    <a:fld id="{5F9DE498-5061-4511-85F9-BBCE9A7C7F1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9-C0F8-4F55-941C-5949C2566CE8}"/>
                </c:ext>
              </c:extLst>
            </c:dLbl>
            <c:dLbl>
              <c:idx val="42"/>
              <c:tx>
                <c:rich>
                  <a:bodyPr/>
                  <a:lstStyle/>
                  <a:p>
                    <a:fld id="{9E495FC7-F3AF-4EDF-ACBC-8A87B1040E9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A-C0F8-4F55-941C-5949C2566CE8}"/>
                </c:ext>
              </c:extLst>
            </c:dLbl>
            <c:dLbl>
              <c:idx val="43"/>
              <c:tx>
                <c:rich>
                  <a:bodyPr/>
                  <a:lstStyle/>
                  <a:p>
                    <a:fld id="{FFB6E516-10E4-4012-B50C-D73343D6997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B-C0F8-4F55-941C-5949C2566CE8}"/>
                </c:ext>
              </c:extLst>
            </c:dLbl>
            <c:dLbl>
              <c:idx val="44"/>
              <c:tx>
                <c:rich>
                  <a:bodyPr/>
                  <a:lstStyle/>
                  <a:p>
                    <a:fld id="{8CEAE2E6-9CB9-4C51-8196-46ADD1A8D73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C-C0F8-4F55-941C-5949C2566CE8}"/>
                </c:ext>
              </c:extLst>
            </c:dLbl>
            <c:dLbl>
              <c:idx val="45"/>
              <c:tx>
                <c:rich>
                  <a:bodyPr/>
                  <a:lstStyle/>
                  <a:p>
                    <a:fld id="{D16A1484-6C4B-4667-B89B-93D7C3DDCCF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C0F8-4F55-941C-5949C2566CE8}"/>
                </c:ext>
              </c:extLst>
            </c:dLbl>
            <c:dLbl>
              <c:idx val="46"/>
              <c:tx>
                <c:rich>
                  <a:bodyPr/>
                  <a:lstStyle/>
                  <a:p>
                    <a:fld id="{FB14F671-7CBF-4F32-815F-2896E5279B5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E-C0F8-4F55-941C-5949C2566CE8}"/>
                </c:ext>
              </c:extLst>
            </c:dLbl>
            <c:dLbl>
              <c:idx val="47"/>
              <c:tx>
                <c:rich>
                  <a:bodyPr/>
                  <a:lstStyle/>
                  <a:p>
                    <a:fld id="{503BE6FB-CAD6-49C4-9E09-90ED36F75FF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C0F8-4F55-941C-5949C2566CE8}"/>
                </c:ext>
              </c:extLst>
            </c:dLbl>
            <c:dLbl>
              <c:idx val="48"/>
              <c:tx>
                <c:rich>
                  <a:bodyPr/>
                  <a:lstStyle/>
                  <a:p>
                    <a:fld id="{E7E94531-82A2-402A-BEEA-67010EC0AEE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C0F8-4F55-941C-5949C2566CE8}"/>
                </c:ext>
              </c:extLst>
            </c:dLbl>
            <c:dLbl>
              <c:idx val="49"/>
              <c:tx>
                <c:rich>
                  <a:bodyPr/>
                  <a:lstStyle/>
                  <a:p>
                    <a:fld id="{CB6B23EC-C0C0-4C46-B0E9-4EDA2E1E848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C0F8-4F55-941C-5949C2566CE8}"/>
                </c:ext>
              </c:extLst>
            </c:dLbl>
            <c:dLbl>
              <c:idx val="50"/>
              <c:tx>
                <c:rich>
                  <a:bodyPr/>
                  <a:lstStyle/>
                  <a:p>
                    <a:fld id="{782EAE06-33BC-46D0-979F-CEE636678B0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2-C0F8-4F55-941C-5949C2566CE8}"/>
                </c:ext>
              </c:extLst>
            </c:dLbl>
            <c:dLbl>
              <c:idx val="51"/>
              <c:tx>
                <c:rich>
                  <a:bodyPr/>
                  <a:lstStyle/>
                  <a:p>
                    <a:fld id="{B6B645FF-EB61-4580-9290-1CF6448AA73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3-C0F8-4F55-941C-5949C2566CE8}"/>
                </c:ext>
              </c:extLst>
            </c:dLbl>
            <c:dLbl>
              <c:idx val="52"/>
              <c:tx>
                <c:rich>
                  <a:bodyPr/>
                  <a:lstStyle/>
                  <a:p>
                    <a:fld id="{F42271BB-21F4-4EC7-A8B4-9E685370235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4-C0F8-4F55-941C-5949C2566CE8}"/>
                </c:ext>
              </c:extLst>
            </c:dLbl>
            <c:dLbl>
              <c:idx val="53"/>
              <c:tx>
                <c:rich>
                  <a:bodyPr/>
                  <a:lstStyle/>
                  <a:p>
                    <a:fld id="{083E12D4-9FE3-4841-9950-CEC533336DD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C0F8-4F55-941C-5949C2566CE8}"/>
                </c:ext>
              </c:extLst>
            </c:dLbl>
            <c:dLbl>
              <c:idx val="54"/>
              <c:tx>
                <c:rich>
                  <a:bodyPr/>
                  <a:lstStyle/>
                  <a:p>
                    <a:fld id="{3CB88EAB-677D-435F-84A1-39F8269CD17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C0F8-4F55-941C-5949C2566CE8}"/>
                </c:ext>
              </c:extLst>
            </c:dLbl>
            <c:dLbl>
              <c:idx val="55"/>
              <c:tx>
                <c:rich>
                  <a:bodyPr/>
                  <a:lstStyle/>
                  <a:p>
                    <a:fld id="{AE6703DE-BA29-4E5E-8749-0EAA38693B8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C0F8-4F55-941C-5949C2566CE8}"/>
                </c:ext>
              </c:extLst>
            </c:dLbl>
            <c:dLbl>
              <c:idx val="56"/>
              <c:tx>
                <c:rich>
                  <a:bodyPr/>
                  <a:lstStyle/>
                  <a:p>
                    <a:fld id="{80E2F865-ABC5-43B2-AC3B-470FC65E0F5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8-C0F8-4F55-941C-5949C2566CE8}"/>
                </c:ext>
              </c:extLst>
            </c:dLbl>
            <c:dLbl>
              <c:idx val="57"/>
              <c:tx>
                <c:rich>
                  <a:bodyPr/>
                  <a:lstStyle/>
                  <a:p>
                    <a:fld id="{373829D0-E018-422B-A997-F865822DC4B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9-C0F8-4F55-941C-5949C2566CE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(BVL,6m+)'!$E$2:$E$59</c:f>
              <c:numCache>
                <c:formatCode>General</c:formatCode>
                <c:ptCount val="58"/>
                <c:pt idx="0">
                  <c:v>96.9</c:v>
                </c:pt>
                <c:pt idx="1">
                  <c:v>97.7</c:v>
                </c:pt>
                <c:pt idx="2">
                  <c:v>0</c:v>
                </c:pt>
                <c:pt idx="3">
                  <c:v>0</c:v>
                </c:pt>
                <c:pt idx="4">
                  <c:v>97.2</c:v>
                </c:pt>
                <c:pt idx="5">
                  <c:v>81</c:v>
                </c:pt>
                <c:pt idx="6">
                  <c:v>98.3</c:v>
                </c:pt>
                <c:pt idx="7">
                  <c:v>92</c:v>
                </c:pt>
                <c:pt idx="8">
                  <c:v>0</c:v>
                </c:pt>
                <c:pt idx="9">
                  <c:v>98.7</c:v>
                </c:pt>
                <c:pt idx="10">
                  <c:v>0</c:v>
                </c:pt>
                <c:pt idx="11">
                  <c:v>0</c:v>
                </c:pt>
                <c:pt idx="12">
                  <c:v>0</c:v>
                </c:pt>
                <c:pt idx="13">
                  <c:v>78</c:v>
                </c:pt>
                <c:pt idx="14">
                  <c:v>93.6</c:v>
                </c:pt>
                <c:pt idx="15">
                  <c:v>84</c:v>
                </c:pt>
                <c:pt idx="16">
                  <c:v>0</c:v>
                </c:pt>
                <c:pt idx="17">
                  <c:v>94</c:v>
                </c:pt>
                <c:pt idx="18">
                  <c:v>82</c:v>
                </c:pt>
                <c:pt idx="19">
                  <c:v>0</c:v>
                </c:pt>
                <c:pt idx="20">
                  <c:v>98.8</c:v>
                </c:pt>
                <c:pt idx="21">
                  <c:v>0</c:v>
                </c:pt>
                <c:pt idx="22">
                  <c:v>0</c:v>
                </c:pt>
                <c:pt idx="23">
                  <c:v>0</c:v>
                </c:pt>
                <c:pt idx="24">
                  <c:v>0</c:v>
                </c:pt>
                <c:pt idx="25">
                  <c:v>96</c:v>
                </c:pt>
                <c:pt idx="26">
                  <c:v>100</c:v>
                </c:pt>
                <c:pt idx="27">
                  <c:v>93</c:v>
                </c:pt>
                <c:pt idx="28" formatCode="0.0">
                  <c:v>93</c:v>
                </c:pt>
                <c:pt idx="29">
                  <c:v>0</c:v>
                </c:pt>
                <c:pt idx="30">
                  <c:v>0</c:v>
                </c:pt>
                <c:pt idx="31">
                  <c:v>93</c:v>
                </c:pt>
                <c:pt idx="32">
                  <c:v>96</c:v>
                </c:pt>
                <c:pt idx="33">
                  <c:v>90.1</c:v>
                </c:pt>
                <c:pt idx="34">
                  <c:v>93.8</c:v>
                </c:pt>
                <c:pt idx="35">
                  <c:v>0</c:v>
                </c:pt>
                <c:pt idx="36">
                  <c:v>98</c:v>
                </c:pt>
                <c:pt idx="37">
                  <c:v>93</c:v>
                </c:pt>
                <c:pt idx="38">
                  <c:v>0</c:v>
                </c:pt>
                <c:pt idx="39">
                  <c:v>97.1</c:v>
                </c:pt>
                <c:pt idx="40" formatCode="0.0">
                  <c:v>94</c:v>
                </c:pt>
                <c:pt idx="41">
                  <c:v>0</c:v>
                </c:pt>
                <c:pt idx="42">
                  <c:v>0</c:v>
                </c:pt>
                <c:pt idx="43">
                  <c:v>0</c:v>
                </c:pt>
                <c:pt idx="44">
                  <c:v>94.4</c:v>
                </c:pt>
                <c:pt idx="45">
                  <c:v>83</c:v>
                </c:pt>
                <c:pt idx="46">
                  <c:v>91</c:v>
                </c:pt>
                <c:pt idx="47">
                  <c:v>71.099999999999994</c:v>
                </c:pt>
                <c:pt idx="48">
                  <c:v>93.7</c:v>
                </c:pt>
                <c:pt idx="49">
                  <c:v>98.75</c:v>
                </c:pt>
                <c:pt idx="50">
                  <c:v>0</c:v>
                </c:pt>
                <c:pt idx="51">
                  <c:v>0</c:v>
                </c:pt>
                <c:pt idx="52">
                  <c:v>76.099999999999994</c:v>
                </c:pt>
                <c:pt idx="53">
                  <c:v>78</c:v>
                </c:pt>
                <c:pt idx="54">
                  <c:v>85</c:v>
                </c:pt>
                <c:pt idx="55">
                  <c:v>90</c:v>
                </c:pt>
                <c:pt idx="56">
                  <c:v>94</c:v>
                </c:pt>
                <c:pt idx="57">
                  <c:v>91.1</c:v>
                </c:pt>
              </c:numCache>
            </c:numRef>
          </c:val>
          <c:extLst>
            <c:ext xmlns:c15="http://schemas.microsoft.com/office/drawing/2012/chart" uri="{02D57815-91ED-43cb-92C2-25804820EDAC}">
              <c15:datalabelsRange>
                <c15:f>'ALL-baselines_ (BVL,6m+)'!$BI$2:$BI$59</c15:f>
                <c15:dlblRangeCache>
                  <c:ptCount val="58"/>
                  <c:pt idx="2">
                    <c:v>NR</c:v>
                  </c:pt>
                  <c:pt idx="3">
                    <c:v>NR</c:v>
                  </c:pt>
                  <c:pt idx="8">
                    <c:v>NR</c:v>
                  </c:pt>
                  <c:pt idx="10">
                    <c:v>NR</c:v>
                  </c:pt>
                  <c:pt idx="11">
                    <c:v>NR</c:v>
                  </c:pt>
                  <c:pt idx="12">
                    <c:v>NR</c:v>
                  </c:pt>
                  <c:pt idx="16">
                    <c:v>NR</c:v>
                  </c:pt>
                  <c:pt idx="19">
                    <c:v>NR</c:v>
                  </c:pt>
                  <c:pt idx="21">
                    <c:v>NR</c:v>
                  </c:pt>
                  <c:pt idx="22">
                    <c:v>NR</c:v>
                  </c:pt>
                  <c:pt idx="23">
                    <c:v>NR</c:v>
                  </c:pt>
                  <c:pt idx="24">
                    <c:v>NR</c:v>
                  </c:pt>
                  <c:pt idx="29">
                    <c:v>NR</c:v>
                  </c:pt>
                  <c:pt idx="30">
                    <c:v>NR</c:v>
                  </c:pt>
                  <c:pt idx="35">
                    <c:v>NR</c:v>
                  </c:pt>
                  <c:pt idx="38">
                    <c:v>NR</c:v>
                  </c:pt>
                  <c:pt idx="41">
                    <c:v>NR</c:v>
                  </c:pt>
                  <c:pt idx="42">
                    <c:v>NR</c:v>
                  </c:pt>
                  <c:pt idx="43">
                    <c:v>NR</c:v>
                  </c:pt>
                  <c:pt idx="50">
                    <c:v>NR</c:v>
                  </c:pt>
                  <c:pt idx="51">
                    <c:v>NR</c:v>
                  </c:pt>
                </c15:dlblRangeCache>
              </c15:datalabelsRange>
            </c:ext>
            <c:ext xmlns:c16="http://schemas.microsoft.com/office/drawing/2014/chart" uri="{C3380CC4-5D6E-409C-BE32-E72D297353CC}">
              <c16:uniqueId val="{0000003A-C0F8-4F55-941C-5949C2566CE8}"/>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10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Race (% White)</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(BVL,6m+)'!$F$1</c:f>
              <c:strCache>
                <c:ptCount val="1"/>
                <c:pt idx="0">
                  <c:v>Sex(PercentMale)</c:v>
                </c:pt>
              </c:strCache>
            </c:strRef>
          </c:tx>
          <c:spPr>
            <a:solidFill>
              <a:schemeClr val="accent1"/>
            </a:solidFill>
            <a:ln>
              <a:noFill/>
            </a:ln>
            <a:effectLst/>
          </c:spPr>
          <c:invertIfNegative val="0"/>
          <c:dPt>
            <c:idx val="46"/>
            <c:invertIfNegative val="0"/>
            <c:bubble3D val="0"/>
            <c:spPr>
              <a:solidFill>
                <a:schemeClr val="accent1"/>
              </a:solidFill>
              <a:ln>
                <a:noFill/>
              </a:ln>
              <a:effectLst/>
            </c:spPr>
            <c:extLst>
              <c:ext xmlns:c16="http://schemas.microsoft.com/office/drawing/2014/chart" uri="{C3380CC4-5D6E-409C-BE32-E72D297353CC}">
                <c16:uniqueId val="{00000001-A6EB-4E1E-982A-E3DC19A12D89}"/>
              </c:ext>
            </c:extLst>
          </c:dPt>
          <c:dPt>
            <c:idx val="49"/>
            <c:invertIfNegative val="0"/>
            <c:bubble3D val="0"/>
            <c:spPr>
              <a:solidFill>
                <a:schemeClr val="accent1"/>
              </a:solidFill>
              <a:ln>
                <a:noFill/>
              </a:ln>
              <a:effectLst/>
            </c:spPr>
            <c:extLst>
              <c:ext xmlns:c16="http://schemas.microsoft.com/office/drawing/2014/chart" uri="{C3380CC4-5D6E-409C-BE32-E72D297353CC}">
                <c16:uniqueId val="{00000003-A6EB-4E1E-982A-E3DC19A12D89}"/>
              </c:ext>
            </c:extLst>
          </c:dPt>
          <c:dPt>
            <c:idx val="52"/>
            <c:invertIfNegative val="0"/>
            <c:bubble3D val="0"/>
            <c:spPr>
              <a:solidFill>
                <a:schemeClr val="accent1"/>
              </a:solidFill>
              <a:ln>
                <a:noFill/>
              </a:ln>
              <a:effectLst/>
            </c:spPr>
            <c:extLst>
              <c:ext xmlns:c16="http://schemas.microsoft.com/office/drawing/2014/chart" uri="{C3380CC4-5D6E-409C-BE32-E72D297353CC}">
                <c16:uniqueId val="{00000005-A6EB-4E1E-982A-E3DC19A12D89}"/>
              </c:ext>
            </c:extLst>
          </c:dPt>
          <c:dPt>
            <c:idx val="128"/>
            <c:invertIfNegative val="0"/>
            <c:bubble3D val="0"/>
            <c:spPr>
              <a:solidFill>
                <a:schemeClr val="accent1"/>
              </a:solidFill>
              <a:ln>
                <a:noFill/>
              </a:ln>
              <a:effectLst/>
            </c:spPr>
            <c:extLst>
              <c:ext xmlns:c16="http://schemas.microsoft.com/office/drawing/2014/chart" uri="{C3380CC4-5D6E-409C-BE32-E72D297353CC}">
                <c16:uniqueId val="{00000007-A6EB-4E1E-982A-E3DC19A12D89}"/>
              </c:ext>
            </c:extLst>
          </c:dPt>
          <c:dLbls>
            <c:dLbl>
              <c:idx val="0"/>
              <c:tx>
                <c:rich>
                  <a:bodyPr/>
                  <a:lstStyle/>
                  <a:p>
                    <a:fld id="{0B6AAE5A-B820-451C-B5C1-40BEDB4D3C0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A6EB-4E1E-982A-E3DC19A12D89}"/>
                </c:ext>
              </c:extLst>
            </c:dLbl>
            <c:dLbl>
              <c:idx val="1"/>
              <c:tx>
                <c:rich>
                  <a:bodyPr/>
                  <a:lstStyle/>
                  <a:p>
                    <a:fld id="{655D6A3A-3C09-4EBE-8123-CC2D88F658A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A6EB-4E1E-982A-E3DC19A12D89}"/>
                </c:ext>
              </c:extLst>
            </c:dLbl>
            <c:dLbl>
              <c:idx val="2"/>
              <c:tx>
                <c:rich>
                  <a:bodyPr/>
                  <a:lstStyle/>
                  <a:p>
                    <a:fld id="{41723B01-1E4F-4828-827E-C5F37C4C05D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A6EB-4E1E-982A-E3DC19A12D89}"/>
                </c:ext>
              </c:extLst>
            </c:dLbl>
            <c:dLbl>
              <c:idx val="3"/>
              <c:tx>
                <c:rich>
                  <a:bodyPr/>
                  <a:lstStyle/>
                  <a:p>
                    <a:fld id="{DA9DFDFA-931C-4EFE-9654-68651649EB4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A6EB-4E1E-982A-E3DC19A12D89}"/>
                </c:ext>
              </c:extLst>
            </c:dLbl>
            <c:dLbl>
              <c:idx val="4"/>
              <c:tx>
                <c:rich>
                  <a:bodyPr/>
                  <a:lstStyle/>
                  <a:p>
                    <a:fld id="{DBF301A2-5F8D-48DE-8BA7-73AC7E7D98C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A6EB-4E1E-982A-E3DC19A12D89}"/>
                </c:ext>
              </c:extLst>
            </c:dLbl>
            <c:dLbl>
              <c:idx val="5"/>
              <c:tx>
                <c:rich>
                  <a:bodyPr/>
                  <a:lstStyle/>
                  <a:p>
                    <a:fld id="{74B08D49-83CF-4C86-A6D7-A2CA9158D34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A6EB-4E1E-982A-E3DC19A12D89}"/>
                </c:ext>
              </c:extLst>
            </c:dLbl>
            <c:dLbl>
              <c:idx val="6"/>
              <c:tx>
                <c:rich>
                  <a:bodyPr/>
                  <a:lstStyle/>
                  <a:p>
                    <a:fld id="{B58546D9-8BB5-4A3D-8F2C-680A83C11E2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A6EB-4E1E-982A-E3DC19A12D89}"/>
                </c:ext>
              </c:extLst>
            </c:dLbl>
            <c:dLbl>
              <c:idx val="7"/>
              <c:tx>
                <c:rich>
                  <a:bodyPr/>
                  <a:lstStyle/>
                  <a:p>
                    <a:fld id="{97FE637D-A490-45CD-B422-BC0265BE6FF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A6EB-4E1E-982A-E3DC19A12D89}"/>
                </c:ext>
              </c:extLst>
            </c:dLbl>
            <c:dLbl>
              <c:idx val="8"/>
              <c:tx>
                <c:rich>
                  <a:bodyPr/>
                  <a:lstStyle/>
                  <a:p>
                    <a:fld id="{1367D224-262B-42BF-AB60-A46BA79F908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A6EB-4E1E-982A-E3DC19A12D89}"/>
                </c:ext>
              </c:extLst>
            </c:dLbl>
            <c:dLbl>
              <c:idx val="9"/>
              <c:tx>
                <c:rich>
                  <a:bodyPr/>
                  <a:lstStyle/>
                  <a:p>
                    <a:fld id="{A4E9AB53-6C40-4A54-8CB8-E872CD60BE9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A6EB-4E1E-982A-E3DC19A12D89}"/>
                </c:ext>
              </c:extLst>
            </c:dLbl>
            <c:dLbl>
              <c:idx val="10"/>
              <c:tx>
                <c:rich>
                  <a:bodyPr/>
                  <a:lstStyle/>
                  <a:p>
                    <a:fld id="{AFA91D67-ACAB-4C49-BAE7-C8B0D6407C9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A6EB-4E1E-982A-E3DC19A12D89}"/>
                </c:ext>
              </c:extLst>
            </c:dLbl>
            <c:dLbl>
              <c:idx val="11"/>
              <c:tx>
                <c:rich>
                  <a:bodyPr/>
                  <a:lstStyle/>
                  <a:p>
                    <a:fld id="{429757C9-6C38-4361-8E9C-B00C00AC3ED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A6EB-4E1E-982A-E3DC19A12D89}"/>
                </c:ext>
              </c:extLst>
            </c:dLbl>
            <c:dLbl>
              <c:idx val="12"/>
              <c:tx>
                <c:rich>
                  <a:bodyPr/>
                  <a:lstStyle/>
                  <a:p>
                    <a:fld id="{0F2FFDCF-D556-4ECF-90B0-83D454AB1CD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4-A6EB-4E1E-982A-E3DC19A12D89}"/>
                </c:ext>
              </c:extLst>
            </c:dLbl>
            <c:dLbl>
              <c:idx val="13"/>
              <c:tx>
                <c:rich>
                  <a:bodyPr/>
                  <a:lstStyle/>
                  <a:p>
                    <a:fld id="{7BB884A7-48B6-43BB-9FFE-CF06E38E915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A6EB-4E1E-982A-E3DC19A12D89}"/>
                </c:ext>
              </c:extLst>
            </c:dLbl>
            <c:dLbl>
              <c:idx val="14"/>
              <c:tx>
                <c:rich>
                  <a:bodyPr/>
                  <a:lstStyle/>
                  <a:p>
                    <a:fld id="{C7B6E5E2-473C-46DC-9676-4C72218FD38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A6EB-4E1E-982A-E3DC19A12D89}"/>
                </c:ext>
              </c:extLst>
            </c:dLbl>
            <c:dLbl>
              <c:idx val="15"/>
              <c:tx>
                <c:rich>
                  <a:bodyPr/>
                  <a:lstStyle/>
                  <a:p>
                    <a:fld id="{807CDE04-EA27-4A47-968E-C1B759B9A03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A6EB-4E1E-982A-E3DC19A12D89}"/>
                </c:ext>
              </c:extLst>
            </c:dLbl>
            <c:dLbl>
              <c:idx val="16"/>
              <c:tx>
                <c:rich>
                  <a:bodyPr/>
                  <a:lstStyle/>
                  <a:p>
                    <a:fld id="{6D4D282A-2A13-46A0-92B3-74C9F35F4E7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A6EB-4E1E-982A-E3DC19A12D89}"/>
                </c:ext>
              </c:extLst>
            </c:dLbl>
            <c:dLbl>
              <c:idx val="17"/>
              <c:tx>
                <c:rich>
                  <a:bodyPr/>
                  <a:lstStyle/>
                  <a:p>
                    <a:fld id="{CCF215DD-4242-429C-A168-DC79DA1D708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A6EB-4E1E-982A-E3DC19A12D89}"/>
                </c:ext>
              </c:extLst>
            </c:dLbl>
            <c:dLbl>
              <c:idx val="18"/>
              <c:tx>
                <c:rich>
                  <a:bodyPr/>
                  <a:lstStyle/>
                  <a:p>
                    <a:fld id="{C1D1913A-4191-4B13-B228-77D17514022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A6EB-4E1E-982A-E3DC19A12D89}"/>
                </c:ext>
              </c:extLst>
            </c:dLbl>
            <c:dLbl>
              <c:idx val="19"/>
              <c:tx>
                <c:rich>
                  <a:bodyPr/>
                  <a:lstStyle/>
                  <a:p>
                    <a:fld id="{B9DCB807-21ED-455F-AF57-A0EF1A0995D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A6EB-4E1E-982A-E3DC19A12D89}"/>
                </c:ext>
              </c:extLst>
            </c:dLbl>
            <c:dLbl>
              <c:idx val="20"/>
              <c:tx>
                <c:rich>
                  <a:bodyPr/>
                  <a:lstStyle/>
                  <a:p>
                    <a:fld id="{F1CB2AAE-44D0-4837-B679-CBBDC25ABAB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A6EB-4E1E-982A-E3DC19A12D89}"/>
                </c:ext>
              </c:extLst>
            </c:dLbl>
            <c:dLbl>
              <c:idx val="21"/>
              <c:tx>
                <c:rich>
                  <a:bodyPr/>
                  <a:lstStyle/>
                  <a:p>
                    <a:fld id="{8FA89611-4C8A-4472-B748-5009C1D6706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D-A6EB-4E1E-982A-E3DC19A12D89}"/>
                </c:ext>
              </c:extLst>
            </c:dLbl>
            <c:dLbl>
              <c:idx val="22"/>
              <c:tx>
                <c:rich>
                  <a:bodyPr/>
                  <a:lstStyle/>
                  <a:p>
                    <a:fld id="{9E1CB2F1-0EED-49CB-92D0-B32393ABD50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E-A6EB-4E1E-982A-E3DC19A12D89}"/>
                </c:ext>
              </c:extLst>
            </c:dLbl>
            <c:dLbl>
              <c:idx val="23"/>
              <c:tx>
                <c:rich>
                  <a:bodyPr/>
                  <a:lstStyle/>
                  <a:p>
                    <a:fld id="{5E6BA5B5-F820-459F-80D4-9F2984AE004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A6EB-4E1E-982A-E3DC19A12D89}"/>
                </c:ext>
              </c:extLst>
            </c:dLbl>
            <c:dLbl>
              <c:idx val="24"/>
              <c:tx>
                <c:rich>
                  <a:bodyPr/>
                  <a:lstStyle/>
                  <a:p>
                    <a:fld id="{ABDCFDBB-B820-4F1E-BCF3-9A9A17428B4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A6EB-4E1E-982A-E3DC19A12D89}"/>
                </c:ext>
              </c:extLst>
            </c:dLbl>
            <c:dLbl>
              <c:idx val="25"/>
              <c:tx>
                <c:rich>
                  <a:bodyPr/>
                  <a:lstStyle/>
                  <a:p>
                    <a:fld id="{5D5DFFB5-188B-4CBA-97EA-9363E19FE29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1-A6EB-4E1E-982A-E3DC19A12D89}"/>
                </c:ext>
              </c:extLst>
            </c:dLbl>
            <c:dLbl>
              <c:idx val="26"/>
              <c:tx>
                <c:rich>
                  <a:bodyPr/>
                  <a:lstStyle/>
                  <a:p>
                    <a:fld id="{97D1877C-6F83-4837-B09D-CB7393A528B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A6EB-4E1E-982A-E3DC19A12D89}"/>
                </c:ext>
              </c:extLst>
            </c:dLbl>
            <c:dLbl>
              <c:idx val="27"/>
              <c:tx>
                <c:rich>
                  <a:bodyPr/>
                  <a:lstStyle/>
                  <a:p>
                    <a:fld id="{E109212E-D186-4DB7-B97F-4C57A622AD9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A6EB-4E1E-982A-E3DC19A12D89}"/>
                </c:ext>
              </c:extLst>
            </c:dLbl>
            <c:dLbl>
              <c:idx val="28"/>
              <c:tx>
                <c:rich>
                  <a:bodyPr/>
                  <a:lstStyle/>
                  <a:p>
                    <a:fld id="{ABBEED38-DAE0-46E2-BF2F-DE916788192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A6EB-4E1E-982A-E3DC19A12D89}"/>
                </c:ext>
              </c:extLst>
            </c:dLbl>
            <c:dLbl>
              <c:idx val="29"/>
              <c:tx>
                <c:rich>
                  <a:bodyPr/>
                  <a:lstStyle/>
                  <a:p>
                    <a:fld id="{0F441B5E-F32B-48E5-ABA6-4791BCBA8DF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5-A6EB-4E1E-982A-E3DC19A12D89}"/>
                </c:ext>
              </c:extLst>
            </c:dLbl>
            <c:dLbl>
              <c:idx val="30"/>
              <c:tx>
                <c:rich>
                  <a:bodyPr/>
                  <a:lstStyle/>
                  <a:p>
                    <a:fld id="{DA630717-017E-4BEF-A2D0-F8A4A7A24D6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6-A6EB-4E1E-982A-E3DC19A12D89}"/>
                </c:ext>
              </c:extLst>
            </c:dLbl>
            <c:dLbl>
              <c:idx val="31"/>
              <c:tx>
                <c:rich>
                  <a:bodyPr/>
                  <a:lstStyle/>
                  <a:p>
                    <a:fld id="{438DC990-FF25-4C71-8563-376539E6864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A6EB-4E1E-982A-E3DC19A12D89}"/>
                </c:ext>
              </c:extLst>
            </c:dLbl>
            <c:dLbl>
              <c:idx val="32"/>
              <c:tx>
                <c:rich>
                  <a:bodyPr/>
                  <a:lstStyle/>
                  <a:p>
                    <a:fld id="{B6360932-4D76-4B32-A0F1-21C38A6603E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A6EB-4E1E-982A-E3DC19A12D89}"/>
                </c:ext>
              </c:extLst>
            </c:dLbl>
            <c:dLbl>
              <c:idx val="33"/>
              <c:tx>
                <c:rich>
                  <a:bodyPr/>
                  <a:lstStyle/>
                  <a:p>
                    <a:fld id="{44B052C6-52D9-4675-86DA-30055BD54E4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9-A6EB-4E1E-982A-E3DC19A12D89}"/>
                </c:ext>
              </c:extLst>
            </c:dLbl>
            <c:dLbl>
              <c:idx val="34"/>
              <c:tx>
                <c:rich>
                  <a:bodyPr/>
                  <a:lstStyle/>
                  <a:p>
                    <a:fld id="{9D863DA8-CF63-4FB8-A61E-89C9736E7B0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A-A6EB-4E1E-982A-E3DC19A12D89}"/>
                </c:ext>
              </c:extLst>
            </c:dLbl>
            <c:dLbl>
              <c:idx val="35"/>
              <c:tx>
                <c:rich>
                  <a:bodyPr/>
                  <a:lstStyle/>
                  <a:p>
                    <a:fld id="{1A4770A4-3984-4AAA-8BA6-EBFF4770B83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B-A6EB-4E1E-982A-E3DC19A12D89}"/>
                </c:ext>
              </c:extLst>
            </c:dLbl>
            <c:dLbl>
              <c:idx val="36"/>
              <c:tx>
                <c:rich>
                  <a:bodyPr/>
                  <a:lstStyle/>
                  <a:p>
                    <a:fld id="{E1F2B475-1B76-4ED4-AED1-8E985119620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C-A6EB-4E1E-982A-E3DC19A12D89}"/>
                </c:ext>
              </c:extLst>
            </c:dLbl>
            <c:dLbl>
              <c:idx val="37"/>
              <c:tx>
                <c:rich>
                  <a:bodyPr/>
                  <a:lstStyle/>
                  <a:p>
                    <a:fld id="{23C4BA99-D8F5-47B6-9FF1-B8D95685672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A6EB-4E1E-982A-E3DC19A12D89}"/>
                </c:ext>
              </c:extLst>
            </c:dLbl>
            <c:dLbl>
              <c:idx val="38"/>
              <c:tx>
                <c:rich>
                  <a:bodyPr/>
                  <a:lstStyle/>
                  <a:p>
                    <a:fld id="{904ED594-B8F3-4B53-AF2D-D6B35FCEE52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E-A6EB-4E1E-982A-E3DC19A12D89}"/>
                </c:ext>
              </c:extLst>
            </c:dLbl>
            <c:dLbl>
              <c:idx val="39"/>
              <c:tx>
                <c:rich>
                  <a:bodyPr/>
                  <a:lstStyle/>
                  <a:p>
                    <a:fld id="{8F17DEEB-E44F-4106-B23B-D35E29A2AF3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A6EB-4E1E-982A-E3DC19A12D89}"/>
                </c:ext>
              </c:extLst>
            </c:dLbl>
            <c:dLbl>
              <c:idx val="40"/>
              <c:tx>
                <c:rich>
                  <a:bodyPr/>
                  <a:lstStyle/>
                  <a:p>
                    <a:fld id="{98B381B3-D4C7-4FD1-9B5D-168F3465C5B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A6EB-4E1E-982A-E3DC19A12D89}"/>
                </c:ext>
              </c:extLst>
            </c:dLbl>
            <c:dLbl>
              <c:idx val="41"/>
              <c:tx>
                <c:rich>
                  <a:bodyPr/>
                  <a:lstStyle/>
                  <a:p>
                    <a:fld id="{6A8AB1A2-FC85-491C-B304-398AF504547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A6EB-4E1E-982A-E3DC19A12D89}"/>
                </c:ext>
              </c:extLst>
            </c:dLbl>
            <c:dLbl>
              <c:idx val="42"/>
              <c:tx>
                <c:rich>
                  <a:bodyPr/>
                  <a:lstStyle/>
                  <a:p>
                    <a:fld id="{B00A18DF-3168-4195-84AF-66C38EF6632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2-A6EB-4E1E-982A-E3DC19A12D89}"/>
                </c:ext>
              </c:extLst>
            </c:dLbl>
            <c:dLbl>
              <c:idx val="43"/>
              <c:tx>
                <c:rich>
                  <a:bodyPr/>
                  <a:lstStyle/>
                  <a:p>
                    <a:fld id="{CF95662C-B050-44FE-9167-224CBF0DBE5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3-A6EB-4E1E-982A-E3DC19A12D89}"/>
                </c:ext>
              </c:extLst>
            </c:dLbl>
            <c:dLbl>
              <c:idx val="44"/>
              <c:tx>
                <c:rich>
                  <a:bodyPr/>
                  <a:lstStyle/>
                  <a:p>
                    <a:fld id="{BA6A655E-D9BF-4095-A349-FE621479D33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4-A6EB-4E1E-982A-E3DC19A12D89}"/>
                </c:ext>
              </c:extLst>
            </c:dLbl>
            <c:dLbl>
              <c:idx val="45"/>
              <c:tx>
                <c:rich>
                  <a:bodyPr/>
                  <a:lstStyle/>
                  <a:p>
                    <a:fld id="{BD53EE28-AEE4-4F9F-B628-D4C7C0C7B1A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A6EB-4E1E-982A-E3DC19A12D89}"/>
                </c:ext>
              </c:extLst>
            </c:dLbl>
            <c:dLbl>
              <c:idx val="46"/>
              <c:tx>
                <c:rich>
                  <a:bodyPr/>
                  <a:lstStyle/>
                  <a:p>
                    <a:fld id="{353D393D-EDC0-4678-9A54-D7FF254A4EB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A6EB-4E1E-982A-E3DC19A12D89}"/>
                </c:ext>
              </c:extLst>
            </c:dLbl>
            <c:dLbl>
              <c:idx val="47"/>
              <c:tx>
                <c:rich>
                  <a:bodyPr/>
                  <a:lstStyle/>
                  <a:p>
                    <a:fld id="{65329D3B-C226-4F76-86E8-E309A78D405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A6EB-4E1E-982A-E3DC19A12D89}"/>
                </c:ext>
              </c:extLst>
            </c:dLbl>
            <c:dLbl>
              <c:idx val="48"/>
              <c:tx>
                <c:rich>
                  <a:bodyPr/>
                  <a:lstStyle/>
                  <a:p>
                    <a:fld id="{2B82B09B-CDDE-4149-882C-5AA89FB9FC3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A6EB-4E1E-982A-E3DC19A12D89}"/>
                </c:ext>
              </c:extLst>
            </c:dLbl>
            <c:dLbl>
              <c:idx val="49"/>
              <c:tx>
                <c:rich>
                  <a:bodyPr/>
                  <a:lstStyle/>
                  <a:p>
                    <a:fld id="{6EC9335B-0362-4A30-8100-81C4861615D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A6EB-4E1E-982A-E3DC19A12D89}"/>
                </c:ext>
              </c:extLst>
            </c:dLbl>
            <c:dLbl>
              <c:idx val="50"/>
              <c:tx>
                <c:rich>
                  <a:bodyPr/>
                  <a:lstStyle/>
                  <a:p>
                    <a:fld id="{87E10D38-EC3C-4815-9B62-824ADB4E81E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8-A6EB-4E1E-982A-E3DC19A12D89}"/>
                </c:ext>
              </c:extLst>
            </c:dLbl>
            <c:dLbl>
              <c:idx val="51"/>
              <c:tx>
                <c:rich>
                  <a:bodyPr/>
                  <a:lstStyle/>
                  <a:p>
                    <a:fld id="{A49D7D49-45D6-45EB-95B3-74BEB24C2CA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9-A6EB-4E1E-982A-E3DC19A12D89}"/>
                </c:ext>
              </c:extLst>
            </c:dLbl>
            <c:dLbl>
              <c:idx val="52"/>
              <c:tx>
                <c:rich>
                  <a:bodyPr/>
                  <a:lstStyle/>
                  <a:p>
                    <a:fld id="{D3A0DA06-8845-484F-8B87-36A160D9885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A6EB-4E1E-982A-E3DC19A12D89}"/>
                </c:ext>
              </c:extLst>
            </c:dLbl>
            <c:dLbl>
              <c:idx val="53"/>
              <c:tx>
                <c:rich>
                  <a:bodyPr/>
                  <a:lstStyle/>
                  <a:p>
                    <a:fld id="{C06130EF-DA5F-42DD-969C-9B90ACB07AD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A-A6EB-4E1E-982A-E3DC19A12D89}"/>
                </c:ext>
              </c:extLst>
            </c:dLbl>
            <c:dLbl>
              <c:idx val="54"/>
              <c:tx>
                <c:rich>
                  <a:bodyPr/>
                  <a:lstStyle/>
                  <a:p>
                    <a:fld id="{4FFC6150-72B1-45F7-9351-18C956E1347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B-A6EB-4E1E-982A-E3DC19A12D89}"/>
                </c:ext>
              </c:extLst>
            </c:dLbl>
            <c:dLbl>
              <c:idx val="55"/>
              <c:tx>
                <c:rich>
                  <a:bodyPr/>
                  <a:lstStyle/>
                  <a:p>
                    <a:fld id="{DEB4072C-F98D-4A56-B2C8-4D32DBAAFCA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C-A6EB-4E1E-982A-E3DC19A12D89}"/>
                </c:ext>
              </c:extLst>
            </c:dLbl>
            <c:dLbl>
              <c:idx val="56"/>
              <c:tx>
                <c:rich>
                  <a:bodyPr/>
                  <a:lstStyle/>
                  <a:p>
                    <a:fld id="{FA86F24C-BFDF-48F9-9014-7604DF5456E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D-A6EB-4E1E-982A-E3DC19A12D89}"/>
                </c:ext>
              </c:extLst>
            </c:dLbl>
            <c:dLbl>
              <c:idx val="57"/>
              <c:tx>
                <c:rich>
                  <a:bodyPr/>
                  <a:lstStyle/>
                  <a:p>
                    <a:fld id="{A0FE121E-1B4B-43F2-9A39-8E5C3C746E0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E-A6EB-4E1E-982A-E3DC19A12D89}"/>
                </c:ext>
              </c:extLst>
            </c:dLbl>
            <c:dLbl>
              <c:idx val="119"/>
              <c:tx>
                <c:rich>
                  <a:bodyPr/>
                  <a:lstStyle/>
                  <a:p>
                    <a:fld id="{52DD8CCC-9EB0-45AD-9FE1-9FC2712B665C}"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F-A6EB-4E1E-982A-E3DC19A12D89}"/>
                </c:ext>
              </c:extLst>
            </c:dLbl>
            <c:dLbl>
              <c:idx val="120"/>
              <c:tx>
                <c:rich>
                  <a:bodyPr/>
                  <a:lstStyle/>
                  <a:p>
                    <a:fld id="{86213B55-1214-4A66-BA4B-B565A07B919D}"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0-A6EB-4E1E-982A-E3DC19A12D89}"/>
                </c:ext>
              </c:extLst>
            </c:dLbl>
            <c:dLbl>
              <c:idx val="121"/>
              <c:tx>
                <c:rich>
                  <a:bodyPr/>
                  <a:lstStyle/>
                  <a:p>
                    <a:fld id="{4EC93F19-7C78-485A-B5F1-4A124234451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1-A6EB-4E1E-982A-E3DC19A12D89}"/>
                </c:ext>
              </c:extLst>
            </c:dLbl>
            <c:dLbl>
              <c:idx val="122"/>
              <c:tx>
                <c:rich>
                  <a:bodyPr/>
                  <a:lstStyle/>
                  <a:p>
                    <a:fld id="{FF55B58B-F149-4D35-8E25-5B54D90D5EB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2-A6EB-4E1E-982A-E3DC19A12D89}"/>
                </c:ext>
              </c:extLst>
            </c:dLbl>
            <c:dLbl>
              <c:idx val="123"/>
              <c:tx>
                <c:rich>
                  <a:bodyPr/>
                  <a:lstStyle/>
                  <a:p>
                    <a:fld id="{38B06378-8850-4086-8B4E-7B9482577581}"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3-A6EB-4E1E-982A-E3DC19A12D89}"/>
                </c:ext>
              </c:extLst>
            </c:dLbl>
            <c:dLbl>
              <c:idx val="124"/>
              <c:tx>
                <c:rich>
                  <a:bodyPr/>
                  <a:lstStyle/>
                  <a:p>
                    <a:fld id="{8BF6C73E-CFB8-438E-AF50-C543D1DD4533}"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4-A6EB-4E1E-982A-E3DC19A12D89}"/>
                </c:ext>
              </c:extLst>
            </c:dLbl>
            <c:dLbl>
              <c:idx val="125"/>
              <c:tx>
                <c:rich>
                  <a:bodyPr/>
                  <a:lstStyle/>
                  <a:p>
                    <a:fld id="{170D86B0-468D-4E3B-8E44-6E46830885FE}"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5-A6EB-4E1E-982A-E3DC19A12D89}"/>
                </c:ext>
              </c:extLst>
            </c:dLbl>
            <c:dLbl>
              <c:idx val="126"/>
              <c:tx>
                <c:rich>
                  <a:bodyPr/>
                  <a:lstStyle/>
                  <a:p>
                    <a:fld id="{A71DC263-2B3A-4646-ACF4-197F8A622E9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6-A6EB-4E1E-982A-E3DC19A12D89}"/>
                </c:ext>
              </c:extLst>
            </c:dLbl>
            <c:dLbl>
              <c:idx val="127"/>
              <c:tx>
                <c:rich>
                  <a:bodyPr/>
                  <a:lstStyle/>
                  <a:p>
                    <a:fld id="{F4BE06BA-2F96-4BBD-A490-297BEF9B1503}"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7-A6EB-4E1E-982A-E3DC19A12D89}"/>
                </c:ext>
              </c:extLst>
            </c:dLbl>
            <c:dLbl>
              <c:idx val="128"/>
              <c:tx>
                <c:rich>
                  <a:bodyPr/>
                  <a:lstStyle/>
                  <a:p>
                    <a:fld id="{5A53B4A3-8E5A-4D59-B28B-DB7289EB9ACE}"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A6EB-4E1E-982A-E3DC19A12D89}"/>
                </c:ext>
              </c:extLst>
            </c:dLbl>
            <c:dLbl>
              <c:idx val="129"/>
              <c:tx>
                <c:rich>
                  <a:bodyPr/>
                  <a:lstStyle/>
                  <a:p>
                    <a:fld id="{61E8C897-CEE5-4AB2-A26D-4B9F434CF9A8}"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8-A6EB-4E1E-982A-E3DC19A12D89}"/>
                </c:ext>
              </c:extLst>
            </c:dLbl>
            <c:dLbl>
              <c:idx val="130"/>
              <c:tx>
                <c:rich>
                  <a:bodyPr/>
                  <a:lstStyle/>
                  <a:p>
                    <a:fld id="{03815275-9239-4C67-840F-E02EE7075450}"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9-A6EB-4E1E-982A-E3DC19A12D89}"/>
                </c:ext>
              </c:extLst>
            </c:dLbl>
            <c:dLbl>
              <c:idx val="131"/>
              <c:tx>
                <c:rich>
                  <a:bodyPr/>
                  <a:lstStyle/>
                  <a:p>
                    <a:fld id="{FA0E21BF-9E4D-43A3-9CD5-978251033851}"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A-A6EB-4E1E-982A-E3DC19A12D89}"/>
                </c:ext>
              </c:extLst>
            </c:dLbl>
            <c:dLbl>
              <c:idx val="132"/>
              <c:tx>
                <c:rich>
                  <a:bodyPr/>
                  <a:lstStyle/>
                  <a:p>
                    <a:fld id="{2AC033DB-1025-4A74-8307-496964748CA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B-A6EB-4E1E-982A-E3DC19A12D89}"/>
                </c:ext>
              </c:extLst>
            </c:dLbl>
            <c:dLbl>
              <c:idx val="133"/>
              <c:tx>
                <c:rich>
                  <a:bodyPr/>
                  <a:lstStyle/>
                  <a:p>
                    <a:fld id="{D01F54CB-7B72-4174-90C2-F1D609F34757}"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C-A6EB-4E1E-982A-E3DC19A12D89}"/>
                </c:ext>
              </c:extLst>
            </c:dLbl>
            <c:dLbl>
              <c:idx val="134"/>
              <c:tx>
                <c:rich>
                  <a:bodyPr/>
                  <a:lstStyle/>
                  <a:p>
                    <a:fld id="{9E8D4593-9F91-43F4-9245-10439D28BA4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D-A6EB-4E1E-982A-E3DC19A12D89}"/>
                </c:ext>
              </c:extLst>
            </c:dLbl>
            <c:dLbl>
              <c:idx val="135"/>
              <c:tx>
                <c:rich>
                  <a:bodyPr/>
                  <a:lstStyle/>
                  <a:p>
                    <a:fld id="{BDFB80C4-F20B-464F-911B-BDB6CC8DB55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E-A6EB-4E1E-982A-E3DC19A12D89}"/>
                </c:ext>
              </c:extLst>
            </c:dLbl>
            <c:dLbl>
              <c:idx val="136"/>
              <c:tx>
                <c:rich>
                  <a:bodyPr/>
                  <a:lstStyle/>
                  <a:p>
                    <a:fld id="{A8DEE239-3568-42A2-A3F0-9CC58DC42CF1}"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F-A6EB-4E1E-982A-E3DC19A12D89}"/>
                </c:ext>
              </c:extLst>
            </c:dLbl>
            <c:dLbl>
              <c:idx val="137"/>
              <c:tx>
                <c:rich>
                  <a:bodyPr/>
                  <a:lstStyle/>
                  <a:p>
                    <a:fld id="{04104A43-9CC4-4C6A-BB24-59D8F039FA0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0-A6EB-4E1E-982A-E3DC19A12D89}"/>
                </c:ext>
              </c:extLst>
            </c:dLbl>
            <c:dLbl>
              <c:idx val="138"/>
              <c:tx>
                <c:rich>
                  <a:bodyPr/>
                  <a:lstStyle/>
                  <a:p>
                    <a:fld id="{21B5887A-3A27-4C82-9B5A-BA0DAACB3B7D}"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1-A6EB-4E1E-982A-E3DC19A12D89}"/>
                </c:ext>
              </c:extLst>
            </c:dLbl>
            <c:dLbl>
              <c:idx val="139"/>
              <c:tx>
                <c:rich>
                  <a:bodyPr/>
                  <a:lstStyle/>
                  <a:p>
                    <a:fld id="{13CE8C38-07DB-4F8F-AE05-34AA763FD55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2-A6EB-4E1E-982A-E3DC19A12D89}"/>
                </c:ext>
              </c:extLst>
            </c:dLbl>
            <c:dLbl>
              <c:idx val="140"/>
              <c:tx>
                <c:rich>
                  <a:bodyPr/>
                  <a:lstStyle/>
                  <a:p>
                    <a:fld id="{18F96031-15A8-4A3D-B7D9-49C00D3D6E90}"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3-A6EB-4E1E-982A-E3DC19A12D89}"/>
                </c:ext>
              </c:extLst>
            </c:dLbl>
            <c:dLbl>
              <c:idx val="141"/>
              <c:tx>
                <c:rich>
                  <a:bodyPr/>
                  <a:lstStyle/>
                  <a:p>
                    <a:fld id="{9D361DDD-2F59-47E5-A796-B4C4C6191DC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4-A6EB-4E1E-982A-E3DC19A12D89}"/>
                </c:ext>
              </c:extLst>
            </c:dLbl>
            <c:dLbl>
              <c:idx val="142"/>
              <c:tx>
                <c:rich>
                  <a:bodyPr/>
                  <a:lstStyle/>
                  <a:p>
                    <a:fld id="{FD6689CB-3D33-4FD4-B96F-31EB406B2935}"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5-A6EB-4E1E-982A-E3DC19A12D89}"/>
                </c:ext>
              </c:extLst>
            </c:dLbl>
            <c:dLbl>
              <c:idx val="143"/>
              <c:tx>
                <c:rich>
                  <a:bodyPr/>
                  <a:lstStyle/>
                  <a:p>
                    <a:fld id="{80E48D85-A49F-421F-8E31-6B15EA92CC10}"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6-A6EB-4E1E-982A-E3DC19A12D8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(BVL,6m+)'!$F$2:$F$59</c:f>
              <c:numCache>
                <c:formatCode>General</c:formatCode>
                <c:ptCount val="58"/>
                <c:pt idx="0">
                  <c:v>29</c:v>
                </c:pt>
                <c:pt idx="1">
                  <c:v>34.299999999999997</c:v>
                </c:pt>
                <c:pt idx="2">
                  <c:v>32.700000000000003</c:v>
                </c:pt>
                <c:pt idx="3">
                  <c:v>31.4</c:v>
                </c:pt>
                <c:pt idx="4">
                  <c:v>36</c:v>
                </c:pt>
                <c:pt idx="5">
                  <c:v>29</c:v>
                </c:pt>
                <c:pt idx="6">
                  <c:v>24.2</c:v>
                </c:pt>
                <c:pt idx="7">
                  <c:v>28</c:v>
                </c:pt>
                <c:pt idx="8">
                  <c:v>32.1</c:v>
                </c:pt>
                <c:pt idx="9">
                  <c:v>32.1</c:v>
                </c:pt>
                <c:pt idx="10">
                  <c:v>19</c:v>
                </c:pt>
                <c:pt idx="11">
                  <c:v>28.7</c:v>
                </c:pt>
                <c:pt idx="12">
                  <c:v>0</c:v>
                </c:pt>
                <c:pt idx="13">
                  <c:v>25</c:v>
                </c:pt>
                <c:pt idx="14">
                  <c:v>23.8</c:v>
                </c:pt>
                <c:pt idx="15">
                  <c:v>31</c:v>
                </c:pt>
                <c:pt idx="16">
                  <c:v>28.7</c:v>
                </c:pt>
                <c:pt idx="17">
                  <c:v>33</c:v>
                </c:pt>
                <c:pt idx="18">
                  <c:v>28</c:v>
                </c:pt>
                <c:pt idx="19">
                  <c:v>36.700000000000003</c:v>
                </c:pt>
                <c:pt idx="20">
                  <c:v>32.799999999999997</c:v>
                </c:pt>
                <c:pt idx="21">
                  <c:v>33.700000000000003</c:v>
                </c:pt>
                <c:pt idx="22">
                  <c:v>31.6</c:v>
                </c:pt>
                <c:pt idx="23">
                  <c:v>35</c:v>
                </c:pt>
                <c:pt idx="24">
                  <c:v>34.1</c:v>
                </c:pt>
                <c:pt idx="25">
                  <c:v>28</c:v>
                </c:pt>
                <c:pt idx="26">
                  <c:v>32.14</c:v>
                </c:pt>
                <c:pt idx="27">
                  <c:v>30</c:v>
                </c:pt>
                <c:pt idx="28">
                  <c:v>31</c:v>
                </c:pt>
                <c:pt idx="29">
                  <c:v>33</c:v>
                </c:pt>
                <c:pt idx="30">
                  <c:v>33.799999999999997</c:v>
                </c:pt>
                <c:pt idx="31">
                  <c:v>35.1</c:v>
                </c:pt>
                <c:pt idx="32">
                  <c:v>34.799999999999997</c:v>
                </c:pt>
                <c:pt idx="33">
                  <c:v>36</c:v>
                </c:pt>
                <c:pt idx="34">
                  <c:v>32.200000000000003</c:v>
                </c:pt>
                <c:pt idx="35">
                  <c:v>33</c:v>
                </c:pt>
                <c:pt idx="36">
                  <c:v>31.1</c:v>
                </c:pt>
                <c:pt idx="37">
                  <c:v>25</c:v>
                </c:pt>
                <c:pt idx="38">
                  <c:v>31.3</c:v>
                </c:pt>
                <c:pt idx="39">
                  <c:v>32</c:v>
                </c:pt>
                <c:pt idx="40">
                  <c:v>28</c:v>
                </c:pt>
                <c:pt idx="41">
                  <c:v>33.299999999999997</c:v>
                </c:pt>
                <c:pt idx="42">
                  <c:v>34</c:v>
                </c:pt>
                <c:pt idx="43">
                  <c:v>0</c:v>
                </c:pt>
                <c:pt idx="44">
                  <c:v>29.6</c:v>
                </c:pt>
                <c:pt idx="45">
                  <c:v>29</c:v>
                </c:pt>
                <c:pt idx="46">
                  <c:v>32</c:v>
                </c:pt>
                <c:pt idx="47">
                  <c:v>26.3</c:v>
                </c:pt>
                <c:pt idx="48">
                  <c:v>34.6</c:v>
                </c:pt>
                <c:pt idx="49">
                  <c:v>28.75</c:v>
                </c:pt>
                <c:pt idx="50">
                  <c:v>23</c:v>
                </c:pt>
                <c:pt idx="51">
                  <c:v>30.4</c:v>
                </c:pt>
                <c:pt idx="52">
                  <c:v>25</c:v>
                </c:pt>
                <c:pt idx="53">
                  <c:v>27.8</c:v>
                </c:pt>
                <c:pt idx="54">
                  <c:v>32</c:v>
                </c:pt>
                <c:pt idx="55">
                  <c:v>34</c:v>
                </c:pt>
                <c:pt idx="56">
                  <c:v>35.4</c:v>
                </c:pt>
                <c:pt idx="57">
                  <c:v>35.700000000000003</c:v>
                </c:pt>
              </c:numCache>
            </c:numRef>
          </c:val>
          <c:extLst>
            <c:ext xmlns:c15="http://schemas.microsoft.com/office/drawing/2012/chart" uri="{02D57815-91ED-43cb-92C2-25804820EDAC}">
              <c15:datalabelsRange>
                <c15:f>'ALL-baselines_ (BVL,6m+)'!$BJ$2:$BJ$59</c15:f>
                <c15:dlblRangeCache>
                  <c:ptCount val="58"/>
                  <c:pt idx="12">
                    <c:v>NR</c:v>
                  </c:pt>
                  <c:pt idx="43">
                    <c:v>NR</c:v>
                  </c:pt>
                </c15:dlblRangeCache>
              </c15:datalabelsRange>
            </c:ext>
            <c:ext xmlns:c16="http://schemas.microsoft.com/office/drawing/2014/chart" uri="{C3380CC4-5D6E-409C-BE32-E72D297353CC}">
              <c16:uniqueId val="{00000057-A6EB-4E1E-982A-E3DC19A12D89}"/>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10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Sex (% Male)</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(BVL,6m+)'!$G$1</c:f>
              <c:strCache>
                <c:ptCount val="1"/>
                <c:pt idx="0">
                  <c:v>RRMS(Percent)</c:v>
                </c:pt>
              </c:strCache>
            </c:strRef>
          </c:tx>
          <c:spPr>
            <a:solidFill>
              <a:schemeClr val="accent1"/>
            </a:solidFill>
            <a:ln>
              <a:noFill/>
            </a:ln>
            <a:effectLst/>
          </c:spPr>
          <c:invertIfNegative val="0"/>
          <c:dLbls>
            <c:dLbl>
              <c:idx val="0"/>
              <c:tx>
                <c:rich>
                  <a:bodyPr/>
                  <a:lstStyle/>
                  <a:p>
                    <a:fld id="{DBD03BF5-0ACE-47CA-87A9-56FB4FFA84FA}"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0B84-4176-BB40-436EF53D2AA1}"/>
                </c:ext>
              </c:extLst>
            </c:dLbl>
            <c:dLbl>
              <c:idx val="1"/>
              <c:tx>
                <c:rich>
                  <a:bodyPr/>
                  <a:lstStyle/>
                  <a:p>
                    <a:fld id="{5350AAC2-17A4-4EC0-BA88-F55A179056C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0B84-4176-BB40-436EF53D2AA1}"/>
                </c:ext>
              </c:extLst>
            </c:dLbl>
            <c:dLbl>
              <c:idx val="2"/>
              <c:tx>
                <c:rich>
                  <a:bodyPr/>
                  <a:lstStyle/>
                  <a:p>
                    <a:fld id="{64FAE0C9-E805-4D11-A244-8F0E18563ED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0B84-4176-BB40-436EF53D2AA1}"/>
                </c:ext>
              </c:extLst>
            </c:dLbl>
            <c:dLbl>
              <c:idx val="3"/>
              <c:tx>
                <c:rich>
                  <a:bodyPr/>
                  <a:lstStyle/>
                  <a:p>
                    <a:fld id="{FB39A8C6-F3B8-4D13-89E4-6FB8621D787E}"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0B84-4176-BB40-436EF53D2AA1}"/>
                </c:ext>
              </c:extLst>
            </c:dLbl>
            <c:dLbl>
              <c:idx val="4"/>
              <c:tx>
                <c:rich>
                  <a:bodyPr/>
                  <a:lstStyle/>
                  <a:p>
                    <a:fld id="{52A4BD15-299A-47C4-91D7-5CCA96FD138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0B84-4176-BB40-436EF53D2AA1}"/>
                </c:ext>
              </c:extLst>
            </c:dLbl>
            <c:dLbl>
              <c:idx val="5"/>
              <c:tx>
                <c:rich>
                  <a:bodyPr/>
                  <a:lstStyle/>
                  <a:p>
                    <a:fld id="{81E2EE55-B883-4F2C-8089-466C73993B4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0B84-4176-BB40-436EF53D2AA1}"/>
                </c:ext>
              </c:extLst>
            </c:dLbl>
            <c:dLbl>
              <c:idx val="6"/>
              <c:tx>
                <c:rich>
                  <a:bodyPr/>
                  <a:lstStyle/>
                  <a:p>
                    <a:fld id="{3D195D12-AC68-45AD-982F-D8D49E5FCD47}"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0B84-4176-BB40-436EF53D2AA1}"/>
                </c:ext>
              </c:extLst>
            </c:dLbl>
            <c:dLbl>
              <c:idx val="7"/>
              <c:tx>
                <c:rich>
                  <a:bodyPr/>
                  <a:lstStyle/>
                  <a:p>
                    <a:fld id="{7CFC3F87-1196-4FCE-9D7A-6643EA77A9B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7-0B84-4176-BB40-436EF53D2AA1}"/>
                </c:ext>
              </c:extLst>
            </c:dLbl>
            <c:dLbl>
              <c:idx val="8"/>
              <c:tx>
                <c:rich>
                  <a:bodyPr/>
                  <a:lstStyle/>
                  <a:p>
                    <a:fld id="{87DD7070-0DE4-40EF-B7AF-41037047A65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0B84-4176-BB40-436EF53D2AA1}"/>
                </c:ext>
              </c:extLst>
            </c:dLbl>
            <c:dLbl>
              <c:idx val="9"/>
              <c:tx>
                <c:rich>
                  <a:bodyPr/>
                  <a:lstStyle/>
                  <a:p>
                    <a:fld id="{90B337AD-EF5C-4161-8635-BDA2C4B6C41E}"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0B84-4176-BB40-436EF53D2AA1}"/>
                </c:ext>
              </c:extLst>
            </c:dLbl>
            <c:dLbl>
              <c:idx val="10"/>
              <c:tx>
                <c:rich>
                  <a:bodyPr/>
                  <a:lstStyle/>
                  <a:p>
                    <a:fld id="{0368E532-68B0-4CFC-957A-A587C71DB1A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0B84-4176-BB40-436EF53D2AA1}"/>
                </c:ext>
              </c:extLst>
            </c:dLbl>
            <c:dLbl>
              <c:idx val="11"/>
              <c:tx>
                <c:rich>
                  <a:bodyPr/>
                  <a:lstStyle/>
                  <a:p>
                    <a:fld id="{F419296D-3E7E-4E6A-AB56-E08256263E1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0B84-4176-BB40-436EF53D2AA1}"/>
                </c:ext>
              </c:extLst>
            </c:dLbl>
            <c:dLbl>
              <c:idx val="12"/>
              <c:tx>
                <c:rich>
                  <a:bodyPr/>
                  <a:lstStyle/>
                  <a:p>
                    <a:fld id="{26DC3D4F-0C28-44B8-9A97-1FD48BFE67B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0B84-4176-BB40-436EF53D2AA1}"/>
                </c:ext>
              </c:extLst>
            </c:dLbl>
            <c:dLbl>
              <c:idx val="13"/>
              <c:tx>
                <c:rich>
                  <a:bodyPr/>
                  <a:lstStyle/>
                  <a:p>
                    <a:fld id="{23E7B063-1C52-450F-9841-61DD1299785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0B84-4176-BB40-436EF53D2AA1}"/>
                </c:ext>
              </c:extLst>
            </c:dLbl>
            <c:dLbl>
              <c:idx val="14"/>
              <c:tx>
                <c:rich>
                  <a:bodyPr/>
                  <a:lstStyle/>
                  <a:p>
                    <a:fld id="{11FB67EC-410E-43A9-B6B4-B0147A1585BE}"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0B84-4176-BB40-436EF53D2AA1}"/>
                </c:ext>
              </c:extLst>
            </c:dLbl>
            <c:dLbl>
              <c:idx val="15"/>
              <c:tx>
                <c:rich>
                  <a:bodyPr/>
                  <a:lstStyle/>
                  <a:p>
                    <a:fld id="{26E8EBD7-9054-40C9-8CA3-7B1D963E660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0B84-4176-BB40-436EF53D2AA1}"/>
                </c:ext>
              </c:extLst>
            </c:dLbl>
            <c:dLbl>
              <c:idx val="16"/>
              <c:tx>
                <c:rich>
                  <a:bodyPr/>
                  <a:lstStyle/>
                  <a:p>
                    <a:fld id="{F15AF2C4-2233-4990-BF8E-691F0291BAC8}"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0B84-4176-BB40-436EF53D2AA1}"/>
                </c:ext>
              </c:extLst>
            </c:dLbl>
            <c:dLbl>
              <c:idx val="17"/>
              <c:tx>
                <c:rich>
                  <a:bodyPr/>
                  <a:lstStyle/>
                  <a:p>
                    <a:fld id="{17C285EB-5BF8-4810-A1B0-BB5F84A78CF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0B84-4176-BB40-436EF53D2AA1}"/>
                </c:ext>
              </c:extLst>
            </c:dLbl>
            <c:dLbl>
              <c:idx val="18"/>
              <c:tx>
                <c:rich>
                  <a:bodyPr/>
                  <a:lstStyle/>
                  <a:p>
                    <a:fld id="{B3B8FD43-8DE2-445B-858A-9DF9ABA37DB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0B84-4176-BB40-436EF53D2AA1}"/>
                </c:ext>
              </c:extLst>
            </c:dLbl>
            <c:dLbl>
              <c:idx val="19"/>
              <c:tx>
                <c:rich>
                  <a:bodyPr/>
                  <a:lstStyle/>
                  <a:p>
                    <a:fld id="{B6CB8319-A86B-41FB-9D49-2D09EC4A3F6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0B84-4176-BB40-436EF53D2AA1}"/>
                </c:ext>
              </c:extLst>
            </c:dLbl>
            <c:dLbl>
              <c:idx val="20"/>
              <c:tx>
                <c:rich>
                  <a:bodyPr/>
                  <a:lstStyle/>
                  <a:p>
                    <a:fld id="{8EE60758-8B20-412C-89F7-43FEF9988D43}"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0B84-4176-BB40-436EF53D2AA1}"/>
                </c:ext>
              </c:extLst>
            </c:dLbl>
            <c:dLbl>
              <c:idx val="21"/>
              <c:tx>
                <c:rich>
                  <a:bodyPr/>
                  <a:lstStyle/>
                  <a:p>
                    <a:fld id="{FF2E461A-4B27-4077-9360-BB2CB48DE5D8}"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0B84-4176-BB40-436EF53D2AA1}"/>
                </c:ext>
              </c:extLst>
            </c:dLbl>
            <c:dLbl>
              <c:idx val="22"/>
              <c:tx>
                <c:rich>
                  <a:bodyPr/>
                  <a:lstStyle/>
                  <a:p>
                    <a:fld id="{DB3425FB-6970-40B0-8D81-735F512AE09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0B84-4176-BB40-436EF53D2AA1}"/>
                </c:ext>
              </c:extLst>
            </c:dLbl>
            <c:dLbl>
              <c:idx val="23"/>
              <c:tx>
                <c:rich>
                  <a:bodyPr/>
                  <a:lstStyle/>
                  <a:p>
                    <a:fld id="{2780EBEF-5094-4F6C-9143-BCA7808859D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7-0B84-4176-BB40-436EF53D2AA1}"/>
                </c:ext>
              </c:extLst>
            </c:dLbl>
            <c:dLbl>
              <c:idx val="24"/>
              <c:tx>
                <c:rich>
                  <a:bodyPr/>
                  <a:lstStyle/>
                  <a:p>
                    <a:fld id="{A215088B-1456-4C6C-9316-A708706E284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8-0B84-4176-BB40-436EF53D2AA1}"/>
                </c:ext>
              </c:extLst>
            </c:dLbl>
            <c:dLbl>
              <c:idx val="25"/>
              <c:tx>
                <c:rich>
                  <a:bodyPr/>
                  <a:lstStyle/>
                  <a:p>
                    <a:fld id="{24F876A8-2473-4608-A5D9-315E88FE7A9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0B84-4176-BB40-436EF53D2AA1}"/>
                </c:ext>
              </c:extLst>
            </c:dLbl>
            <c:dLbl>
              <c:idx val="26"/>
              <c:tx>
                <c:rich>
                  <a:bodyPr/>
                  <a:lstStyle/>
                  <a:p>
                    <a:fld id="{56AF9DFD-D882-46D9-B6EF-6B8FAC45144A}"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0B84-4176-BB40-436EF53D2AA1}"/>
                </c:ext>
              </c:extLst>
            </c:dLbl>
            <c:dLbl>
              <c:idx val="27"/>
              <c:tx>
                <c:rich>
                  <a:bodyPr/>
                  <a:lstStyle/>
                  <a:p>
                    <a:fld id="{4F642C20-EDB3-40B3-8C99-72631FC8199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0B84-4176-BB40-436EF53D2AA1}"/>
                </c:ext>
              </c:extLst>
            </c:dLbl>
            <c:dLbl>
              <c:idx val="28"/>
              <c:tx>
                <c:rich>
                  <a:bodyPr/>
                  <a:lstStyle/>
                  <a:p>
                    <a:fld id="{3CA349D8-CDE1-4F97-9DBF-A7E1F73C29B0}"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0B84-4176-BB40-436EF53D2AA1}"/>
                </c:ext>
              </c:extLst>
            </c:dLbl>
            <c:dLbl>
              <c:idx val="29"/>
              <c:tx>
                <c:rich>
                  <a:bodyPr/>
                  <a:lstStyle/>
                  <a:p>
                    <a:fld id="{F3BA92C4-13CA-481A-ABFA-754CF0F0126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D-0B84-4176-BB40-436EF53D2AA1}"/>
                </c:ext>
              </c:extLst>
            </c:dLbl>
            <c:dLbl>
              <c:idx val="30"/>
              <c:tx>
                <c:rich>
                  <a:bodyPr/>
                  <a:lstStyle/>
                  <a:p>
                    <a:fld id="{6B466737-E09F-4C7C-BDB9-218752957DD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E-0B84-4176-BB40-436EF53D2AA1}"/>
                </c:ext>
              </c:extLst>
            </c:dLbl>
            <c:dLbl>
              <c:idx val="31"/>
              <c:tx>
                <c:rich>
                  <a:bodyPr/>
                  <a:lstStyle/>
                  <a:p>
                    <a:fld id="{9BF6CA21-2BBC-443A-8EEE-0B5F72C20C33}"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0B84-4176-BB40-436EF53D2AA1}"/>
                </c:ext>
              </c:extLst>
            </c:dLbl>
            <c:dLbl>
              <c:idx val="32"/>
              <c:tx>
                <c:rich>
                  <a:bodyPr/>
                  <a:lstStyle/>
                  <a:p>
                    <a:fld id="{49A57F2B-ED79-4158-A2B6-92DC0958D97E}"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0B84-4176-BB40-436EF53D2AA1}"/>
                </c:ext>
              </c:extLst>
            </c:dLbl>
            <c:dLbl>
              <c:idx val="33"/>
              <c:tx>
                <c:rich>
                  <a:bodyPr/>
                  <a:lstStyle/>
                  <a:p>
                    <a:fld id="{E98FF6E3-A1C9-4422-B8D5-9823E88F5F2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1-0B84-4176-BB40-436EF53D2AA1}"/>
                </c:ext>
              </c:extLst>
            </c:dLbl>
            <c:dLbl>
              <c:idx val="34"/>
              <c:tx>
                <c:rich>
                  <a:bodyPr/>
                  <a:lstStyle/>
                  <a:p>
                    <a:fld id="{86A20BB7-242D-420E-85AA-F6279C77600A}"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0B84-4176-BB40-436EF53D2AA1}"/>
                </c:ext>
              </c:extLst>
            </c:dLbl>
            <c:dLbl>
              <c:idx val="35"/>
              <c:tx>
                <c:rich>
                  <a:bodyPr/>
                  <a:lstStyle/>
                  <a:p>
                    <a:fld id="{50EB4138-F212-43B3-BACD-24874CC245C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0B84-4176-BB40-436EF53D2AA1}"/>
                </c:ext>
              </c:extLst>
            </c:dLbl>
            <c:dLbl>
              <c:idx val="36"/>
              <c:tx>
                <c:rich>
                  <a:bodyPr/>
                  <a:lstStyle/>
                  <a:p>
                    <a:fld id="{F59D7433-4B46-4EDF-81F7-BCF3E62331AF}"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0B84-4176-BB40-436EF53D2AA1}"/>
                </c:ext>
              </c:extLst>
            </c:dLbl>
            <c:dLbl>
              <c:idx val="37"/>
              <c:tx>
                <c:rich>
                  <a:bodyPr/>
                  <a:lstStyle/>
                  <a:p>
                    <a:fld id="{5FF8DCEF-6C92-4A9E-8FC2-D91FCECB80FB}"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5-0B84-4176-BB40-436EF53D2AA1}"/>
                </c:ext>
              </c:extLst>
            </c:dLbl>
            <c:dLbl>
              <c:idx val="38"/>
              <c:tx>
                <c:rich>
                  <a:bodyPr/>
                  <a:lstStyle/>
                  <a:p>
                    <a:fld id="{27CF950F-F22B-4897-B1DD-B62DA26502DA}"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6-0B84-4176-BB40-436EF53D2AA1}"/>
                </c:ext>
              </c:extLst>
            </c:dLbl>
            <c:dLbl>
              <c:idx val="39"/>
              <c:tx>
                <c:rich>
                  <a:bodyPr/>
                  <a:lstStyle/>
                  <a:p>
                    <a:fld id="{5D8A0D3B-C6A6-4C1A-9187-BCB4D28F29C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0B84-4176-BB40-436EF53D2AA1}"/>
                </c:ext>
              </c:extLst>
            </c:dLbl>
            <c:dLbl>
              <c:idx val="40"/>
              <c:tx>
                <c:rich>
                  <a:bodyPr/>
                  <a:lstStyle/>
                  <a:p>
                    <a:fld id="{7C21EC2E-BACD-42FD-B0D3-1C80B9CBA17B}"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0B84-4176-BB40-436EF53D2AA1}"/>
                </c:ext>
              </c:extLst>
            </c:dLbl>
            <c:dLbl>
              <c:idx val="41"/>
              <c:tx>
                <c:rich>
                  <a:bodyPr/>
                  <a:lstStyle/>
                  <a:p>
                    <a:fld id="{ACAC0583-5AA3-4765-881E-E032B410C68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9-0B84-4176-BB40-436EF53D2AA1}"/>
                </c:ext>
              </c:extLst>
            </c:dLbl>
            <c:dLbl>
              <c:idx val="42"/>
              <c:tx>
                <c:rich>
                  <a:bodyPr/>
                  <a:lstStyle/>
                  <a:p>
                    <a:fld id="{B0B19DBA-E92B-4CF8-8EFD-A34C365F3A9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A-0B84-4176-BB40-436EF53D2AA1}"/>
                </c:ext>
              </c:extLst>
            </c:dLbl>
            <c:dLbl>
              <c:idx val="43"/>
              <c:tx>
                <c:rich>
                  <a:bodyPr/>
                  <a:lstStyle/>
                  <a:p>
                    <a:fld id="{862A9F8E-5C66-48B8-A1E1-CCCEE812A97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B-0B84-4176-BB40-436EF53D2AA1}"/>
                </c:ext>
              </c:extLst>
            </c:dLbl>
            <c:dLbl>
              <c:idx val="44"/>
              <c:tx>
                <c:rich>
                  <a:bodyPr/>
                  <a:lstStyle/>
                  <a:p>
                    <a:fld id="{03CF2ECE-6B28-41BD-912D-9CEEF3DBE69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C-0B84-4176-BB40-436EF53D2AA1}"/>
                </c:ext>
              </c:extLst>
            </c:dLbl>
            <c:dLbl>
              <c:idx val="45"/>
              <c:tx>
                <c:rich>
                  <a:bodyPr/>
                  <a:lstStyle/>
                  <a:p>
                    <a:fld id="{4014006B-5BF7-429B-AFC6-30DD009499E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0B84-4176-BB40-436EF53D2AA1}"/>
                </c:ext>
              </c:extLst>
            </c:dLbl>
            <c:dLbl>
              <c:idx val="46"/>
              <c:tx>
                <c:rich>
                  <a:bodyPr/>
                  <a:lstStyle/>
                  <a:p>
                    <a:fld id="{D43CE074-8D8D-4108-9132-892B33EC757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E-0B84-4176-BB40-436EF53D2AA1}"/>
                </c:ext>
              </c:extLst>
            </c:dLbl>
            <c:dLbl>
              <c:idx val="47"/>
              <c:tx>
                <c:rich>
                  <a:bodyPr/>
                  <a:lstStyle/>
                  <a:p>
                    <a:fld id="{7981C9CE-9BC1-4F72-A849-0A9BDB055C33}"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0B84-4176-BB40-436EF53D2AA1}"/>
                </c:ext>
              </c:extLst>
            </c:dLbl>
            <c:dLbl>
              <c:idx val="48"/>
              <c:tx>
                <c:rich>
                  <a:bodyPr/>
                  <a:lstStyle/>
                  <a:p>
                    <a:fld id="{64847421-B9CD-4A0F-A20C-DF0E68DD977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0B84-4176-BB40-436EF53D2AA1}"/>
                </c:ext>
              </c:extLst>
            </c:dLbl>
            <c:dLbl>
              <c:idx val="49"/>
              <c:tx>
                <c:rich>
                  <a:bodyPr/>
                  <a:lstStyle/>
                  <a:p>
                    <a:fld id="{2A1D95DC-C7D5-4B14-9071-FF2596404CD1}"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0B84-4176-BB40-436EF53D2AA1}"/>
                </c:ext>
              </c:extLst>
            </c:dLbl>
            <c:dLbl>
              <c:idx val="50"/>
              <c:tx>
                <c:rich>
                  <a:bodyPr/>
                  <a:lstStyle/>
                  <a:p>
                    <a:fld id="{ECE98D1A-94AA-498F-8759-1B225274ACF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2-0B84-4176-BB40-436EF53D2AA1}"/>
                </c:ext>
              </c:extLst>
            </c:dLbl>
            <c:dLbl>
              <c:idx val="51"/>
              <c:tx>
                <c:rich>
                  <a:bodyPr/>
                  <a:lstStyle/>
                  <a:p>
                    <a:fld id="{FC42917C-B0A3-44A0-B5BA-C48F2C716741}"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3-0B84-4176-BB40-436EF53D2AA1}"/>
                </c:ext>
              </c:extLst>
            </c:dLbl>
            <c:dLbl>
              <c:idx val="52"/>
              <c:tx>
                <c:rich>
                  <a:bodyPr/>
                  <a:lstStyle/>
                  <a:p>
                    <a:fld id="{A8EE93C2-6DE5-4FA1-8B7B-C18CFAC47D23}"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4-0B84-4176-BB40-436EF53D2AA1}"/>
                </c:ext>
              </c:extLst>
            </c:dLbl>
            <c:dLbl>
              <c:idx val="53"/>
              <c:tx>
                <c:rich>
                  <a:bodyPr/>
                  <a:lstStyle/>
                  <a:p>
                    <a:fld id="{D403FD6F-4B80-4BA7-9FFB-1D7F8DFCB67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0B84-4176-BB40-436EF53D2AA1}"/>
                </c:ext>
              </c:extLst>
            </c:dLbl>
            <c:dLbl>
              <c:idx val="54"/>
              <c:tx>
                <c:rich>
                  <a:bodyPr/>
                  <a:lstStyle/>
                  <a:p>
                    <a:fld id="{63CE7D93-CFE7-47A4-9170-0B2880EC69E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0B84-4176-BB40-436EF53D2AA1}"/>
                </c:ext>
              </c:extLst>
            </c:dLbl>
            <c:dLbl>
              <c:idx val="55"/>
              <c:tx>
                <c:rich>
                  <a:bodyPr/>
                  <a:lstStyle/>
                  <a:p>
                    <a:fld id="{79F4597B-2709-4CE5-BCDC-2DDECFAF8A41}"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0B84-4176-BB40-436EF53D2AA1}"/>
                </c:ext>
              </c:extLst>
            </c:dLbl>
            <c:dLbl>
              <c:idx val="56"/>
              <c:tx>
                <c:rich>
                  <a:bodyPr/>
                  <a:lstStyle/>
                  <a:p>
                    <a:fld id="{B26174D3-2A5B-4048-A5FD-65FF15A63017}"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8-0B84-4176-BB40-436EF53D2AA1}"/>
                </c:ext>
              </c:extLst>
            </c:dLbl>
            <c:dLbl>
              <c:idx val="57"/>
              <c:tx>
                <c:rich>
                  <a:bodyPr/>
                  <a:lstStyle/>
                  <a:p>
                    <a:fld id="{941F74AC-D1CD-4E4A-B49F-206DB81C05F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9-0B84-4176-BB40-436EF53D2AA1}"/>
                </c:ext>
              </c:extLst>
            </c:dLbl>
            <c:dLbl>
              <c:idx val="119"/>
              <c:tx>
                <c:rich>
                  <a:bodyPr/>
                  <a:lstStyle/>
                  <a:p>
                    <a:fld id="{04480E75-4188-4F8A-8206-A6E4223B8E3F}"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A-0B84-4176-BB40-436EF53D2AA1}"/>
                </c:ext>
              </c:extLst>
            </c:dLbl>
            <c:dLbl>
              <c:idx val="120"/>
              <c:tx>
                <c:rich>
                  <a:bodyPr/>
                  <a:lstStyle/>
                  <a:p>
                    <a:fld id="{B2ADAACB-0116-4281-B57A-E841EA219201}"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B-0B84-4176-BB40-436EF53D2AA1}"/>
                </c:ext>
              </c:extLst>
            </c:dLbl>
            <c:dLbl>
              <c:idx val="121"/>
              <c:tx>
                <c:rich>
                  <a:bodyPr/>
                  <a:lstStyle/>
                  <a:p>
                    <a:fld id="{5C02C1A4-D861-4B4A-80CA-B07BD1E77F11}"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C-0B84-4176-BB40-436EF53D2AA1}"/>
                </c:ext>
              </c:extLst>
            </c:dLbl>
            <c:dLbl>
              <c:idx val="122"/>
              <c:tx>
                <c:rich>
                  <a:bodyPr/>
                  <a:lstStyle/>
                  <a:p>
                    <a:fld id="{5C8B9BBB-ED1C-485B-9FE4-BAD3BBCC54F7}"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D-0B84-4176-BB40-436EF53D2AA1}"/>
                </c:ext>
              </c:extLst>
            </c:dLbl>
            <c:dLbl>
              <c:idx val="123"/>
              <c:tx>
                <c:rich>
                  <a:bodyPr/>
                  <a:lstStyle/>
                  <a:p>
                    <a:fld id="{5F022E01-E593-4034-A9B7-DD96DFCEDAE1}"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E-0B84-4176-BB40-436EF53D2AA1}"/>
                </c:ext>
              </c:extLst>
            </c:dLbl>
            <c:dLbl>
              <c:idx val="124"/>
              <c:tx>
                <c:rich>
                  <a:bodyPr/>
                  <a:lstStyle/>
                  <a:p>
                    <a:fld id="{5997643D-F932-4781-A137-6D51AFDD2004}"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F-0B84-4176-BB40-436EF53D2AA1}"/>
                </c:ext>
              </c:extLst>
            </c:dLbl>
            <c:dLbl>
              <c:idx val="125"/>
              <c:tx>
                <c:rich>
                  <a:bodyPr/>
                  <a:lstStyle/>
                  <a:p>
                    <a:fld id="{9DBC1C3B-7DB0-45F3-9D32-BA98BF3542C0}"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0-0B84-4176-BB40-436EF53D2AA1}"/>
                </c:ext>
              </c:extLst>
            </c:dLbl>
            <c:dLbl>
              <c:idx val="126"/>
              <c:tx>
                <c:rich>
                  <a:bodyPr/>
                  <a:lstStyle/>
                  <a:p>
                    <a:fld id="{A7350A1A-63F3-4737-B71F-F71FBDCDE59D}"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1-0B84-4176-BB40-436EF53D2AA1}"/>
                </c:ext>
              </c:extLst>
            </c:dLbl>
            <c:dLbl>
              <c:idx val="129"/>
              <c:tx>
                <c:rich>
                  <a:bodyPr/>
                  <a:lstStyle/>
                  <a:p>
                    <a:fld id="{FF16C1A7-5562-44F9-8737-5B2B7334FCFD}"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2-0B84-4176-BB40-436EF53D2AA1}"/>
                </c:ext>
              </c:extLst>
            </c:dLbl>
            <c:dLbl>
              <c:idx val="130"/>
              <c:tx>
                <c:rich>
                  <a:bodyPr/>
                  <a:lstStyle/>
                  <a:p>
                    <a:fld id="{F9FD57CC-201D-4B89-95A7-C4C98529D713}"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3-0B84-4176-BB40-436EF53D2AA1}"/>
                </c:ext>
              </c:extLst>
            </c:dLbl>
            <c:dLbl>
              <c:idx val="131"/>
              <c:tx>
                <c:rich>
                  <a:bodyPr/>
                  <a:lstStyle/>
                  <a:p>
                    <a:fld id="{D7F9B805-D19A-4588-BD3D-DB426F3E56C4}"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4-0B84-4176-BB40-436EF53D2AA1}"/>
                </c:ext>
              </c:extLst>
            </c:dLbl>
            <c:dLbl>
              <c:idx val="132"/>
              <c:tx>
                <c:rich>
                  <a:bodyPr/>
                  <a:lstStyle/>
                  <a:p>
                    <a:fld id="{7D55F6F8-6BEB-459D-B85B-53D4198D726C}" type="CELLRANGE">
                      <a:rPr lang="en-CA">
                        <a:solidFill>
                          <a:sysClr val="windowText" lastClr="000000"/>
                        </a:solidFill>
                      </a:rPr>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5-0B84-4176-BB40-436EF53D2AA1}"/>
                </c:ext>
              </c:extLst>
            </c:dLbl>
            <c:dLbl>
              <c:idx val="133"/>
              <c:tx>
                <c:rich>
                  <a:bodyPr/>
                  <a:lstStyle/>
                  <a:p>
                    <a:fld id="{0929B7DD-E8C2-45C4-93C1-ED4FABA67FA6}"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6-0B84-4176-BB40-436EF53D2AA1}"/>
                </c:ext>
              </c:extLst>
            </c:dLbl>
            <c:dLbl>
              <c:idx val="134"/>
              <c:tx>
                <c:rich>
                  <a:bodyPr/>
                  <a:lstStyle/>
                  <a:p>
                    <a:fld id="{B81F40D5-361D-4804-8C26-9B13CB5B8C6E}"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7-0B84-4176-BB40-436EF53D2AA1}"/>
                </c:ext>
              </c:extLst>
            </c:dLbl>
            <c:dLbl>
              <c:idx val="135"/>
              <c:tx>
                <c:rich>
                  <a:bodyPr/>
                  <a:lstStyle/>
                  <a:p>
                    <a:fld id="{D5652635-8B51-4C64-9158-BF808F5C37B6}"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8-0B84-4176-BB40-436EF53D2AA1}"/>
                </c:ext>
              </c:extLst>
            </c:dLbl>
            <c:dLbl>
              <c:idx val="136"/>
              <c:tx>
                <c:rich>
                  <a:bodyPr/>
                  <a:lstStyle/>
                  <a:p>
                    <a:fld id="{37CA9983-1468-4BB5-8439-F3BB9D01E8FC}"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9-0B84-4176-BB40-436EF53D2AA1}"/>
                </c:ext>
              </c:extLst>
            </c:dLbl>
            <c:dLbl>
              <c:idx val="137"/>
              <c:tx>
                <c:rich>
                  <a:bodyPr/>
                  <a:lstStyle/>
                  <a:p>
                    <a:fld id="{B5044BAD-0627-4B73-AA56-00DB74AFFECB}"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A-0B84-4176-BB40-436EF53D2AA1}"/>
                </c:ext>
              </c:extLst>
            </c:dLbl>
            <c:dLbl>
              <c:idx val="138"/>
              <c:tx>
                <c:rich>
                  <a:bodyPr/>
                  <a:lstStyle/>
                  <a:p>
                    <a:fld id="{BE7C95E9-3F3F-4DDE-89D3-F22EB2217140}"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B-0B84-4176-BB40-436EF53D2AA1}"/>
                </c:ext>
              </c:extLst>
            </c:dLbl>
            <c:dLbl>
              <c:idx val="139"/>
              <c:tx>
                <c:rich>
                  <a:bodyPr/>
                  <a:lstStyle/>
                  <a:p>
                    <a:fld id="{CB3F9B8D-57F4-4760-88FC-2A225BDC07D7}"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C-0B84-4176-BB40-436EF53D2AA1}"/>
                </c:ext>
              </c:extLst>
            </c:dLbl>
            <c:dLbl>
              <c:idx val="140"/>
              <c:tx>
                <c:rich>
                  <a:bodyPr/>
                  <a:lstStyle/>
                  <a:p>
                    <a:fld id="{2DF98E00-A3BD-4C1C-B52E-D8973834A127}"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D-0B84-4176-BB40-436EF53D2AA1}"/>
                </c:ext>
              </c:extLst>
            </c:dLbl>
            <c:dLbl>
              <c:idx val="141"/>
              <c:tx>
                <c:rich>
                  <a:bodyPr/>
                  <a:lstStyle/>
                  <a:p>
                    <a:fld id="{788DB30F-D15F-455D-B6E0-3D5AABA6CAEF}"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E-0B84-4176-BB40-436EF53D2AA1}"/>
                </c:ext>
              </c:extLst>
            </c:dLbl>
            <c:dLbl>
              <c:idx val="142"/>
              <c:tx>
                <c:rich>
                  <a:bodyPr/>
                  <a:lstStyle/>
                  <a:p>
                    <a:fld id="{57B6BD33-B460-45E9-AB93-3E7E7C3C5E37}"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F-0B84-4176-BB40-436EF53D2AA1}"/>
                </c:ext>
              </c:extLst>
            </c:dLbl>
            <c:dLbl>
              <c:idx val="143"/>
              <c:tx>
                <c:rich>
                  <a:bodyPr/>
                  <a:lstStyle/>
                  <a:p>
                    <a:fld id="{93672134-586D-4330-8A96-00B047CA7DEF}" type="CELLRANGE">
                      <a:rPr lang="en-CA"/>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0-0B84-4176-BB40-436EF53D2A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ct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(BVL,6m+)'!$G$2:$G$59</c:f>
              <c:numCache>
                <c:formatCode>General</c:formatCode>
                <c:ptCount val="58"/>
                <c:pt idx="0">
                  <c:v>92.8</c:v>
                </c:pt>
                <c:pt idx="1">
                  <c:v>97.5</c:v>
                </c:pt>
                <c:pt idx="2">
                  <c:v>94.9</c:v>
                </c:pt>
                <c:pt idx="3">
                  <c:v>93.9</c:v>
                </c:pt>
                <c:pt idx="4">
                  <c:v>97.4</c:v>
                </c:pt>
                <c:pt idx="5">
                  <c:v>100</c:v>
                </c:pt>
                <c:pt idx="6">
                  <c:v>90.6</c:v>
                </c:pt>
                <c:pt idx="7">
                  <c:v>0</c:v>
                </c:pt>
                <c:pt idx="8">
                  <c:v>100</c:v>
                </c:pt>
                <c:pt idx="9">
                  <c:v>100</c:v>
                </c:pt>
                <c:pt idx="10">
                  <c:v>100</c:v>
                </c:pt>
                <c:pt idx="11">
                  <c:v>100</c:v>
                </c:pt>
                <c:pt idx="12">
                  <c:v>100</c:v>
                </c:pt>
                <c:pt idx="13">
                  <c:v>100</c:v>
                </c:pt>
                <c:pt idx="14">
                  <c:v>100</c:v>
                </c:pt>
                <c:pt idx="15">
                  <c:v>100</c:v>
                </c:pt>
                <c:pt idx="16">
                  <c:v>100</c:v>
                </c:pt>
                <c:pt idx="17">
                  <c:v>100</c:v>
                </c:pt>
                <c:pt idx="18">
                  <c:v>100</c:v>
                </c:pt>
                <c:pt idx="19">
                  <c:v>98</c:v>
                </c:pt>
                <c:pt idx="20">
                  <c:v>98.2</c:v>
                </c:pt>
                <c:pt idx="21">
                  <c:v>94</c:v>
                </c:pt>
                <c:pt idx="22">
                  <c:v>94.2</c:v>
                </c:pt>
                <c:pt idx="23">
                  <c:v>0</c:v>
                </c:pt>
                <c:pt idx="24">
                  <c:v>0</c:v>
                </c:pt>
                <c:pt idx="25">
                  <c:v>100</c:v>
                </c:pt>
                <c:pt idx="26">
                  <c:v>100</c:v>
                </c:pt>
                <c:pt idx="27">
                  <c:v>100</c:v>
                </c:pt>
                <c:pt idx="28">
                  <c:v>100</c:v>
                </c:pt>
                <c:pt idx="29">
                  <c:v>0</c:v>
                </c:pt>
                <c:pt idx="30">
                  <c:v>0</c:v>
                </c:pt>
                <c:pt idx="31">
                  <c:v>100</c:v>
                </c:pt>
                <c:pt idx="32">
                  <c:v>100</c:v>
                </c:pt>
                <c:pt idx="33">
                  <c:v>100</c:v>
                </c:pt>
                <c:pt idx="34">
                  <c:v>100</c:v>
                </c:pt>
                <c:pt idx="35">
                  <c:v>98.4</c:v>
                </c:pt>
                <c:pt idx="36">
                  <c:v>98</c:v>
                </c:pt>
                <c:pt idx="37">
                  <c:v>0</c:v>
                </c:pt>
                <c:pt idx="38">
                  <c:v>100</c:v>
                </c:pt>
                <c:pt idx="39">
                  <c:v>100</c:v>
                </c:pt>
                <c:pt idx="40">
                  <c:v>100</c:v>
                </c:pt>
                <c:pt idx="41">
                  <c:v>100</c:v>
                </c:pt>
                <c:pt idx="42">
                  <c:v>100</c:v>
                </c:pt>
                <c:pt idx="43">
                  <c:v>100</c:v>
                </c:pt>
                <c:pt idx="44">
                  <c:v>100</c:v>
                </c:pt>
                <c:pt idx="45">
                  <c:v>100</c:v>
                </c:pt>
                <c:pt idx="46">
                  <c:v>100</c:v>
                </c:pt>
                <c:pt idx="47">
                  <c:v>100</c:v>
                </c:pt>
                <c:pt idx="48">
                  <c:v>100</c:v>
                </c:pt>
                <c:pt idx="49">
                  <c:v>100</c:v>
                </c:pt>
                <c:pt idx="50">
                  <c:v>100</c:v>
                </c:pt>
                <c:pt idx="51">
                  <c:v>100</c:v>
                </c:pt>
                <c:pt idx="52">
                  <c:v>100</c:v>
                </c:pt>
                <c:pt idx="53">
                  <c:v>100</c:v>
                </c:pt>
                <c:pt idx="54">
                  <c:v>100</c:v>
                </c:pt>
                <c:pt idx="55">
                  <c:v>100</c:v>
                </c:pt>
                <c:pt idx="56">
                  <c:v>100</c:v>
                </c:pt>
                <c:pt idx="57">
                  <c:v>100</c:v>
                </c:pt>
              </c:numCache>
            </c:numRef>
          </c:val>
          <c:extLst>
            <c:ext xmlns:c15="http://schemas.microsoft.com/office/drawing/2012/chart" uri="{02D57815-91ED-43cb-92C2-25804820EDAC}">
              <c15:datalabelsRange>
                <c15:f>'ALL-baselines_ (BVL,6m+)'!$BK$2:$BK$59</c15:f>
                <c15:dlblRangeCache>
                  <c:ptCount val="58"/>
                  <c:pt idx="7">
                    <c:v>NR</c:v>
                  </c:pt>
                  <c:pt idx="23">
                    <c:v>NR</c:v>
                  </c:pt>
                  <c:pt idx="24">
                    <c:v>NR</c:v>
                  </c:pt>
                  <c:pt idx="29">
                    <c:v>NR</c:v>
                  </c:pt>
                  <c:pt idx="30">
                    <c:v>NR</c:v>
                  </c:pt>
                  <c:pt idx="37">
                    <c:v>NR</c:v>
                  </c:pt>
                </c15:dlblRangeCache>
              </c15:datalabelsRange>
            </c:ext>
            <c:ext xmlns:c16="http://schemas.microsoft.com/office/drawing/2014/chart" uri="{C3380CC4-5D6E-409C-BE32-E72D297353CC}">
              <c16:uniqueId val="{00000051-0B84-4176-BB40-436EF53D2AA1}"/>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10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RRMS (%)</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(BVL,6m+)'!$I$1</c:f>
              <c:strCache>
                <c:ptCount val="1"/>
                <c:pt idx="0">
                  <c:v>MeanEDSS</c:v>
                </c:pt>
              </c:strCache>
            </c:strRef>
          </c:tx>
          <c:spPr>
            <a:solidFill>
              <a:schemeClr val="accent1"/>
            </a:solidFill>
            <a:ln>
              <a:noFill/>
            </a:ln>
            <a:effectLst/>
          </c:spPr>
          <c:invertIfNegative val="0"/>
          <c:dPt>
            <c:idx val="46"/>
            <c:invertIfNegative val="0"/>
            <c:bubble3D val="0"/>
            <c:spPr>
              <a:solidFill>
                <a:schemeClr val="accent1"/>
              </a:solidFill>
              <a:ln>
                <a:noFill/>
              </a:ln>
              <a:effectLst/>
            </c:spPr>
            <c:extLst>
              <c:ext xmlns:c16="http://schemas.microsoft.com/office/drawing/2014/chart" uri="{C3380CC4-5D6E-409C-BE32-E72D297353CC}">
                <c16:uniqueId val="{00000001-B65E-421B-9947-A4663DF563C0}"/>
              </c:ext>
            </c:extLst>
          </c:dPt>
          <c:dPt>
            <c:idx val="49"/>
            <c:invertIfNegative val="0"/>
            <c:bubble3D val="0"/>
            <c:spPr>
              <a:solidFill>
                <a:schemeClr val="accent1"/>
              </a:solidFill>
              <a:ln>
                <a:noFill/>
              </a:ln>
              <a:effectLst/>
            </c:spPr>
            <c:extLst>
              <c:ext xmlns:c16="http://schemas.microsoft.com/office/drawing/2014/chart" uri="{C3380CC4-5D6E-409C-BE32-E72D297353CC}">
                <c16:uniqueId val="{00000003-B65E-421B-9947-A4663DF563C0}"/>
              </c:ext>
            </c:extLst>
          </c:dPt>
          <c:dPt>
            <c:idx val="52"/>
            <c:invertIfNegative val="0"/>
            <c:bubble3D val="0"/>
            <c:spPr>
              <a:solidFill>
                <a:schemeClr val="accent1"/>
              </a:solidFill>
              <a:ln>
                <a:noFill/>
              </a:ln>
              <a:effectLst/>
            </c:spPr>
            <c:extLst>
              <c:ext xmlns:c16="http://schemas.microsoft.com/office/drawing/2014/chart" uri="{C3380CC4-5D6E-409C-BE32-E72D297353CC}">
                <c16:uniqueId val="{00000005-B65E-421B-9947-A4663DF563C0}"/>
              </c:ext>
            </c:extLst>
          </c:dPt>
          <c:dPt>
            <c:idx val="128"/>
            <c:invertIfNegative val="0"/>
            <c:bubble3D val="0"/>
            <c:spPr>
              <a:solidFill>
                <a:schemeClr val="accent1"/>
              </a:solidFill>
              <a:ln>
                <a:noFill/>
              </a:ln>
              <a:effectLst/>
            </c:spPr>
            <c:extLst>
              <c:ext xmlns:c16="http://schemas.microsoft.com/office/drawing/2014/chart" uri="{C3380CC4-5D6E-409C-BE32-E72D297353CC}">
                <c16:uniqueId val="{00000007-B65E-421B-9947-A4663DF563C0}"/>
              </c:ext>
            </c:extLst>
          </c:dPt>
          <c:dLbls>
            <c:dLbl>
              <c:idx val="0"/>
              <c:tx>
                <c:rich>
                  <a:bodyPr/>
                  <a:lstStyle/>
                  <a:p>
                    <a:fld id="{F77C0208-D187-4C98-9AFE-8CCC4D8BB04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B65E-421B-9947-A4663DF563C0}"/>
                </c:ext>
              </c:extLst>
            </c:dLbl>
            <c:dLbl>
              <c:idx val="1"/>
              <c:tx>
                <c:rich>
                  <a:bodyPr/>
                  <a:lstStyle/>
                  <a:p>
                    <a:fld id="{EF3FEA36-F529-4B06-83D7-4ABC46ED35F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B65E-421B-9947-A4663DF563C0}"/>
                </c:ext>
              </c:extLst>
            </c:dLbl>
            <c:dLbl>
              <c:idx val="2"/>
              <c:tx>
                <c:rich>
                  <a:bodyPr/>
                  <a:lstStyle/>
                  <a:p>
                    <a:fld id="{37752902-38FC-4808-9340-8737E57B5DF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B65E-421B-9947-A4663DF563C0}"/>
                </c:ext>
              </c:extLst>
            </c:dLbl>
            <c:dLbl>
              <c:idx val="3"/>
              <c:tx>
                <c:rich>
                  <a:bodyPr/>
                  <a:lstStyle/>
                  <a:p>
                    <a:fld id="{F778088B-4EE4-4C53-A093-012F0B3A38D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B65E-421B-9947-A4663DF563C0}"/>
                </c:ext>
              </c:extLst>
            </c:dLbl>
            <c:dLbl>
              <c:idx val="4"/>
              <c:tx>
                <c:rich>
                  <a:bodyPr/>
                  <a:lstStyle/>
                  <a:p>
                    <a:fld id="{C51FEEC2-6742-418B-90E8-735D973D243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B65E-421B-9947-A4663DF563C0}"/>
                </c:ext>
              </c:extLst>
            </c:dLbl>
            <c:dLbl>
              <c:idx val="5"/>
              <c:tx>
                <c:rich>
                  <a:bodyPr/>
                  <a:lstStyle/>
                  <a:p>
                    <a:fld id="{C271A44B-1FBB-47A0-8228-151726FE825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B65E-421B-9947-A4663DF563C0}"/>
                </c:ext>
              </c:extLst>
            </c:dLbl>
            <c:dLbl>
              <c:idx val="6"/>
              <c:tx>
                <c:rich>
                  <a:bodyPr/>
                  <a:lstStyle/>
                  <a:p>
                    <a:fld id="{368E1350-8A2F-4288-A049-25B8D43A933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B65E-421B-9947-A4663DF563C0}"/>
                </c:ext>
              </c:extLst>
            </c:dLbl>
            <c:dLbl>
              <c:idx val="7"/>
              <c:tx>
                <c:rich>
                  <a:bodyPr/>
                  <a:lstStyle/>
                  <a:p>
                    <a:fld id="{2538256A-7294-41B1-B19E-EA8D77A5590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B65E-421B-9947-A4663DF563C0}"/>
                </c:ext>
              </c:extLst>
            </c:dLbl>
            <c:dLbl>
              <c:idx val="8"/>
              <c:tx>
                <c:rich>
                  <a:bodyPr/>
                  <a:lstStyle/>
                  <a:p>
                    <a:fld id="{09653A06-1D63-4C95-A8CF-B00B4AB3A9D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B65E-421B-9947-A4663DF563C0}"/>
                </c:ext>
              </c:extLst>
            </c:dLbl>
            <c:dLbl>
              <c:idx val="9"/>
              <c:tx>
                <c:rich>
                  <a:bodyPr/>
                  <a:lstStyle/>
                  <a:p>
                    <a:fld id="{6564E1BD-D55B-4299-8203-6D08B1A03FF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B65E-421B-9947-A4663DF563C0}"/>
                </c:ext>
              </c:extLst>
            </c:dLbl>
            <c:dLbl>
              <c:idx val="10"/>
              <c:tx>
                <c:rich>
                  <a:bodyPr/>
                  <a:lstStyle/>
                  <a:p>
                    <a:fld id="{B3BAEF40-0FEA-4CA3-AF5D-72326D505ED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B65E-421B-9947-A4663DF563C0}"/>
                </c:ext>
              </c:extLst>
            </c:dLbl>
            <c:dLbl>
              <c:idx val="11"/>
              <c:tx>
                <c:rich>
                  <a:bodyPr/>
                  <a:lstStyle/>
                  <a:p>
                    <a:fld id="{50EBA482-E6F9-4A52-A8F5-0B1AFEB887F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B65E-421B-9947-A4663DF563C0}"/>
                </c:ext>
              </c:extLst>
            </c:dLbl>
            <c:dLbl>
              <c:idx val="12"/>
              <c:tx>
                <c:rich>
                  <a:bodyPr/>
                  <a:lstStyle/>
                  <a:p>
                    <a:fld id="{E653F7D3-94EC-423C-8F06-20F503BC8DB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B65E-421B-9947-A4663DF563C0}"/>
                </c:ext>
              </c:extLst>
            </c:dLbl>
            <c:dLbl>
              <c:idx val="13"/>
              <c:tx>
                <c:rich>
                  <a:bodyPr/>
                  <a:lstStyle/>
                  <a:p>
                    <a:fld id="{2D594F7F-374A-4E22-88BD-D94131F5FBC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B65E-421B-9947-A4663DF563C0}"/>
                </c:ext>
              </c:extLst>
            </c:dLbl>
            <c:dLbl>
              <c:idx val="14"/>
              <c:tx>
                <c:rich>
                  <a:bodyPr/>
                  <a:lstStyle/>
                  <a:p>
                    <a:fld id="{FE1ACB6B-BCF5-4265-8B91-6FE0B5A175F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B65E-421B-9947-A4663DF563C0}"/>
                </c:ext>
              </c:extLst>
            </c:dLbl>
            <c:dLbl>
              <c:idx val="15"/>
              <c:tx>
                <c:rich>
                  <a:bodyPr/>
                  <a:lstStyle/>
                  <a:p>
                    <a:fld id="{DBFACA21-722D-44A9-9CC7-1A24A03CEEB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B65E-421B-9947-A4663DF563C0}"/>
                </c:ext>
              </c:extLst>
            </c:dLbl>
            <c:dLbl>
              <c:idx val="16"/>
              <c:tx>
                <c:rich>
                  <a:bodyPr/>
                  <a:lstStyle/>
                  <a:p>
                    <a:fld id="{D9370AE8-DAFF-4114-ABE0-6525B87BCE7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8-B65E-421B-9947-A4663DF563C0}"/>
                </c:ext>
              </c:extLst>
            </c:dLbl>
            <c:dLbl>
              <c:idx val="17"/>
              <c:tx>
                <c:rich>
                  <a:bodyPr/>
                  <a:lstStyle/>
                  <a:p>
                    <a:fld id="{F5DE4C8E-559C-42F1-A1BB-783913D155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B65E-421B-9947-A4663DF563C0}"/>
                </c:ext>
              </c:extLst>
            </c:dLbl>
            <c:dLbl>
              <c:idx val="18"/>
              <c:tx>
                <c:rich>
                  <a:bodyPr/>
                  <a:lstStyle/>
                  <a:p>
                    <a:fld id="{E8CC9D2A-72D2-4C71-895E-BE7197CCEFB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B65E-421B-9947-A4663DF563C0}"/>
                </c:ext>
              </c:extLst>
            </c:dLbl>
            <c:dLbl>
              <c:idx val="19"/>
              <c:tx>
                <c:rich>
                  <a:bodyPr/>
                  <a:lstStyle/>
                  <a:p>
                    <a:fld id="{EA9C90F6-8C7F-4812-9C1D-E391AF7B62D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B65E-421B-9947-A4663DF563C0}"/>
                </c:ext>
              </c:extLst>
            </c:dLbl>
            <c:dLbl>
              <c:idx val="20"/>
              <c:tx>
                <c:rich>
                  <a:bodyPr/>
                  <a:lstStyle/>
                  <a:p>
                    <a:fld id="{3582BB9B-F5E9-422A-A907-CB61536B0B7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B65E-421B-9947-A4663DF563C0}"/>
                </c:ext>
              </c:extLst>
            </c:dLbl>
            <c:dLbl>
              <c:idx val="21"/>
              <c:tx>
                <c:rich>
                  <a:bodyPr/>
                  <a:lstStyle/>
                  <a:p>
                    <a:fld id="{C6FA8DE4-6612-446F-9D31-B6BF3139651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D-B65E-421B-9947-A4663DF563C0}"/>
                </c:ext>
              </c:extLst>
            </c:dLbl>
            <c:dLbl>
              <c:idx val="22"/>
              <c:tx>
                <c:rich>
                  <a:bodyPr/>
                  <a:lstStyle/>
                  <a:p>
                    <a:fld id="{70B89762-1C54-4EE6-A019-58DCFA22970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E-B65E-421B-9947-A4663DF563C0}"/>
                </c:ext>
              </c:extLst>
            </c:dLbl>
            <c:dLbl>
              <c:idx val="23"/>
              <c:tx>
                <c:rich>
                  <a:bodyPr/>
                  <a:lstStyle/>
                  <a:p>
                    <a:fld id="{6C1CA84D-FF81-44F4-A69F-D6F62AD5B3F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B65E-421B-9947-A4663DF563C0}"/>
                </c:ext>
              </c:extLst>
            </c:dLbl>
            <c:dLbl>
              <c:idx val="24"/>
              <c:tx>
                <c:rich>
                  <a:bodyPr/>
                  <a:lstStyle/>
                  <a:p>
                    <a:fld id="{BF49CD72-1331-4C67-A45D-A21D5CC6074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B65E-421B-9947-A4663DF563C0}"/>
                </c:ext>
              </c:extLst>
            </c:dLbl>
            <c:dLbl>
              <c:idx val="25"/>
              <c:tx>
                <c:rich>
                  <a:bodyPr/>
                  <a:lstStyle/>
                  <a:p>
                    <a:fld id="{B0931F9F-D065-4E32-B7C9-8C3E53AB0E9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1-B65E-421B-9947-A4663DF563C0}"/>
                </c:ext>
              </c:extLst>
            </c:dLbl>
            <c:dLbl>
              <c:idx val="26"/>
              <c:tx>
                <c:rich>
                  <a:bodyPr/>
                  <a:lstStyle/>
                  <a:p>
                    <a:fld id="{0F8DAD37-67B0-4556-B9E6-C9BEDB0178A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B65E-421B-9947-A4663DF563C0}"/>
                </c:ext>
              </c:extLst>
            </c:dLbl>
            <c:dLbl>
              <c:idx val="27"/>
              <c:tx>
                <c:rich>
                  <a:bodyPr/>
                  <a:lstStyle/>
                  <a:p>
                    <a:fld id="{9995B46E-2036-4D33-A96A-9C061099226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B65E-421B-9947-A4663DF563C0}"/>
                </c:ext>
              </c:extLst>
            </c:dLbl>
            <c:dLbl>
              <c:idx val="28"/>
              <c:tx>
                <c:rich>
                  <a:bodyPr/>
                  <a:lstStyle/>
                  <a:p>
                    <a:fld id="{B106AF83-D3B8-42A6-BD4C-471579D2E5B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B65E-421B-9947-A4663DF563C0}"/>
                </c:ext>
              </c:extLst>
            </c:dLbl>
            <c:dLbl>
              <c:idx val="29"/>
              <c:tx>
                <c:rich>
                  <a:bodyPr/>
                  <a:lstStyle/>
                  <a:p>
                    <a:fld id="{124C0A27-A845-4AB6-928A-42E6A628341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5-B65E-421B-9947-A4663DF563C0}"/>
                </c:ext>
              </c:extLst>
            </c:dLbl>
            <c:dLbl>
              <c:idx val="30"/>
              <c:tx>
                <c:rich>
                  <a:bodyPr/>
                  <a:lstStyle/>
                  <a:p>
                    <a:fld id="{859592B7-5B77-4181-BE9B-11BBB2E2F26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6-B65E-421B-9947-A4663DF563C0}"/>
                </c:ext>
              </c:extLst>
            </c:dLbl>
            <c:dLbl>
              <c:idx val="31"/>
              <c:tx>
                <c:rich>
                  <a:bodyPr/>
                  <a:lstStyle/>
                  <a:p>
                    <a:fld id="{BBA2781A-69D6-4C4F-B712-5D5E1E3BEC3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B65E-421B-9947-A4663DF563C0}"/>
                </c:ext>
              </c:extLst>
            </c:dLbl>
            <c:dLbl>
              <c:idx val="32"/>
              <c:tx>
                <c:rich>
                  <a:bodyPr/>
                  <a:lstStyle/>
                  <a:p>
                    <a:fld id="{DAB9D3FE-4E50-4B1F-ACE6-A7994C07142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B65E-421B-9947-A4663DF563C0}"/>
                </c:ext>
              </c:extLst>
            </c:dLbl>
            <c:dLbl>
              <c:idx val="33"/>
              <c:tx>
                <c:rich>
                  <a:bodyPr/>
                  <a:lstStyle/>
                  <a:p>
                    <a:fld id="{3C80DD4C-AF1D-4B37-BE44-283F9AFD775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9-B65E-421B-9947-A4663DF563C0}"/>
                </c:ext>
              </c:extLst>
            </c:dLbl>
            <c:dLbl>
              <c:idx val="34"/>
              <c:tx>
                <c:rich>
                  <a:bodyPr/>
                  <a:lstStyle/>
                  <a:p>
                    <a:fld id="{ABC38139-DE6D-4989-9916-87704D1871C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A-B65E-421B-9947-A4663DF563C0}"/>
                </c:ext>
              </c:extLst>
            </c:dLbl>
            <c:dLbl>
              <c:idx val="35"/>
              <c:tx>
                <c:rich>
                  <a:bodyPr/>
                  <a:lstStyle/>
                  <a:p>
                    <a:fld id="{C8A8B0AE-AF14-4C52-A26A-F2D51948648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B-B65E-421B-9947-A4663DF563C0}"/>
                </c:ext>
              </c:extLst>
            </c:dLbl>
            <c:dLbl>
              <c:idx val="36"/>
              <c:tx>
                <c:rich>
                  <a:bodyPr/>
                  <a:lstStyle/>
                  <a:p>
                    <a:fld id="{56E4FA17-E5BC-4F4B-8024-5ACEBA83113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C-B65E-421B-9947-A4663DF563C0}"/>
                </c:ext>
              </c:extLst>
            </c:dLbl>
            <c:dLbl>
              <c:idx val="37"/>
              <c:tx>
                <c:rich>
                  <a:bodyPr/>
                  <a:lstStyle/>
                  <a:p>
                    <a:fld id="{C6EC1D63-C6F1-4AF9-A36F-E618E07BC26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B65E-421B-9947-A4663DF563C0}"/>
                </c:ext>
              </c:extLst>
            </c:dLbl>
            <c:dLbl>
              <c:idx val="38"/>
              <c:tx>
                <c:rich>
                  <a:bodyPr/>
                  <a:lstStyle/>
                  <a:p>
                    <a:fld id="{267B7868-F77B-40F1-8D4A-E5C66F38763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E-B65E-421B-9947-A4663DF563C0}"/>
                </c:ext>
              </c:extLst>
            </c:dLbl>
            <c:dLbl>
              <c:idx val="39"/>
              <c:tx>
                <c:rich>
                  <a:bodyPr/>
                  <a:lstStyle/>
                  <a:p>
                    <a:fld id="{CBB40F30-4528-4231-B9CA-B3CF4A2A01D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B65E-421B-9947-A4663DF563C0}"/>
                </c:ext>
              </c:extLst>
            </c:dLbl>
            <c:dLbl>
              <c:idx val="40"/>
              <c:tx>
                <c:rich>
                  <a:bodyPr/>
                  <a:lstStyle/>
                  <a:p>
                    <a:fld id="{89854F70-98CD-4A10-9CC6-1B79DD22543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B65E-421B-9947-A4663DF563C0}"/>
                </c:ext>
              </c:extLst>
            </c:dLbl>
            <c:dLbl>
              <c:idx val="41"/>
              <c:tx>
                <c:rich>
                  <a:bodyPr/>
                  <a:lstStyle/>
                  <a:p>
                    <a:fld id="{1FE27BF7-1B37-4218-B865-9160F9923C0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B65E-421B-9947-A4663DF563C0}"/>
                </c:ext>
              </c:extLst>
            </c:dLbl>
            <c:dLbl>
              <c:idx val="42"/>
              <c:tx>
                <c:rich>
                  <a:bodyPr/>
                  <a:lstStyle/>
                  <a:p>
                    <a:fld id="{7367926F-1A13-4AD6-851F-1E3F36B6C67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2-B65E-421B-9947-A4663DF563C0}"/>
                </c:ext>
              </c:extLst>
            </c:dLbl>
            <c:dLbl>
              <c:idx val="43"/>
              <c:tx>
                <c:rich>
                  <a:bodyPr/>
                  <a:lstStyle/>
                  <a:p>
                    <a:fld id="{20EA16C6-58D4-499B-804F-045E1900AC5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3-B65E-421B-9947-A4663DF563C0}"/>
                </c:ext>
              </c:extLst>
            </c:dLbl>
            <c:dLbl>
              <c:idx val="44"/>
              <c:tx>
                <c:rich>
                  <a:bodyPr/>
                  <a:lstStyle/>
                  <a:p>
                    <a:fld id="{52C309D3-2D2C-4146-A10C-A5D5C41640A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4-B65E-421B-9947-A4663DF563C0}"/>
                </c:ext>
              </c:extLst>
            </c:dLbl>
            <c:dLbl>
              <c:idx val="45"/>
              <c:tx>
                <c:rich>
                  <a:bodyPr/>
                  <a:lstStyle/>
                  <a:p>
                    <a:fld id="{B1C29A8D-4546-4498-8E2B-D122305B233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B65E-421B-9947-A4663DF563C0}"/>
                </c:ext>
              </c:extLst>
            </c:dLbl>
            <c:dLbl>
              <c:idx val="46"/>
              <c:tx>
                <c:rich>
                  <a:bodyPr/>
                  <a:lstStyle/>
                  <a:p>
                    <a:fld id="{3A45BFE5-8FC1-47BD-8E6E-1D366A62988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B65E-421B-9947-A4663DF563C0}"/>
                </c:ext>
              </c:extLst>
            </c:dLbl>
            <c:dLbl>
              <c:idx val="47"/>
              <c:tx>
                <c:rich>
                  <a:bodyPr/>
                  <a:lstStyle/>
                  <a:p>
                    <a:fld id="{708D645F-5B69-4E2C-B7C9-0F28306AB5D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B65E-421B-9947-A4663DF563C0}"/>
                </c:ext>
              </c:extLst>
            </c:dLbl>
            <c:dLbl>
              <c:idx val="48"/>
              <c:tx>
                <c:rich>
                  <a:bodyPr/>
                  <a:lstStyle/>
                  <a:p>
                    <a:fld id="{C21C6379-25C2-43C9-A77B-C28B1DCD0CE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B65E-421B-9947-A4663DF563C0}"/>
                </c:ext>
              </c:extLst>
            </c:dLbl>
            <c:dLbl>
              <c:idx val="49"/>
              <c:tx>
                <c:rich>
                  <a:bodyPr/>
                  <a:lstStyle/>
                  <a:p>
                    <a:fld id="{95F27B6A-2D97-4A21-A30C-BA4000DC7D9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B65E-421B-9947-A4663DF563C0}"/>
                </c:ext>
              </c:extLst>
            </c:dLbl>
            <c:dLbl>
              <c:idx val="50"/>
              <c:tx>
                <c:rich>
                  <a:bodyPr/>
                  <a:lstStyle/>
                  <a:p>
                    <a:fld id="{4633A115-B59F-4AEC-9BA4-7BA861A55CC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8-B65E-421B-9947-A4663DF563C0}"/>
                </c:ext>
              </c:extLst>
            </c:dLbl>
            <c:dLbl>
              <c:idx val="51"/>
              <c:tx>
                <c:rich>
                  <a:bodyPr/>
                  <a:lstStyle/>
                  <a:p>
                    <a:fld id="{0F1802A6-BE52-4BF7-B8CD-A9CE9E9E84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9-B65E-421B-9947-A4663DF563C0}"/>
                </c:ext>
              </c:extLst>
            </c:dLbl>
            <c:dLbl>
              <c:idx val="52"/>
              <c:tx>
                <c:rich>
                  <a:bodyPr/>
                  <a:lstStyle/>
                  <a:p>
                    <a:fld id="{CFC6F362-555E-4BEF-82BB-6A3CB94BFA7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B65E-421B-9947-A4663DF563C0}"/>
                </c:ext>
              </c:extLst>
            </c:dLbl>
            <c:dLbl>
              <c:idx val="53"/>
              <c:tx>
                <c:rich>
                  <a:bodyPr/>
                  <a:lstStyle/>
                  <a:p>
                    <a:fld id="{EE454DAC-4AFC-40F5-9682-4B21CDFDEAE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A-B65E-421B-9947-A4663DF563C0}"/>
                </c:ext>
              </c:extLst>
            </c:dLbl>
            <c:dLbl>
              <c:idx val="54"/>
              <c:tx>
                <c:rich>
                  <a:bodyPr/>
                  <a:lstStyle/>
                  <a:p>
                    <a:fld id="{423F6F67-6C26-436B-BA04-9D17AC9CDD8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B-B65E-421B-9947-A4663DF563C0}"/>
                </c:ext>
              </c:extLst>
            </c:dLbl>
            <c:dLbl>
              <c:idx val="55"/>
              <c:tx>
                <c:rich>
                  <a:bodyPr/>
                  <a:lstStyle/>
                  <a:p>
                    <a:fld id="{EA76ECAF-90B6-410E-8ECB-49AA257AB3C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C-B65E-421B-9947-A4663DF563C0}"/>
                </c:ext>
              </c:extLst>
            </c:dLbl>
            <c:dLbl>
              <c:idx val="56"/>
              <c:tx>
                <c:rich>
                  <a:bodyPr/>
                  <a:lstStyle/>
                  <a:p>
                    <a:fld id="{E59C9180-EBDA-44D5-A1F3-519C63FC070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D-B65E-421B-9947-A4663DF563C0}"/>
                </c:ext>
              </c:extLst>
            </c:dLbl>
            <c:dLbl>
              <c:idx val="57"/>
              <c:tx>
                <c:rich>
                  <a:bodyPr/>
                  <a:lstStyle/>
                  <a:p>
                    <a:fld id="{5DB4CC9C-EF9C-435A-BE94-5F13FDED226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E-B65E-421B-9947-A4663DF563C0}"/>
                </c:ext>
              </c:extLst>
            </c:dLbl>
            <c:dLbl>
              <c:idx val="119"/>
              <c:tx>
                <c:rich>
                  <a:bodyPr/>
                  <a:lstStyle/>
                  <a:p>
                    <a:fld id="{71F5CF93-38D4-430B-9B95-9306C737B4DC}"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F-B65E-421B-9947-A4663DF563C0}"/>
                </c:ext>
              </c:extLst>
            </c:dLbl>
            <c:dLbl>
              <c:idx val="121"/>
              <c:tx>
                <c:rich>
                  <a:bodyPr/>
                  <a:lstStyle/>
                  <a:p>
                    <a:fld id="{D4E0214E-F1E4-44DD-902A-50FDFEA99A6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0-B65E-421B-9947-A4663DF563C0}"/>
                </c:ext>
              </c:extLst>
            </c:dLbl>
            <c:dLbl>
              <c:idx val="122"/>
              <c:tx>
                <c:rich>
                  <a:bodyPr/>
                  <a:lstStyle/>
                  <a:p>
                    <a:fld id="{C6322EC3-09AB-4B61-821E-731CDF592E4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1-B65E-421B-9947-A4663DF563C0}"/>
                </c:ext>
              </c:extLst>
            </c:dLbl>
            <c:dLbl>
              <c:idx val="123"/>
              <c:tx>
                <c:rich>
                  <a:bodyPr/>
                  <a:lstStyle/>
                  <a:p>
                    <a:fld id="{C06A170B-B48B-402E-9785-3D2C38D68D26}"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2-B65E-421B-9947-A4663DF563C0}"/>
                </c:ext>
              </c:extLst>
            </c:dLbl>
            <c:dLbl>
              <c:idx val="124"/>
              <c:tx>
                <c:rich>
                  <a:bodyPr/>
                  <a:lstStyle/>
                  <a:p>
                    <a:fld id="{7BD2EADA-2F6B-482C-AF09-20DD0F439404}"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3-B65E-421B-9947-A4663DF563C0}"/>
                </c:ext>
              </c:extLst>
            </c:dLbl>
            <c:dLbl>
              <c:idx val="126"/>
              <c:tx>
                <c:rich>
                  <a:bodyPr/>
                  <a:lstStyle/>
                  <a:p>
                    <a:fld id="{D01D5768-FC30-4A36-820A-D4908B250085}"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4-B65E-421B-9947-A4663DF563C0}"/>
                </c:ext>
              </c:extLst>
            </c:dLbl>
            <c:dLbl>
              <c:idx val="127"/>
              <c:tx>
                <c:rich>
                  <a:bodyPr/>
                  <a:lstStyle/>
                  <a:p>
                    <a:fld id="{C1F15D0A-C057-404E-984F-45F16CEB9E22}"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5-B65E-421B-9947-A4663DF563C0}"/>
                </c:ext>
              </c:extLst>
            </c:dLbl>
            <c:dLbl>
              <c:idx val="128"/>
              <c:tx>
                <c:rich>
                  <a:bodyPr/>
                  <a:lstStyle/>
                  <a:p>
                    <a:fld id="{5A22B7AB-8401-40F4-BD67-D0824BD149E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B65E-421B-9947-A4663DF563C0}"/>
                </c:ext>
              </c:extLst>
            </c:dLbl>
            <c:dLbl>
              <c:idx val="129"/>
              <c:tx>
                <c:rich>
                  <a:bodyPr/>
                  <a:lstStyle/>
                  <a:p>
                    <a:fld id="{E3543981-705D-46F1-923F-2959EA20DE4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6-B65E-421B-9947-A4663DF563C0}"/>
                </c:ext>
              </c:extLst>
            </c:dLbl>
            <c:dLbl>
              <c:idx val="131"/>
              <c:tx>
                <c:rich>
                  <a:bodyPr/>
                  <a:lstStyle/>
                  <a:p>
                    <a:fld id="{0A87DA2E-3A43-48BF-BA33-61F3EDA3A1C0}"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7-B65E-421B-9947-A4663DF563C0}"/>
                </c:ext>
              </c:extLst>
            </c:dLbl>
            <c:dLbl>
              <c:idx val="132"/>
              <c:tx>
                <c:rich>
                  <a:bodyPr/>
                  <a:lstStyle/>
                  <a:p>
                    <a:fld id="{DFFC0CEF-DD3E-41B2-ABF5-20E689E85D9E}"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8-B65E-421B-9947-A4663DF563C0}"/>
                </c:ext>
              </c:extLst>
            </c:dLbl>
            <c:dLbl>
              <c:idx val="133"/>
              <c:tx>
                <c:rich>
                  <a:bodyPr/>
                  <a:lstStyle/>
                  <a:p>
                    <a:fld id="{375A8253-5886-4D18-9FB8-1B942B112CF1}"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9-B65E-421B-9947-A4663DF563C0}"/>
                </c:ext>
              </c:extLst>
            </c:dLbl>
            <c:dLbl>
              <c:idx val="134"/>
              <c:tx>
                <c:rich>
                  <a:bodyPr/>
                  <a:lstStyle/>
                  <a:p>
                    <a:fld id="{06088A13-45AE-4AEE-B927-7765530CFE0B}"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A-B65E-421B-9947-A4663DF563C0}"/>
                </c:ext>
              </c:extLst>
            </c:dLbl>
            <c:dLbl>
              <c:idx val="135"/>
              <c:tx>
                <c:rich>
                  <a:bodyPr/>
                  <a:lstStyle/>
                  <a:p>
                    <a:fld id="{BF38806A-9B3F-4D5D-8B75-4FE158A53848}"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B-B65E-421B-9947-A4663DF563C0}"/>
                </c:ext>
              </c:extLst>
            </c:dLbl>
            <c:dLbl>
              <c:idx val="136"/>
              <c:tx>
                <c:rich>
                  <a:bodyPr/>
                  <a:lstStyle/>
                  <a:p>
                    <a:fld id="{FE71085B-30C6-4533-88A1-BE211B20A876}"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C-B65E-421B-9947-A4663DF563C0}"/>
                </c:ext>
              </c:extLst>
            </c:dLbl>
            <c:dLbl>
              <c:idx val="137"/>
              <c:tx>
                <c:rich>
                  <a:bodyPr/>
                  <a:lstStyle/>
                  <a:p>
                    <a:fld id="{33891CAC-D05D-43E2-9E54-3D138FCFBA86}"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D-B65E-421B-9947-A4663DF563C0}"/>
                </c:ext>
              </c:extLst>
            </c:dLbl>
            <c:dLbl>
              <c:idx val="138"/>
              <c:tx>
                <c:rich>
                  <a:bodyPr/>
                  <a:lstStyle/>
                  <a:p>
                    <a:fld id="{F91A0300-4134-4C36-9AF1-81BCDBE764B7}"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E-B65E-421B-9947-A4663DF563C0}"/>
                </c:ext>
              </c:extLst>
            </c:dLbl>
            <c:dLbl>
              <c:idx val="139"/>
              <c:tx>
                <c:rich>
                  <a:bodyPr/>
                  <a:lstStyle/>
                  <a:p>
                    <a:fld id="{CFA6722B-72FC-4ACA-BB2E-3717C2C38CC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4F-B65E-421B-9947-A4663DF563C0}"/>
                </c:ext>
              </c:extLst>
            </c:dLbl>
            <c:dLbl>
              <c:idx val="140"/>
              <c:tx>
                <c:rich>
                  <a:bodyPr/>
                  <a:lstStyle/>
                  <a:p>
                    <a:fld id="{FA8095D1-722C-4774-A18C-71650EA8337A}"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0-B65E-421B-9947-A4663DF563C0}"/>
                </c:ext>
              </c:extLst>
            </c:dLbl>
            <c:dLbl>
              <c:idx val="141"/>
              <c:tx>
                <c:rich>
                  <a:bodyPr/>
                  <a:lstStyle/>
                  <a:p>
                    <a:fld id="{4B24888E-0B05-4619-96B4-469078ABAA29}"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1-B65E-421B-9947-A4663DF563C0}"/>
                </c:ext>
              </c:extLst>
            </c:dLbl>
            <c:dLbl>
              <c:idx val="142"/>
              <c:tx>
                <c:rich>
                  <a:bodyPr/>
                  <a:lstStyle/>
                  <a:p>
                    <a:fld id="{182BB811-A995-484E-934B-59C01B843D74}"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2-B65E-421B-9947-A4663DF563C0}"/>
                </c:ext>
              </c:extLst>
            </c:dLbl>
            <c:dLbl>
              <c:idx val="143"/>
              <c:tx>
                <c:rich>
                  <a:bodyPr/>
                  <a:lstStyle/>
                  <a:p>
                    <a:fld id="{CE634DD2-C3F4-4C1A-BD2B-2012DEE5FC1F}" type="CELLRANGE">
                      <a:rPr lang="en-CA"/>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53-B65E-421B-9947-A4663DF563C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(BVL,6m+)'!$I$2:$I$59</c:f>
              <c:numCache>
                <c:formatCode>General</c:formatCode>
                <c:ptCount val="58"/>
                <c:pt idx="0">
                  <c:v>2.67</c:v>
                </c:pt>
                <c:pt idx="1">
                  <c:v>2.56</c:v>
                </c:pt>
                <c:pt idx="2">
                  <c:v>2.86</c:v>
                </c:pt>
                <c:pt idx="3">
                  <c:v>2.94</c:v>
                </c:pt>
                <c:pt idx="4">
                  <c:v>2.57</c:v>
                </c:pt>
                <c:pt idx="5">
                  <c:v>2.4700000000000002</c:v>
                </c:pt>
                <c:pt idx="6">
                  <c:v>2.68</c:v>
                </c:pt>
                <c:pt idx="7">
                  <c:v>2.2999999999999998</c:v>
                </c:pt>
                <c:pt idx="8">
                  <c:v>2.7</c:v>
                </c:pt>
                <c:pt idx="9">
                  <c:v>2.7</c:v>
                </c:pt>
                <c:pt idx="10">
                  <c:v>2.4</c:v>
                </c:pt>
                <c:pt idx="11">
                  <c:v>2.5</c:v>
                </c:pt>
                <c:pt idx="12">
                  <c:v>2.4</c:v>
                </c:pt>
                <c:pt idx="13">
                  <c:v>2.48</c:v>
                </c:pt>
                <c:pt idx="14">
                  <c:v>2.4</c:v>
                </c:pt>
                <c:pt idx="15">
                  <c:v>2.6</c:v>
                </c:pt>
                <c:pt idx="16">
                  <c:v>2.5</c:v>
                </c:pt>
                <c:pt idx="17">
                  <c:v>2.2999999999999998</c:v>
                </c:pt>
                <c:pt idx="18">
                  <c:v>2.44</c:v>
                </c:pt>
                <c:pt idx="19">
                  <c:v>2.6</c:v>
                </c:pt>
                <c:pt idx="20">
                  <c:v>2.6</c:v>
                </c:pt>
                <c:pt idx="21">
                  <c:v>2.9</c:v>
                </c:pt>
                <c:pt idx="22">
                  <c:v>2.97</c:v>
                </c:pt>
                <c:pt idx="23">
                  <c:v>2.78</c:v>
                </c:pt>
                <c:pt idx="24">
                  <c:v>2.86</c:v>
                </c:pt>
                <c:pt idx="25">
                  <c:v>2.2999999999999998</c:v>
                </c:pt>
                <c:pt idx="26">
                  <c:v>2.09</c:v>
                </c:pt>
                <c:pt idx="27">
                  <c:v>2.35</c:v>
                </c:pt>
                <c:pt idx="28">
                  <c:v>2.35</c:v>
                </c:pt>
                <c:pt idx="29">
                  <c:v>2.84</c:v>
                </c:pt>
                <c:pt idx="30">
                  <c:v>2.75</c:v>
                </c:pt>
                <c:pt idx="31">
                  <c:v>2.7</c:v>
                </c:pt>
                <c:pt idx="32">
                  <c:v>2</c:v>
                </c:pt>
                <c:pt idx="33">
                  <c:v>1.9</c:v>
                </c:pt>
                <c:pt idx="34">
                  <c:v>2.19</c:v>
                </c:pt>
                <c:pt idx="35">
                  <c:v>2.6</c:v>
                </c:pt>
                <c:pt idx="36">
                  <c:v>2.5</c:v>
                </c:pt>
                <c:pt idx="37">
                  <c:v>2.4</c:v>
                </c:pt>
                <c:pt idx="38">
                  <c:v>2.5</c:v>
                </c:pt>
                <c:pt idx="39">
                  <c:v>2.8</c:v>
                </c:pt>
                <c:pt idx="40">
                  <c:v>2.33</c:v>
                </c:pt>
                <c:pt idx="41">
                  <c:v>2.7</c:v>
                </c:pt>
                <c:pt idx="42">
                  <c:v>2.6</c:v>
                </c:pt>
                <c:pt idx="43">
                  <c:v>2.2999999999999998</c:v>
                </c:pt>
                <c:pt idx="44">
                  <c:v>2.8</c:v>
                </c:pt>
                <c:pt idx="45">
                  <c:v>2.6</c:v>
                </c:pt>
                <c:pt idx="46">
                  <c:v>2.2799999999999998</c:v>
                </c:pt>
                <c:pt idx="47">
                  <c:v>2.73</c:v>
                </c:pt>
                <c:pt idx="48">
                  <c:v>2.2400000000000002</c:v>
                </c:pt>
                <c:pt idx="49">
                  <c:v>2.78</c:v>
                </c:pt>
                <c:pt idx="50">
                  <c:v>2.4</c:v>
                </c:pt>
                <c:pt idx="51">
                  <c:v>2.2999999999999998</c:v>
                </c:pt>
                <c:pt idx="52">
                  <c:v>2.74</c:v>
                </c:pt>
                <c:pt idx="53">
                  <c:v>2.4</c:v>
                </c:pt>
                <c:pt idx="54">
                  <c:v>2.6</c:v>
                </c:pt>
                <c:pt idx="55">
                  <c:v>2.7</c:v>
                </c:pt>
                <c:pt idx="56">
                  <c:v>2</c:v>
                </c:pt>
                <c:pt idx="57">
                  <c:v>1.9</c:v>
                </c:pt>
              </c:numCache>
            </c:numRef>
          </c:val>
          <c:extLst>
            <c:ext xmlns:c15="http://schemas.microsoft.com/office/drawing/2012/chart" uri="{02D57815-91ED-43cb-92C2-25804820EDAC}">
              <c15:datalabelsRange>
                <c15:f>'ALL-baselines_ (BVL,6m+)'!$BM$2:$BM$59</c15:f>
                <c15:dlblRangeCache>
                  <c:ptCount val="58"/>
                  <c:pt idx="16">
                    <c:v>*</c:v>
                  </c:pt>
                  <c:pt idx="38">
                    <c:v>*</c:v>
                  </c:pt>
                </c15:dlblRangeCache>
              </c15:datalabelsRange>
            </c:ext>
            <c:ext xmlns:c16="http://schemas.microsoft.com/office/drawing/2014/chart" uri="{C3380CC4-5D6E-409C-BE32-E72D297353CC}">
              <c16:uniqueId val="{00000054-B65E-421B-9947-A4663DF563C0}"/>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1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Mean EDSS Score</a:t>
                </a:r>
              </a:p>
            </c:rich>
          </c:tx>
          <c:layout>
            <c:manualLayout>
              <c:xMode val="edge"/>
              <c:yMode val="edge"/>
              <c:x val="0.52841500190865553"/>
              <c:y val="0.98248539102868093"/>
            </c:manualLayout>
          </c:layout>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(BVL,6m+)'!$J$1</c:f>
              <c:strCache>
                <c:ptCount val="1"/>
                <c:pt idx="0">
                  <c:v>MeanARR</c:v>
                </c:pt>
              </c:strCache>
            </c:strRef>
          </c:tx>
          <c:spPr>
            <a:solidFill>
              <a:schemeClr val="accent1"/>
            </a:solidFill>
            <a:ln>
              <a:noFill/>
            </a:ln>
            <a:effectLst/>
          </c:spPr>
          <c:invertIfNegative val="0"/>
          <c:dLbls>
            <c:dLbl>
              <c:idx val="0"/>
              <c:tx>
                <c:rich>
                  <a:bodyPr/>
                  <a:lstStyle/>
                  <a:p>
                    <a:fld id="{978BAC90-33D2-4F39-93F8-4746594A279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8669-4925-A016-3B6EC474A821}"/>
                </c:ext>
              </c:extLst>
            </c:dLbl>
            <c:dLbl>
              <c:idx val="1"/>
              <c:tx>
                <c:rich>
                  <a:bodyPr/>
                  <a:lstStyle/>
                  <a:p>
                    <a:fld id="{3B6F028C-8C4C-4C77-847A-A0685A20AA81}"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8669-4925-A016-3B6EC474A821}"/>
                </c:ext>
              </c:extLst>
            </c:dLbl>
            <c:dLbl>
              <c:idx val="2"/>
              <c:tx>
                <c:rich>
                  <a:bodyPr/>
                  <a:lstStyle/>
                  <a:p>
                    <a:fld id="{64C3865A-6510-475F-B254-B48620E75A4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8669-4925-A016-3B6EC474A821}"/>
                </c:ext>
              </c:extLst>
            </c:dLbl>
            <c:dLbl>
              <c:idx val="3"/>
              <c:tx>
                <c:rich>
                  <a:bodyPr/>
                  <a:lstStyle/>
                  <a:p>
                    <a:fld id="{FABE0884-3F86-44BB-8D11-E4778EE3992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8669-4925-A016-3B6EC474A821}"/>
                </c:ext>
              </c:extLst>
            </c:dLbl>
            <c:dLbl>
              <c:idx val="4"/>
              <c:tx>
                <c:rich>
                  <a:bodyPr/>
                  <a:lstStyle/>
                  <a:p>
                    <a:fld id="{10D42CE6-9B8F-4AF1-A4C9-36037836A3B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8669-4925-A016-3B6EC474A821}"/>
                </c:ext>
              </c:extLst>
            </c:dLbl>
            <c:dLbl>
              <c:idx val="5"/>
              <c:tx>
                <c:rich>
                  <a:bodyPr/>
                  <a:lstStyle/>
                  <a:p>
                    <a:fld id="{986C36C7-EECD-4C39-91D6-0584AFC140F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8669-4925-A016-3B6EC474A821}"/>
                </c:ext>
              </c:extLst>
            </c:dLbl>
            <c:dLbl>
              <c:idx val="6"/>
              <c:tx>
                <c:rich>
                  <a:bodyPr/>
                  <a:lstStyle/>
                  <a:p>
                    <a:fld id="{E5260F1F-099D-4EFA-804E-0521497E642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8669-4925-A016-3B6EC474A821}"/>
                </c:ext>
              </c:extLst>
            </c:dLbl>
            <c:dLbl>
              <c:idx val="7"/>
              <c:tx>
                <c:rich>
                  <a:bodyPr/>
                  <a:lstStyle/>
                  <a:p>
                    <a:fld id="{4A81BECC-FF99-424D-B713-F365AC8CC5D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8669-4925-A016-3B6EC474A821}"/>
                </c:ext>
              </c:extLst>
            </c:dLbl>
            <c:dLbl>
              <c:idx val="8"/>
              <c:tx>
                <c:rich>
                  <a:bodyPr/>
                  <a:lstStyle/>
                  <a:p>
                    <a:fld id="{75BB790A-4794-4C16-B751-6BD5AAFAEF8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8-8669-4925-A016-3B6EC474A821}"/>
                </c:ext>
              </c:extLst>
            </c:dLbl>
            <c:dLbl>
              <c:idx val="9"/>
              <c:tx>
                <c:rich>
                  <a:bodyPr/>
                  <a:lstStyle/>
                  <a:p>
                    <a:fld id="{D48F0BE8-8226-440E-A580-B0945161866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8669-4925-A016-3B6EC474A821}"/>
                </c:ext>
              </c:extLst>
            </c:dLbl>
            <c:dLbl>
              <c:idx val="10"/>
              <c:tx>
                <c:rich>
                  <a:bodyPr/>
                  <a:lstStyle/>
                  <a:p>
                    <a:fld id="{C1C5C838-AA57-4BF5-B36F-923D1ACE177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8669-4925-A016-3B6EC474A821}"/>
                </c:ext>
              </c:extLst>
            </c:dLbl>
            <c:dLbl>
              <c:idx val="11"/>
              <c:tx>
                <c:rich>
                  <a:bodyPr/>
                  <a:lstStyle/>
                  <a:p>
                    <a:fld id="{5AA05A98-A7DF-419F-8B1C-2E55417701D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8669-4925-A016-3B6EC474A821}"/>
                </c:ext>
              </c:extLst>
            </c:dLbl>
            <c:dLbl>
              <c:idx val="12"/>
              <c:tx>
                <c:rich>
                  <a:bodyPr/>
                  <a:lstStyle/>
                  <a:p>
                    <a:fld id="{A9C5179C-A663-4E6D-8B21-2218C051DB7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C-8669-4925-A016-3B6EC474A821}"/>
                </c:ext>
              </c:extLst>
            </c:dLbl>
            <c:dLbl>
              <c:idx val="13"/>
              <c:tx>
                <c:rich>
                  <a:bodyPr/>
                  <a:lstStyle/>
                  <a:p>
                    <a:fld id="{885D6B1D-BC7D-41C3-8BAF-50153ED1F11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8669-4925-A016-3B6EC474A821}"/>
                </c:ext>
              </c:extLst>
            </c:dLbl>
            <c:dLbl>
              <c:idx val="14"/>
              <c:tx>
                <c:rich>
                  <a:bodyPr/>
                  <a:lstStyle/>
                  <a:p>
                    <a:fld id="{E244214F-C5AC-4427-AF83-2808F18CC1C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E-8669-4925-A016-3B6EC474A821}"/>
                </c:ext>
              </c:extLst>
            </c:dLbl>
            <c:dLbl>
              <c:idx val="15"/>
              <c:tx>
                <c:rich>
                  <a:bodyPr/>
                  <a:lstStyle/>
                  <a:p>
                    <a:fld id="{0083FC4E-36EC-4270-B33D-6D90B27BA49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8669-4925-A016-3B6EC474A821}"/>
                </c:ext>
              </c:extLst>
            </c:dLbl>
            <c:dLbl>
              <c:idx val="16"/>
              <c:tx>
                <c:rich>
                  <a:bodyPr/>
                  <a:lstStyle/>
                  <a:p>
                    <a:fld id="{B6C75F44-0384-4F71-ABAC-D4AB7DD06DD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8669-4925-A016-3B6EC474A821}"/>
                </c:ext>
              </c:extLst>
            </c:dLbl>
            <c:dLbl>
              <c:idx val="17"/>
              <c:tx>
                <c:rich>
                  <a:bodyPr/>
                  <a:lstStyle/>
                  <a:p>
                    <a:fld id="{910B8C32-6A7C-466A-8B42-C14C1381D4D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8669-4925-A016-3B6EC474A821}"/>
                </c:ext>
              </c:extLst>
            </c:dLbl>
            <c:dLbl>
              <c:idx val="18"/>
              <c:tx>
                <c:rich>
                  <a:bodyPr/>
                  <a:lstStyle/>
                  <a:p>
                    <a:fld id="{FD08FFD8-C8FA-4125-8555-0D2B859FFAC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8669-4925-A016-3B6EC474A821}"/>
                </c:ext>
              </c:extLst>
            </c:dLbl>
            <c:dLbl>
              <c:idx val="19"/>
              <c:tx>
                <c:rich>
                  <a:bodyPr/>
                  <a:lstStyle/>
                  <a:p>
                    <a:fld id="{D0FFA04E-3E1D-48A4-A4A9-8CA46341D3B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8669-4925-A016-3B6EC474A821}"/>
                </c:ext>
              </c:extLst>
            </c:dLbl>
            <c:dLbl>
              <c:idx val="20"/>
              <c:tx>
                <c:rich>
                  <a:bodyPr/>
                  <a:lstStyle/>
                  <a:p>
                    <a:fld id="{2596FF21-5A06-4B0E-A5F5-BDF39093CE4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8669-4925-A016-3B6EC474A821}"/>
                </c:ext>
              </c:extLst>
            </c:dLbl>
            <c:dLbl>
              <c:idx val="21"/>
              <c:tx>
                <c:rich>
                  <a:bodyPr/>
                  <a:lstStyle/>
                  <a:p>
                    <a:fld id="{86605B89-C7CD-4A17-9F0B-684672E0B6F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8669-4925-A016-3B6EC474A821}"/>
                </c:ext>
              </c:extLst>
            </c:dLbl>
            <c:dLbl>
              <c:idx val="22"/>
              <c:tx>
                <c:rich>
                  <a:bodyPr/>
                  <a:lstStyle/>
                  <a:p>
                    <a:fld id="{676049C4-14B7-4CA9-A767-2676C577992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8669-4925-A016-3B6EC474A821}"/>
                </c:ext>
              </c:extLst>
            </c:dLbl>
            <c:dLbl>
              <c:idx val="23"/>
              <c:tx>
                <c:rich>
                  <a:bodyPr/>
                  <a:lstStyle/>
                  <a:p>
                    <a:fld id="{2FFB903D-FC6D-4BDB-9F9E-66F65D0E568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8669-4925-A016-3B6EC474A821}"/>
                </c:ext>
              </c:extLst>
            </c:dLbl>
            <c:dLbl>
              <c:idx val="24"/>
              <c:tx>
                <c:rich>
                  <a:bodyPr/>
                  <a:lstStyle/>
                  <a:p>
                    <a:fld id="{D2DC8900-7AF7-4ABB-90A2-DA3AC6EACCE0}"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8669-4925-A016-3B6EC474A821}"/>
                </c:ext>
              </c:extLst>
            </c:dLbl>
            <c:dLbl>
              <c:idx val="25"/>
              <c:tx>
                <c:rich>
                  <a:bodyPr/>
                  <a:lstStyle/>
                  <a:p>
                    <a:fld id="{4750956F-0E0F-4B89-BB97-A112947D934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9-8669-4925-A016-3B6EC474A821}"/>
                </c:ext>
              </c:extLst>
            </c:dLbl>
            <c:dLbl>
              <c:idx val="26"/>
              <c:tx>
                <c:rich>
                  <a:bodyPr/>
                  <a:lstStyle/>
                  <a:p>
                    <a:fld id="{37F23ECF-DECA-4E98-B3E3-367EF054E6F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8669-4925-A016-3B6EC474A821}"/>
                </c:ext>
              </c:extLst>
            </c:dLbl>
            <c:dLbl>
              <c:idx val="27"/>
              <c:tx>
                <c:rich>
                  <a:bodyPr/>
                  <a:lstStyle/>
                  <a:p>
                    <a:fld id="{46EDAB7D-BF1D-4A7C-A6C0-4F98732ED2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B-8669-4925-A016-3B6EC474A821}"/>
                </c:ext>
              </c:extLst>
            </c:dLbl>
            <c:dLbl>
              <c:idx val="28"/>
              <c:tx>
                <c:rich>
                  <a:bodyPr/>
                  <a:lstStyle/>
                  <a:p>
                    <a:fld id="{9AFFD1C6-DBBD-48FC-A002-2395AE5259D8}"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C-8669-4925-A016-3B6EC474A821}"/>
                </c:ext>
              </c:extLst>
            </c:dLbl>
            <c:dLbl>
              <c:idx val="29"/>
              <c:tx>
                <c:rich>
                  <a:bodyPr/>
                  <a:lstStyle/>
                  <a:p>
                    <a:fld id="{5302B07B-28F9-4A43-88A3-A7ED3566EBB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D-8669-4925-A016-3B6EC474A821}"/>
                </c:ext>
              </c:extLst>
            </c:dLbl>
            <c:dLbl>
              <c:idx val="30"/>
              <c:tx>
                <c:rich>
                  <a:bodyPr/>
                  <a:lstStyle/>
                  <a:p>
                    <a:fld id="{06DAB7F7-F5BF-4EEF-8D70-0A9F191BDFE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E-8669-4925-A016-3B6EC474A821}"/>
                </c:ext>
              </c:extLst>
            </c:dLbl>
            <c:dLbl>
              <c:idx val="31"/>
              <c:tx>
                <c:rich>
                  <a:bodyPr/>
                  <a:lstStyle/>
                  <a:p>
                    <a:fld id="{FE92FD8E-9205-4A4A-9CF4-8924980417B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8669-4925-A016-3B6EC474A821}"/>
                </c:ext>
              </c:extLst>
            </c:dLbl>
            <c:dLbl>
              <c:idx val="32"/>
              <c:tx>
                <c:rich>
                  <a:bodyPr/>
                  <a:lstStyle/>
                  <a:p>
                    <a:fld id="{E3826CB6-2117-4EE2-9A2E-BF15B9743F9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0-8669-4925-A016-3B6EC474A821}"/>
                </c:ext>
              </c:extLst>
            </c:dLbl>
            <c:dLbl>
              <c:idx val="33"/>
              <c:tx>
                <c:rich>
                  <a:bodyPr/>
                  <a:lstStyle/>
                  <a:p>
                    <a:fld id="{4D51BE0C-8FA1-4F1E-AFA8-CE54D852D836}"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1-8669-4925-A016-3B6EC474A821}"/>
                </c:ext>
              </c:extLst>
            </c:dLbl>
            <c:dLbl>
              <c:idx val="34"/>
              <c:tx>
                <c:rich>
                  <a:bodyPr/>
                  <a:lstStyle/>
                  <a:p>
                    <a:fld id="{4FD9EB00-D14C-427E-A2CC-2D33180BC0FA}"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8669-4925-A016-3B6EC474A821}"/>
                </c:ext>
              </c:extLst>
            </c:dLbl>
            <c:dLbl>
              <c:idx val="35"/>
              <c:tx>
                <c:rich>
                  <a:bodyPr/>
                  <a:lstStyle/>
                  <a:p>
                    <a:fld id="{9A170D9A-8D0E-47B0-8929-DFC77EF8CDB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8669-4925-A016-3B6EC474A821}"/>
                </c:ext>
              </c:extLst>
            </c:dLbl>
            <c:dLbl>
              <c:idx val="36"/>
              <c:tx>
                <c:rich>
                  <a:bodyPr/>
                  <a:lstStyle/>
                  <a:p>
                    <a:endParaRPr lang="en-US"/>
                  </a:p>
                </c:rich>
              </c:tx>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4-8669-4925-A016-3B6EC474A821}"/>
                </c:ext>
              </c:extLst>
            </c:dLbl>
            <c:dLbl>
              <c:idx val="37"/>
              <c:tx>
                <c:rich>
                  <a:bodyPr/>
                  <a:lstStyle/>
                  <a:p>
                    <a:fld id="{8AC73271-C681-4C97-B4C2-44F343F8DAC2}"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5-8669-4925-A016-3B6EC474A821}"/>
                </c:ext>
              </c:extLst>
            </c:dLbl>
            <c:dLbl>
              <c:idx val="38"/>
              <c:tx>
                <c:rich>
                  <a:bodyPr/>
                  <a:lstStyle/>
                  <a:p>
                    <a:fld id="{3CEE059B-7847-4E03-B722-2EC7D4BF2A6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6-8669-4925-A016-3B6EC474A821}"/>
                </c:ext>
              </c:extLst>
            </c:dLbl>
            <c:dLbl>
              <c:idx val="39"/>
              <c:tx>
                <c:rich>
                  <a:bodyPr/>
                  <a:lstStyle/>
                  <a:p>
                    <a:fld id="{7931066E-0222-4F44-9832-C9788826C4A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8669-4925-A016-3B6EC474A821}"/>
                </c:ext>
              </c:extLst>
            </c:dLbl>
            <c:dLbl>
              <c:idx val="40"/>
              <c:tx>
                <c:rich>
                  <a:bodyPr/>
                  <a:lstStyle/>
                  <a:p>
                    <a:fld id="{A6516838-BE7E-44DD-A563-67540734560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8-8669-4925-A016-3B6EC474A821}"/>
                </c:ext>
              </c:extLst>
            </c:dLbl>
            <c:dLbl>
              <c:idx val="41"/>
              <c:tx>
                <c:rich>
                  <a:bodyPr/>
                  <a:lstStyle/>
                  <a:p>
                    <a:fld id="{4F69B53A-4A79-474D-B758-07916333E3F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9-8669-4925-A016-3B6EC474A821}"/>
                </c:ext>
              </c:extLst>
            </c:dLbl>
            <c:dLbl>
              <c:idx val="42"/>
              <c:tx>
                <c:rich>
                  <a:bodyPr/>
                  <a:lstStyle/>
                  <a:p>
                    <a:fld id="{4587EFA9-DC57-4206-8E42-87C160A2085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A-8669-4925-A016-3B6EC474A821}"/>
                </c:ext>
              </c:extLst>
            </c:dLbl>
            <c:dLbl>
              <c:idx val="43"/>
              <c:tx>
                <c:rich>
                  <a:bodyPr/>
                  <a:lstStyle/>
                  <a:p>
                    <a:fld id="{310F93B6-0474-4DEF-928C-DC5AD81C6C79}"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B-8669-4925-A016-3B6EC474A821}"/>
                </c:ext>
              </c:extLst>
            </c:dLbl>
            <c:dLbl>
              <c:idx val="44"/>
              <c:tx>
                <c:rich>
                  <a:bodyPr/>
                  <a:lstStyle/>
                  <a:p>
                    <a:fld id="{0020B4DD-3EBB-4451-9680-8C4BF765C21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C-8669-4925-A016-3B6EC474A821}"/>
                </c:ext>
              </c:extLst>
            </c:dLbl>
            <c:dLbl>
              <c:idx val="45"/>
              <c:tx>
                <c:rich>
                  <a:bodyPr/>
                  <a:lstStyle/>
                  <a:p>
                    <a:fld id="{11B7C358-59CB-48E0-ADA0-D009826B729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8669-4925-A016-3B6EC474A821}"/>
                </c:ext>
              </c:extLst>
            </c:dLbl>
            <c:dLbl>
              <c:idx val="46"/>
              <c:tx>
                <c:rich>
                  <a:bodyPr/>
                  <a:lstStyle/>
                  <a:p>
                    <a:fld id="{9E00E050-6194-4A3C-9C7E-0CBCF85999A4}"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E-8669-4925-A016-3B6EC474A821}"/>
                </c:ext>
              </c:extLst>
            </c:dLbl>
            <c:dLbl>
              <c:idx val="47"/>
              <c:tx>
                <c:rich>
                  <a:bodyPr/>
                  <a:lstStyle/>
                  <a:p>
                    <a:fld id="{0F9F9838-9332-495D-BEF6-1D4D9FCF87E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F-8669-4925-A016-3B6EC474A821}"/>
                </c:ext>
              </c:extLst>
            </c:dLbl>
            <c:dLbl>
              <c:idx val="48"/>
              <c:tx>
                <c:rich>
                  <a:bodyPr/>
                  <a:lstStyle/>
                  <a:p>
                    <a:fld id="{CB1D7D31-52C6-4494-99D7-7CB2B87AB92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8669-4925-A016-3B6EC474A821}"/>
                </c:ext>
              </c:extLst>
            </c:dLbl>
            <c:dLbl>
              <c:idx val="49"/>
              <c:tx>
                <c:rich>
                  <a:bodyPr/>
                  <a:lstStyle/>
                  <a:p>
                    <a:fld id="{FBBB4BC9-E949-4D9D-8362-5799679B37E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8669-4925-A016-3B6EC474A821}"/>
                </c:ext>
              </c:extLst>
            </c:dLbl>
            <c:dLbl>
              <c:idx val="50"/>
              <c:tx>
                <c:rich>
                  <a:bodyPr/>
                  <a:lstStyle/>
                  <a:p>
                    <a:fld id="{886D98AA-421D-4695-AE41-97AD7668B41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2-8669-4925-A016-3B6EC474A821}"/>
                </c:ext>
              </c:extLst>
            </c:dLbl>
            <c:dLbl>
              <c:idx val="51"/>
              <c:tx>
                <c:rich>
                  <a:bodyPr/>
                  <a:lstStyle/>
                  <a:p>
                    <a:fld id="{8A5A9920-2BC1-491B-95C1-9044E9A7746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3-8669-4925-A016-3B6EC474A821}"/>
                </c:ext>
              </c:extLst>
            </c:dLbl>
            <c:dLbl>
              <c:idx val="52"/>
              <c:tx>
                <c:rich>
                  <a:bodyPr/>
                  <a:lstStyle/>
                  <a:p>
                    <a:fld id="{ABFB3908-5008-42A6-8C0B-EEAC5F686CC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4-8669-4925-A016-3B6EC474A821}"/>
                </c:ext>
              </c:extLst>
            </c:dLbl>
            <c:dLbl>
              <c:idx val="53"/>
              <c:tx>
                <c:rich>
                  <a:bodyPr/>
                  <a:lstStyle/>
                  <a:p>
                    <a:fld id="{47B69125-7366-400F-AAC3-871FBBBCF93E}"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8669-4925-A016-3B6EC474A821}"/>
                </c:ext>
              </c:extLst>
            </c:dLbl>
            <c:dLbl>
              <c:idx val="54"/>
              <c:tx>
                <c:rich>
                  <a:bodyPr/>
                  <a:lstStyle/>
                  <a:p>
                    <a:fld id="{743C4630-ACD2-4162-8988-0949E4244AFC}"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8669-4925-A016-3B6EC474A821}"/>
                </c:ext>
              </c:extLst>
            </c:dLbl>
            <c:dLbl>
              <c:idx val="55"/>
              <c:tx>
                <c:rich>
                  <a:bodyPr/>
                  <a:lstStyle/>
                  <a:p>
                    <a:fld id="{89485BE0-AC3D-45AB-8DC9-F8E5E8EB62D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8669-4925-A016-3B6EC474A821}"/>
                </c:ext>
              </c:extLst>
            </c:dLbl>
            <c:dLbl>
              <c:idx val="56"/>
              <c:tx>
                <c:rich>
                  <a:bodyPr/>
                  <a:lstStyle/>
                  <a:p>
                    <a:fld id="{47B7F0D1-F582-4C9E-B317-3579093E905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8-8669-4925-A016-3B6EC474A821}"/>
                </c:ext>
              </c:extLst>
            </c:dLbl>
            <c:dLbl>
              <c:idx val="57"/>
              <c:tx>
                <c:rich>
                  <a:bodyPr/>
                  <a:lstStyle/>
                  <a:p>
                    <a:fld id="{3169A150-8B07-4946-B51F-532FD8E26E6D}"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9-8669-4925-A016-3B6EC474A82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(BVL,6m+)'!$J$2:$J$59</c:f>
              <c:numCache>
                <c:formatCode>General</c:formatCode>
                <c:ptCount val="58"/>
                <c:pt idx="0">
                  <c:v>1.3</c:v>
                </c:pt>
                <c:pt idx="1">
                  <c:v>1.3</c:v>
                </c:pt>
                <c:pt idx="2">
                  <c:v>1.3</c:v>
                </c:pt>
                <c:pt idx="3">
                  <c:v>1.3</c:v>
                </c:pt>
                <c:pt idx="4">
                  <c:v>1.2</c:v>
                </c:pt>
                <c:pt idx="5">
                  <c:v>1.6</c:v>
                </c:pt>
                <c:pt idx="6">
                  <c:v>1.4</c:v>
                </c:pt>
                <c:pt idx="7">
                  <c:v>1.2</c:v>
                </c:pt>
                <c:pt idx="8">
                  <c:v>0</c:v>
                </c:pt>
                <c:pt idx="9">
                  <c:v>1.3</c:v>
                </c:pt>
                <c:pt idx="10">
                  <c:v>1.5</c:v>
                </c:pt>
                <c:pt idx="11">
                  <c:v>1.4</c:v>
                </c:pt>
                <c:pt idx="12">
                  <c:v>0</c:v>
                </c:pt>
                <c:pt idx="13">
                  <c:v>1.3</c:v>
                </c:pt>
                <c:pt idx="14">
                  <c:v>0</c:v>
                </c:pt>
                <c:pt idx="15">
                  <c:v>1.4</c:v>
                </c:pt>
                <c:pt idx="16">
                  <c:v>1</c:v>
                </c:pt>
                <c:pt idx="17">
                  <c:v>1.5</c:v>
                </c:pt>
                <c:pt idx="18">
                  <c:v>1.6</c:v>
                </c:pt>
                <c:pt idx="19">
                  <c:v>1.3</c:v>
                </c:pt>
                <c:pt idx="20">
                  <c:v>1.3</c:v>
                </c:pt>
                <c:pt idx="21">
                  <c:v>1.3</c:v>
                </c:pt>
                <c:pt idx="22">
                  <c:v>1.2</c:v>
                </c:pt>
                <c:pt idx="23">
                  <c:v>1.32</c:v>
                </c:pt>
                <c:pt idx="24">
                  <c:v>1.31</c:v>
                </c:pt>
                <c:pt idx="25">
                  <c:v>1.53</c:v>
                </c:pt>
                <c:pt idx="26">
                  <c:v>1.18</c:v>
                </c:pt>
                <c:pt idx="27">
                  <c:v>1.6</c:v>
                </c:pt>
                <c:pt idx="28">
                  <c:v>0.97</c:v>
                </c:pt>
                <c:pt idx="29">
                  <c:v>1.34</c:v>
                </c:pt>
                <c:pt idx="30">
                  <c:v>1.33</c:v>
                </c:pt>
                <c:pt idx="31">
                  <c:v>1.5</c:v>
                </c:pt>
                <c:pt idx="32">
                  <c:v>1.8</c:v>
                </c:pt>
                <c:pt idx="33">
                  <c:v>0</c:v>
                </c:pt>
                <c:pt idx="34">
                  <c:v>1.5</c:v>
                </c:pt>
                <c:pt idx="35">
                  <c:v>1.3</c:v>
                </c:pt>
                <c:pt idx="36">
                  <c:v>1.3</c:v>
                </c:pt>
                <c:pt idx="37">
                  <c:v>1.2</c:v>
                </c:pt>
                <c:pt idx="38">
                  <c:v>1</c:v>
                </c:pt>
                <c:pt idx="39">
                  <c:v>1.3</c:v>
                </c:pt>
                <c:pt idx="40">
                  <c:v>1.01</c:v>
                </c:pt>
                <c:pt idx="41">
                  <c:v>0</c:v>
                </c:pt>
                <c:pt idx="42">
                  <c:v>0</c:v>
                </c:pt>
                <c:pt idx="43">
                  <c:v>0</c:v>
                </c:pt>
                <c:pt idx="44">
                  <c:v>0</c:v>
                </c:pt>
                <c:pt idx="45">
                  <c:v>1.4</c:v>
                </c:pt>
                <c:pt idx="46">
                  <c:v>1.6</c:v>
                </c:pt>
                <c:pt idx="47">
                  <c:v>0</c:v>
                </c:pt>
                <c:pt idx="48">
                  <c:v>1.5</c:v>
                </c:pt>
                <c:pt idx="49">
                  <c:v>1.45</c:v>
                </c:pt>
                <c:pt idx="50">
                  <c:v>1.4</c:v>
                </c:pt>
                <c:pt idx="51">
                  <c:v>1.5</c:v>
                </c:pt>
                <c:pt idx="52">
                  <c:v>0</c:v>
                </c:pt>
                <c:pt idx="53">
                  <c:v>1.3</c:v>
                </c:pt>
                <c:pt idx="54">
                  <c:v>1.3</c:v>
                </c:pt>
                <c:pt idx="55">
                  <c:v>1.7</c:v>
                </c:pt>
                <c:pt idx="56">
                  <c:v>1.8</c:v>
                </c:pt>
                <c:pt idx="57">
                  <c:v>0</c:v>
                </c:pt>
              </c:numCache>
            </c:numRef>
          </c:val>
          <c:extLst>
            <c:ext xmlns:c15="http://schemas.microsoft.com/office/drawing/2012/chart" uri="{02D57815-91ED-43cb-92C2-25804820EDAC}">
              <c15:datalabelsRange>
                <c15:f>'ALL-baselines_ (BVL,6m+)'!$BN$2:$BN$59</c15:f>
                <c15:dlblRangeCache>
                  <c:ptCount val="58"/>
                  <c:pt idx="8">
                    <c:v>NR</c:v>
                  </c:pt>
                  <c:pt idx="12">
                    <c:v>NR</c:v>
                  </c:pt>
                  <c:pt idx="14">
                    <c:v>NR</c:v>
                  </c:pt>
                  <c:pt idx="33">
                    <c:v>NR</c:v>
                  </c:pt>
                  <c:pt idx="41">
                    <c:v>NR</c:v>
                  </c:pt>
                  <c:pt idx="42">
                    <c:v>NR</c:v>
                  </c:pt>
                  <c:pt idx="43">
                    <c:v>NR</c:v>
                  </c:pt>
                  <c:pt idx="44">
                    <c:v>NR</c:v>
                  </c:pt>
                  <c:pt idx="47">
                    <c:v>NR</c:v>
                  </c:pt>
                  <c:pt idx="52">
                    <c:v>NR</c:v>
                  </c:pt>
                  <c:pt idx="57">
                    <c:v>NR</c:v>
                  </c:pt>
                </c15:dlblRangeCache>
              </c15:datalabelsRange>
            </c:ext>
            <c:ext xmlns:c16="http://schemas.microsoft.com/office/drawing/2014/chart" uri="{C3380CC4-5D6E-409C-BE32-E72D297353CC}">
              <c16:uniqueId val="{0000003A-8669-4925-A016-3B6EC474A821}"/>
            </c:ext>
          </c:extLst>
        </c:ser>
        <c:dLbls>
          <c:showLegendKey val="0"/>
          <c:showVal val="0"/>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4"/>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Relapses in Previous Year</a:t>
                </a:r>
                <a:r>
                  <a:rPr lang="en-US" b="1" baseline="0"/>
                  <a:t> (ARR)</a:t>
                </a:r>
                <a:endParaRPr lang="en-US" b="1"/>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'ALL-baselines_ (BVL,6m+)'!$K$1</c:f>
              <c:strCache>
                <c:ptCount val="1"/>
                <c:pt idx="0">
                  <c:v>TreatmentExperienced(Percent)</c:v>
                </c:pt>
              </c:strCache>
            </c:strRef>
          </c:tx>
          <c:spPr>
            <a:solidFill>
              <a:schemeClr val="accent1"/>
            </a:solidFill>
            <a:ln>
              <a:noFill/>
            </a:ln>
            <a:effectLst/>
          </c:spPr>
          <c:invertIfNegative val="0"/>
          <c:dLbls>
            <c:dLbl>
              <c:idx val="0"/>
              <c:tx>
                <c:rich>
                  <a:bodyPr/>
                  <a:lstStyle/>
                  <a:p>
                    <a:fld id="{1B2B74F8-CAED-4E4B-8427-1D274C36C17E}"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780C-47EF-AFD0-313BA44F61A3}"/>
                </c:ext>
              </c:extLst>
            </c:dLbl>
            <c:dLbl>
              <c:idx val="1"/>
              <c:tx>
                <c:rich>
                  <a:bodyPr/>
                  <a:lstStyle/>
                  <a:p>
                    <a:fld id="{7B5CB264-AE34-4E95-B2AA-6965B9569A0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780C-47EF-AFD0-313BA44F61A3}"/>
                </c:ext>
              </c:extLst>
            </c:dLbl>
            <c:dLbl>
              <c:idx val="2"/>
              <c:tx>
                <c:rich>
                  <a:bodyPr/>
                  <a:lstStyle/>
                  <a:p>
                    <a:fld id="{5AEEF7EC-04A4-4709-92AC-639394EF7C6F}"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780C-47EF-AFD0-313BA44F61A3}"/>
                </c:ext>
              </c:extLst>
            </c:dLbl>
            <c:dLbl>
              <c:idx val="3"/>
              <c:tx>
                <c:rich>
                  <a:bodyPr/>
                  <a:lstStyle/>
                  <a:p>
                    <a:fld id="{FC1C5C0C-BEE8-4DEF-8778-294C2E599354}"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780C-47EF-AFD0-313BA44F61A3}"/>
                </c:ext>
              </c:extLst>
            </c:dLbl>
            <c:dLbl>
              <c:idx val="4"/>
              <c:tx>
                <c:rich>
                  <a:bodyPr/>
                  <a:lstStyle/>
                  <a:p>
                    <a:fld id="{8C0E9E64-AA71-48EE-AA51-68486C66799B}"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780C-47EF-AFD0-313BA44F61A3}"/>
                </c:ext>
              </c:extLst>
            </c:dLbl>
            <c:dLbl>
              <c:idx val="5"/>
              <c:tx>
                <c:rich>
                  <a:bodyPr/>
                  <a:lstStyle/>
                  <a:p>
                    <a:fld id="{BE783A18-8900-4F97-911F-A28E9D85F27F}"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780C-47EF-AFD0-313BA44F61A3}"/>
                </c:ext>
              </c:extLst>
            </c:dLbl>
            <c:dLbl>
              <c:idx val="6"/>
              <c:tx>
                <c:rich>
                  <a:bodyPr/>
                  <a:lstStyle/>
                  <a:p>
                    <a:fld id="{30608760-F204-40DA-8B20-0D201CFEA2C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780C-47EF-AFD0-313BA44F61A3}"/>
                </c:ext>
              </c:extLst>
            </c:dLbl>
            <c:dLbl>
              <c:idx val="7"/>
              <c:tx>
                <c:rich>
                  <a:bodyPr/>
                  <a:lstStyle/>
                  <a:p>
                    <a:fld id="{46B05A4D-340C-48AF-A123-F902633EE36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7-780C-47EF-AFD0-313BA44F61A3}"/>
                </c:ext>
              </c:extLst>
            </c:dLbl>
            <c:dLbl>
              <c:idx val="8"/>
              <c:tx>
                <c:rich>
                  <a:bodyPr/>
                  <a:lstStyle/>
                  <a:p>
                    <a:fld id="{26EE2268-DB62-4596-98C7-A88F753F3A9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780C-47EF-AFD0-313BA44F61A3}"/>
                </c:ext>
              </c:extLst>
            </c:dLbl>
            <c:dLbl>
              <c:idx val="9"/>
              <c:tx>
                <c:rich>
                  <a:bodyPr/>
                  <a:lstStyle/>
                  <a:p>
                    <a:fld id="{A6CD38C4-A4E3-48AE-8DD4-142A204449C5}"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780C-47EF-AFD0-313BA44F61A3}"/>
                </c:ext>
              </c:extLst>
            </c:dLbl>
            <c:dLbl>
              <c:idx val="10"/>
              <c:tx>
                <c:rich>
                  <a:bodyPr/>
                  <a:lstStyle/>
                  <a:p>
                    <a:fld id="{887F3DAA-BE0D-4636-991D-5B32D97C2ED7}"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780C-47EF-AFD0-313BA44F61A3}"/>
                </c:ext>
              </c:extLst>
            </c:dLbl>
            <c:dLbl>
              <c:idx val="11"/>
              <c:tx>
                <c:rich>
                  <a:bodyPr/>
                  <a:lstStyle/>
                  <a:p>
                    <a:fld id="{CC30DA10-24DA-4B24-8995-6F5A754B2190}"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780C-47EF-AFD0-313BA44F61A3}"/>
                </c:ext>
              </c:extLst>
            </c:dLbl>
            <c:dLbl>
              <c:idx val="12"/>
              <c:tx>
                <c:rich>
                  <a:bodyPr/>
                  <a:lstStyle/>
                  <a:p>
                    <a:fld id="{B15DF952-4CDA-4778-AD36-A74ACCCB2E7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C-780C-47EF-AFD0-313BA44F61A3}"/>
                </c:ext>
              </c:extLst>
            </c:dLbl>
            <c:dLbl>
              <c:idx val="13"/>
              <c:tx>
                <c:rich>
                  <a:bodyPr/>
                  <a:lstStyle/>
                  <a:p>
                    <a:fld id="{1F2D8BD0-A66A-4ACC-B0CC-1B5E5D64B4C0}"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780C-47EF-AFD0-313BA44F61A3}"/>
                </c:ext>
              </c:extLst>
            </c:dLbl>
            <c:dLbl>
              <c:idx val="14"/>
              <c:tx>
                <c:rich>
                  <a:bodyPr/>
                  <a:lstStyle/>
                  <a:p>
                    <a:fld id="{184EAA56-968F-45C0-B183-0EB74DAEBA44}"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E-780C-47EF-AFD0-313BA44F61A3}"/>
                </c:ext>
              </c:extLst>
            </c:dLbl>
            <c:dLbl>
              <c:idx val="15"/>
              <c:tx>
                <c:rich>
                  <a:bodyPr/>
                  <a:lstStyle/>
                  <a:p>
                    <a:fld id="{28AAA7F6-8A6E-491F-862F-7907DF9AA53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780C-47EF-AFD0-313BA44F61A3}"/>
                </c:ext>
              </c:extLst>
            </c:dLbl>
            <c:dLbl>
              <c:idx val="16"/>
              <c:tx>
                <c:rich>
                  <a:bodyPr/>
                  <a:lstStyle/>
                  <a:p>
                    <a:fld id="{42E0FDF5-43E8-4A34-9700-34EAA8E8B9F6}"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780C-47EF-AFD0-313BA44F61A3}"/>
                </c:ext>
              </c:extLst>
            </c:dLbl>
            <c:dLbl>
              <c:idx val="17"/>
              <c:tx>
                <c:rich>
                  <a:bodyPr/>
                  <a:lstStyle/>
                  <a:p>
                    <a:fld id="{5C228F25-257C-4EEE-BF84-290AC67692C1}"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1-780C-47EF-AFD0-313BA44F61A3}"/>
                </c:ext>
              </c:extLst>
            </c:dLbl>
            <c:dLbl>
              <c:idx val="18"/>
              <c:tx>
                <c:rich>
                  <a:bodyPr/>
                  <a:lstStyle/>
                  <a:p>
                    <a:fld id="{FDE20965-7267-4DFA-BD28-524D6540D830}"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780C-47EF-AFD0-313BA44F61A3}"/>
                </c:ext>
              </c:extLst>
            </c:dLbl>
            <c:dLbl>
              <c:idx val="19"/>
              <c:tx>
                <c:rich>
                  <a:bodyPr/>
                  <a:lstStyle/>
                  <a:p>
                    <a:fld id="{D833053B-366A-4A94-A36E-CBDA9FF385DA}"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3-780C-47EF-AFD0-313BA44F61A3}"/>
                </c:ext>
              </c:extLst>
            </c:dLbl>
            <c:dLbl>
              <c:idx val="20"/>
              <c:tx>
                <c:rich>
                  <a:bodyPr/>
                  <a:lstStyle/>
                  <a:p>
                    <a:fld id="{59B73306-8612-4439-B8CF-89CD263F177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4-780C-47EF-AFD0-313BA44F61A3}"/>
                </c:ext>
              </c:extLst>
            </c:dLbl>
            <c:dLbl>
              <c:idx val="21"/>
              <c:tx>
                <c:rich>
                  <a:bodyPr/>
                  <a:lstStyle/>
                  <a:p>
                    <a:fld id="{6A5C526C-2A74-412C-A797-DAB8EF491373}"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5-780C-47EF-AFD0-313BA44F61A3}"/>
                </c:ext>
              </c:extLst>
            </c:dLbl>
            <c:dLbl>
              <c:idx val="22"/>
              <c:tx>
                <c:rich>
                  <a:bodyPr/>
                  <a:lstStyle/>
                  <a:p>
                    <a:fld id="{C249BBB1-CF3E-457B-8842-E3E4174D6B26}"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6-780C-47EF-AFD0-313BA44F61A3}"/>
                </c:ext>
              </c:extLst>
            </c:dLbl>
            <c:dLbl>
              <c:idx val="23"/>
              <c:tx>
                <c:rich>
                  <a:bodyPr/>
                  <a:lstStyle/>
                  <a:p>
                    <a:fld id="{069CB23A-4BF2-49B5-A500-2F22784BD4DB}"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7-780C-47EF-AFD0-313BA44F61A3}"/>
                </c:ext>
              </c:extLst>
            </c:dLbl>
            <c:dLbl>
              <c:idx val="24"/>
              <c:tx>
                <c:rich>
                  <a:bodyPr/>
                  <a:lstStyle/>
                  <a:p>
                    <a:fld id="{CD23334E-0B6C-44BB-8815-B18EEFB0DD8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8-780C-47EF-AFD0-313BA44F61A3}"/>
                </c:ext>
              </c:extLst>
            </c:dLbl>
            <c:dLbl>
              <c:idx val="25"/>
              <c:tx>
                <c:rich>
                  <a:bodyPr/>
                  <a:lstStyle/>
                  <a:p>
                    <a:fld id="{133E8B37-455A-4B62-AE23-ADBB3237DB0C}"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9-780C-47EF-AFD0-313BA44F61A3}"/>
                </c:ext>
              </c:extLst>
            </c:dLbl>
            <c:dLbl>
              <c:idx val="26"/>
              <c:tx>
                <c:rich>
                  <a:bodyPr/>
                  <a:lstStyle/>
                  <a:p>
                    <a:fld id="{DF5D717E-A6E6-4BBC-BA33-08744394D335}"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A-780C-47EF-AFD0-313BA44F61A3}"/>
                </c:ext>
              </c:extLst>
            </c:dLbl>
            <c:dLbl>
              <c:idx val="27"/>
              <c:tx>
                <c:rich>
                  <a:bodyPr/>
                  <a:lstStyle/>
                  <a:p>
                    <a:fld id="{79A9481C-03FE-4B2C-800D-7B8D9BE5FE9C}"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B-780C-47EF-AFD0-313BA44F61A3}"/>
                </c:ext>
              </c:extLst>
            </c:dLbl>
            <c:dLbl>
              <c:idx val="28"/>
              <c:tx>
                <c:rich>
                  <a:bodyPr/>
                  <a:lstStyle/>
                  <a:p>
                    <a:fld id="{8E0941C6-034F-4FEA-8FF0-D1C54ECA029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C-780C-47EF-AFD0-313BA44F61A3}"/>
                </c:ext>
              </c:extLst>
            </c:dLbl>
            <c:dLbl>
              <c:idx val="29"/>
              <c:tx>
                <c:rich>
                  <a:bodyPr/>
                  <a:lstStyle/>
                  <a:p>
                    <a:fld id="{4540E8B9-A87A-4CF6-B2D2-330D6F8B2727}"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D-780C-47EF-AFD0-313BA44F61A3}"/>
                </c:ext>
              </c:extLst>
            </c:dLbl>
            <c:dLbl>
              <c:idx val="30"/>
              <c:tx>
                <c:rich>
                  <a:bodyPr/>
                  <a:lstStyle/>
                  <a:p>
                    <a:fld id="{9AE0EFA6-81C5-4F73-A86D-153B00B6338B}"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E-780C-47EF-AFD0-313BA44F61A3}"/>
                </c:ext>
              </c:extLst>
            </c:dLbl>
            <c:dLbl>
              <c:idx val="31"/>
              <c:tx>
                <c:rich>
                  <a:bodyPr/>
                  <a:lstStyle/>
                  <a:p>
                    <a:fld id="{EDEA0B0F-1DBE-4F02-9132-A2E792A8D7D1}"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F-780C-47EF-AFD0-313BA44F61A3}"/>
                </c:ext>
              </c:extLst>
            </c:dLbl>
            <c:dLbl>
              <c:idx val="32"/>
              <c:tx>
                <c:rich>
                  <a:bodyPr/>
                  <a:lstStyle/>
                  <a:p>
                    <a:fld id="{135CAD8A-C94F-4011-B282-3F352259530B}"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0-780C-47EF-AFD0-313BA44F61A3}"/>
                </c:ext>
              </c:extLst>
            </c:dLbl>
            <c:dLbl>
              <c:idx val="33"/>
              <c:tx>
                <c:rich>
                  <a:bodyPr/>
                  <a:lstStyle/>
                  <a:p>
                    <a:fld id="{369E16F4-502F-4956-9845-052FD0712B76}"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1-780C-47EF-AFD0-313BA44F61A3}"/>
                </c:ext>
              </c:extLst>
            </c:dLbl>
            <c:dLbl>
              <c:idx val="34"/>
              <c:tx>
                <c:rich>
                  <a:bodyPr/>
                  <a:lstStyle/>
                  <a:p>
                    <a:fld id="{ACFBA9B8-F4C6-4B9E-A302-8FC1CEBB9647}"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2-780C-47EF-AFD0-313BA44F61A3}"/>
                </c:ext>
              </c:extLst>
            </c:dLbl>
            <c:dLbl>
              <c:idx val="35"/>
              <c:tx>
                <c:rich>
                  <a:bodyPr/>
                  <a:lstStyle/>
                  <a:p>
                    <a:fld id="{AEBC60FC-8BE2-4322-9B66-39DF74DABD95}"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3-780C-47EF-AFD0-313BA44F61A3}"/>
                </c:ext>
              </c:extLst>
            </c:dLbl>
            <c:dLbl>
              <c:idx val="36"/>
              <c:tx>
                <c:rich>
                  <a:bodyPr/>
                  <a:lstStyle/>
                  <a:p>
                    <a:fld id="{98ED2150-046F-4166-8D05-E7B445B7880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4-780C-47EF-AFD0-313BA44F61A3}"/>
                </c:ext>
              </c:extLst>
            </c:dLbl>
            <c:dLbl>
              <c:idx val="37"/>
              <c:tx>
                <c:rich>
                  <a:bodyPr/>
                  <a:lstStyle/>
                  <a:p>
                    <a:fld id="{6E236E1B-A5FC-4A6D-989E-512A9D38EEB2}"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5-780C-47EF-AFD0-313BA44F61A3}"/>
                </c:ext>
              </c:extLst>
            </c:dLbl>
            <c:dLbl>
              <c:idx val="38"/>
              <c:tx>
                <c:rich>
                  <a:bodyPr/>
                  <a:lstStyle/>
                  <a:p>
                    <a:fld id="{739EEFCF-3726-4B1E-A1A0-B22FF69156F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6-780C-47EF-AFD0-313BA44F61A3}"/>
                </c:ext>
              </c:extLst>
            </c:dLbl>
            <c:dLbl>
              <c:idx val="39"/>
              <c:tx>
                <c:rich>
                  <a:bodyPr/>
                  <a:lstStyle/>
                  <a:p>
                    <a:fld id="{59F80B82-EBE5-4173-9840-581DC7A9D36A}"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7-780C-47EF-AFD0-313BA44F61A3}"/>
                </c:ext>
              </c:extLst>
            </c:dLbl>
            <c:dLbl>
              <c:idx val="40"/>
              <c:tx>
                <c:rich>
                  <a:bodyPr/>
                  <a:lstStyle/>
                  <a:p>
                    <a:fld id="{F6019890-17CD-46C4-A38B-EA501AF957EB}"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8-780C-47EF-AFD0-313BA44F61A3}"/>
                </c:ext>
              </c:extLst>
            </c:dLbl>
            <c:dLbl>
              <c:idx val="41"/>
              <c:tx>
                <c:rich>
                  <a:bodyPr/>
                  <a:lstStyle/>
                  <a:p>
                    <a:fld id="{685E4220-2BEE-4D4F-BF18-E0C8CC9B4F6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9-780C-47EF-AFD0-313BA44F61A3}"/>
                </c:ext>
              </c:extLst>
            </c:dLbl>
            <c:dLbl>
              <c:idx val="42"/>
              <c:tx>
                <c:rich>
                  <a:bodyPr/>
                  <a:lstStyle/>
                  <a:p>
                    <a:fld id="{8DB2297D-235B-433F-89E0-321930A4F76A}"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A-780C-47EF-AFD0-313BA44F61A3}"/>
                </c:ext>
              </c:extLst>
            </c:dLbl>
            <c:dLbl>
              <c:idx val="43"/>
              <c:tx>
                <c:rich>
                  <a:bodyPr/>
                  <a:lstStyle/>
                  <a:p>
                    <a:fld id="{BF9D49F6-BA54-4562-AE96-8A6A59FE22D1}"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B-780C-47EF-AFD0-313BA44F61A3}"/>
                </c:ext>
              </c:extLst>
            </c:dLbl>
            <c:dLbl>
              <c:idx val="44"/>
              <c:tx>
                <c:rich>
                  <a:bodyPr/>
                  <a:lstStyle/>
                  <a:p>
                    <a:fld id="{627D4239-72EE-459F-B85E-9513101ECE8C}"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C-780C-47EF-AFD0-313BA44F61A3}"/>
                </c:ext>
              </c:extLst>
            </c:dLbl>
            <c:dLbl>
              <c:idx val="45"/>
              <c:tx>
                <c:rich>
                  <a:bodyPr/>
                  <a:lstStyle/>
                  <a:p>
                    <a:fld id="{A08071AD-41E5-4A0D-812B-0BEEDD027284}"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D-780C-47EF-AFD0-313BA44F61A3}"/>
                </c:ext>
              </c:extLst>
            </c:dLbl>
            <c:dLbl>
              <c:idx val="46"/>
              <c:tx>
                <c:rich>
                  <a:bodyPr/>
                  <a:lstStyle/>
                  <a:p>
                    <a:fld id="{50BEE4B7-06D7-4157-98F7-3F46B3F8F453}"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2E-780C-47EF-AFD0-313BA44F61A3}"/>
                </c:ext>
              </c:extLst>
            </c:dLbl>
            <c:dLbl>
              <c:idx val="47"/>
              <c:tx>
                <c:rich>
                  <a:bodyPr/>
                  <a:lstStyle/>
                  <a:p>
                    <a:fld id="{6CEB0138-29B8-4621-94B5-B9A5E0EEA438}"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2F-780C-47EF-AFD0-313BA44F61A3}"/>
                </c:ext>
              </c:extLst>
            </c:dLbl>
            <c:dLbl>
              <c:idx val="48"/>
              <c:tx>
                <c:rich>
                  <a:bodyPr/>
                  <a:lstStyle/>
                  <a:p>
                    <a:fld id="{9FDCAC4E-926C-4C46-94F8-497D537D15DF}"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0-780C-47EF-AFD0-313BA44F61A3}"/>
                </c:ext>
              </c:extLst>
            </c:dLbl>
            <c:dLbl>
              <c:idx val="49"/>
              <c:tx>
                <c:rich>
                  <a:bodyPr/>
                  <a:lstStyle/>
                  <a:p>
                    <a:fld id="{045CFDAD-F56D-46AE-B1E0-591D8A2B6BC1}"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1-780C-47EF-AFD0-313BA44F61A3}"/>
                </c:ext>
              </c:extLst>
            </c:dLbl>
            <c:dLbl>
              <c:idx val="50"/>
              <c:tx>
                <c:rich>
                  <a:bodyPr/>
                  <a:lstStyle/>
                  <a:p>
                    <a:fld id="{2B1D8530-17B1-4B01-A3D5-B953A0D8BA4D}"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2-780C-47EF-AFD0-313BA44F61A3}"/>
                </c:ext>
              </c:extLst>
            </c:dLbl>
            <c:dLbl>
              <c:idx val="51"/>
              <c:tx>
                <c:rich>
                  <a:bodyPr/>
                  <a:lstStyle/>
                  <a:p>
                    <a:fld id="{099379B4-2487-477E-959B-CC3C86B99FE9}"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3-780C-47EF-AFD0-313BA44F61A3}"/>
                </c:ext>
              </c:extLst>
            </c:dLbl>
            <c:dLbl>
              <c:idx val="52"/>
              <c:tx>
                <c:rich>
                  <a:bodyPr/>
                  <a:lstStyle/>
                  <a:p>
                    <a:fld id="{086423B3-A527-4F69-9CC0-E26520766A5F}"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4-780C-47EF-AFD0-313BA44F61A3}"/>
                </c:ext>
              </c:extLst>
            </c:dLbl>
            <c:dLbl>
              <c:idx val="53"/>
              <c:tx>
                <c:rich>
                  <a:bodyPr/>
                  <a:lstStyle/>
                  <a:p>
                    <a:fld id="{43DB3B8B-26D2-4889-97F0-59D799677F6C}"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5-780C-47EF-AFD0-313BA44F61A3}"/>
                </c:ext>
              </c:extLst>
            </c:dLbl>
            <c:dLbl>
              <c:idx val="54"/>
              <c:tx>
                <c:rich>
                  <a:bodyPr/>
                  <a:lstStyle/>
                  <a:p>
                    <a:fld id="{F7DB343C-186C-4A41-A8F5-F607CCD826D0}"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6-780C-47EF-AFD0-313BA44F61A3}"/>
                </c:ext>
              </c:extLst>
            </c:dLbl>
            <c:dLbl>
              <c:idx val="55"/>
              <c:tx>
                <c:rich>
                  <a:bodyPr/>
                  <a:lstStyle/>
                  <a:p>
                    <a:fld id="{35F20FED-4C56-4795-AA88-633F31483D43}"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37-780C-47EF-AFD0-313BA44F61A3}"/>
                </c:ext>
              </c:extLst>
            </c:dLbl>
            <c:dLbl>
              <c:idx val="56"/>
              <c:tx>
                <c:rich>
                  <a:bodyPr/>
                  <a:lstStyle/>
                  <a:p>
                    <a:fld id="{3FC0772B-F9F6-4088-9CDB-8007A55E3370}"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8-780C-47EF-AFD0-313BA44F61A3}"/>
                </c:ext>
              </c:extLst>
            </c:dLbl>
            <c:dLbl>
              <c:idx val="57"/>
              <c:tx>
                <c:rich>
                  <a:bodyPr/>
                  <a:lstStyle/>
                  <a:p>
                    <a:fld id="{43957ABA-0E1E-4E21-8DCE-04B46853891C}" type="CELLRANGE">
                      <a:rPr lang="en-US"/>
                      <a:pPr/>
                      <a:t>[CELLRANGE]</a:t>
                    </a:fld>
                    <a:endParaRPr lang="en-US"/>
                  </a:p>
                </c:rich>
              </c:tx>
              <c:dLblPos val="outEnd"/>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39-780C-47EF-AFD0-313BA44F61A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'ALL-baselines_ (BVL,6m+)'!$B$2:$B$59</c:f>
              <c:strCache>
                <c:ptCount val="58"/>
                <c:pt idx="3">
                  <c:v>TER 14 QD</c:v>
                </c:pt>
                <c:pt idx="4">
                  <c:v>PON 20 QD</c:v>
                </c:pt>
                <c:pt idx="5">
                  <c:v>PEG 125 2W</c:v>
                </c:pt>
                <c:pt idx="18">
                  <c:v>PBO</c:v>
                </c:pt>
                <c:pt idx="24">
                  <c:v>OCR 600 24W</c:v>
                </c:pt>
                <c:pt idx="25">
                  <c:v>NAT 300 4W</c:v>
                </c:pt>
                <c:pt idx="27">
                  <c:v>IFNB-1b 250 QOD</c:v>
                </c:pt>
                <c:pt idx="38">
                  <c:v>IFNB-1a 30 IM QW</c:v>
                </c:pt>
                <c:pt idx="47">
                  <c:v>GA 20 QD</c:v>
                </c:pt>
                <c:pt idx="52">
                  <c:v>FIN 0.5 QD</c:v>
                </c:pt>
                <c:pt idx="57">
                  <c:v>ALE 12 QD</c:v>
                </c:pt>
              </c:strCache>
            </c:strRef>
          </c:cat>
          <c:val>
            <c:numRef>
              <c:f>'ALL-baselines_ (BVL,6m+)'!$K$2:$K$59</c:f>
              <c:numCache>
                <c:formatCode>General</c:formatCode>
                <c:ptCount val="58"/>
                <c:pt idx="0">
                  <c:v>28.4</c:v>
                </c:pt>
                <c:pt idx="1">
                  <c:v>43.3</c:v>
                </c:pt>
                <c:pt idx="2">
                  <c:v>61.8</c:v>
                </c:pt>
                <c:pt idx="3">
                  <c:v>60.6</c:v>
                </c:pt>
                <c:pt idx="4">
                  <c:v>42.9</c:v>
                </c:pt>
                <c:pt idx="5">
                  <c:v>17</c:v>
                </c:pt>
                <c:pt idx="6">
                  <c:v>24.8</c:v>
                </c:pt>
                <c:pt idx="7">
                  <c:v>0</c:v>
                </c:pt>
                <c:pt idx="8">
                  <c:v>88.1</c:v>
                </c:pt>
                <c:pt idx="9">
                  <c:v>13.7</c:v>
                </c:pt>
                <c:pt idx="10">
                  <c:v>73</c:v>
                </c:pt>
                <c:pt idx="11">
                  <c:v>40.4</c:v>
                </c:pt>
                <c:pt idx="12">
                  <c:v>0</c:v>
                </c:pt>
                <c:pt idx="13">
                  <c:v>42</c:v>
                </c:pt>
                <c:pt idx="14">
                  <c:v>0</c:v>
                </c:pt>
                <c:pt idx="15">
                  <c:v>31</c:v>
                </c:pt>
                <c:pt idx="16">
                  <c:v>6</c:v>
                </c:pt>
                <c:pt idx="17">
                  <c:v>0</c:v>
                </c:pt>
                <c:pt idx="18">
                  <c:v>17</c:v>
                </c:pt>
                <c:pt idx="19">
                  <c:v>28.6</c:v>
                </c:pt>
                <c:pt idx="20">
                  <c:v>28.4</c:v>
                </c:pt>
                <c:pt idx="21">
                  <c:v>59.5</c:v>
                </c:pt>
                <c:pt idx="22">
                  <c:v>58.9</c:v>
                </c:pt>
                <c:pt idx="23">
                  <c:v>27.1</c:v>
                </c:pt>
                <c:pt idx="24">
                  <c:v>26.2</c:v>
                </c:pt>
                <c:pt idx="25">
                  <c:v>0</c:v>
                </c:pt>
                <c:pt idx="26">
                  <c:v>46.43</c:v>
                </c:pt>
                <c:pt idx="27">
                  <c:v>0</c:v>
                </c:pt>
                <c:pt idx="28">
                  <c:v>0</c:v>
                </c:pt>
                <c:pt idx="29">
                  <c:v>24.7</c:v>
                </c:pt>
                <c:pt idx="30">
                  <c:v>28.6</c:v>
                </c:pt>
                <c:pt idx="31">
                  <c:v>100</c:v>
                </c:pt>
                <c:pt idx="32">
                  <c:v>0</c:v>
                </c:pt>
                <c:pt idx="33">
                  <c:v>0</c:v>
                </c:pt>
                <c:pt idx="34">
                  <c:v>56.3</c:v>
                </c:pt>
                <c:pt idx="35">
                  <c:v>33.700000000000003</c:v>
                </c:pt>
                <c:pt idx="36">
                  <c:v>28.6</c:v>
                </c:pt>
                <c:pt idx="37">
                  <c:v>0</c:v>
                </c:pt>
                <c:pt idx="38">
                  <c:v>9.4</c:v>
                </c:pt>
                <c:pt idx="39">
                  <c:v>13.6</c:v>
                </c:pt>
                <c:pt idx="40">
                  <c:v>0</c:v>
                </c:pt>
                <c:pt idx="41">
                  <c:v>82.6</c:v>
                </c:pt>
                <c:pt idx="42">
                  <c:v>84.1</c:v>
                </c:pt>
                <c:pt idx="43">
                  <c:v>0</c:v>
                </c:pt>
                <c:pt idx="44">
                  <c:v>0</c:v>
                </c:pt>
                <c:pt idx="45">
                  <c:v>29</c:v>
                </c:pt>
                <c:pt idx="46">
                  <c:v>0</c:v>
                </c:pt>
                <c:pt idx="47">
                  <c:v>55</c:v>
                </c:pt>
                <c:pt idx="48">
                  <c:v>55.2</c:v>
                </c:pt>
                <c:pt idx="49">
                  <c:v>52.5</c:v>
                </c:pt>
                <c:pt idx="50">
                  <c:v>74</c:v>
                </c:pt>
                <c:pt idx="51">
                  <c:v>42.6</c:v>
                </c:pt>
                <c:pt idx="52">
                  <c:v>51.7</c:v>
                </c:pt>
                <c:pt idx="53">
                  <c:v>40</c:v>
                </c:pt>
                <c:pt idx="54">
                  <c:v>28</c:v>
                </c:pt>
                <c:pt idx="55">
                  <c:v>100</c:v>
                </c:pt>
                <c:pt idx="56">
                  <c:v>0</c:v>
                </c:pt>
                <c:pt idx="57">
                  <c:v>0</c:v>
                </c:pt>
              </c:numCache>
            </c:numRef>
          </c:val>
          <c:extLst>
            <c:ext xmlns:c15="http://schemas.microsoft.com/office/drawing/2012/chart" uri="{02D57815-91ED-43cb-92C2-25804820EDAC}">
              <c15:datalabelsRange>
                <c15:f>'ALL-baselines_ (BVL,6m+)'!$BO$2:$BO$59</c15:f>
                <c15:dlblRangeCache>
                  <c:ptCount val="58"/>
                  <c:pt idx="7">
                    <c:v>NR</c:v>
                  </c:pt>
                  <c:pt idx="12">
                    <c:v>NR</c:v>
                  </c:pt>
                  <c:pt idx="14">
                    <c:v>NR</c:v>
                  </c:pt>
                  <c:pt idx="17">
                    <c:v>NR</c:v>
                  </c:pt>
                  <c:pt idx="25">
                    <c:v>NR</c:v>
                  </c:pt>
                  <c:pt idx="27">
                    <c:v>0</c:v>
                  </c:pt>
                  <c:pt idx="28">
                    <c:v>NR</c:v>
                  </c:pt>
                  <c:pt idx="32">
                    <c:v>0</c:v>
                  </c:pt>
                  <c:pt idx="33">
                    <c:v>0</c:v>
                  </c:pt>
                  <c:pt idx="37">
                    <c:v>NR</c:v>
                  </c:pt>
                  <c:pt idx="40">
                    <c:v>NR</c:v>
                  </c:pt>
                  <c:pt idx="43">
                    <c:v>NR</c:v>
                  </c:pt>
                  <c:pt idx="44">
                    <c:v>NR</c:v>
                  </c:pt>
                  <c:pt idx="46">
                    <c:v>0</c:v>
                  </c:pt>
                  <c:pt idx="56">
                    <c:v>0</c:v>
                  </c:pt>
                  <c:pt idx="57">
                    <c:v>0</c:v>
                  </c:pt>
                </c15:dlblRangeCache>
              </c15:datalabelsRange>
            </c:ext>
            <c:ext xmlns:c16="http://schemas.microsoft.com/office/drawing/2014/chart" uri="{C3380CC4-5D6E-409C-BE32-E72D297353CC}">
              <c16:uniqueId val="{0000003A-780C-47EF-AFD0-313BA44F61A3}"/>
            </c:ext>
          </c:extLst>
        </c:ser>
        <c:dLbls>
          <c:dLblPos val="outEnd"/>
          <c:showLegendKey val="0"/>
          <c:showVal val="1"/>
          <c:showCatName val="0"/>
          <c:showSerName val="0"/>
          <c:showPercent val="0"/>
          <c:showBubbleSize val="0"/>
        </c:dLbls>
        <c:gapWidth val="182"/>
        <c:axId val="561252880"/>
        <c:axId val="561253208"/>
      </c:barChart>
      <c:catAx>
        <c:axId val="561252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3208"/>
        <c:crosses val="autoZero"/>
        <c:auto val="1"/>
        <c:lblAlgn val="ctr"/>
        <c:lblOffset val="100"/>
        <c:noMultiLvlLbl val="0"/>
      </c:catAx>
      <c:valAx>
        <c:axId val="561253208"/>
        <c:scaling>
          <c:orientation val="minMax"/>
          <c:max val="10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en-US" b="1"/>
                  <a:t>Prior DMT Use (%)</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61252880"/>
        <c:crosses val="autoZero"/>
        <c:crossBetween val="between"/>
        <c:majorUnit val="2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0BE675A096F94E9E33D6D68A90A5D1" ma:contentTypeVersion="2" ma:contentTypeDescription="Create a new document." ma:contentTypeScope="" ma:versionID="6aa08d682c74f5d870c59ef9ca5499fd">
  <xsd:schema xmlns:xsd="http://www.w3.org/2001/XMLSchema" xmlns:xs="http://www.w3.org/2001/XMLSchema" xmlns:p="http://schemas.microsoft.com/office/2006/metadata/properties" xmlns:ns2="a61b4696-af16-4f26-9f0b-321f9e3bb48c" targetNamespace="http://schemas.microsoft.com/office/2006/metadata/properties" ma:root="true" ma:fieldsID="8fb6097582a56a829bc17b4bfe2edc3c" ns2:_="">
    <xsd:import namespace="a61b4696-af16-4f26-9f0b-321f9e3bb48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1b4696-af16-4f26-9f0b-321f9e3bb48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1C962A-73BC-43DB-AEAB-15B9DB063B0C}">
  <ds:schemaRefs>
    <ds:schemaRef ds:uri="http://schemas.openxmlformats.org/officeDocument/2006/bibliography"/>
  </ds:schemaRefs>
</ds:datastoreItem>
</file>

<file path=customXml/itemProps2.xml><?xml version="1.0" encoding="utf-8"?>
<ds:datastoreItem xmlns:ds="http://schemas.openxmlformats.org/officeDocument/2006/customXml" ds:itemID="{A5314315-9D1B-41A9-B7B2-5797667FB6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1b4696-af16-4f26-9f0b-321f9e3bb4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37B8C7-B17E-43C2-B927-B97289C90A8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EB12330-6201-48F8-8DBB-1036E59473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157</Pages>
  <Words>67938</Words>
  <Characters>387252</Characters>
  <Application>Microsoft Office Word</Application>
  <DocSecurity>0</DocSecurity>
  <Lines>3227</Lines>
  <Paragraphs>908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Halloran</dc:creator>
  <cp:keywords/>
  <dc:description/>
  <cp:lastModifiedBy>Vivian Vuong</cp:lastModifiedBy>
  <cp:revision>3</cp:revision>
  <dcterms:created xsi:type="dcterms:W3CDTF">2023-03-21T01:31:00Z</dcterms:created>
  <dcterms:modified xsi:type="dcterms:W3CDTF">2023-11-15T14:04:00Z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0x0101007D0BE675A096F94E9E33D6D68A90A5D1</vt:lpwstr>
  </property>
</Properties>
</file>