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6</w:t>
      </w:r>
      <w:r>
        <w:t>.  Period effects on cardiovascular diseases prevalence in WCBA across SDI quintiles</w:t>
      </w:r>
      <w:bookmarkStart w:id="0" w:name="_GoBack"/>
      <w:bookmarkEnd w:id="0"/>
      <w:r>
        <w:t>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572"/>
        <w:gridCol w:w="2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Period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Prevalence rate ratio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0.973)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(1.026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1.041)</w:t>
            </w:r>
          </w:p>
        </w:tc>
      </w:tr>
    </w:tbl>
    <w:p/>
    <w:sectPr>
      <w:type w:val="continuous"/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3FED6078"/>
    <w:rsid w:val="7D5360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1403</Characters>
  <Lines>0</Lines>
  <Paragraphs>0</Paragraphs>
  <TotalTime>4</TotalTime>
  <ScaleCrop>false</ScaleCrop>
  <LinksUpToDate>false</LinksUpToDate>
  <CharactersWithSpaces>1592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2023-10-13T06:58:46Z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F7D71BB540964160A3AFA83D582BF1E6_12</vt:lpwstr>
  </property>
</Properties>
</file>